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2B0FE">
      <w:pPr>
        <w:spacing w:before="68" w:line="222" w:lineRule="auto"/>
        <w:ind w:left="109"/>
        <w:rPr>
          <w:rFonts w:ascii="SimSun" w:hAnsi="SimSun" w:eastAsia="SimSun" w:cs="SimSun"/>
          <w:sz w:val="34"/>
          <w:szCs w:val="34"/>
        </w:rPr>
      </w:pPr>
      <w:bookmarkStart w:id="0" w:name="_GoBack"/>
      <w:bookmarkEnd w:id="0"/>
      <w:r>
        <w:rPr>
          <w:rFonts w:ascii="SimSun" w:hAnsi="SimSun" w:eastAsia="SimSun" w:cs="SimSun"/>
          <w:spacing w:val="-12"/>
          <w:sz w:val="34"/>
          <w:szCs w:val="34"/>
        </w:rPr>
        <w:t>四急</w:t>
      </w:r>
    </w:p>
    <w:p w14:paraId="23BE8230">
      <w:pPr>
        <w:pStyle w:val="2"/>
        <w:spacing w:line="251" w:lineRule="auto"/>
      </w:pPr>
    </w:p>
    <w:p w14:paraId="24583E49">
      <w:pPr>
        <w:pStyle w:val="2"/>
        <w:spacing w:line="251" w:lineRule="auto"/>
      </w:pPr>
    </w:p>
    <w:p w14:paraId="0BD238EC">
      <w:pPr>
        <w:pStyle w:val="2"/>
        <w:spacing w:line="251" w:lineRule="auto"/>
      </w:pPr>
    </w:p>
    <w:p w14:paraId="4F1E5AC4">
      <w:pPr>
        <w:pStyle w:val="2"/>
        <w:spacing w:line="251" w:lineRule="auto"/>
      </w:pPr>
    </w:p>
    <w:p w14:paraId="2F177342">
      <w:pPr>
        <w:pStyle w:val="2"/>
        <w:spacing w:line="252" w:lineRule="auto"/>
      </w:pPr>
    </w:p>
    <w:p w14:paraId="53ADBBA9">
      <w:pPr>
        <w:pStyle w:val="2"/>
        <w:spacing w:line="252" w:lineRule="auto"/>
      </w:pPr>
    </w:p>
    <w:p w14:paraId="2A6CEE91">
      <w:pPr>
        <w:pStyle w:val="2"/>
        <w:spacing w:line="252" w:lineRule="auto"/>
      </w:pPr>
    </w:p>
    <w:p w14:paraId="3E272CCD">
      <w:pPr>
        <w:pStyle w:val="2"/>
        <w:spacing w:line="252" w:lineRule="auto"/>
      </w:pPr>
    </w:p>
    <w:p w14:paraId="668994F2">
      <w:pPr>
        <w:pStyle w:val="2"/>
        <w:spacing w:line="252" w:lineRule="auto"/>
      </w:pPr>
    </w:p>
    <w:p w14:paraId="201D4A73">
      <w:pPr>
        <w:pStyle w:val="2"/>
        <w:spacing w:line="252" w:lineRule="auto"/>
      </w:pPr>
    </w:p>
    <w:p w14:paraId="7DD67C82">
      <w:pPr>
        <w:pStyle w:val="2"/>
        <w:spacing w:line="252" w:lineRule="auto"/>
      </w:pPr>
    </w:p>
    <w:p w14:paraId="5DA129E0">
      <w:pPr>
        <w:pStyle w:val="2"/>
        <w:spacing w:line="252" w:lineRule="auto"/>
      </w:pPr>
    </w:p>
    <w:p w14:paraId="041770F8">
      <w:pPr>
        <w:pStyle w:val="2"/>
        <w:spacing w:line="252" w:lineRule="auto"/>
      </w:pPr>
    </w:p>
    <w:p w14:paraId="2142FF43">
      <w:pPr>
        <w:pStyle w:val="2"/>
        <w:spacing w:line="252" w:lineRule="auto"/>
      </w:pPr>
    </w:p>
    <w:p w14:paraId="1C91F66F">
      <w:pPr>
        <w:pStyle w:val="2"/>
        <w:spacing w:line="252" w:lineRule="auto"/>
      </w:pPr>
    </w:p>
    <w:p w14:paraId="72A195B1">
      <w:pPr>
        <w:pStyle w:val="2"/>
        <w:spacing w:line="252" w:lineRule="auto"/>
      </w:pPr>
    </w:p>
    <w:p w14:paraId="53C97142">
      <w:pPr>
        <w:spacing w:before="110" w:line="222" w:lineRule="auto"/>
        <w:ind w:left="2969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23"/>
          <w:sz w:val="34"/>
          <w:szCs w:val="34"/>
        </w:rPr>
        <w:t>工银规章〔2025〕233号</w:t>
      </w:r>
    </w:p>
    <w:p w14:paraId="77AEE116">
      <w:pPr>
        <w:pStyle w:val="2"/>
        <w:spacing w:line="268" w:lineRule="auto"/>
      </w:pPr>
    </w:p>
    <w:p w14:paraId="54BBE223">
      <w:pPr>
        <w:pStyle w:val="2"/>
        <w:spacing w:line="268" w:lineRule="auto"/>
      </w:pPr>
    </w:p>
    <w:p w14:paraId="596B7192">
      <w:pPr>
        <w:pStyle w:val="2"/>
        <w:spacing w:line="268" w:lineRule="auto"/>
      </w:pPr>
    </w:p>
    <w:p w14:paraId="2271A32F">
      <w:pPr>
        <w:pStyle w:val="2"/>
        <w:spacing w:line="268" w:lineRule="auto"/>
      </w:pPr>
    </w:p>
    <w:p w14:paraId="5F5BCB8B">
      <w:pPr>
        <w:pStyle w:val="2"/>
        <w:spacing w:line="268" w:lineRule="auto"/>
      </w:pPr>
    </w:p>
    <w:p w14:paraId="270FBB72">
      <w:pPr>
        <w:spacing w:before="159" w:line="281" w:lineRule="auto"/>
        <w:ind w:left="3288" w:right="77" w:hanging="3289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pacing w:val="18"/>
          <w:sz w:val="49"/>
          <w:szCs w:val="49"/>
        </w:rPr>
        <w:t>关于印发《资金使用效率提升实施细则（2025</w:t>
      </w:r>
      <w:r>
        <w:rPr>
          <w:rFonts w:ascii="SimSun" w:hAnsi="SimSun" w:eastAsia="SimSun" w:cs="SimSun"/>
          <w:spacing w:val="8"/>
          <w:sz w:val="49"/>
          <w:szCs w:val="49"/>
        </w:rPr>
        <w:t xml:space="preserve"> </w:t>
      </w:r>
      <w:r>
        <w:rPr>
          <w:rFonts w:ascii="SimSun" w:hAnsi="SimSun" w:eastAsia="SimSun" w:cs="SimSun"/>
          <w:spacing w:val="16"/>
          <w:sz w:val="49"/>
          <w:szCs w:val="49"/>
        </w:rPr>
        <w:t>年版）》的通知</w:t>
      </w:r>
    </w:p>
    <w:p w14:paraId="694579F9">
      <w:pPr>
        <w:pStyle w:val="2"/>
        <w:spacing w:line="301" w:lineRule="auto"/>
      </w:pPr>
    </w:p>
    <w:p w14:paraId="791F5A66">
      <w:pPr>
        <w:pStyle w:val="2"/>
        <w:spacing w:line="302" w:lineRule="auto"/>
      </w:pPr>
    </w:p>
    <w:p w14:paraId="6585B66C">
      <w:pPr>
        <w:spacing w:before="111" w:line="221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-4"/>
          <w:sz w:val="34"/>
          <w:szCs w:val="34"/>
        </w:rPr>
        <w:t>各一级分行、直属分行：</w:t>
      </w:r>
    </w:p>
    <w:p w14:paraId="0EF0F541">
      <w:pPr>
        <w:spacing w:before="291" w:line="364" w:lineRule="auto"/>
        <w:ind w:firstLine="709"/>
        <w:jc w:val="both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18"/>
          <w:sz w:val="34"/>
          <w:szCs w:val="34"/>
        </w:rPr>
        <w:t xml:space="preserve">为落实金融监管要求，加强空转问题根源性治理，切实提高 </w:t>
      </w:r>
      <w:r>
        <w:rPr>
          <w:rFonts w:ascii="FangSong" w:hAnsi="FangSong" w:eastAsia="FangSong" w:cs="FangSong"/>
          <w:spacing w:val="26"/>
          <w:sz w:val="34"/>
          <w:szCs w:val="34"/>
        </w:rPr>
        <w:t>资金使用效率，总行制定了《资金使用效率提升实施细则</w:t>
      </w:r>
      <w:r>
        <w:rPr>
          <w:rFonts w:ascii="FangSong" w:hAnsi="FangSong" w:eastAsia="FangSong" w:cs="FangSong"/>
          <w:spacing w:val="51"/>
          <w:sz w:val="34"/>
          <w:szCs w:val="34"/>
        </w:rPr>
        <w:t xml:space="preserve">   </w:t>
      </w:r>
      <w:r>
        <w:rPr>
          <w:rFonts w:ascii="FangSong" w:hAnsi="FangSong" w:eastAsia="FangSong" w:cs="FangSong"/>
          <w:spacing w:val="26"/>
          <w:sz w:val="34"/>
          <w:szCs w:val="34"/>
        </w:rPr>
        <w:t>5</w:t>
      </w:r>
      <w:r>
        <w:rPr>
          <w:rFonts w:ascii="FangSong" w:hAnsi="FangSong" w:eastAsia="FangSong" w:cs="FangSong"/>
          <w:spacing w:val="2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4"/>
          <w:sz w:val="34"/>
          <w:szCs w:val="34"/>
        </w:rPr>
        <w:t>年版）》，现印发给你们，请遵照执行。</w:t>
      </w:r>
    </w:p>
    <w:p w14:paraId="5FF9DA18">
      <w:pPr>
        <w:pStyle w:val="2"/>
        <w:spacing w:line="297" w:lineRule="auto"/>
      </w:pPr>
    </w:p>
    <w:p w14:paraId="75B26004">
      <w:pPr>
        <w:pStyle w:val="2"/>
        <w:spacing w:line="298" w:lineRule="auto"/>
      </w:pPr>
    </w:p>
    <w:p w14:paraId="6E3E214D">
      <w:pPr>
        <w:pStyle w:val="2"/>
        <w:spacing w:line="298" w:lineRule="auto"/>
      </w:pPr>
    </w:p>
    <w:p w14:paraId="6DF7AFF6">
      <w:pPr>
        <w:spacing w:before="111" w:line="239" w:lineRule="auto"/>
        <w:ind w:left="6774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pacing w:val="2"/>
          <w:sz w:val="34"/>
          <w:szCs w:val="34"/>
        </w:rPr>
        <w:t>44-2.</w:t>
      </w:r>
    </w:p>
    <w:p w14:paraId="0136A920">
      <w:pPr>
        <w:spacing w:before="154" w:line="222" w:lineRule="auto"/>
        <w:ind w:left="6719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-18"/>
          <w:sz w:val="34"/>
          <w:szCs w:val="34"/>
        </w:rPr>
        <w:t>0</w:t>
      </w:r>
      <w:r>
        <w:rPr>
          <w:rFonts w:ascii="FangSong" w:hAnsi="FangSong" w:eastAsia="FangSong" w:cs="FangSong"/>
          <w:spacing w:val="-54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2</w:t>
      </w:r>
      <w:r>
        <w:rPr>
          <w:rFonts w:ascii="FangSong" w:hAnsi="FangSong" w:eastAsia="FangSong" w:cs="FangSong"/>
          <w:spacing w:val="-52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5</w:t>
      </w:r>
      <w:r>
        <w:rPr>
          <w:rFonts w:ascii="FangSong" w:hAnsi="FangSong" w:eastAsia="FangSong" w:cs="FangSong"/>
          <w:spacing w:val="-41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年</w:t>
      </w:r>
      <w:r>
        <w:rPr>
          <w:rFonts w:ascii="FangSong" w:hAnsi="FangSong" w:eastAsia="FangSong" w:cs="FangSong"/>
          <w:spacing w:val="-56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9</w:t>
      </w:r>
      <w:r>
        <w:rPr>
          <w:rFonts w:ascii="FangSong" w:hAnsi="FangSong" w:eastAsia="FangSong" w:cs="FangSong"/>
          <w:spacing w:val="-32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月</w:t>
      </w:r>
      <w:r>
        <w:rPr>
          <w:rFonts w:ascii="FangSong" w:hAnsi="FangSong" w:eastAsia="FangSong" w:cs="FangSong"/>
          <w:spacing w:val="-56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8</w:t>
      </w:r>
      <w:r>
        <w:rPr>
          <w:rFonts w:ascii="FangSong" w:hAnsi="FangSong" w:eastAsia="FangSong" w:cs="FangSong"/>
          <w:spacing w:val="24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8"/>
          <w:sz w:val="34"/>
          <w:szCs w:val="34"/>
        </w:rPr>
        <w:t>日</w:t>
      </w:r>
    </w:p>
    <w:p w14:paraId="7C441830">
      <w:pPr>
        <w:spacing w:line="222" w:lineRule="auto"/>
        <w:rPr>
          <w:rFonts w:ascii="FangSong" w:hAnsi="FangSong" w:eastAsia="FangSong" w:cs="FangSong"/>
          <w:sz w:val="34"/>
          <w:szCs w:val="34"/>
        </w:rPr>
        <w:sectPr>
          <w:footerReference r:id="rId3" w:type="default"/>
          <w:pgSz w:w="11840" w:h="16740"/>
          <w:pgMar w:top="481" w:right="962" w:bottom="902" w:left="840" w:header="0" w:footer="458" w:gutter="0"/>
        </w:sectPr>
      </w:pPr>
    </w:p>
    <w:p w14:paraId="7FE45C16">
      <w:pPr>
        <w:pStyle w:val="2"/>
        <w:spacing w:line="248" w:lineRule="auto"/>
      </w:pPr>
    </w:p>
    <w:p w14:paraId="0385F635">
      <w:pPr>
        <w:pStyle w:val="2"/>
        <w:spacing w:line="248" w:lineRule="auto"/>
      </w:pPr>
    </w:p>
    <w:p w14:paraId="7C9AA27A">
      <w:pPr>
        <w:pStyle w:val="2"/>
        <w:spacing w:line="248" w:lineRule="auto"/>
      </w:pPr>
    </w:p>
    <w:p w14:paraId="5126259A">
      <w:pPr>
        <w:pStyle w:val="2"/>
        <w:spacing w:line="249" w:lineRule="auto"/>
      </w:pPr>
    </w:p>
    <w:p w14:paraId="10351D73">
      <w:pPr>
        <w:pStyle w:val="2"/>
        <w:spacing w:line="249" w:lineRule="auto"/>
      </w:pPr>
    </w:p>
    <w:p w14:paraId="16B478C5">
      <w:pPr>
        <w:pStyle w:val="2"/>
        <w:spacing w:line="249" w:lineRule="auto"/>
      </w:pPr>
    </w:p>
    <w:p w14:paraId="237A3480">
      <w:pPr>
        <w:spacing w:before="133" w:line="219" w:lineRule="auto"/>
        <w:ind w:left="500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pacing w:val="19"/>
          <w:sz w:val="41"/>
          <w:szCs w:val="41"/>
        </w:rPr>
        <w:t>资金使用效率提升实施细则（2025年版）</w:t>
      </w:r>
    </w:p>
    <w:p w14:paraId="32D54E59">
      <w:pPr>
        <w:pStyle w:val="2"/>
        <w:spacing w:line="307" w:lineRule="auto"/>
      </w:pPr>
    </w:p>
    <w:p w14:paraId="7B72768C">
      <w:pPr>
        <w:pStyle w:val="2"/>
        <w:spacing w:line="308" w:lineRule="auto"/>
      </w:pPr>
    </w:p>
    <w:p w14:paraId="7269316D">
      <w:pPr>
        <w:spacing w:before="98" w:line="222" w:lineRule="auto"/>
        <w:ind w:left="322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23"/>
          <w:sz w:val="30"/>
          <w:szCs w:val="30"/>
        </w:rPr>
        <w:t>第</w:t>
      </w:r>
      <w:r>
        <w:rPr>
          <w:rFonts w:ascii="FangSong" w:hAnsi="FangSong" w:eastAsia="FangSong" w:cs="FangSong"/>
          <w:spacing w:val="-50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3"/>
          <w:sz w:val="30"/>
          <w:szCs w:val="30"/>
        </w:rPr>
        <w:t>一</w:t>
      </w:r>
      <w:r>
        <w:rPr>
          <w:rFonts w:ascii="FangSong" w:hAnsi="FangSong" w:eastAsia="FangSong" w:cs="FangSong"/>
          <w:spacing w:val="-5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3"/>
          <w:sz w:val="30"/>
          <w:szCs w:val="30"/>
        </w:rPr>
        <w:t>章</w:t>
      </w:r>
      <w:r>
        <w:rPr>
          <w:rFonts w:ascii="FangSong" w:hAnsi="FangSong" w:eastAsia="FangSong" w:cs="FangSong"/>
          <w:spacing w:val="15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-23"/>
          <w:sz w:val="30"/>
          <w:szCs w:val="30"/>
        </w:rPr>
        <w:t>总</w:t>
      </w:r>
      <w:r>
        <w:rPr>
          <w:rFonts w:ascii="FangSong" w:hAnsi="FangSong" w:eastAsia="FangSong" w:cs="FangSong"/>
          <w:spacing w:val="-5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3"/>
          <w:sz w:val="30"/>
          <w:szCs w:val="30"/>
        </w:rPr>
        <w:t>则</w:t>
      </w:r>
    </w:p>
    <w:p w14:paraId="1D83EF32">
      <w:pPr>
        <w:spacing w:before="247" w:line="320" w:lineRule="auto"/>
        <w:ind w:right="465" w:firstLine="50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</w:rPr>
        <w:t>第一条 为落实金融监管要求，保持信贷总量合理、节</w:t>
      </w:r>
      <w:r>
        <w:rPr>
          <w:rFonts w:ascii="FangSong" w:hAnsi="FangSong" w:eastAsia="FangSong" w:cs="FangSong"/>
          <w:spacing w:val="-1"/>
          <w:sz w:val="30"/>
          <w:szCs w:val="30"/>
        </w:rPr>
        <w:t>奏平</w:t>
      </w:r>
      <w:r>
        <w:rPr>
          <w:rFonts w:ascii="FangSong" w:hAnsi="FangSong" w:eastAsia="FangSong" w:cs="FangSong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-3"/>
          <w:sz w:val="30"/>
          <w:szCs w:val="30"/>
        </w:rPr>
        <w:t>稳，防范资金沉淀空转，促进审慎经营，根据《中国人民</w:t>
      </w:r>
      <w:r>
        <w:rPr>
          <w:rFonts w:ascii="FangSong" w:hAnsi="FangSong" w:eastAsia="FangSong" w:cs="FangSong"/>
          <w:spacing w:val="-4"/>
          <w:sz w:val="30"/>
          <w:szCs w:val="30"/>
        </w:rPr>
        <w:t>银行、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3"/>
          <w:sz w:val="30"/>
          <w:szCs w:val="30"/>
        </w:rPr>
        <w:t>金融监管总局、中国证监会、国家外汇局关于防范资金空</w:t>
      </w:r>
      <w:r>
        <w:rPr>
          <w:rFonts w:ascii="FangSong" w:hAnsi="FangSong" w:eastAsia="FangSong" w:cs="FangSong"/>
          <w:spacing w:val="-4"/>
          <w:sz w:val="30"/>
          <w:szCs w:val="30"/>
        </w:rPr>
        <w:t>转的指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6"/>
          <w:sz w:val="30"/>
          <w:szCs w:val="30"/>
        </w:rPr>
        <w:t>导意见》（银发〔2025〕15号）等有关规定，结合中国工商银行集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4"/>
          <w:sz w:val="30"/>
          <w:szCs w:val="30"/>
        </w:rPr>
        <w:t>团实际情况，特制定本实施细则。</w:t>
      </w:r>
    </w:p>
    <w:p w14:paraId="642643B4">
      <w:pPr>
        <w:spacing w:before="237" w:line="219" w:lineRule="auto"/>
        <w:ind w:left="50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2"/>
          <w:sz w:val="30"/>
          <w:szCs w:val="30"/>
        </w:rPr>
        <w:t>第二条 坚持服务实体，增强信贷增长的稳定性和可持续性。</w:t>
      </w:r>
    </w:p>
    <w:p w14:paraId="340EBF1A">
      <w:pPr>
        <w:spacing w:before="202" w:line="320" w:lineRule="auto"/>
        <w:ind w:right="21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</w:rPr>
        <w:t>各行要提高政治站位，深刻把握金融工作的政治性、人民性，保</w:t>
      </w:r>
      <w:r>
        <w:rPr>
          <w:rFonts w:ascii="FangSong" w:hAnsi="FangSong" w:eastAsia="FangSong" w:cs="FangSong"/>
          <w:spacing w:val="1"/>
          <w:sz w:val="30"/>
          <w:szCs w:val="30"/>
        </w:rPr>
        <w:t xml:space="preserve">  持信贷平稳增长、均衡投放，盘活存量金融资源，提高资金使用</w:t>
      </w:r>
      <w:r>
        <w:rPr>
          <w:rFonts w:ascii="FangSong" w:hAnsi="FangSong" w:eastAsia="FangSong" w:cs="FangSong"/>
          <w:spacing w:val="2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-5"/>
          <w:sz w:val="30"/>
          <w:szCs w:val="30"/>
        </w:rPr>
        <w:t>效率。大力挖掘和培育有效融资需求，推动资金资源向科技创新、</w:t>
      </w:r>
      <w:r>
        <w:rPr>
          <w:rFonts w:ascii="FangSong" w:hAnsi="FangSong" w:eastAsia="FangSong" w:cs="FangSong"/>
          <w:spacing w:val="1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4"/>
          <w:sz w:val="30"/>
          <w:szCs w:val="30"/>
        </w:rPr>
        <w:t>提振消费、民营小微、稳定外贸等重点领域倾斜，做好金融“五</w:t>
      </w:r>
      <w:r>
        <w:rPr>
          <w:rFonts w:ascii="FangSong" w:hAnsi="FangSong" w:eastAsia="FangSong" w:cs="FangSong"/>
          <w:spacing w:val="16"/>
          <w:sz w:val="30"/>
          <w:szCs w:val="30"/>
        </w:rPr>
        <w:t>篇</w:t>
      </w:r>
      <w:r>
        <w:rPr>
          <w:rFonts w:ascii="FangSong" w:hAnsi="FangSong" w:eastAsia="FangSong" w:cs="FangSong"/>
          <w:spacing w:val="-1"/>
          <w:sz w:val="30"/>
          <w:szCs w:val="30"/>
        </w:rPr>
        <w:t>大文章”，不断提升服务实体经济的精准性、有效性。</w:t>
      </w:r>
    </w:p>
    <w:p w14:paraId="71D81822">
      <w:pPr>
        <w:spacing w:before="262" w:line="283" w:lineRule="auto"/>
        <w:ind w:right="300" w:firstLine="50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"/>
          <w:sz w:val="30"/>
          <w:szCs w:val="30"/>
        </w:rPr>
        <w:t>第三条 本办法适用于中国工商银行总行本部、各一级分行、</w:t>
      </w:r>
      <w:r>
        <w:rPr>
          <w:rFonts w:ascii="FangSong" w:hAnsi="FangSong" w:eastAsia="FangSong" w:cs="FangSong"/>
          <w:spacing w:val="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"/>
          <w:sz w:val="30"/>
          <w:szCs w:val="30"/>
        </w:rPr>
        <w:t>直属分行。</w:t>
      </w:r>
    </w:p>
    <w:p w14:paraId="23AD073C">
      <w:pPr>
        <w:pStyle w:val="2"/>
      </w:pPr>
    </w:p>
    <w:p w14:paraId="298A01B3">
      <w:pPr>
        <w:pStyle w:val="2"/>
        <w:spacing w:line="241" w:lineRule="auto"/>
      </w:pPr>
    </w:p>
    <w:p w14:paraId="3CA268D8">
      <w:pPr>
        <w:pStyle w:val="2"/>
        <w:spacing w:line="241" w:lineRule="auto"/>
      </w:pPr>
    </w:p>
    <w:p w14:paraId="5F1A7470">
      <w:pPr>
        <w:spacing w:before="98" w:line="222" w:lineRule="auto"/>
        <w:ind w:left="296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22"/>
          <w:sz w:val="30"/>
          <w:szCs w:val="30"/>
        </w:rPr>
        <w:t>第</w:t>
      </w:r>
      <w:r>
        <w:rPr>
          <w:rFonts w:ascii="FangSong" w:hAnsi="FangSong" w:eastAsia="FangSong" w:cs="FangSong"/>
          <w:spacing w:val="-35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二</w:t>
      </w:r>
      <w:r>
        <w:rPr>
          <w:rFonts w:ascii="FangSong" w:hAnsi="FangSong" w:eastAsia="FangSong" w:cs="FangSong"/>
          <w:spacing w:val="-46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章</w:t>
      </w:r>
      <w:r>
        <w:rPr>
          <w:rFonts w:ascii="FangSong" w:hAnsi="FangSong" w:eastAsia="FangSong" w:cs="FangSong"/>
          <w:spacing w:val="16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-22"/>
          <w:sz w:val="30"/>
          <w:szCs w:val="30"/>
        </w:rPr>
        <w:t>职</w:t>
      </w:r>
      <w:r>
        <w:rPr>
          <w:rFonts w:ascii="FangSong" w:hAnsi="FangSong" w:eastAsia="FangSong" w:cs="FangSong"/>
          <w:spacing w:val="-46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责</w:t>
      </w:r>
      <w:r>
        <w:rPr>
          <w:rFonts w:ascii="FangSong" w:hAnsi="FangSong" w:eastAsia="FangSong" w:cs="FangSong"/>
          <w:spacing w:val="-4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分</w:t>
      </w:r>
      <w:r>
        <w:rPr>
          <w:rFonts w:ascii="FangSong" w:hAnsi="FangSong" w:eastAsia="FangSong" w:cs="FangSong"/>
          <w:spacing w:val="-4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工</w:t>
      </w:r>
    </w:p>
    <w:p w14:paraId="17F344C4">
      <w:pPr>
        <w:spacing w:before="231" w:line="219" w:lineRule="auto"/>
        <w:ind w:right="20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pacing w:val="-18"/>
          <w:sz w:val="24"/>
          <w:szCs w:val="24"/>
        </w:rPr>
        <w:t>第 四 条</w:t>
      </w:r>
      <w:r>
        <w:rPr>
          <w:rFonts w:ascii="FangSong" w:hAnsi="FangSong" w:eastAsia="FangSong" w:cs="FangSong"/>
          <w:spacing w:val="31"/>
          <w:sz w:val="24"/>
          <w:szCs w:val="24"/>
        </w:rPr>
        <w:t xml:space="preserve">  </w:t>
      </w:r>
      <w:r>
        <w:rPr>
          <w:rFonts w:ascii="FangSong" w:hAnsi="FangSong" w:eastAsia="FangSong" w:cs="FangSong"/>
          <w:spacing w:val="-18"/>
          <w:sz w:val="24"/>
          <w:szCs w:val="24"/>
        </w:rPr>
        <w:t>各 一 级 ( 直 属 ) 分</w:t>
      </w:r>
      <w:r>
        <w:rPr>
          <w:rFonts w:ascii="FangSong" w:hAnsi="FangSong" w:eastAsia="FangSong" w:cs="FangSong"/>
          <w:spacing w:val="-1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行</w:t>
      </w:r>
      <w:r>
        <w:rPr>
          <w:rFonts w:ascii="FangSong" w:hAnsi="FangSong" w:eastAsia="FangSong" w:cs="FangSong"/>
          <w:spacing w:val="-2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应</w:t>
      </w:r>
      <w:r>
        <w:rPr>
          <w:rFonts w:ascii="FangSong" w:hAnsi="FangSong" w:eastAsia="FangSong" w:cs="FangSong"/>
          <w:spacing w:val="-1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成</w:t>
      </w:r>
      <w:r>
        <w:rPr>
          <w:rFonts w:ascii="FangSong" w:hAnsi="FangSong" w:eastAsia="FangSong" w:cs="FangSong"/>
          <w:spacing w:val="-1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立 资</w:t>
      </w:r>
      <w:r>
        <w:rPr>
          <w:rFonts w:ascii="FangSong" w:hAnsi="FangSong" w:eastAsia="FangSong" w:cs="FangSong"/>
          <w:spacing w:val="-2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金 空 转</w:t>
      </w:r>
      <w:r>
        <w:rPr>
          <w:rFonts w:ascii="FangSong" w:hAnsi="FangSong" w:eastAsia="FangSong" w:cs="FangSong"/>
          <w:spacing w:val="-1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治</w:t>
      </w:r>
      <w:r>
        <w:rPr>
          <w:rFonts w:ascii="FangSong" w:hAnsi="FangSong" w:eastAsia="FangSong" w:cs="FangSong"/>
          <w:spacing w:val="-1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理</w:t>
      </w:r>
      <w:r>
        <w:rPr>
          <w:rFonts w:ascii="FangSong" w:hAnsi="FangSong" w:eastAsia="FangSong" w:cs="FangSong"/>
          <w:spacing w:val="-1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工</w:t>
      </w:r>
      <w:r>
        <w:rPr>
          <w:rFonts w:ascii="FangSong" w:hAnsi="FangSong" w:eastAsia="FangSong" w:cs="FangSong"/>
          <w:spacing w:val="-1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8"/>
          <w:sz w:val="24"/>
          <w:szCs w:val="24"/>
        </w:rPr>
        <w:t>作</w:t>
      </w:r>
      <w:r>
        <w:rPr>
          <w:rFonts w:ascii="FangSong" w:hAnsi="FangSong" w:eastAsia="FangSong" w:cs="FangSong"/>
          <w:spacing w:val="-2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9"/>
          <w:sz w:val="24"/>
          <w:szCs w:val="24"/>
        </w:rPr>
        <w:t>小</w:t>
      </w:r>
      <w:r>
        <w:rPr>
          <w:rFonts w:ascii="FangSong" w:hAnsi="FangSong" w:eastAsia="FangSong" w:cs="FangSong"/>
          <w:spacing w:val="-20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9"/>
          <w:sz w:val="24"/>
          <w:szCs w:val="24"/>
        </w:rPr>
        <w:t>组</w:t>
      </w:r>
      <w:r>
        <w:rPr>
          <w:rFonts w:ascii="FangSong" w:hAnsi="FangSong" w:eastAsia="FangSong" w:cs="FangSong"/>
          <w:spacing w:val="-3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9"/>
          <w:sz w:val="24"/>
          <w:szCs w:val="24"/>
        </w:rPr>
        <w:t>，</w:t>
      </w:r>
    </w:p>
    <w:p w14:paraId="7FDC651C">
      <w:pPr>
        <w:pStyle w:val="2"/>
        <w:spacing w:line="331" w:lineRule="auto"/>
      </w:pPr>
    </w:p>
    <w:p w14:paraId="19C77597">
      <w:pPr>
        <w:spacing w:before="99" w:line="224" w:lineRule="auto"/>
        <w:ind w:left="6620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pacing w:val="-8"/>
          <w:sz w:val="30"/>
          <w:szCs w:val="30"/>
        </w:rPr>
        <w:t>组</w:t>
      </w:r>
      <w:r>
        <w:rPr>
          <w:rFonts w:ascii="SimSun" w:hAnsi="SimSun" w:eastAsia="SimSun" w:cs="SimSun"/>
          <w:spacing w:val="14"/>
          <w:sz w:val="30"/>
          <w:szCs w:val="30"/>
        </w:rPr>
        <w:t xml:space="preserve">  </w:t>
      </w:r>
      <w:r>
        <w:rPr>
          <w:rFonts w:ascii="SimSun" w:hAnsi="SimSun" w:eastAsia="SimSun" w:cs="SimSun"/>
          <w:spacing w:val="-8"/>
          <w:sz w:val="30"/>
          <w:szCs w:val="30"/>
        </w:rPr>
        <w:t>织</w:t>
      </w:r>
    </w:p>
    <w:p w14:paraId="14974ED3">
      <w:pPr>
        <w:spacing w:before="3" w:line="244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pacing w:val="-20"/>
          <w:sz w:val="24"/>
          <w:szCs w:val="24"/>
        </w:rPr>
        <w:t>由 分</w:t>
      </w:r>
      <w:r>
        <w:rPr>
          <w:rFonts w:ascii="FangSong" w:hAnsi="FangSong" w:eastAsia="FangSong" w:cs="FangSong"/>
          <w:spacing w:val="-24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行</w:t>
      </w:r>
      <w:r>
        <w:rPr>
          <w:rFonts w:ascii="FangSong" w:hAnsi="FangSong" w:eastAsia="FangSong" w:cs="FangSong"/>
          <w:spacing w:val="-24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行</w:t>
      </w:r>
      <w:r>
        <w:rPr>
          <w:rFonts w:ascii="FangSong" w:hAnsi="FangSong" w:eastAsia="FangSong" w:cs="FangSong"/>
          <w:spacing w:val="-2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长</w:t>
      </w:r>
      <w:r>
        <w:rPr>
          <w:rFonts w:ascii="FangSong" w:hAnsi="FangSong" w:eastAsia="FangSong" w:cs="FangSong"/>
          <w:spacing w:val="-24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担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任</w:t>
      </w:r>
      <w:r>
        <w:rPr>
          <w:rFonts w:ascii="FangSong" w:hAnsi="FangSong" w:eastAsia="FangSong" w:cs="FangSong"/>
          <w:spacing w:val="-2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组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长 ， 分 管</w:t>
      </w:r>
      <w:r>
        <w:rPr>
          <w:rFonts w:ascii="FangSong" w:hAnsi="FangSong" w:eastAsia="FangSong" w:cs="FangSong"/>
          <w:spacing w:val="-2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公 司</w:t>
      </w:r>
      <w:r>
        <w:rPr>
          <w:rFonts w:ascii="FangSong" w:hAnsi="FangSong" w:eastAsia="FangSong" w:cs="FangSong"/>
          <w:spacing w:val="-2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业</w:t>
      </w:r>
      <w:r>
        <w:rPr>
          <w:rFonts w:ascii="FangSong" w:hAnsi="FangSong" w:eastAsia="FangSong" w:cs="FangSong"/>
          <w:spacing w:val="-1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务</w:t>
      </w:r>
      <w:r>
        <w:rPr>
          <w:rFonts w:ascii="FangSong" w:hAnsi="FangSong" w:eastAsia="FangSong" w:cs="FangSong"/>
          <w:spacing w:val="-1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副</w:t>
      </w:r>
      <w:r>
        <w:rPr>
          <w:rFonts w:ascii="FangSong" w:hAnsi="FangSong" w:eastAsia="FangSong" w:cs="FangSong"/>
          <w:spacing w:val="-2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行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长</w:t>
      </w:r>
      <w:r>
        <w:rPr>
          <w:rFonts w:ascii="FangSong" w:hAnsi="FangSong" w:eastAsia="FangSong" w:cs="FangSong"/>
          <w:spacing w:val="-1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 xml:space="preserve">为 </w:t>
      </w:r>
      <w:r>
        <w:rPr>
          <w:rFonts w:ascii="FangSong" w:hAnsi="FangSong" w:eastAsia="FangSong" w:cs="FangSong"/>
          <w:spacing w:val="-21"/>
          <w:sz w:val="24"/>
          <w:szCs w:val="24"/>
        </w:rPr>
        <w:t>副</w:t>
      </w:r>
      <w:r>
        <w:rPr>
          <w:rFonts w:ascii="FangSong" w:hAnsi="FangSong" w:eastAsia="FangSong" w:cs="FangSong"/>
          <w:spacing w:val="-2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1"/>
          <w:sz w:val="24"/>
          <w:szCs w:val="24"/>
        </w:rPr>
        <w:t>组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1"/>
          <w:sz w:val="24"/>
          <w:szCs w:val="24"/>
        </w:rPr>
        <w:t>长 ，</w:t>
      </w:r>
      <w:r>
        <w:rPr>
          <w:rFonts w:ascii="FangSong" w:hAnsi="FangSong" w:eastAsia="FangSong" w:cs="FangSong"/>
          <w:spacing w:val="-24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1"/>
          <w:sz w:val="24"/>
          <w:szCs w:val="24"/>
        </w:rPr>
        <w:t>相 关</w:t>
      </w:r>
      <w:r>
        <w:rPr>
          <w:rFonts w:ascii="FangSong" w:hAnsi="FangSong" w:eastAsia="FangSong" w:cs="FangSong"/>
          <w:spacing w:val="-2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1"/>
          <w:sz w:val="24"/>
          <w:szCs w:val="24"/>
        </w:rPr>
        <w:t>部 门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为</w:t>
      </w:r>
      <w:r>
        <w:rPr>
          <w:rFonts w:ascii="FangSong" w:hAnsi="FangSong" w:eastAsia="FangSong" w:cs="FangSong"/>
          <w:spacing w:val="-25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组 员 ，</w:t>
      </w:r>
      <w:r>
        <w:rPr>
          <w:rFonts w:ascii="FangSong" w:hAnsi="FangSong" w:eastAsia="FangSong" w:cs="FangSong"/>
          <w:spacing w:val="-30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在 工</w:t>
      </w:r>
      <w:r>
        <w:rPr>
          <w:rFonts w:ascii="FangSong" w:hAnsi="FangSong" w:eastAsia="FangSong" w:cs="FangSong"/>
          <w:spacing w:val="-28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作</w:t>
      </w:r>
      <w:r>
        <w:rPr>
          <w:rFonts w:ascii="FangSong" w:hAnsi="FangSong" w:eastAsia="FangSong" w:cs="FangSong"/>
          <w:spacing w:val="-32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小</w:t>
      </w:r>
      <w:r>
        <w:rPr>
          <w:rFonts w:ascii="FangSong" w:hAnsi="FangSong" w:eastAsia="FangSong" w:cs="FangSong"/>
          <w:spacing w:val="-3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组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统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筹</w:t>
      </w:r>
      <w:r>
        <w:rPr>
          <w:rFonts w:ascii="FangSong" w:hAnsi="FangSong" w:eastAsia="FangSong" w:cs="FangSong"/>
          <w:spacing w:val="-30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推</w:t>
      </w:r>
      <w:r>
        <w:rPr>
          <w:rFonts w:ascii="FangSong" w:hAnsi="FangSong" w:eastAsia="FangSong" w:cs="FangSong"/>
          <w:spacing w:val="-2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动</w:t>
      </w:r>
      <w:r>
        <w:rPr>
          <w:rFonts w:ascii="FangSong" w:hAnsi="FangSong" w:eastAsia="FangSong" w:cs="FangSong"/>
          <w:spacing w:val="-2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下 ，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全</w:t>
      </w:r>
      <w:r>
        <w:rPr>
          <w:rFonts w:ascii="FangSong" w:hAnsi="FangSong" w:eastAsia="FangSong" w:cs="FangSong"/>
          <w:spacing w:val="-2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面</w:t>
      </w:r>
      <w:r>
        <w:rPr>
          <w:rFonts w:ascii="FangSong" w:hAnsi="FangSong" w:eastAsia="FangSong" w:cs="FangSong"/>
          <w:spacing w:val="-3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开</w:t>
      </w:r>
      <w:r>
        <w:rPr>
          <w:rFonts w:ascii="FangSong" w:hAnsi="FangSong" w:eastAsia="FangSong" w:cs="FangSong"/>
          <w:spacing w:val="-31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展</w:t>
      </w:r>
      <w:r>
        <w:rPr>
          <w:rFonts w:ascii="FangSong" w:hAnsi="FangSong" w:eastAsia="FangSong" w:cs="FangSong"/>
          <w:spacing w:val="-2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分</w:t>
      </w:r>
      <w:r>
        <w:rPr>
          <w:rFonts w:ascii="FangSong" w:hAnsi="FangSong" w:eastAsia="FangSong" w:cs="FangSong"/>
          <w:spacing w:val="-18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管</w:t>
      </w:r>
      <w:r>
        <w:rPr>
          <w:rFonts w:ascii="FangSong" w:hAnsi="FangSong" w:eastAsia="FangSong" w:cs="FangSong"/>
          <w:spacing w:val="-32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领</w:t>
      </w:r>
      <w:r>
        <w:rPr>
          <w:rFonts w:ascii="FangSong" w:hAnsi="FangSong" w:eastAsia="FangSong" w:cs="FangSong"/>
          <w:spacing w:val="-33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域</w:t>
      </w:r>
      <w:r>
        <w:rPr>
          <w:rFonts w:ascii="FangSong" w:hAnsi="FangSong" w:eastAsia="FangSong" w:cs="FangSong"/>
          <w:spacing w:val="-2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治</w:t>
      </w:r>
      <w:r>
        <w:rPr>
          <w:rFonts w:ascii="FangSong" w:hAnsi="FangSong" w:eastAsia="FangSong" w:cs="FangSong"/>
          <w:spacing w:val="-30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理</w:t>
      </w:r>
      <w:r>
        <w:rPr>
          <w:rFonts w:ascii="FangSong" w:hAnsi="FangSong" w:eastAsia="FangSong" w:cs="FangSong"/>
          <w:spacing w:val="-26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工</w:t>
      </w:r>
      <w:r>
        <w:rPr>
          <w:rFonts w:ascii="FangSong" w:hAnsi="FangSong" w:eastAsia="FangSong" w:cs="FangSong"/>
          <w:spacing w:val="-28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作</w:t>
      </w:r>
      <w:r>
        <w:rPr>
          <w:rFonts w:ascii="FangSong" w:hAnsi="FangSong" w:eastAsia="FangSong" w:cs="FangSong"/>
          <w:spacing w:val="-47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20"/>
          <w:sz w:val="24"/>
          <w:szCs w:val="24"/>
        </w:rPr>
        <w:t>。</w:t>
      </w:r>
    </w:p>
    <w:p w14:paraId="4C6972F1">
      <w:pPr>
        <w:spacing w:line="244" w:lineRule="auto"/>
        <w:rPr>
          <w:rFonts w:ascii="FangSong" w:hAnsi="FangSong" w:eastAsia="FangSong" w:cs="FangSong"/>
          <w:sz w:val="24"/>
          <w:szCs w:val="24"/>
        </w:rPr>
        <w:sectPr>
          <w:footerReference r:id="rId4" w:type="default"/>
          <w:pgSz w:w="11840" w:h="16740"/>
          <w:pgMar w:top="1422" w:right="1569" w:bottom="757" w:left="1489" w:header="0" w:footer="366" w:gutter="0"/>
        </w:sectPr>
      </w:pPr>
    </w:p>
    <w:p w14:paraId="6AD1FEEB">
      <w:pPr>
        <w:pStyle w:val="2"/>
        <w:spacing w:line="260" w:lineRule="auto"/>
      </w:pPr>
    </w:p>
    <w:p w14:paraId="5FA7D843">
      <w:pPr>
        <w:pStyle w:val="2"/>
        <w:spacing w:line="261" w:lineRule="auto"/>
      </w:pPr>
    </w:p>
    <w:p w14:paraId="51D4EDE1">
      <w:pPr>
        <w:pStyle w:val="2"/>
        <w:spacing w:line="261" w:lineRule="auto"/>
      </w:pPr>
    </w:p>
    <w:p w14:paraId="0B230AC5">
      <w:pPr>
        <w:pStyle w:val="2"/>
        <w:spacing w:line="261" w:lineRule="auto"/>
      </w:pPr>
    </w:p>
    <w:p w14:paraId="4BB78C95">
      <w:pPr>
        <w:pStyle w:val="2"/>
        <w:spacing w:line="261" w:lineRule="auto"/>
      </w:pPr>
    </w:p>
    <w:p w14:paraId="23862A78">
      <w:pPr>
        <w:spacing w:before="101" w:line="338" w:lineRule="auto"/>
        <w:ind w:right="593" w:firstLine="679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8"/>
          <w:sz w:val="31"/>
          <w:szCs w:val="31"/>
        </w:rPr>
        <w:t>第五条</w:t>
      </w:r>
      <w:r>
        <w:rPr>
          <w:rFonts w:ascii="FangSong" w:hAnsi="FangSong" w:eastAsia="FangSong" w:cs="FangSong"/>
          <w:spacing w:val="7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8"/>
          <w:sz w:val="31"/>
          <w:szCs w:val="31"/>
        </w:rPr>
        <w:t>各一级（直属）分行前台部门负责强化业务合规准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"/>
          <w:sz w:val="31"/>
          <w:szCs w:val="31"/>
        </w:rPr>
        <w:t>入，落实尽职调查、存续期等环节管理要求，涉及国际业务的，</w:t>
      </w:r>
    </w:p>
    <w:p w14:paraId="16F111BD">
      <w:pPr>
        <w:spacing w:before="5" w:line="346" w:lineRule="auto"/>
        <w:ind w:right="525"/>
        <w:jc w:val="both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pacing w:val="5"/>
          <w:sz w:val="31"/>
          <w:szCs w:val="31"/>
        </w:rPr>
        <w:t>做好单证技术性审查相关工作；中后台部门在政策制度、系</w:t>
      </w:r>
      <w:r>
        <w:rPr>
          <w:rFonts w:ascii="FangSong" w:hAnsi="FangSong" w:eastAsia="FangSong" w:cs="FangSong"/>
          <w:spacing w:val="4"/>
          <w:sz w:val="31"/>
          <w:szCs w:val="31"/>
        </w:rPr>
        <w:t>统控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5"/>
          <w:sz w:val="31"/>
          <w:szCs w:val="31"/>
        </w:rPr>
        <w:t>制、存续期统筹管理、业务监测检查等方面</w:t>
      </w:r>
      <w:r>
        <w:rPr>
          <w:rFonts w:ascii="FangSong" w:hAnsi="FangSong" w:eastAsia="FangSong" w:cs="FangSong"/>
          <w:spacing w:val="4"/>
          <w:sz w:val="31"/>
          <w:szCs w:val="31"/>
        </w:rPr>
        <w:t>加强管控。各部门应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2"/>
          <w:sz w:val="32"/>
          <w:szCs w:val="32"/>
        </w:rPr>
        <w:t>压实责任。强化信贷业务风险联防联控，深化信贷业务全流程合</w:t>
      </w:r>
      <w:r>
        <w:rPr>
          <w:rFonts w:ascii="FangSong" w:hAnsi="FangSong" w:eastAsia="FangSong" w:cs="FangSong"/>
          <w:spacing w:val="10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27"/>
          <w:sz w:val="27"/>
          <w:szCs w:val="27"/>
        </w:rPr>
        <w:t>规履职</w:t>
      </w:r>
      <w:r>
        <w:rPr>
          <w:rFonts w:ascii="FangSong" w:hAnsi="FangSong" w:eastAsia="FangSong" w:cs="FangSong"/>
          <w:spacing w:val="-73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27"/>
          <w:sz w:val="27"/>
          <w:szCs w:val="27"/>
        </w:rPr>
        <w:t>。</w:t>
      </w:r>
    </w:p>
    <w:p w14:paraId="2031758F">
      <w:pPr>
        <w:pStyle w:val="2"/>
        <w:spacing w:line="260" w:lineRule="auto"/>
      </w:pPr>
    </w:p>
    <w:p w14:paraId="6CDB6309">
      <w:pPr>
        <w:pStyle w:val="2"/>
        <w:spacing w:line="260" w:lineRule="auto"/>
      </w:pPr>
    </w:p>
    <w:p w14:paraId="1A44F213">
      <w:pPr>
        <w:pStyle w:val="2"/>
        <w:spacing w:line="261" w:lineRule="auto"/>
      </w:pPr>
    </w:p>
    <w:p w14:paraId="54B6B30F">
      <w:pPr>
        <w:spacing w:before="117" w:line="219" w:lineRule="auto"/>
        <w:ind w:left="2529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6"/>
          <w:sz w:val="36"/>
          <w:szCs w:val="36"/>
        </w:rPr>
        <w:t>第三章</w:t>
      </w:r>
      <w:r>
        <w:rPr>
          <w:rFonts w:ascii="FangSong" w:hAnsi="FangSong" w:eastAsia="FangSong" w:cs="FangSong"/>
          <w:spacing w:val="71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6"/>
          <w:sz w:val="36"/>
          <w:szCs w:val="36"/>
        </w:rPr>
        <w:t>存贷款业务考核</w:t>
      </w:r>
    </w:p>
    <w:p w14:paraId="1F762AE9">
      <w:pPr>
        <w:spacing w:before="233" w:line="312" w:lineRule="auto"/>
        <w:ind w:right="378" w:firstLine="6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2"/>
          <w:szCs w:val="32"/>
        </w:rPr>
        <w:t>第六条 摒弃“规模情节”和“时点冲动”，严格落实监管要</w:t>
      </w:r>
      <w:r>
        <w:rPr>
          <w:rFonts w:ascii="FangSong" w:hAnsi="FangSong" w:eastAsia="FangSong" w:cs="FangSong"/>
          <w:spacing w:val="14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t>求，突出有效资产、有效负债考核，树牢日均和量价协同考核导</w:t>
      </w:r>
      <w:r>
        <w:rPr>
          <w:rFonts w:ascii="FangSong" w:hAnsi="FangSong" w:eastAsia="FangSong" w:cs="FangSong"/>
          <w:spacing w:val="12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"/>
          <w:sz w:val="32"/>
          <w:szCs w:val="32"/>
        </w:rPr>
        <w:t>向，完善存款偏离度、存款回撤率、贷款均衡</w:t>
      </w:r>
      <w:r>
        <w:rPr>
          <w:rFonts w:ascii="FangSong" w:hAnsi="FangSong" w:eastAsia="FangSong" w:cs="FangSong"/>
          <w:sz w:val="32"/>
          <w:szCs w:val="32"/>
        </w:rPr>
        <w:t xml:space="preserve">度指标设置，推动 </w:t>
      </w:r>
      <w:r>
        <w:rPr>
          <w:rFonts w:ascii="FangSong" w:hAnsi="FangSong" w:eastAsia="FangSong" w:cs="FangSong"/>
          <w:spacing w:val="5"/>
          <w:sz w:val="31"/>
          <w:szCs w:val="31"/>
        </w:rPr>
        <w:t>存款稳健增长，促进贷款均衡投放。</w:t>
      </w:r>
    </w:p>
    <w:p w14:paraId="3D2293D3">
      <w:pPr>
        <w:spacing w:before="214" w:line="310" w:lineRule="auto"/>
        <w:ind w:right="327" w:firstLine="67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3"/>
          <w:sz w:val="32"/>
          <w:szCs w:val="32"/>
        </w:rPr>
        <w:t>第七条</w:t>
      </w:r>
      <w:r>
        <w:rPr>
          <w:rFonts w:ascii="FangSong" w:hAnsi="FangSong" w:eastAsia="FangSong" w:cs="FangSong"/>
          <w:spacing w:val="60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3"/>
          <w:sz w:val="32"/>
          <w:szCs w:val="32"/>
        </w:rPr>
        <w:t>加强对资金使用效率的正向激励，对连续6个月存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3"/>
          <w:sz w:val="32"/>
          <w:szCs w:val="32"/>
        </w:rPr>
        <w:t>款无回撤的分行，以及存款日均增长、存款付息率均排名系统内</w:t>
      </w:r>
      <w:r>
        <w:rPr>
          <w:rFonts w:ascii="FangSong" w:hAnsi="FangSong" w:eastAsia="FangSong" w:cs="FangSong"/>
          <w:spacing w:val="16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5"/>
          <w:sz w:val="30"/>
          <w:szCs w:val="30"/>
        </w:rPr>
        <w:t>前列的分行给予考核加分。</w:t>
      </w:r>
    </w:p>
    <w:p w14:paraId="58EAF62D">
      <w:pPr>
        <w:spacing w:before="238" w:line="289" w:lineRule="auto"/>
        <w:ind w:firstLine="679"/>
        <w:rPr>
          <w:rFonts w:ascii="FangSong" w:hAnsi="FangSong" w:eastAsia="FangSong" w:cs="FangSong"/>
          <w:sz w:val="31"/>
          <w:szCs w:val="3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864870</wp:posOffset>
            </wp:positionV>
            <wp:extent cx="146050" cy="2857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082" cy="2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pacing w:val="9"/>
          <w:sz w:val="32"/>
          <w:szCs w:val="32"/>
        </w:rPr>
        <w:t>第八条</w:t>
      </w:r>
      <w:r>
        <w:rPr>
          <w:rFonts w:ascii="FangSong" w:hAnsi="FangSong" w:eastAsia="FangSong" w:cs="FangSong"/>
          <w:spacing w:val="54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9"/>
          <w:sz w:val="32"/>
          <w:szCs w:val="32"/>
        </w:rPr>
        <w:t>不得设立时点性存款规模考评指标，不得</w:t>
      </w:r>
      <w:r>
        <w:rPr>
          <w:rFonts w:ascii="FangSong" w:hAnsi="FangSong" w:eastAsia="FangSong" w:cs="FangSong"/>
          <w:spacing w:val="8"/>
          <w:sz w:val="32"/>
          <w:szCs w:val="32"/>
        </w:rPr>
        <w:t>设定以存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pacing w:val="14"/>
          <w:sz w:val="31"/>
          <w:szCs w:val="31"/>
        </w:rPr>
        <w:t>款市场份额、排名或同业比较为要求的考评指标，杜绝“</w:t>
      </w:r>
      <w:r>
        <w:rPr>
          <w:rFonts w:ascii="FangSong" w:hAnsi="FangSong" w:eastAsia="FangSong" w:cs="FangSong"/>
          <w:spacing w:val="13"/>
          <w:sz w:val="31"/>
          <w:szCs w:val="31"/>
        </w:rPr>
        <w:t>冲时点”</w:t>
      </w:r>
    </w:p>
    <w:p w14:paraId="569223EC">
      <w:pPr>
        <w:spacing w:before="265" w:line="22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pacing w:val="-16"/>
          <w:sz w:val="27"/>
          <w:szCs w:val="27"/>
        </w:rPr>
        <w:t>行</w:t>
      </w:r>
      <w:r>
        <w:rPr>
          <w:rFonts w:ascii="FangSong" w:hAnsi="FangSong" w:eastAsia="FangSong" w:cs="FangSong"/>
          <w:spacing w:val="-22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6"/>
          <w:sz w:val="27"/>
          <w:szCs w:val="27"/>
        </w:rPr>
        <w:t>为</w:t>
      </w:r>
      <w:r>
        <w:rPr>
          <w:rFonts w:ascii="FangSong" w:hAnsi="FangSong" w:eastAsia="FangSong" w:cs="FangSong"/>
          <w:spacing w:val="-50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6"/>
          <w:sz w:val="27"/>
          <w:szCs w:val="27"/>
        </w:rPr>
        <w:t>。</w:t>
      </w:r>
    </w:p>
    <w:p w14:paraId="754F86A3">
      <w:pPr>
        <w:spacing w:before="277" w:line="362" w:lineRule="auto"/>
        <w:ind w:right="224" w:firstLine="67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2"/>
          <w:sz w:val="32"/>
          <w:szCs w:val="32"/>
        </w:rPr>
        <w:t>第九条针对虚增存贷款、数据“注*”“拼凑”等数据不实</w:t>
      </w:r>
      <w:r>
        <w:rPr>
          <w:rFonts w:ascii="FangSong" w:hAnsi="FangSong" w:eastAsia="FangSong" w:cs="FangSong"/>
          <w:spacing w:val="15"/>
          <w:sz w:val="32"/>
          <w:szCs w:val="32"/>
        </w:rPr>
        <w:t xml:space="preserve"> </w:t>
      </w:r>
      <w:r>
        <w:rPr>
          <w:rFonts w:ascii="FangSong" w:hAnsi="FangSong" w:eastAsia="FangSong" w:cs="FangSong"/>
          <w:spacing w:val="10"/>
          <w:sz w:val="31"/>
          <w:szCs w:val="31"/>
        </w:rPr>
        <w:t>的情形，加大考核惩罚力度。</w:t>
      </w:r>
    </w:p>
    <w:p w14:paraId="47D2E8FF">
      <w:pPr>
        <w:spacing w:line="362" w:lineRule="auto"/>
        <w:rPr>
          <w:rFonts w:ascii="FangSong" w:hAnsi="FangSong" w:eastAsia="FangSong" w:cs="FangSong"/>
          <w:sz w:val="31"/>
          <w:szCs w:val="31"/>
        </w:rPr>
        <w:sectPr>
          <w:footerReference r:id="rId5" w:type="default"/>
          <w:pgSz w:w="11840" w:h="16740"/>
          <w:pgMar w:top="1422" w:right="1396" w:bottom="850" w:left="1049" w:header="0" w:footer="396" w:gutter="0"/>
        </w:sectPr>
      </w:pPr>
    </w:p>
    <w:p w14:paraId="2A69A375">
      <w:pPr>
        <w:spacing w:before="80" w:line="222" w:lineRule="auto"/>
        <w:ind w:left="3260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pacing w:val="16"/>
          <w:sz w:val="39"/>
          <w:szCs w:val="39"/>
        </w:rPr>
        <w:t>第四章</w:t>
      </w:r>
      <w:r>
        <w:rPr>
          <w:rFonts w:ascii="FangSong" w:hAnsi="FangSong" w:eastAsia="FangSong" w:cs="FangSong"/>
          <w:spacing w:val="94"/>
          <w:sz w:val="39"/>
          <w:szCs w:val="39"/>
        </w:rPr>
        <w:t xml:space="preserve"> </w:t>
      </w:r>
      <w:r>
        <w:rPr>
          <w:rFonts w:ascii="FangSong" w:hAnsi="FangSong" w:eastAsia="FangSong" w:cs="FangSong"/>
          <w:spacing w:val="16"/>
          <w:sz w:val="39"/>
          <w:szCs w:val="39"/>
        </w:rPr>
        <w:t>业务合规管理</w:t>
      </w:r>
    </w:p>
    <w:p w14:paraId="7B9BD034">
      <w:pPr>
        <w:spacing w:before="279" w:line="343" w:lineRule="auto"/>
        <w:ind w:left="110" w:right="178" w:firstLine="839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pacing w:val="-1"/>
          <w:sz w:val="36"/>
          <w:szCs w:val="36"/>
        </w:rPr>
        <w:t>第十条 禁止资金空转套利，针对资金使用效率问题，履行</w:t>
      </w:r>
      <w:r>
        <w:rPr>
          <w:rFonts w:ascii="FangSong" w:hAnsi="FangSong" w:eastAsia="FangSong" w:cs="FangSong"/>
          <w:spacing w:val="10"/>
          <w:sz w:val="36"/>
          <w:szCs w:val="36"/>
        </w:rPr>
        <w:t xml:space="preserve"> </w:t>
      </w:r>
      <w:r>
        <w:rPr>
          <w:rFonts w:ascii="FangSong" w:hAnsi="FangSong" w:eastAsia="FangSong" w:cs="FangSong"/>
          <w:sz w:val="34"/>
          <w:szCs w:val="34"/>
        </w:rPr>
        <w:t xml:space="preserve">好贷款“三查”、受托支付、实贷实付等职责，确保贷款资金使用 </w:t>
      </w:r>
      <w:r>
        <w:rPr>
          <w:rFonts w:ascii="FangSong" w:hAnsi="FangSong" w:eastAsia="FangSong" w:cs="FangSong"/>
          <w:spacing w:val="1"/>
          <w:sz w:val="35"/>
          <w:szCs w:val="35"/>
        </w:rPr>
        <w:t>符合合同约定。不得向无融资需求的企业发放贷款，不得办</w:t>
      </w:r>
      <w:r>
        <w:rPr>
          <w:rFonts w:ascii="FangSong" w:hAnsi="FangSong" w:eastAsia="FangSong" w:cs="FangSong"/>
          <w:sz w:val="35"/>
          <w:szCs w:val="35"/>
        </w:rPr>
        <w:t xml:space="preserve">理任  </w:t>
      </w:r>
      <w:r>
        <w:rPr>
          <w:rFonts w:ascii="FangSong" w:hAnsi="FangSong" w:eastAsia="FangSong" w:cs="FangSong"/>
          <w:spacing w:val="2"/>
          <w:sz w:val="35"/>
          <w:szCs w:val="35"/>
        </w:rPr>
        <w:t>何形式的套利业务。不得向无融资需求的企业发放贷款，不得办</w:t>
      </w:r>
      <w:r>
        <w:rPr>
          <w:rFonts w:ascii="FangSong" w:hAnsi="FangSong" w:eastAsia="FangSong" w:cs="FangSong"/>
          <w:spacing w:val="7"/>
          <w:sz w:val="35"/>
          <w:szCs w:val="35"/>
        </w:rPr>
        <w:t xml:space="preserve"> </w:t>
      </w:r>
      <w:r>
        <w:rPr>
          <w:rFonts w:ascii="FangSong" w:hAnsi="FangSong" w:eastAsia="FangSong" w:cs="FangSong"/>
          <w:spacing w:val="5"/>
          <w:sz w:val="34"/>
          <w:szCs w:val="34"/>
        </w:rPr>
        <w:t>理任何形式的套利业务。不得办理“先存后贷”（</w:t>
      </w:r>
      <w:r>
        <w:rPr>
          <w:rFonts w:ascii="FangSong" w:hAnsi="FangSong" w:eastAsia="FangSong" w:cs="FangSong"/>
          <w:spacing w:val="4"/>
          <w:sz w:val="34"/>
          <w:szCs w:val="34"/>
        </w:rPr>
        <w:t>法人存单质押贷</w:t>
      </w:r>
      <w:r>
        <w:rPr>
          <w:rFonts w:ascii="FangSong" w:hAnsi="FangSong" w:eastAsia="FangSong" w:cs="FangSong"/>
          <w:sz w:val="34"/>
          <w:szCs w:val="34"/>
        </w:rPr>
        <w:t xml:space="preserve">  </w:t>
      </w:r>
      <w:r>
        <w:rPr>
          <w:rFonts w:ascii="FangSong" w:hAnsi="FangSong" w:eastAsia="FangSong" w:cs="FangSong"/>
          <w:spacing w:val="1"/>
          <w:sz w:val="35"/>
          <w:szCs w:val="35"/>
        </w:rPr>
        <w:t>款存贷间隔30天内）、“先存后贷再存”（存贷间隔7天内）、即</w:t>
      </w:r>
      <w:r>
        <w:rPr>
          <w:rFonts w:ascii="FangSong" w:hAnsi="FangSong" w:eastAsia="FangSong" w:cs="FangSong"/>
          <w:spacing w:val="2"/>
          <w:sz w:val="35"/>
          <w:szCs w:val="35"/>
        </w:rPr>
        <w:t xml:space="preserve">  </w:t>
      </w:r>
      <w:r>
        <w:rPr>
          <w:rFonts w:ascii="FangSong" w:hAnsi="FangSong" w:eastAsia="FangSong" w:cs="FangSong"/>
          <w:spacing w:val="34"/>
          <w:sz w:val="35"/>
          <w:szCs w:val="35"/>
        </w:rPr>
        <w:t>贷即存贷款后10日内即购买额度相近的</w:t>
      </w:r>
      <w:r>
        <w:rPr>
          <w:rFonts w:ascii="FangSong" w:hAnsi="FangSong" w:eastAsia="FangSong" w:cs="FangSong"/>
          <w:spacing w:val="33"/>
          <w:sz w:val="35"/>
          <w:szCs w:val="35"/>
        </w:rPr>
        <w:t>定期存单及理财产</w:t>
      </w:r>
      <w:r>
        <w:rPr>
          <w:rFonts w:ascii="FangSong" w:hAnsi="FangSong" w:eastAsia="FangSong" w:cs="FangSong"/>
          <w:sz w:val="35"/>
          <w:szCs w:val="35"/>
        </w:rPr>
        <w:t xml:space="preserve">  品，等业务。总行对先存后贷、即贷即存、未用即还、资金滞留</w:t>
      </w:r>
      <w:r>
        <w:rPr>
          <w:rFonts w:ascii="FangSong" w:hAnsi="FangSong" w:eastAsia="FangSong" w:cs="FangSong"/>
          <w:spacing w:val="6"/>
          <w:sz w:val="35"/>
          <w:szCs w:val="35"/>
        </w:rPr>
        <w:t xml:space="preserve">  </w:t>
      </w:r>
      <w:r>
        <w:rPr>
          <w:rFonts w:ascii="FangSong" w:hAnsi="FangSong" w:eastAsia="FangSong" w:cs="FangSong"/>
          <w:spacing w:val="18"/>
          <w:sz w:val="33"/>
          <w:szCs w:val="33"/>
        </w:rPr>
        <w:t>等情形实施监测预警。</w:t>
      </w:r>
    </w:p>
    <w:p w14:paraId="00133EAF">
      <w:pPr>
        <w:spacing w:before="277" w:line="316" w:lineRule="auto"/>
        <w:ind w:left="110" w:right="138" w:firstLine="839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pacing w:val="1"/>
          <w:sz w:val="36"/>
          <w:szCs w:val="36"/>
        </w:rPr>
        <w:t>第十一条 针对中央巡视、审计、监管检查等指出的</w:t>
      </w:r>
      <w:r>
        <w:rPr>
          <w:rFonts w:ascii="FangSong" w:hAnsi="FangSong" w:eastAsia="FangSong" w:cs="FangSong"/>
          <w:sz w:val="36"/>
          <w:szCs w:val="36"/>
        </w:rPr>
        <w:t xml:space="preserve">资金用 </w:t>
      </w:r>
      <w:r>
        <w:rPr>
          <w:rFonts w:ascii="FangSong" w:hAnsi="FangSong" w:eastAsia="FangSong" w:cs="FangSong"/>
          <w:spacing w:val="-3"/>
          <w:sz w:val="36"/>
          <w:szCs w:val="36"/>
        </w:rPr>
        <w:t>途及支付管理、业务合规管理、中收业务收费等方面问题，各行</w:t>
      </w:r>
      <w:r>
        <w:rPr>
          <w:rFonts w:ascii="FangSong" w:hAnsi="FangSong" w:eastAsia="FangSong" w:cs="FangSong"/>
          <w:spacing w:val="8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-3"/>
          <w:sz w:val="36"/>
          <w:szCs w:val="36"/>
        </w:rPr>
        <w:t>要坚持“当下改”与“长久立”相结合，对同质同类问题及时整</w:t>
      </w:r>
      <w:r>
        <w:rPr>
          <w:rFonts w:ascii="FangSong" w:hAnsi="FangSong" w:eastAsia="FangSong" w:cs="FangSong"/>
          <w:spacing w:val="8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5"/>
          <w:sz w:val="35"/>
          <w:szCs w:val="35"/>
        </w:rPr>
        <w:t>改治理，强化业务合规管理，持续提升资金使用效率。</w:t>
      </w:r>
    </w:p>
    <w:p w14:paraId="31F9E2C3">
      <w:pPr>
        <w:spacing w:before="263" w:line="320" w:lineRule="auto"/>
        <w:ind w:left="110" w:right="89" w:firstLine="839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pacing w:val="-3"/>
          <w:sz w:val="37"/>
          <w:szCs w:val="37"/>
        </w:rPr>
        <w:t>（一）对于双优贷款业务，应加强融资用途真实性调查</w:t>
      </w:r>
      <w:r>
        <w:rPr>
          <w:rFonts w:ascii="FangSong" w:hAnsi="FangSong" w:eastAsia="FangSong" w:cs="FangSong"/>
          <w:spacing w:val="-4"/>
          <w:sz w:val="37"/>
          <w:szCs w:val="37"/>
        </w:rPr>
        <w:t>，审</w:t>
      </w:r>
      <w:r>
        <w:rPr>
          <w:rFonts w:ascii="FangSong" w:hAnsi="FangSong" w:eastAsia="FangSong" w:cs="FangSong"/>
          <w:sz w:val="37"/>
          <w:szCs w:val="37"/>
        </w:rPr>
        <w:t xml:space="preserve"> </w:t>
      </w:r>
      <w:r>
        <w:rPr>
          <w:rFonts w:ascii="FangSong" w:hAnsi="FangSong" w:eastAsia="FangSong" w:cs="FangSong"/>
          <w:sz w:val="36"/>
          <w:szCs w:val="36"/>
        </w:rPr>
        <w:t>慎确定贷款金额，以双优模式办理流动资金贷款要合理测算借款</w:t>
      </w:r>
      <w:r>
        <w:rPr>
          <w:rFonts w:ascii="FangSong" w:hAnsi="FangSong" w:eastAsia="FangSong" w:cs="FangSong"/>
          <w:spacing w:val="12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-7"/>
          <w:sz w:val="37"/>
          <w:szCs w:val="37"/>
        </w:rPr>
        <w:t>人流动资金需求，将双优授信额度纳入债权类投融</w:t>
      </w:r>
      <w:r>
        <w:rPr>
          <w:rFonts w:ascii="FangSong" w:hAnsi="FangSong" w:eastAsia="FangSong" w:cs="FangSong"/>
          <w:spacing w:val="-8"/>
          <w:sz w:val="37"/>
          <w:szCs w:val="37"/>
        </w:rPr>
        <w:t>资风险限额项</w:t>
      </w:r>
      <w:r>
        <w:rPr>
          <w:rFonts w:ascii="FangSong" w:hAnsi="FangSong" w:eastAsia="FangSong" w:cs="FangSong"/>
          <w:sz w:val="37"/>
          <w:szCs w:val="37"/>
        </w:rPr>
        <w:t xml:space="preserve">  </w:t>
      </w:r>
      <w:r>
        <w:rPr>
          <w:rFonts w:ascii="FangSong" w:hAnsi="FangSong" w:eastAsia="FangSong" w:cs="FangSong"/>
          <w:spacing w:val="10"/>
          <w:sz w:val="35"/>
          <w:szCs w:val="35"/>
        </w:rPr>
        <w:t>测算，不得超过借款人实际需求发放贷款。</w:t>
      </w:r>
    </w:p>
    <w:p w14:paraId="42EA3055">
      <w:pPr>
        <w:spacing w:before="289" w:line="326" w:lineRule="auto"/>
        <w:ind w:firstLine="950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pacing w:val="3"/>
          <w:sz w:val="37"/>
          <w:szCs w:val="37"/>
        </w:rPr>
        <w:t>（二）对于一般法人置换类贷款，重点调查前手贷款的真实</w:t>
      </w:r>
      <w:r>
        <w:rPr>
          <w:rFonts w:ascii="FangSong" w:hAnsi="FangSong" w:eastAsia="FangSong" w:cs="FangSong"/>
          <w:spacing w:val="14"/>
          <w:sz w:val="37"/>
          <w:szCs w:val="37"/>
        </w:rPr>
        <w:t xml:space="preserve"> </w:t>
      </w:r>
      <w:r>
        <w:rPr>
          <w:rFonts w:ascii="FangSong" w:hAnsi="FangSong" w:eastAsia="FangSong" w:cs="FangSong"/>
          <w:spacing w:val="-4"/>
          <w:sz w:val="37"/>
          <w:szCs w:val="37"/>
        </w:rPr>
        <w:t>性和合规性，严禁置换用作项目资本金、拆迁款或土</w:t>
      </w:r>
      <w:r>
        <w:rPr>
          <w:rFonts w:ascii="FangSong" w:hAnsi="FangSong" w:eastAsia="FangSong" w:cs="FangSong"/>
          <w:spacing w:val="-5"/>
          <w:sz w:val="37"/>
          <w:szCs w:val="37"/>
        </w:rPr>
        <w:t>地出让金等</w:t>
      </w:r>
      <w:r>
        <w:rPr>
          <w:rFonts w:ascii="FangSong" w:hAnsi="FangSong" w:eastAsia="FangSong" w:cs="FangSong"/>
          <w:sz w:val="37"/>
          <w:szCs w:val="37"/>
        </w:rPr>
        <w:t xml:space="preserve"> </w:t>
      </w:r>
      <w:r>
        <w:rPr>
          <w:rFonts w:ascii="FangSong" w:hAnsi="FangSong" w:eastAsia="FangSong" w:cs="FangSong"/>
          <w:spacing w:val="-3"/>
          <w:sz w:val="37"/>
          <w:szCs w:val="37"/>
        </w:rPr>
        <w:t>任何形式的债务资金；严禁置换银行承兑汇票垫款；严禁通过置</w:t>
      </w:r>
      <w:r>
        <w:rPr>
          <w:rFonts w:ascii="FangSong" w:hAnsi="FangSong" w:eastAsia="FangSong" w:cs="FangSong"/>
          <w:spacing w:val="8"/>
          <w:sz w:val="37"/>
          <w:szCs w:val="37"/>
        </w:rPr>
        <w:t xml:space="preserve"> </w:t>
      </w:r>
      <w:r>
        <w:rPr>
          <w:rFonts w:ascii="FangSong" w:hAnsi="FangSong" w:eastAsia="FangSong" w:cs="FangSong"/>
          <w:spacing w:val="16"/>
          <w:sz w:val="35"/>
          <w:szCs w:val="35"/>
        </w:rPr>
        <w:t>换掩盖不良资产。</w:t>
      </w:r>
    </w:p>
    <w:p w14:paraId="56CD7AA1">
      <w:pPr>
        <w:spacing w:line="326" w:lineRule="auto"/>
        <w:rPr>
          <w:rFonts w:ascii="FangSong" w:hAnsi="FangSong" w:eastAsia="FangSong" w:cs="FangSong"/>
          <w:sz w:val="35"/>
          <w:szCs w:val="35"/>
        </w:rPr>
        <w:sectPr>
          <w:footerReference r:id="rId6" w:type="default"/>
          <w:pgSz w:w="11840" w:h="16740"/>
          <w:pgMar w:top="483" w:right="796" w:bottom="923" w:left="749" w:header="0" w:footer="401" w:gutter="0"/>
        </w:sectPr>
      </w:pPr>
    </w:p>
    <w:p w14:paraId="0A005B5C">
      <w:pPr>
        <w:spacing w:before="72" w:line="235" w:lineRule="auto"/>
        <w:ind w:right="259" w:firstLine="919"/>
        <w:jc w:val="both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12"/>
          <w:sz w:val="36"/>
          <w:szCs w:val="36"/>
        </w:rPr>
        <w:t>（三）对于银行承兑汇票业务，严禁为房地产开发企业新办</w:t>
      </w:r>
      <w:r>
        <w:rPr>
          <w:rFonts w:ascii="FangSong" w:hAnsi="FangSong" w:eastAsia="FangSong" w:cs="FangSong"/>
          <w:spacing w:val="2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7"/>
          <w:sz w:val="36"/>
          <w:szCs w:val="36"/>
        </w:rPr>
        <w:t>理银行承兑汇票业务，房地产开发企业存量未</w:t>
      </w:r>
      <w:r>
        <w:rPr>
          <w:rFonts w:ascii="FangSong" w:hAnsi="FangSong" w:eastAsia="FangSong" w:cs="FangSong"/>
          <w:spacing w:val="6"/>
          <w:sz w:val="36"/>
          <w:szCs w:val="36"/>
        </w:rPr>
        <w:t>结清的承兑业务，</w:t>
      </w:r>
      <w:r>
        <w:rPr>
          <w:rFonts w:ascii="FangSong" w:hAnsi="FangSong" w:eastAsia="FangSong" w:cs="FangSong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2"/>
          <w:sz w:val="36"/>
          <w:szCs w:val="36"/>
        </w:rPr>
        <w:t>要与客户协商争取提前结清。严禁利用银行承兑汇票业务虚增存</w:t>
      </w:r>
    </w:p>
    <w:p w14:paraId="66B56583">
      <w:pPr>
        <w:spacing w:before="47" w:line="213" w:lineRule="auto"/>
        <w:ind w:left="285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pacing w:val="-4"/>
          <w:sz w:val="36"/>
          <w:szCs w:val="36"/>
        </w:rPr>
        <w:t>40</w:t>
      </w:r>
    </w:p>
    <w:p w14:paraId="6240C87A">
      <w:pPr>
        <w:spacing w:before="1" w:line="235" w:lineRule="auto"/>
        <w:ind w:left="2088" w:right="354" w:hanging="2089"/>
        <w:rPr>
          <w:rFonts w:ascii="SimSun" w:hAnsi="SimSun" w:eastAsia="SimSun" w:cs="SimSun"/>
          <w:sz w:val="36"/>
          <w:szCs w:val="36"/>
        </w:rPr>
      </w:pPr>
      <w:r>
        <w:rPr>
          <w:rFonts w:ascii="FangSong" w:hAnsi="FangSong" w:eastAsia="FangSong" w:cs="FangSong"/>
          <w:spacing w:val="3"/>
          <w:sz w:val="36"/>
          <w:szCs w:val="36"/>
        </w:rPr>
        <w:t>贷款规模，不得滚动签发、以票吸存等。加强银行承兑汇票贴现</w:t>
      </w:r>
      <w:r>
        <w:rPr>
          <w:rFonts w:ascii="FangSong" w:hAnsi="FangSong" w:eastAsia="FangSong" w:cs="FangSong"/>
          <w:spacing w:val="10"/>
          <w:sz w:val="36"/>
          <w:szCs w:val="36"/>
        </w:rPr>
        <w:t xml:space="preserve"> </w:t>
      </w:r>
      <w:r>
        <w:rPr>
          <w:rFonts w:ascii="SimSun" w:hAnsi="SimSun" w:eastAsia="SimSun" w:cs="SimSun"/>
          <w:spacing w:val="-10"/>
          <w:sz w:val="36"/>
          <w:szCs w:val="36"/>
        </w:rPr>
        <w:t>159</w:t>
      </w:r>
    </w:p>
    <w:p w14:paraId="1C900438">
      <w:pPr>
        <w:spacing w:before="2" w:line="218" w:lineRule="auto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-6"/>
          <w:sz w:val="36"/>
          <w:szCs w:val="36"/>
        </w:rPr>
        <w:t>业务贴后管理，严禁贴现申请人将贴现资金直接转回出票人账户。</w:t>
      </w:r>
    </w:p>
    <w:p w14:paraId="5AB36CE5">
      <w:pPr>
        <w:spacing w:before="326" w:line="331" w:lineRule="auto"/>
        <w:ind w:right="259" w:firstLine="919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11"/>
          <w:sz w:val="36"/>
          <w:szCs w:val="36"/>
        </w:rPr>
        <w:t>（四）对于国内信用证福费廷业务，加强价格管理，推动实</w:t>
      </w:r>
      <w:r>
        <w:rPr>
          <w:rFonts w:ascii="FangSong" w:hAnsi="FangSong" w:eastAsia="FangSong" w:cs="FangSong"/>
          <w:spacing w:val="5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3"/>
          <w:sz w:val="36"/>
          <w:szCs w:val="36"/>
        </w:rPr>
        <w:t>现量价协调发展；优化自买和包买业务结构，合理把握自买发生</w:t>
      </w:r>
      <w:r>
        <w:rPr>
          <w:rFonts w:ascii="FangSong" w:hAnsi="FangSong" w:eastAsia="FangSong" w:cs="FangSong"/>
          <w:spacing w:val="14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3"/>
          <w:sz w:val="36"/>
          <w:szCs w:val="36"/>
        </w:rPr>
        <w:t>额占比，同时确保包买业务比例符合监管导向；严禁低于对应内</w:t>
      </w:r>
      <w:r>
        <w:rPr>
          <w:rFonts w:ascii="FangSong" w:hAnsi="FangSong" w:eastAsia="FangSong" w:cs="FangSong"/>
          <w:spacing w:val="12"/>
          <w:sz w:val="36"/>
          <w:szCs w:val="36"/>
        </w:rPr>
        <w:t xml:space="preserve"> </w:t>
      </w:r>
      <w:r>
        <w:rPr>
          <w:rFonts w:ascii="FangSong" w:hAnsi="FangSong" w:eastAsia="FangSong" w:cs="FangSong"/>
          <w:sz w:val="36"/>
          <w:szCs w:val="36"/>
        </w:rPr>
        <w:t>部资金转移价格*(1+增值税税率）买入福费廷资产调节信贷规模，</w:t>
      </w:r>
      <w:r>
        <w:rPr>
          <w:rFonts w:ascii="FangSong" w:hAnsi="FangSong" w:eastAsia="FangSong" w:cs="FangSong"/>
          <w:spacing w:val="9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4"/>
          <w:sz w:val="36"/>
          <w:szCs w:val="36"/>
        </w:rPr>
        <w:t>不得以证充贷。加强贸易背景真实性及融资需求</w:t>
      </w:r>
      <w:r>
        <w:rPr>
          <w:rFonts w:ascii="FangSong" w:hAnsi="FangSong" w:eastAsia="FangSong" w:cs="FangSong"/>
          <w:spacing w:val="3"/>
          <w:sz w:val="36"/>
          <w:szCs w:val="36"/>
        </w:rPr>
        <w:t>合理性审核。加</w:t>
      </w:r>
      <w:r>
        <w:rPr>
          <w:rFonts w:ascii="FangSong" w:hAnsi="FangSong" w:eastAsia="FangSong" w:cs="FangSong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2"/>
          <w:sz w:val="36"/>
          <w:szCs w:val="36"/>
        </w:rPr>
        <w:t>强资金流向监测，明确资金用于支持真实的商品或服务交易，不</w:t>
      </w:r>
      <w:r>
        <w:rPr>
          <w:rFonts w:ascii="FangSong" w:hAnsi="FangSong" w:eastAsia="FangSong" w:cs="FangSong"/>
          <w:spacing w:val="15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-2"/>
          <w:sz w:val="36"/>
          <w:szCs w:val="36"/>
        </w:rPr>
        <w:t>得挪用资金，防止福费廷资金回流开证人。</w:t>
      </w:r>
    </w:p>
    <w:p w14:paraId="75D0EEE6">
      <w:pPr>
        <w:spacing w:before="287" w:line="293" w:lineRule="auto"/>
        <w:ind w:right="321" w:firstLine="919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11"/>
          <w:sz w:val="36"/>
          <w:szCs w:val="36"/>
        </w:rPr>
        <w:t>（五）对于个人储蓄业务，不得通过违规返利吸存、以贷转</w:t>
      </w:r>
      <w:r>
        <w:rPr>
          <w:rFonts w:ascii="FangSong" w:hAnsi="FangSong" w:eastAsia="FangSong" w:cs="FangSong"/>
          <w:spacing w:val="1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3"/>
          <w:sz w:val="36"/>
          <w:szCs w:val="36"/>
        </w:rPr>
        <w:t>存吸存等手段，违规吸收存款和虚假增加存款。提高储蓄存款增长稳</w:t>
      </w:r>
      <w:r>
        <w:rPr>
          <w:rFonts w:ascii="FangSong" w:hAnsi="FangSong" w:eastAsia="FangSong" w:cs="FangSong"/>
          <w:spacing w:val="10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-3"/>
          <w:sz w:val="36"/>
          <w:szCs w:val="36"/>
        </w:rPr>
        <w:t>定性，降低增长波动性，确保偏离度、回撤率符合行内管理要求</w:t>
      </w:r>
    </w:p>
    <w:p w14:paraId="796815B0">
      <w:pPr>
        <w:spacing w:before="342" w:line="262" w:lineRule="auto"/>
        <w:ind w:right="280" w:firstLine="919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12"/>
          <w:sz w:val="36"/>
          <w:szCs w:val="36"/>
        </w:rPr>
        <w:t>（六）对于个人信贷业务，要做深做细全品类个人贷款产品</w:t>
      </w:r>
      <w:r>
        <w:rPr>
          <w:rFonts w:ascii="FangSong" w:hAnsi="FangSong" w:eastAsia="FangSong" w:cs="FangSong"/>
          <w:spacing w:val="6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19"/>
          <w:sz w:val="36"/>
          <w:szCs w:val="36"/>
        </w:rPr>
        <w:t>营销及业务管理，落实个人消费及经营贷款的真实性</w:t>
      </w:r>
      <w:r>
        <w:rPr>
          <w:position w:val="-5"/>
          <w:sz w:val="36"/>
          <w:szCs w:val="36"/>
        </w:rPr>
        <w:drawing>
          <wp:inline distT="0" distB="0" distL="0" distR="0">
            <wp:extent cx="241935" cy="2476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54" cy="2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pacing w:val="19"/>
          <w:sz w:val="36"/>
          <w:szCs w:val="36"/>
        </w:rPr>
        <w:t>加强</w:t>
      </w:r>
    </w:p>
    <w:p w14:paraId="5083BB86">
      <w:pPr>
        <w:spacing w:before="344" w:line="318" w:lineRule="auto"/>
        <w:ind w:right="237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7"/>
          <w:sz w:val="36"/>
          <w:szCs w:val="36"/>
        </w:rPr>
        <w:t>月末、季末、年末时点监测，在提升服务质效的同时，防范“以</w:t>
      </w:r>
      <w:r>
        <w:rPr>
          <w:rFonts w:ascii="FangSong" w:hAnsi="FangSong" w:eastAsia="FangSong" w:cs="FangSong"/>
          <w:spacing w:val="15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-4"/>
          <w:sz w:val="36"/>
          <w:szCs w:val="36"/>
        </w:rPr>
        <w:t>存增贷”“以贷增存”。</w:t>
      </w:r>
    </w:p>
    <w:p w14:paraId="46F58406">
      <w:pPr>
        <w:spacing w:before="96" w:line="371" w:lineRule="auto"/>
        <w:ind w:firstLine="919"/>
        <w:jc w:val="both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pacing w:val="9"/>
          <w:sz w:val="36"/>
          <w:szCs w:val="36"/>
        </w:rPr>
        <w:t>（七）对于金融市场业务，全面落实同业专营业务合规要求，</w:t>
      </w:r>
      <w:r>
        <w:rPr>
          <w:rFonts w:ascii="FangSong" w:hAnsi="FangSong" w:eastAsia="FangSong" w:cs="FangSong"/>
          <w:spacing w:val="5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13"/>
          <w:sz w:val="36"/>
          <w:szCs w:val="36"/>
        </w:rPr>
        <w:t>做好业务全流程合规管理；突出价值创造、</w:t>
      </w:r>
      <w:r>
        <w:rPr>
          <w:rFonts w:ascii="FangSong" w:hAnsi="FangSong" w:eastAsia="FangSong" w:cs="FangSong"/>
          <w:spacing w:val="12"/>
          <w:sz w:val="36"/>
          <w:szCs w:val="36"/>
        </w:rPr>
        <w:t>向外要效益的价值导</w:t>
      </w:r>
      <w:r>
        <w:rPr>
          <w:rFonts w:ascii="FangSong" w:hAnsi="FangSong" w:eastAsia="FangSong" w:cs="FangSong"/>
          <w:sz w:val="36"/>
          <w:szCs w:val="36"/>
        </w:rPr>
        <w:t xml:space="preserve"> </w:t>
      </w:r>
      <w:r>
        <w:rPr>
          <w:rFonts w:ascii="FangSong" w:hAnsi="FangSong" w:eastAsia="FangSong" w:cs="FangSong"/>
          <w:spacing w:val="12"/>
          <w:sz w:val="36"/>
          <w:szCs w:val="36"/>
        </w:rPr>
        <w:t>向，坚持量价协调，加强风险定价和成本收益匹配度；主动把握</w:t>
      </w:r>
    </w:p>
    <w:p w14:paraId="1C86FC9E">
      <w:pPr>
        <w:spacing w:before="1" w:line="239" w:lineRule="auto"/>
        <w:ind w:left="9460"/>
        <w:rPr>
          <w:rFonts w:ascii="SimSun" w:hAnsi="SimSun" w:eastAsia="SimSun" w:cs="SimSun"/>
          <w:sz w:val="36"/>
          <w:szCs w:val="36"/>
        </w:rPr>
      </w:pPr>
      <w:r>
        <w:pict>
          <v:shape id="_x0000_s1026" o:spid="_x0000_s1026" o:spt="202" type="#_x0000_t202" style="position:absolute;left:0pt;margin-left:261.45pt;margin-top:6.9pt;height:8.7pt;width:238.4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A5ACF">
                  <w:pPr>
                    <w:spacing w:before="20" w:line="133" w:lineRule="exact"/>
                    <w:ind w:left="20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pacing w:val="-2"/>
                      <w:position w:val="-3"/>
                      <w:sz w:val="18"/>
                      <w:szCs w:val="18"/>
                    </w:rPr>
                    <w:t xml:space="preserve">.                  </w:t>
                  </w:r>
                  <w:r>
                    <w:rPr>
                      <w:rFonts w:ascii="SimSun" w:hAnsi="SimSun" w:eastAsia="SimSun" w:cs="SimSun"/>
                      <w:spacing w:val="-3"/>
                      <w:position w:val="-3"/>
                      <w:sz w:val="18"/>
                      <w:szCs w:val="18"/>
                    </w:rPr>
                    <w:t xml:space="preserve">                         </w:t>
                  </w:r>
                  <w:r>
                    <w:rPr>
                      <w:rFonts w:ascii="SimSun" w:hAnsi="SimSun" w:eastAsia="SimSun" w:cs="SimSun"/>
                      <w:spacing w:val="-3"/>
                      <w:position w:val="-3"/>
                      <w:sz w:val="36"/>
                      <w:szCs w:val="36"/>
                    </w:rPr>
                    <w:t>— —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6"/>
          <w:szCs w:val="36"/>
        </w:rPr>
        <w:t>5</w:t>
      </w:r>
    </w:p>
    <w:p w14:paraId="02CB729E">
      <w:pPr>
        <w:spacing w:line="239" w:lineRule="auto"/>
        <w:rPr>
          <w:rFonts w:ascii="SimSun" w:hAnsi="SimSun" w:eastAsia="SimSun" w:cs="SimSun"/>
          <w:sz w:val="36"/>
          <w:szCs w:val="36"/>
        </w:rPr>
        <w:sectPr>
          <w:footerReference r:id="rId7" w:type="default"/>
          <w:pgSz w:w="11840" w:h="16740"/>
          <w:pgMar w:top="525" w:right="620" w:bottom="400" w:left="690" w:header="0" w:footer="0" w:gutter="0"/>
        </w:sectPr>
      </w:pPr>
    </w:p>
    <w:p w14:paraId="4F2A511E">
      <w:pPr>
        <w:pStyle w:val="2"/>
        <w:spacing w:line="279" w:lineRule="auto"/>
      </w:pPr>
    </w:p>
    <w:p w14:paraId="5DABE03B">
      <w:pPr>
        <w:pStyle w:val="2"/>
        <w:spacing w:line="280" w:lineRule="auto"/>
      </w:pPr>
    </w:p>
    <w:p w14:paraId="23ADA0B1">
      <w:pPr>
        <w:spacing w:before="94" w:line="362" w:lineRule="auto"/>
        <w:ind w:left="2124" w:right="515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"/>
          <w:sz w:val="29"/>
          <w:szCs w:val="29"/>
        </w:rPr>
        <w:t>自律新规后同业经营与资金形势新变化，做好跨产品价</w:t>
      </w:r>
      <w:r>
        <w:rPr>
          <w:rFonts w:ascii="FangSong" w:hAnsi="FangSong" w:eastAsia="FangSong" w:cs="FangSong"/>
          <w:sz w:val="29"/>
          <w:szCs w:val="29"/>
        </w:rPr>
        <w:t xml:space="preserve">格比对， </w:t>
      </w:r>
      <w:r>
        <w:rPr>
          <w:rFonts w:ascii="FangSong" w:hAnsi="FangSong" w:eastAsia="FangSong" w:cs="FangSong"/>
          <w:spacing w:val="3"/>
          <w:sz w:val="29"/>
          <w:szCs w:val="29"/>
        </w:rPr>
        <w:t>防控产品定价大幅偏离市场可比基准，做好客户融资行为与资金</w:t>
      </w:r>
      <w:r>
        <w:rPr>
          <w:rFonts w:ascii="FangSong" w:hAnsi="FangSong" w:eastAsia="FangSong" w:cs="FangSong"/>
          <w:spacing w:val="1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"/>
          <w:sz w:val="29"/>
          <w:szCs w:val="29"/>
        </w:rPr>
        <w:t>变动监测，重点关注客户双向资金交易行为，防范跨</w:t>
      </w:r>
      <w:r>
        <w:rPr>
          <w:rFonts w:ascii="FangSong" w:hAnsi="FangSong" w:eastAsia="FangSong" w:cs="FangSong"/>
          <w:sz w:val="29"/>
          <w:szCs w:val="29"/>
        </w:rPr>
        <w:t>产品套利。</w:t>
      </w:r>
    </w:p>
    <w:p w14:paraId="18AB3A05">
      <w:pPr>
        <w:spacing w:before="1" w:line="324" w:lineRule="auto"/>
        <w:ind w:left="2124" w:right="485" w:firstLine="65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1"/>
          <w:sz w:val="29"/>
          <w:szCs w:val="29"/>
        </w:rPr>
        <w:t>（八）对于结售汇业务，加强交易业务背景真实性审核，综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4"/>
          <w:sz w:val="29"/>
          <w:szCs w:val="29"/>
        </w:rPr>
        <w:t>合运用客户适合度评估、业务单证审核等方式，确认所办业务是</w:t>
      </w:r>
      <w:r>
        <w:rPr>
          <w:rFonts w:ascii="FangSong" w:hAnsi="FangSong" w:eastAsia="FangSong" w:cs="FangSong"/>
          <w:spacing w:val="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4"/>
          <w:sz w:val="29"/>
          <w:szCs w:val="29"/>
        </w:rPr>
        <w:t>否符合实际需求；结合收结汇和购付汇的业务场景，核验相关资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4"/>
          <w:sz w:val="29"/>
          <w:szCs w:val="29"/>
        </w:rPr>
        <w:t>金、货物、发票、合同是否匹配，对于存疑业务，严格开展增强</w:t>
      </w:r>
      <w:r>
        <w:rPr>
          <w:rFonts w:ascii="FangSong" w:hAnsi="FangSong" w:eastAsia="FangSong" w:cs="FangSong"/>
          <w:spacing w:val="1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5"/>
          <w:sz w:val="29"/>
          <w:szCs w:val="29"/>
        </w:rPr>
        <w:t>型调查</w:t>
      </w:r>
      <w:r>
        <w:rPr>
          <w:rFonts w:ascii="FangSong" w:hAnsi="FangSong" w:eastAsia="FangSong" w:cs="FangSong"/>
          <w:spacing w:val="-1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5"/>
          <w:sz w:val="29"/>
          <w:szCs w:val="29"/>
        </w:rPr>
        <w:t>·</w:t>
      </w:r>
      <w:r>
        <w:rPr>
          <w:rFonts w:ascii="FangSong" w:hAnsi="FangSong" w:eastAsia="FangSong" w:cs="FangSong"/>
          <w:spacing w:val="-11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5"/>
          <w:sz w:val="29"/>
          <w:szCs w:val="29"/>
        </w:rPr>
        <w:t>引导企业聚焦主业，套保避险，杜绝炒作套利。</w:t>
      </w:r>
    </w:p>
    <w:p w14:paraId="3997234C">
      <w:pPr>
        <w:spacing w:before="232" w:line="319" w:lineRule="auto"/>
        <w:ind w:left="2124" w:right="434" w:firstLine="65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2"/>
          <w:sz w:val="29"/>
          <w:szCs w:val="29"/>
        </w:rPr>
        <w:t>（九）对于债券投资业务，优化债券投资结构，引导资金流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向符合国家战略导向的科创、绿色等重点领域，不断提</w:t>
      </w:r>
      <w:r>
        <w:rPr>
          <w:rFonts w:ascii="FangSong" w:hAnsi="FangSong" w:eastAsia="FangSong" w:cs="FangSong"/>
          <w:spacing w:val="5"/>
          <w:sz w:val="29"/>
          <w:szCs w:val="29"/>
        </w:rPr>
        <w:t>升服务实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体经济质效；引导债券发行人市场化发行，避免内卷化竞争，提</w:t>
      </w:r>
      <w:r>
        <w:rPr>
          <w:rFonts w:ascii="FangSong" w:hAnsi="FangSong" w:eastAsia="FangSong" w:cs="FangSong"/>
          <w:spacing w:val="12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2"/>
          <w:sz w:val="29"/>
          <w:szCs w:val="29"/>
        </w:rPr>
        <w:t>高资金使用效率。</w:t>
      </w:r>
    </w:p>
    <w:p w14:paraId="2A6E6F71">
      <w:pPr>
        <w:spacing w:before="192" w:line="328" w:lineRule="auto"/>
        <w:ind w:left="2124" w:right="281" w:firstLine="659"/>
        <w:rPr>
          <w:rFonts w:ascii="FangSong" w:hAnsi="FangSong" w:eastAsia="FangSong" w:cs="FangSong"/>
          <w:sz w:val="29"/>
          <w:szCs w:val="29"/>
        </w:rPr>
      </w:pPr>
      <w:r>
        <w:pict>
          <v:shape id="_x0000_s1027" o:spid="_x0000_s1027" o:spt="202" type="#_x0000_t202" style="position:absolute;left:0pt;margin-left:-1pt;margin-top:22.15pt;height:20.85pt;width:23.1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1507B6">
                  <w:pPr>
                    <w:spacing w:before="19"/>
                    <w:ind w:left="20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pacing w:val="-3"/>
                      <w:sz w:val="29"/>
                      <w:szCs w:val="29"/>
                    </w:rPr>
                    <w:t>0°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pacing w:val="12"/>
          <w:sz w:val="29"/>
          <w:szCs w:val="29"/>
        </w:rPr>
        <w:t>第十二条</w:t>
      </w:r>
      <w:r>
        <w:rPr>
          <w:rFonts w:ascii="FangSong" w:hAnsi="FangSong" w:eastAsia="FangSong" w:cs="FangSong"/>
          <w:spacing w:val="7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2"/>
          <w:sz w:val="29"/>
          <w:szCs w:val="29"/>
        </w:rPr>
        <w:t>强化贷款资金支付管理，严格落实《一般法人客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4"/>
          <w:sz w:val="29"/>
          <w:szCs w:val="29"/>
        </w:rPr>
        <w:t>户贷款资金支付管理细则（2024年版）》（工银规章〔2024〕1</w:t>
      </w:r>
      <w:r>
        <w:rPr>
          <w:rFonts w:ascii="FangSong" w:hAnsi="FangSong" w:eastAsia="FangSong" w:cs="FangSong"/>
          <w:spacing w:val="23"/>
          <w:sz w:val="29"/>
          <w:szCs w:val="29"/>
        </w:rPr>
        <w:t>26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号），贷款资金支付应根据借款人的实际用途需求进行实贷实付，</w:t>
      </w:r>
      <w:r>
        <w:rPr>
          <w:rFonts w:ascii="FangSong" w:hAnsi="FangSong" w:eastAsia="FangSong" w:cs="FangSong"/>
          <w:spacing w:val="14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不得要求借款人将部分贷款转为存款、不得存贷挂钩；不得以贷</w:t>
      </w:r>
      <w:r>
        <w:rPr>
          <w:rFonts w:ascii="FangSong" w:hAnsi="FangSong" w:eastAsia="FangSong" w:cs="FangSong"/>
          <w:spacing w:val="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"/>
          <w:sz w:val="29"/>
          <w:szCs w:val="29"/>
        </w:rPr>
        <w:t>转存，确保业务办理合规。</w:t>
      </w:r>
    </w:p>
    <w:p w14:paraId="457DEC96">
      <w:pPr>
        <w:spacing w:before="221" w:line="311" w:lineRule="auto"/>
        <w:ind w:left="2124" w:right="168" w:firstLine="65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7"/>
          <w:sz w:val="29"/>
          <w:szCs w:val="29"/>
        </w:rPr>
        <w:t>第十三条</w:t>
      </w:r>
      <w:r>
        <w:rPr>
          <w:rFonts w:ascii="FangSong" w:hAnsi="FangSong" w:eastAsia="FangSong" w:cs="FangSong"/>
          <w:spacing w:val="8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强化数据质量管理，认真落实我行关于标识管理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3"/>
          <w:sz w:val="29"/>
          <w:szCs w:val="29"/>
        </w:rPr>
        <w:t>的相关规定，严格执行战略性新兴产业、制造业等统计标识录入</w:t>
      </w:r>
      <w:r>
        <w:rPr>
          <w:rFonts w:ascii="FangSong" w:hAnsi="FangSong" w:eastAsia="FangSong" w:cs="FangSong"/>
          <w:spacing w:val="12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相关要求，规范标识调整流程，从根源上提高标识填报质量。</w:t>
      </w:r>
    </w:p>
    <w:p w14:paraId="4B27CC3B">
      <w:pPr>
        <w:spacing w:before="232" w:line="313" w:lineRule="auto"/>
        <w:ind w:left="2260" w:firstLine="524"/>
      </w:pPr>
      <w:r>
        <w:rPr>
          <w:rFonts w:ascii="FangSong" w:hAnsi="FangSong" w:eastAsia="FangSong" w:cs="FangSong"/>
          <w:spacing w:val="20"/>
          <w:sz w:val="29"/>
          <w:szCs w:val="29"/>
        </w:rPr>
        <w:t>第十四条</w:t>
      </w:r>
      <w:r>
        <w:rPr>
          <w:rFonts w:ascii="FangSong" w:hAnsi="FangSong" w:eastAsia="FangSong" w:cs="FangSong"/>
          <w:spacing w:val="7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0"/>
          <w:sz w:val="29"/>
          <w:szCs w:val="29"/>
        </w:rPr>
        <w:t>强化存贷款利率管理，严守定价合规</w:t>
      </w:r>
      <w:r>
        <w:rPr>
          <w:rFonts w:ascii="FangSong" w:hAnsi="FangSong" w:eastAsia="FangSong" w:cs="FangSong"/>
          <w:spacing w:val="19"/>
          <w:sz w:val="29"/>
          <w:szCs w:val="29"/>
        </w:rPr>
        <w:t>底线，做好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“两率”管控。存款端，根据自律约定和行伪授权管理要求，合</w:t>
      </w:r>
      <w:r>
        <w:rPr>
          <w:rFonts w:ascii="FangSong" w:hAnsi="FangSong" w:eastAsia="FangSong" w:cs="FangSong"/>
          <w:sz w:val="29"/>
          <w:szCs w:val="29"/>
        </w:rPr>
        <w:t>理</w:t>
      </w:r>
    </w:p>
    <w:p w14:paraId="5FB944AC">
      <w:pPr>
        <w:spacing w:line="313" w:lineRule="auto"/>
        <w:rPr>
          <w:rFonts w:ascii="FangSong" w:hAnsi="FangSong" w:eastAsia="FangSong" w:cs="FangSong"/>
          <w:sz w:val="29"/>
          <w:szCs w:val="29"/>
        </w:rPr>
        <w:sectPr>
          <w:footerReference r:id="rId8" w:type="default"/>
          <w:pgSz w:w="11840" w:h="16740"/>
          <w:pgMar w:top="1422" w:right="553" w:bottom="2319" w:left="424" w:header="0" w:footer="1942" w:gutter="0"/>
        </w:sectPr>
      </w:pPr>
    </w:p>
    <w:p w14:paraId="333C8E1A">
      <w:pPr>
        <w:pStyle w:val="2"/>
        <w:spacing w:line="397" w:lineRule="auto"/>
      </w:pPr>
    </w:p>
    <w:p w14:paraId="2ECCA916">
      <w:pPr>
        <w:spacing w:before="111" w:line="353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14"/>
          <w:sz w:val="34"/>
          <w:szCs w:val="34"/>
        </w:rPr>
        <w:t>理确定各类型、各期限品种存款利率水平，规范存款产品定价行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2"/>
          <w:sz w:val="34"/>
          <w:szCs w:val="34"/>
        </w:rPr>
        <w:t>为，严禁高息揽存；严格落实非银同业存款自律和</w:t>
      </w:r>
      <w:r>
        <w:rPr>
          <w:rFonts w:ascii="FangSong" w:hAnsi="FangSong" w:eastAsia="FangSong" w:cs="FangSong"/>
          <w:spacing w:val="11"/>
          <w:sz w:val="34"/>
          <w:szCs w:val="34"/>
        </w:rPr>
        <w:t>存款利率兜底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6"/>
          <w:sz w:val="34"/>
          <w:szCs w:val="34"/>
        </w:rPr>
        <w:t>条款自律倡议要求</w:t>
      </w:r>
      <w:r>
        <w:rPr>
          <w:rFonts w:ascii="FangSong" w:hAnsi="FangSong" w:eastAsia="FangSong" w:cs="FangSong"/>
          <w:spacing w:val="62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6"/>
          <w:sz w:val="34"/>
          <w:szCs w:val="34"/>
        </w:rPr>
        <w:t>做好存款招投标利率管理；加强《储</w:t>
      </w:r>
      <w:r>
        <w:rPr>
          <w:rFonts w:ascii="FangSong" w:hAnsi="FangSong" w:eastAsia="FangSong" w:cs="FangSong"/>
          <w:spacing w:val="15"/>
          <w:sz w:val="34"/>
          <w:szCs w:val="34"/>
        </w:rPr>
        <w:t>蓄存款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5"/>
          <w:sz w:val="34"/>
          <w:szCs w:val="34"/>
        </w:rPr>
        <w:t>特殊场景利息元寸管理规程（2025年版）》（工银规章〔2025〕212</w:t>
      </w:r>
      <w:r>
        <w:rPr>
          <w:rFonts w:ascii="FangSong" w:hAnsi="FangSong" w:eastAsia="FangSong" w:cs="FangSong"/>
          <w:spacing w:val="3"/>
          <w:sz w:val="34"/>
          <w:szCs w:val="34"/>
        </w:rPr>
        <w:t xml:space="preserve">  </w:t>
      </w:r>
      <w:r>
        <w:rPr>
          <w:rFonts w:ascii="FangSong" w:hAnsi="FangSong" w:eastAsia="FangSong" w:cs="FangSong"/>
          <w:spacing w:val="12"/>
          <w:sz w:val="34"/>
          <w:szCs w:val="34"/>
        </w:rPr>
        <w:t>号）落地执行，规范储蓄存款特殊场景利息兑</w:t>
      </w:r>
      <w:r>
        <w:rPr>
          <w:rFonts w:ascii="FangSong" w:hAnsi="FangSong" w:eastAsia="FangSong" w:cs="FangSong"/>
          <w:spacing w:val="11"/>
          <w:sz w:val="34"/>
          <w:szCs w:val="34"/>
        </w:rPr>
        <w:t>付操作。贷款端，</w:t>
      </w:r>
    </w:p>
    <w:p w14:paraId="414E6399">
      <w:pPr>
        <w:spacing w:before="5" w:line="353" w:lineRule="auto"/>
        <w:ind w:right="172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8"/>
          <w:sz w:val="34"/>
          <w:szCs w:val="34"/>
        </w:rPr>
        <w:t>坚持贷款风险定价，在符合贷款利率自律约定的基础上</w:t>
      </w:r>
      <w:r>
        <w:rPr>
          <w:rFonts w:ascii="FangSong" w:hAnsi="FangSong" w:eastAsia="FangSong" w:cs="FangSong"/>
          <w:spacing w:val="7"/>
          <w:sz w:val="34"/>
          <w:szCs w:val="34"/>
        </w:rPr>
        <w:t>，实施分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7"/>
          <w:sz w:val="34"/>
          <w:szCs w:val="34"/>
        </w:rPr>
        <w:t>层分类定价，合理确定贷款利率，严禁为企业套利提供便利</w:t>
      </w:r>
      <w:r>
        <w:rPr>
          <w:rFonts w:ascii="FangSong" w:hAnsi="FangSong" w:eastAsia="FangSong" w:cs="FangSong"/>
          <w:spacing w:val="6"/>
          <w:sz w:val="34"/>
          <w:szCs w:val="34"/>
        </w:rPr>
        <w:t>。认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21"/>
          <w:sz w:val="34"/>
          <w:szCs w:val="34"/>
        </w:rPr>
        <w:t>真落实总行</w:t>
      </w:r>
      <w:r>
        <w:rPr>
          <w:rFonts w:ascii="FangSong" w:hAnsi="FangSong" w:eastAsia="FangSong" w:cs="FangSong"/>
          <w:sz w:val="34"/>
          <w:szCs w:val="34"/>
        </w:rPr>
        <w:t>FTP</w:t>
      </w:r>
      <w:r>
        <w:rPr>
          <w:rFonts w:ascii="FangSong" w:hAnsi="FangSong" w:eastAsia="FangSong" w:cs="FangSong"/>
          <w:spacing w:val="21"/>
          <w:sz w:val="34"/>
          <w:szCs w:val="34"/>
        </w:rPr>
        <w:t>导向要求，严禁为套取</w:t>
      </w:r>
      <w:r>
        <w:rPr>
          <w:rFonts w:ascii="FangSong" w:hAnsi="FangSong" w:eastAsia="FangSong" w:cs="FangSong"/>
          <w:sz w:val="34"/>
          <w:szCs w:val="34"/>
        </w:rPr>
        <w:t>FTP</w:t>
      </w:r>
      <w:r>
        <w:rPr>
          <w:rFonts w:ascii="FangSong" w:hAnsi="FangSong" w:eastAsia="FangSong" w:cs="FangSong"/>
          <w:spacing w:val="21"/>
          <w:sz w:val="34"/>
          <w:szCs w:val="34"/>
        </w:rPr>
        <w:t>收益办理业务，切实</w:t>
      </w:r>
      <w:r>
        <w:rPr>
          <w:rFonts w:ascii="FangSong" w:hAnsi="FangSong" w:eastAsia="FangSong" w:cs="FangSong"/>
          <w:spacing w:val="15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6"/>
          <w:sz w:val="34"/>
          <w:szCs w:val="34"/>
        </w:rPr>
        <w:t>提升服务实体经济质效。</w:t>
      </w:r>
    </w:p>
    <w:p w14:paraId="3318C85D">
      <w:pPr>
        <w:spacing w:before="56" w:line="337" w:lineRule="auto"/>
        <w:ind w:right="169" w:firstLine="730"/>
        <w:jc w:val="both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11"/>
          <w:sz w:val="34"/>
          <w:szCs w:val="34"/>
        </w:rPr>
        <w:t>第十五条</w:t>
      </w:r>
      <w:r>
        <w:rPr>
          <w:rFonts w:ascii="FangSong" w:hAnsi="FangSong" w:eastAsia="FangSong" w:cs="FangSong"/>
          <w:spacing w:val="67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11"/>
          <w:sz w:val="34"/>
          <w:szCs w:val="34"/>
        </w:rPr>
        <w:t>针对巡视、审计、监管等检查发现的问题，各行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5"/>
          <w:sz w:val="34"/>
          <w:szCs w:val="34"/>
        </w:rPr>
        <w:t>要建立整改督导跟踪机制，深入查找在业务流程、内部控制</w:t>
      </w:r>
      <w:r>
        <w:rPr>
          <w:rFonts w:ascii="FangSong" w:hAnsi="FangSong" w:eastAsia="FangSong" w:cs="FangSong"/>
          <w:spacing w:val="4"/>
          <w:sz w:val="34"/>
          <w:szCs w:val="34"/>
        </w:rPr>
        <w:t>、风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4"/>
          <w:sz w:val="34"/>
          <w:szCs w:val="34"/>
        </w:rPr>
        <w:t>险管理等方面存在的问题，谋划系统性整改，建立健全长效机</w:t>
      </w:r>
      <w:r>
        <w:rPr>
          <w:rFonts w:ascii="FangSong" w:hAnsi="FangSong" w:eastAsia="FangSong" w:cs="FangSong"/>
          <w:spacing w:val="-5"/>
          <w:sz w:val="34"/>
          <w:szCs w:val="34"/>
        </w:rPr>
        <w:t>制，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4"/>
          <w:sz w:val="34"/>
          <w:szCs w:val="34"/>
        </w:rPr>
        <w:t>避免同类同质问题发生，切实提升我行整体合规经营水平。</w:t>
      </w:r>
    </w:p>
    <w:p w14:paraId="657B1E27">
      <w:pPr>
        <w:pStyle w:val="2"/>
        <w:spacing w:line="249" w:lineRule="auto"/>
      </w:pPr>
    </w:p>
    <w:p w14:paraId="2B9A3644">
      <w:pPr>
        <w:pStyle w:val="2"/>
        <w:spacing w:line="249" w:lineRule="auto"/>
      </w:pPr>
    </w:p>
    <w:p w14:paraId="18245BD8">
      <w:pPr>
        <w:spacing w:before="110" w:line="222" w:lineRule="auto"/>
        <w:ind w:left="2870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44"/>
          <w:sz w:val="34"/>
          <w:szCs w:val="34"/>
        </w:rPr>
        <w:t>第五章</w:t>
      </w:r>
      <w:r>
        <w:rPr>
          <w:rFonts w:ascii="FangSong" w:hAnsi="FangSong" w:eastAsia="FangSong" w:cs="FangSong"/>
          <w:spacing w:val="7"/>
          <w:sz w:val="34"/>
          <w:szCs w:val="34"/>
        </w:rPr>
        <w:t xml:space="preserve">  </w:t>
      </w:r>
      <w:r>
        <w:rPr>
          <w:rFonts w:ascii="FangSong" w:hAnsi="FangSong" w:eastAsia="FangSong" w:cs="FangSong"/>
          <w:spacing w:val="44"/>
          <w:sz w:val="34"/>
          <w:szCs w:val="34"/>
        </w:rPr>
        <w:t>收费合规管理</w:t>
      </w:r>
    </w:p>
    <w:p w14:paraId="2015ADCB">
      <w:pPr>
        <w:spacing w:before="10" w:line="161" w:lineRule="auto"/>
        <w:ind w:left="916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pacing w:val="-14"/>
          <w:sz w:val="32"/>
          <w:szCs w:val="32"/>
        </w:rPr>
        <w:t>1、</w:t>
      </w:r>
    </w:p>
    <w:p w14:paraId="4E7E9A76">
      <w:pPr>
        <w:spacing w:before="1" w:line="159" w:lineRule="auto"/>
        <w:ind w:left="8489" w:right="374" w:hanging="7759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pacing w:val="12"/>
          <w:sz w:val="34"/>
          <w:szCs w:val="34"/>
        </w:rPr>
        <w:t>第十一条严格遵守监管规定和行内制度，遵循依法合规、</w:t>
      </w:r>
      <w:r>
        <w:rPr>
          <w:rFonts w:ascii="FangSong" w:hAnsi="FangSong" w:eastAsia="FangSong" w:cs="FangSong"/>
          <w:spacing w:val="8"/>
          <w:sz w:val="34"/>
          <w:szCs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元</w:t>
      </w:r>
    </w:p>
    <w:p w14:paraId="007E3E13">
      <w:pPr>
        <w:spacing w:before="1" w:line="220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-3"/>
          <w:sz w:val="34"/>
          <w:szCs w:val="34"/>
        </w:rPr>
        <w:t>本着一等自愿、息费分离、质价相符的原则，针对客户实际需求推荐</w:t>
      </w:r>
    </w:p>
    <w:p w14:paraId="3B2CBD0E">
      <w:pPr>
        <w:spacing w:before="204" w:line="192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-17"/>
          <w:sz w:val="34"/>
          <w:szCs w:val="34"/>
        </w:rPr>
        <w:t>适当的服务项目，严格按照我行《服务价目表》执行收费。</w:t>
      </w:r>
    </w:p>
    <w:p w14:paraId="232349AC">
      <w:pPr>
        <w:spacing w:before="3" w:line="286" w:lineRule="auto"/>
        <w:ind w:left="6479" w:right="444" w:hanging="5749"/>
        <w:rPr>
          <w:rFonts w:ascii="SimSun" w:hAnsi="SimSun" w:eastAsia="SimSun" w:cs="SimSun"/>
          <w:sz w:val="34"/>
          <w:szCs w:val="34"/>
        </w:rPr>
      </w:pPr>
      <w:r>
        <w:rPr>
          <w:rFonts w:ascii="FangSong" w:hAnsi="FangSong" w:eastAsia="FangSong" w:cs="FangSong"/>
          <w:spacing w:val="2"/>
          <w:sz w:val="34"/>
          <w:szCs w:val="34"/>
        </w:rPr>
        <w:t>第十七条 对于按照协议价格收费的项目，要综合考虑客户</w:t>
      </w:r>
      <w:r>
        <w:rPr>
          <w:rFonts w:ascii="FangSong" w:hAnsi="FangSong" w:eastAsia="FangSong" w:cs="FangSong"/>
          <w:spacing w:val="15"/>
          <w:sz w:val="34"/>
          <w:szCs w:val="34"/>
        </w:rPr>
        <w:t xml:space="preserve"> </w:t>
      </w:r>
      <w:r>
        <w:rPr>
          <w:rFonts w:ascii="SimSun" w:hAnsi="SimSun" w:eastAsia="SimSun" w:cs="SimSun"/>
          <w:spacing w:val="-40"/>
          <w:sz w:val="34"/>
          <w:szCs w:val="34"/>
        </w:rPr>
        <w:t>目</w:t>
      </w:r>
      <w:r>
        <w:rPr>
          <w:rFonts w:ascii="SimSun" w:hAnsi="SimSun" w:eastAsia="SimSun" w:cs="SimSun"/>
          <w:spacing w:val="82"/>
          <w:sz w:val="34"/>
          <w:szCs w:val="34"/>
        </w:rPr>
        <w:t xml:space="preserve"> </w:t>
      </w:r>
      <w:r>
        <w:rPr>
          <w:rFonts w:ascii="SimSun" w:hAnsi="SimSun" w:eastAsia="SimSun" w:cs="SimSun"/>
          <w:spacing w:val="-40"/>
          <w:sz w:val="34"/>
          <w:szCs w:val="34"/>
        </w:rPr>
        <w:t>,</w:t>
      </w:r>
    </w:p>
    <w:p w14:paraId="440B5111">
      <w:pPr>
        <w:spacing w:before="5" w:line="217" w:lineRule="auto"/>
        <w:ind w:right="403"/>
        <w:jc w:val="both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pacing w:val="-12"/>
          <w:sz w:val="34"/>
          <w:szCs w:val="34"/>
        </w:rPr>
        <w:t>情况和服务内容，科学厘定服务成本，确保服务价格与服</w:t>
      </w:r>
      <w:r>
        <w:rPr>
          <w:rFonts w:ascii="FangSong" w:hAnsi="FangSong" w:eastAsia="FangSong" w:cs="FangSong"/>
          <w:spacing w:val="-13"/>
          <w:sz w:val="34"/>
          <w:szCs w:val="34"/>
        </w:rPr>
        <w:t>务质量、</w:t>
      </w:r>
      <w:r>
        <w:rPr>
          <w:rFonts w:ascii="FangSong" w:hAnsi="FangSong" w:eastAsia="FangSong" w:cs="FangSong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1"/>
          <w:sz w:val="34"/>
          <w:szCs w:val="34"/>
        </w:rPr>
        <w:t>内容相匹配，不得利用协议定价方式收取高于合理水平的费用，</w:t>
      </w:r>
      <w:r>
        <w:rPr>
          <w:rFonts w:ascii="FangSong" w:hAnsi="FangSong" w:eastAsia="FangSong" w:cs="FangSong"/>
          <w:spacing w:val="17"/>
          <w:sz w:val="34"/>
          <w:szCs w:val="34"/>
        </w:rPr>
        <w:t xml:space="preserve"> </w:t>
      </w:r>
      <w:r>
        <w:rPr>
          <w:rFonts w:ascii="FangSong" w:hAnsi="FangSong" w:eastAsia="FangSong" w:cs="FangSong"/>
          <w:spacing w:val="-6"/>
          <w:sz w:val="34"/>
          <w:szCs w:val="34"/>
        </w:rPr>
        <w:t>不得未提供实质性服务而收取费用。定期开展服务检视与回溯分析</w:t>
      </w:r>
    </w:p>
    <w:p w14:paraId="46E33265">
      <w:pPr>
        <w:spacing w:line="217" w:lineRule="auto"/>
        <w:rPr>
          <w:rFonts w:ascii="FangSong" w:hAnsi="FangSong" w:eastAsia="FangSong" w:cs="FangSong"/>
          <w:sz w:val="34"/>
          <w:szCs w:val="34"/>
        </w:rPr>
        <w:sectPr>
          <w:footerReference r:id="rId9" w:type="default"/>
          <w:pgSz w:w="11840" w:h="16740"/>
          <w:pgMar w:top="1422" w:right="966" w:bottom="862" w:left="959" w:header="0" w:footer="420" w:gutter="0"/>
        </w:sectPr>
      </w:pPr>
    </w:p>
    <w:p w14:paraId="15035F3D">
      <w:pPr>
        <w:pStyle w:val="2"/>
        <w:spacing w:line="250" w:lineRule="auto"/>
      </w:pPr>
    </w:p>
    <w:p w14:paraId="341E7AFA">
      <w:pPr>
        <w:pStyle w:val="2"/>
        <w:spacing w:line="250" w:lineRule="auto"/>
      </w:pPr>
    </w:p>
    <w:p w14:paraId="149164D6">
      <w:pPr>
        <w:pStyle w:val="2"/>
        <w:spacing w:line="250" w:lineRule="auto"/>
      </w:pPr>
    </w:p>
    <w:p w14:paraId="2EA1C768">
      <w:pPr>
        <w:pStyle w:val="2"/>
        <w:spacing w:line="250" w:lineRule="auto"/>
      </w:pPr>
    </w:p>
    <w:p w14:paraId="4AB8631A">
      <w:pPr>
        <w:pStyle w:val="2"/>
        <w:spacing w:line="250" w:lineRule="auto"/>
      </w:pPr>
    </w:p>
    <w:p w14:paraId="667415F8">
      <w:pPr>
        <w:pStyle w:val="2"/>
        <w:spacing w:line="250" w:lineRule="auto"/>
      </w:pPr>
    </w:p>
    <w:p w14:paraId="66E8369C">
      <w:pPr>
        <w:pStyle w:val="2"/>
        <w:spacing w:line="251" w:lineRule="auto"/>
      </w:pPr>
    </w:p>
    <w:p w14:paraId="2ECE64C8">
      <w:pPr>
        <w:pStyle w:val="2"/>
        <w:spacing w:line="251" w:lineRule="auto"/>
      </w:pPr>
    </w:p>
    <w:p w14:paraId="559094D7">
      <w:pPr>
        <w:pStyle w:val="2"/>
        <w:spacing w:line="251" w:lineRule="auto"/>
      </w:pPr>
    </w:p>
    <w:p w14:paraId="08CC6CEC">
      <w:pPr>
        <w:spacing w:before="98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1"/>
          <w:sz w:val="30"/>
          <w:szCs w:val="30"/>
        </w:rPr>
        <w:t>分析，确保费用收取合规。</w:t>
      </w:r>
    </w:p>
    <w:p w14:paraId="527D8545">
      <w:pPr>
        <w:spacing w:before="150" w:line="221" w:lineRule="auto"/>
        <w:ind w:left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5"/>
          <w:sz w:val="30"/>
          <w:szCs w:val="30"/>
        </w:rPr>
        <w:t>第十八条严格执行“两禁两限”，对于收取贷款承诺费的客</w:t>
      </w:r>
    </w:p>
    <w:p w14:paraId="4746F214">
      <w:pPr>
        <w:spacing w:before="242" w:line="368" w:lineRule="auto"/>
        <w:ind w:right="1583" w:firstLine="32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5"/>
          <w:sz w:val="30"/>
          <w:szCs w:val="30"/>
        </w:rPr>
        <w:t>，要确认其在</w:t>
      </w:r>
      <w:r>
        <w:rPr>
          <w:rFonts w:ascii="FangSong" w:hAnsi="FangSong" w:eastAsia="FangSong" w:cs="FangSong"/>
          <w:sz w:val="30"/>
          <w:szCs w:val="30"/>
        </w:rPr>
        <w:t>GCMS</w:t>
      </w:r>
      <w:r>
        <w:rPr>
          <w:rFonts w:ascii="FangSong" w:hAnsi="FangSong" w:eastAsia="FangSong" w:cs="FangSong"/>
          <w:spacing w:val="15"/>
          <w:sz w:val="30"/>
          <w:szCs w:val="30"/>
        </w:rPr>
        <w:t>系统中的“企业规模”标识是否准确，并留</w:t>
      </w:r>
      <w:r>
        <w:rPr>
          <w:rFonts w:ascii="FangSong" w:hAnsi="FangSong" w:eastAsia="FangSong" w:cs="FangSong"/>
          <w:spacing w:val="1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5"/>
          <w:sz w:val="30"/>
          <w:szCs w:val="30"/>
        </w:rPr>
        <w:t>存企业规模证明材料；对于签订借款合同后7个自然日内全额提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8"/>
          <w:sz w:val="30"/>
          <w:szCs w:val="30"/>
        </w:rPr>
        <w:t>款的业务，不得收取贷款承诺费；原则上应在借款合同签订时与</w:t>
      </w:r>
      <w:r>
        <w:rPr>
          <w:rFonts w:ascii="FangSong" w:hAnsi="FangSong" w:eastAsia="FangSong" w:cs="FangSong"/>
          <w:spacing w:val="1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8"/>
          <w:sz w:val="30"/>
          <w:szCs w:val="30"/>
        </w:rPr>
        <w:t>客户达成贷款承诺服务意向，并与客户协商一致后及时</w:t>
      </w:r>
      <w:r>
        <w:rPr>
          <w:rFonts w:ascii="FangSong" w:hAnsi="FangSong" w:eastAsia="FangSong" w:cs="FangSong"/>
          <w:spacing w:val="7"/>
          <w:sz w:val="30"/>
          <w:szCs w:val="30"/>
        </w:rPr>
        <w:t>签署《承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0"/>
          <w:sz w:val="30"/>
          <w:szCs w:val="30"/>
        </w:rPr>
        <w:t>诺业务协议》。</w:t>
      </w:r>
    </w:p>
    <w:p w14:paraId="214BBAEE">
      <w:pPr>
        <w:spacing w:before="2" w:line="283" w:lineRule="auto"/>
        <w:ind w:right="1692" w:firstLine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3"/>
          <w:sz w:val="30"/>
          <w:szCs w:val="30"/>
        </w:rPr>
        <w:t>第十九条严禁收取信贷资金受托支付划拨费（包括受托支</w:t>
      </w:r>
      <w:r>
        <w:rPr>
          <w:rFonts w:ascii="FangSong" w:hAnsi="FangSong" w:eastAsia="FangSong" w:cs="FangSong"/>
          <w:spacing w:val="16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一完成后手工收取的，与该笔受托业务直接对应的汇划手续费</w:t>
      </w:r>
      <w:r>
        <w:rPr>
          <w:rFonts w:ascii="FangSong" w:hAnsi="FangSong" w:eastAsia="FangSong" w:cs="FangSong"/>
          <w:spacing w:val="-1"/>
          <w:sz w:val="30"/>
          <w:szCs w:val="30"/>
        </w:rPr>
        <w:t>）。</w:t>
      </w:r>
    </w:p>
    <w:p w14:paraId="3EC161AE">
      <w:pPr>
        <w:spacing w:before="214" w:line="219" w:lineRule="auto"/>
        <w:ind w:left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8"/>
          <w:sz w:val="30"/>
          <w:szCs w:val="30"/>
        </w:rPr>
        <w:t>第二十条严禁在贷款业务办理过程中搭售保险、理财产品。</w:t>
      </w:r>
    </w:p>
    <w:p w14:paraId="4744C2AC">
      <w:pPr>
        <w:spacing w:before="242" w:line="287" w:lineRule="auto"/>
        <w:ind w:right="1694" w:firstLine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1"/>
          <w:sz w:val="30"/>
          <w:szCs w:val="30"/>
        </w:rPr>
        <w:t>第二十一条</w:t>
      </w:r>
      <w:r>
        <w:rPr>
          <w:rFonts w:ascii="FangSong" w:hAnsi="FangSong" w:eastAsia="FangSong" w:cs="FangSong"/>
          <w:spacing w:val="85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1"/>
          <w:sz w:val="30"/>
          <w:szCs w:val="30"/>
        </w:rPr>
        <w:t>严禁向企业转嫁应当由银行承担的押品评估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"/>
          <w:sz w:val="30"/>
          <w:szCs w:val="30"/>
        </w:rPr>
        <w:t>费、保险费、抵质押登记费、强制执行公证费等费用。</w:t>
      </w:r>
    </w:p>
    <w:p w14:paraId="16391B74">
      <w:pPr>
        <w:pStyle w:val="2"/>
        <w:spacing w:line="341" w:lineRule="auto"/>
      </w:pPr>
    </w:p>
    <w:p w14:paraId="5B76ACC5">
      <w:pPr>
        <w:pStyle w:val="2"/>
        <w:spacing w:line="341" w:lineRule="auto"/>
      </w:pPr>
    </w:p>
    <w:p w14:paraId="3DA9ECDF">
      <w:pPr>
        <w:spacing w:before="98" w:line="222" w:lineRule="auto"/>
        <w:ind w:left="3330"/>
        <w:rPr>
          <w:rFonts w:ascii="FangSong" w:hAnsi="FangSong" w:eastAsia="FangSong" w:cs="FangSong"/>
          <w:sz w:val="30"/>
          <w:szCs w:val="30"/>
        </w:rPr>
      </w:pPr>
      <w:r>
        <w:pict>
          <v:shape id="_x0000_s1028" o:spid="_x0000_s1028" o:spt="202" type="#_x0000_t202" style="position:absolute;left:0pt;margin-left:496pt;margin-top:14.7pt;height:19.4pt;width:15.3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B5358B">
                  <w:pPr>
                    <w:spacing w:before="20" w:line="229" w:lineRule="auto"/>
                    <w:ind w:left="20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</w:rPr>
                    <w:t>生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pacing w:val="-22"/>
          <w:sz w:val="30"/>
          <w:szCs w:val="30"/>
        </w:rPr>
        <w:t>第</w:t>
      </w:r>
      <w:r>
        <w:rPr>
          <w:rFonts w:ascii="FangSong" w:hAnsi="FangSong" w:eastAsia="FangSong" w:cs="FangSong"/>
          <w:spacing w:val="-3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六</w:t>
      </w:r>
      <w:r>
        <w:rPr>
          <w:rFonts w:ascii="FangSong" w:hAnsi="FangSong" w:eastAsia="FangSong" w:cs="FangSong"/>
          <w:spacing w:val="-3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章</w:t>
      </w:r>
      <w:r>
        <w:rPr>
          <w:rFonts w:ascii="FangSong" w:hAnsi="FangSong" w:eastAsia="FangSong" w:cs="FangSong"/>
          <w:spacing w:val="31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-22"/>
          <w:sz w:val="30"/>
          <w:szCs w:val="30"/>
        </w:rPr>
        <w:t>附</w:t>
      </w:r>
      <w:r>
        <w:rPr>
          <w:rFonts w:ascii="FangSong" w:hAnsi="FangSong" w:eastAsia="FangSong" w:cs="FangSong"/>
          <w:spacing w:val="-3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2"/>
          <w:sz w:val="30"/>
          <w:szCs w:val="30"/>
        </w:rPr>
        <w:t>则</w:t>
      </w:r>
    </w:p>
    <w:p w14:paraId="0524C3F5">
      <w:pPr>
        <w:spacing w:before="238" w:line="356" w:lineRule="auto"/>
        <w:ind w:right="1686" w:firstLine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5"/>
          <w:sz w:val="30"/>
          <w:szCs w:val="30"/>
        </w:rPr>
        <w:t>第二十二条</w:t>
      </w:r>
      <w:r>
        <w:rPr>
          <w:rFonts w:ascii="FangSong" w:hAnsi="FangSong" w:eastAsia="FangSong" w:cs="FangSong"/>
          <w:spacing w:val="79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5"/>
          <w:sz w:val="30"/>
          <w:szCs w:val="30"/>
        </w:rPr>
        <w:t>本办法自2025年9月23日起</w:t>
      </w:r>
      <w:r>
        <w:rPr>
          <w:rFonts w:ascii="FangSong" w:hAnsi="FangSong" w:eastAsia="FangSong" w:cs="FangSong"/>
          <w:spacing w:val="24"/>
          <w:sz w:val="30"/>
          <w:szCs w:val="30"/>
        </w:rPr>
        <w:t>生效。未尽事宜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"/>
          <w:sz w:val="30"/>
          <w:szCs w:val="30"/>
        </w:rPr>
        <w:t>按照法律法规、监管要求及我行相关规定执行。</w:t>
      </w:r>
    </w:p>
    <w:sectPr>
      <w:headerReference r:id="rId10" w:type="default"/>
      <w:footerReference r:id="rId11" w:type="default"/>
      <w:pgSz w:w="11840" w:h="16740"/>
      <w:pgMar w:top="672" w:right="825" w:bottom="817" w:left="760" w:header="472" w:footer="42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Toman"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Sun"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000" w:usb1="00000000" w:usb2="00000016" w:usb3="00000000" w:csb0="00100009" w:csb1="00000000"/>
  </w:font>
  <w:font w:name="FangSong"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E4FDD">
    <w:pPr>
      <w:spacing w:line="235" w:lineRule="auto"/>
      <w:ind w:left="8589"/>
      <w:rPr>
        <w:rFonts w:ascii="SimSun" w:hAnsi="SimSun" w:eastAsia="SimSun" w:cs="SimSun"/>
        <w:sz w:val="34"/>
        <w:szCs w:val="34"/>
      </w:rPr>
    </w:pPr>
    <w:r>
      <w:rPr>
        <w:rFonts w:ascii="SimSun" w:hAnsi="SimSun" w:eastAsia="SimSun" w:cs="SimSun"/>
        <w:spacing w:val="-4"/>
        <w:sz w:val="34"/>
        <w:szCs w:val="34"/>
      </w:rPr>
      <w:t>—1—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C005F">
    <w:pPr>
      <w:spacing w:before="1" w:line="234" w:lineRule="auto"/>
      <w:ind w:left="320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pacing w:val="-4"/>
        <w:sz w:val="30"/>
        <w:szCs w:val="30"/>
      </w:rPr>
      <w:t>—2—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CD986">
    <w:pPr>
      <w:spacing w:line="234" w:lineRule="auto"/>
      <w:ind w:left="7859"/>
      <w:rPr>
        <w:rFonts w:ascii="SimSun" w:hAnsi="SimSun" w:eastAsia="SimSun" w:cs="SimSun"/>
        <w:sz w:val="35"/>
        <w:szCs w:val="35"/>
      </w:rPr>
    </w:pPr>
    <w:r>
      <w:rPr>
        <w:rFonts w:ascii="SimSun" w:hAnsi="SimSun" w:eastAsia="SimSun" w:cs="SimSun"/>
        <w:spacing w:val="-4"/>
        <w:sz w:val="35"/>
        <w:szCs w:val="35"/>
      </w:rPr>
      <w:t>—3—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E00EB">
    <w:pPr>
      <w:spacing w:line="236" w:lineRule="auto"/>
      <w:ind w:left="110"/>
      <w:rPr>
        <w:rFonts w:ascii="SimSun" w:hAnsi="SimSun" w:eastAsia="SimSun" w:cs="SimSun"/>
        <w:sz w:val="40"/>
        <w:szCs w:val="40"/>
      </w:rPr>
    </w:pPr>
    <w:r>
      <w:rPr>
        <w:rFonts w:ascii="SimSun" w:hAnsi="SimSun" w:eastAsia="SimSun" w:cs="SimSun"/>
        <w:spacing w:val="-5"/>
        <w:sz w:val="40"/>
        <w:szCs w:val="40"/>
      </w:rPr>
      <w:t>—4—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1DCEE">
    <w:pPr>
      <w:pStyle w:val="2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32446">
    <w:pPr>
      <w:spacing w:line="233" w:lineRule="auto"/>
      <w:ind w:left="2485"/>
      <w:rPr>
        <w:rFonts w:ascii="SimSun" w:hAnsi="SimSun" w:eastAsia="SimSun" w:cs="SimSun"/>
        <w:sz w:val="29"/>
        <w:szCs w:val="29"/>
      </w:rPr>
    </w:pPr>
    <w:r>
      <w:rPr>
        <w:rFonts w:ascii="SimSun" w:hAnsi="SimSun" w:eastAsia="SimSun" w:cs="SimSun"/>
        <w:spacing w:val="-3"/>
        <w:sz w:val="29"/>
        <w:szCs w:val="29"/>
      </w:rPr>
      <w:t>—6—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3FCF">
    <w:pPr>
      <w:spacing w:line="234" w:lineRule="auto"/>
      <w:ind w:left="8169"/>
      <w:rPr>
        <w:rFonts w:ascii="SimSun" w:hAnsi="SimSun" w:eastAsia="SimSun" w:cs="SimSun"/>
        <w:sz w:val="34"/>
        <w:szCs w:val="34"/>
      </w:rPr>
    </w:pPr>
    <w:r>
      <w:rPr>
        <w:rFonts w:ascii="SimSun" w:hAnsi="SimSun" w:eastAsia="SimSun" w:cs="SimSun"/>
        <w:spacing w:val="-4"/>
        <w:sz w:val="34"/>
        <w:szCs w:val="34"/>
      </w:rPr>
      <w:t>—7—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6D5B4">
    <w:pPr>
      <w:spacing w:line="233" w:lineRule="auto"/>
      <w:ind w:left="479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pacing w:val="-4"/>
        <w:sz w:val="30"/>
        <w:szCs w:val="30"/>
      </w:rPr>
      <w:t>—8—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A3BA2">
    <w:pPr>
      <w:spacing w:before="35" w:line="220" w:lineRule="auto"/>
      <w:jc w:val="right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pacing w:val="-25"/>
        <w:sz w:val="13"/>
        <w:szCs w:val="13"/>
      </w:rPr>
      <w:t>以</w:t>
    </w:r>
    <w:r>
      <w:rPr>
        <w:rFonts w:ascii="SimSun" w:hAnsi="SimSun" w:eastAsia="SimSun" w:cs="SimSun"/>
        <w:spacing w:val="16"/>
        <w:sz w:val="13"/>
        <w:szCs w:val="13"/>
      </w:rPr>
      <w:t xml:space="preserve">   </w:t>
    </w:r>
    <w:r>
      <w:rPr>
        <w:rFonts w:ascii="SimSun" w:hAnsi="SimSun" w:eastAsia="SimSun" w:cs="SimSun"/>
        <w:spacing w:val="-25"/>
        <w:sz w:val="13"/>
        <w:szCs w:val="13"/>
      </w:rPr>
      <w:t>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8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2026-02-28T01:04:56Z</dcterms:created>
  <cp:lastModifiedBy>iPhone</cp:lastModifiedBy>
  <dcterms:modified xsi:type="dcterms:W3CDTF">2026-02-27T17:05:45Z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2026-02-27T17:04:00Z</vt:filetime>
  </property>
  <property fmtid="{D5CDD505-2E9C-101B-9397-08002B2CF9AE}" pid="4" name="UsrData">
    <vt:lpwstr>0ECC2F9C-1B87-4893-B41C-2E899319E2A2</vt:lpwstr>
  </property>
  <property fmtid="{D5CDD505-2E9C-101B-9397-08002B2CF9AE}" pid="5" name="ICV">
    <vt:lpwstr>AF7CCE0806F5D806535EA16996530FAD_31</vt:lpwstr>
  </property>
  <property fmtid="{D5CDD505-2E9C-101B-9397-08002B2CF9AE}" pid="6" name="KSOProductBuildVer">
    <vt:lpwstr>2052-12.40.0</vt:lpwstr>
  </property>
</Properties>
</file>