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urtitre"/>
      </w:pPr>
      <w:r>
        <w:rPr/>
        <w:t xml:space="preserve">Collection pédagogique bilingue · français — </w:t>
      </w:r>
      <w:r>
        <w:rPr>
          <w:rStyle w:val="Armenien"/>
          <w:b/>
          <w:sz w:val="17"/>
        </w:rPr>
        <w:t xml:space="preserve">Հայերեն</w:t>
      </w:r>
    </w:p>
    <w:p>
      <w:pPr>
        <w:pStyle w:val="TitreCouverture"/>
      </w:pPr>
      <w:r>
        <w:rPr/>
        <w:t xml:space="preserve">Paronymes</w:t>
      </w:r>
    </w:p>
    <w:p>
      <w:pPr>
        <w:pStyle w:val="Chapo"/>
      </w:pPr>
      <w:r>
        <w:rPr/>
        <w:t xml:space="preserve">de la langue française</w:t>
      </w:r>
    </w:p>
    <w:p>
      <w:pPr>
        <w:pStyle w:val="Corps"/>
      </w:pPr>
      <w:r>
        <w:rPr/>
        <w:t xml:space="preserve">Manuel de référence · niveau B2</w:t>
      </w:r>
    </w:p>
    <w:p>
      <w:pPr>
        <w:pStyle w:val="GloseArm"/>
      </w:pPr>
      <w:r>
        <w:rPr>
          <w:rStyle w:val="Armenien"/>
        </w:rPr>
        <w:t xml:space="preserve">Ֆրանսերենի հարանունները</w:t>
      </w:r>
    </w:p>
    <w:p>
      <w:pPr>
        <w:pStyle w:val="Folio"/>
      </w:pPr>
      <w:r>
        <w:rPr/>
        <w:t xml:space="preserve">Première partie · entrées A — F</w:t>
      </w:r>
    </w:p>
    <w:p>
      <w:r>
        <w:br w:type="page"/>
      </w:r>
    </w:p>
    <w:p>
      <w:pPr>
        <w:pStyle w:val="Titre1"/>
      </w:pPr>
      <w:r>
        <w:rPr/>
        <w:t xml:space="preserve">§ 14   Éminent · Imminent</w:t>
      </w:r>
    </w:p>
    <w:tbl>
      <w:tblPr>
        <w:tblW w:w="5000" w:type="pct"/>
        <w:tblBorders>
          <w:insideV w:val="single" w:sz="4" w:space="0" w:color="E5E1D8"/>
        </w:tblBorders>
        <w:tblCellMar>
          <w:left w:w="0" w:type="dxa"/>
          <w:right w:w="200" w:type="dxa"/>
        </w:tblCellMar>
      </w:tblPr>
      <w:tblGrid>
        <w:gridCol w:w="4592"/>
        <w:gridCol w:w="4593"/>
      </w:tblGrid>
      <w:tr>
        <w:tc>
          <w:tcPr>
            <w:tcW w:w="4592" w:type="dxa"/>
          </w:tcPr>
          <w:p>
            <w:pPr>
              <w:pStyle w:val="Titre2"/>
            </w:pPr>
            <w:r>
              <w:rPr/>
              <w:t xml:space="preserve">éminent </w:t>
            </w:r>
            <w:r>
              <w:rPr>
                <w:rStyle w:val="Pos"/>
              </w:rPr>
              <w:t xml:space="preserve">adj.</w:t>
            </w:r>
          </w:p>
          <w:p>
            <w:pPr>
              <w:pStyle w:val="Phonetique"/>
            </w:pPr>
            <w:r>
              <w:rPr/>
              <w:t xml:space="preserve">[e.mi.nɑ̃] · du latin eminere</w:t>
            </w:r>
          </w:p>
          <w:p>
            <w:pPr>
              <w:pStyle w:val="Corps"/>
            </w:pPr>
            <w:r>
              <w:rPr/>
              <w:t xml:space="preserve">Qui s’élève au-dessus du niveau commun ; remarquable, supérieur.</w:t>
            </w:r>
          </w:p>
          <w:p>
            <w:pPr>
              <w:pStyle w:val="GloseArm"/>
            </w:pPr>
            <w:r>
              <w:rPr>
                <w:rStyle w:val="Armenien"/>
              </w:rPr>
              <w:t xml:space="preserve">ականավոր</w:t>
            </w:r>
            <w:r>
              <w:rPr>
                <w:rStyle w:val="Translit"/>
              </w:rPr>
              <w:t xml:space="preserve">   akanavor — éminent</w:t>
            </w:r>
          </w:p>
          <w:p>
            <w:pPr>
              <w:pStyle w:val="Exemple"/>
            </w:pPr>
            <w:r>
              <w:rPr/>
              <w:t xml:space="preserve">« Un éminent spécialiste de la langue française. »</w:t>
            </w:r>
          </w:p>
        </w:tc>
        <w:tc>
          <w:tcPr>
            <w:tcW w:w="4593" w:type="dxa"/>
          </w:tcPr>
          <w:p>
            <w:pPr>
              <w:pStyle w:val="Titre2"/>
            </w:pPr>
            <w:r>
              <w:rPr/>
              <w:t xml:space="preserve">imminent </w:t>
            </w:r>
            <w:r>
              <w:rPr>
                <w:rStyle w:val="Pos"/>
              </w:rPr>
              <w:t xml:space="preserve">adj.</w:t>
            </w:r>
          </w:p>
          <w:p>
            <w:pPr>
              <w:pStyle w:val="Phonetique"/>
            </w:pPr>
            <w:r>
              <w:rPr/>
              <w:t xml:space="preserve">[i.mi.nɑ̃] · du latin imminere</w:t>
            </w:r>
          </w:p>
          <w:p>
            <w:pPr>
              <w:pStyle w:val="Corps"/>
            </w:pPr>
            <w:r>
              <w:rPr/>
              <w:t xml:space="preserve">Qui est sur le point de se produire ; tout proche dans le temps.</w:t>
            </w:r>
          </w:p>
          <w:p>
            <w:pPr>
              <w:pStyle w:val="GloseArm"/>
            </w:pPr>
            <w:r>
              <w:rPr>
                <w:rStyle w:val="Armenien"/>
              </w:rPr>
              <w:t xml:space="preserve">մոտալուտ</w:t>
            </w:r>
            <w:r>
              <w:rPr>
                <w:rStyle w:val="Translit"/>
              </w:rPr>
              <w:t xml:space="preserve">   motalut — imminent</w:t>
            </w:r>
          </w:p>
          <w:p>
            <w:pPr>
              <w:pStyle w:val="Exemple"/>
            </w:pPr>
            <w:r>
              <w:rPr/>
              <w:t xml:space="preserve">« Un orage imminent menaçait la vallée. »</w:t>
            </w:r>
          </w:p>
        </w:tc>
      </w:tr>
    </w:tbl>
    <w:p>
      <w:pPr>
        <w:pStyle w:val="NePasConfondre"/>
      </w:pPr>
      <w:r>
        <w:rPr>
          <w:rStyle w:val="LabelAlerte"/>
        </w:rPr>
        <w:t xml:space="preserve">Ne pas confondre — </w:t>
      </w:r>
      <w:r>
        <w:rPr/>
        <w:t xml:space="preserve">l’éminent se distingue par sa valeur (une personne, un mérite) ; l’imminent par sa proximité dans le temps (un événement attendu).</w:t>
      </w:r>
    </w:p>
    <w:p>
      <w:r>
        <w:br w:type="page"/>
      </w:r>
    </w:p>
    <w:p>
      <w:pPr>
        <w:pStyle w:val="Titre2"/>
      </w:pPr>
      <w:r>
        <w:rPr/>
        <w:t xml:space="preserve">Mise en regard</w:t>
      </w:r>
    </w:p>
    <w:p>
      <w:pPr>
        <w:pStyle w:val="Corps"/>
      </w:pPr>
      <w:r>
        <w:rPr/>
        <w:t xml:space="preserve">Synthèse des paronymes du chapitre, du français vers l’arménien, avec l’indice qui les distingue.</w:t>
      </w:r>
    </w:p>
    <w:tbl>
      <w:tblPr>
        <w:tblW w:w="5000" w:type="pct"/>
        <w:tblBorders>
          <w:insideH w:val="single" w:sz="4" w:space="0" w:color="E5E1D8"/>
        </w:tblBorders>
        <w:tblCellMar>
          <w:top w:w="60" w:type="dxa"/>
          <w:bottom w:w="60" w:type="dxa"/>
          <w:left w:w="120" w:type="dxa"/>
          <w:right w:w="120" w:type="dxa"/>
        </w:tblCellMar>
      </w:tblPr>
      <w:tblGrid>
        <w:gridCol w:w="2300"/>
        <w:gridCol w:w="2900"/>
        <w:gridCol w:w="1400"/>
        <w:gridCol w:w="2585"/>
      </w:tblGrid>
      <w:tr>
        <w:tc>
          <w:tcPr>
            <w:tcW w:w="2300" w:type="dxa"/>
            <w:shd w:val="clear" w:color="auto" w:fill="D5E5DF"/>
            <w:tcBorders>
              <w:bottom w:val="single" w:sz="12" w:space="0" w:color="1F6B5C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aps/>
                <w:spacing w:val="24"/>
                <w:sz w:val="16"/>
                <w:color w:val="154A40"/>
              </w:rPr>
              <w:t xml:space="preserve">Français</w:t>
            </w:r>
          </w:p>
        </w:tc>
        <w:tc>
          <w:tcPr>
            <w:tcW w:w="2900" w:type="dxa"/>
            <w:shd w:val="clear" w:color="auto" w:fill="D5E5DF"/>
            <w:tcBorders>
              <w:bottom w:val="single" w:sz="12" w:space="0" w:color="1F6B5C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aps/>
                <w:spacing w:val="24"/>
                <w:sz w:val="16"/>
                <w:color w:val="154A40"/>
              </w:rPr>
              <w:t xml:space="preserve">Sens</w:t>
            </w:r>
          </w:p>
        </w:tc>
        <w:tc>
          <w:tcPr>
            <w:tcW w:w="1400" w:type="dxa"/>
            <w:shd w:val="clear" w:color="auto" w:fill="D5E5DF"/>
            <w:tcBorders>
              <w:bottom w:val="single" w:sz="12" w:space="0" w:color="1F6B5C"/>
            </w:tcBorders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caps/>
                <w:spacing w:val="24"/>
                <w:sz w:val="16"/>
                <w:color w:val="154A40"/>
              </w:rPr>
              <w:t xml:space="preserve">Piège</w:t>
            </w:r>
          </w:p>
        </w:tc>
        <w:tc>
          <w:tcPr>
            <w:tcW w:w="2585" w:type="dxa"/>
            <w:shd w:val="clear" w:color="auto" w:fill="D5E5DF"/>
            <w:tcBorders>
              <w:bottom w:val="single" w:sz="12" w:space="0" w:color="1F6B5C"/>
            </w:tcBorders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8"/>
                <w:color w:val="154A40"/>
              </w:rPr>
              <w:t xml:space="preserve">Հայերեն · arménien</w:t>
            </w:r>
          </w:p>
        </w:tc>
      </w:tr>
      <w:tr>
        <w:tc>
          <w:tcPr>
            <w:tcW w:w="2300" w:type="dxa"/>
          </w:tcPr>
          <w:p>
            <w:pPr>
              <w:spacing w:after="0" w:line="264" w:lineRule="auto"/>
            </w:pPr>
            <w:r>
              <w:rPr/>
              <w:t xml:space="preserve">éminent  </w:t>
            </w:r>
            <w:r>
              <w:rPr>
                <w:rStyle w:val="Pos"/>
              </w:rPr>
              <w:t xml:space="preserve">adj.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/>
              <w:t xml:space="preserve">remarquable, supérieur</w:t>
            </w:r>
          </w:p>
        </w:tc>
        <w:tc>
          <w:tcPr>
            <w:tcW w:w="1400" w:type="dxa"/>
          </w:tcPr>
          <w:p>
            <w:pPr>
              <w:spacing w:after="0" w:line="264" w:lineRule="auto"/>
            </w:pPr>
            <w:r>
              <w:rPr/>
              <w:t xml:space="preserve">la valeur</w:t>
            </w:r>
          </w:p>
        </w:tc>
        <w:tc>
          <w:tcPr>
            <w:tcW w:w="2585" w:type="dxa"/>
          </w:tcPr>
          <w:p>
            <w:pPr>
              <w:spacing w:after="0" w:line="264" w:lineRule="auto"/>
            </w:pPr>
            <w:r>
              <w:rPr>
                <w:rStyle w:val="Armenien"/>
                <w:sz w:val="23"/>
              </w:rPr>
              <w:t xml:space="preserve">ականավոր</w:t>
            </w:r>
            <w:r>
              <w:rPr>
                <w:rStyle w:val="Translit"/>
              </w:rPr>
              <w:t xml:space="preserve">  akanavor</w:t>
            </w:r>
          </w:p>
        </w:tc>
      </w:tr>
      <w:tr>
        <w:tc>
          <w:tcPr>
            <w:tcW w:w="23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imminent  </w:t>
            </w:r>
            <w:r>
              <w:rPr>
                <w:rStyle w:val="Pos"/>
              </w:rPr>
              <w:t xml:space="preserve">adj.</w:t>
            </w:r>
          </w:p>
        </w:tc>
        <w:tc>
          <w:tcPr>
            <w:tcW w:w="29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tout proche dans le temps</w:t>
            </w:r>
          </w:p>
        </w:tc>
        <w:tc>
          <w:tcPr>
            <w:tcW w:w="14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le temps</w:t>
            </w:r>
          </w:p>
        </w:tc>
        <w:tc>
          <w:tcPr>
            <w:tcW w:w="2585" w:type="dxa"/>
            <w:shd w:val="clear" w:color="auto" w:fill="FAFAF7"/>
          </w:tcPr>
          <w:p>
            <w:pPr>
              <w:spacing w:after="0" w:line="264" w:lineRule="auto"/>
            </w:pPr>
            <w:r>
              <w:rPr>
                <w:rStyle w:val="Armenien"/>
                <w:sz w:val="23"/>
              </w:rPr>
              <w:t xml:space="preserve">մոտալուտ</w:t>
            </w:r>
            <w:r>
              <w:rPr>
                <w:rStyle w:val="Translit"/>
              </w:rPr>
              <w:t xml:space="preserve">  motalut</w:t>
            </w:r>
          </w:p>
        </w:tc>
      </w:tr>
      <w:tr>
        <w:tc>
          <w:tcPr>
            <w:tcW w:w="2300" w:type="dxa"/>
          </w:tcPr>
          <w:p>
            <w:pPr>
              <w:spacing w:after="0" w:line="264" w:lineRule="auto"/>
            </w:pPr>
            <w:r>
              <w:rPr/>
              <w:t xml:space="preserve">conjecture  </w:t>
            </w:r>
            <w:r>
              <w:rPr>
                <w:rStyle w:val="Pos"/>
              </w:rPr>
              <w:t xml:space="preserve">n.f.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/>
              <w:t xml:space="preserve">supposition, hypothèse</w:t>
            </w:r>
          </w:p>
        </w:tc>
        <w:tc>
          <w:tcPr>
            <w:tcW w:w="1400" w:type="dxa"/>
          </w:tcPr>
          <w:p>
            <w:pPr>
              <w:spacing w:after="0" w:line="264" w:lineRule="auto"/>
            </w:pPr>
            <w:r>
              <w:rPr/>
              <w:t xml:space="preserve">la pensée</w:t>
            </w:r>
          </w:p>
        </w:tc>
        <w:tc>
          <w:tcPr>
            <w:tcW w:w="2585" w:type="dxa"/>
          </w:tcPr>
          <w:p>
            <w:pPr>
              <w:spacing w:after="0" w:line="264" w:lineRule="auto"/>
            </w:pPr>
            <w:r>
              <w:rPr>
                <w:rStyle w:val="Armenien"/>
                <w:sz w:val="23"/>
              </w:rPr>
              <w:t xml:space="preserve">ենթադրություն</w:t>
            </w:r>
            <w:r>
              <w:rPr>
                <w:rStyle w:val="Translit"/>
              </w:rPr>
              <w:t xml:space="preserve">  yentadrut’yun</w:t>
            </w:r>
          </w:p>
        </w:tc>
      </w:tr>
      <w:tr>
        <w:tc>
          <w:tcPr>
            <w:tcW w:w="23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conjoncture  </w:t>
            </w:r>
            <w:r>
              <w:rPr>
                <w:rStyle w:val="Pos"/>
              </w:rPr>
              <w:t xml:space="preserve">n.f.</w:t>
            </w:r>
          </w:p>
        </w:tc>
        <w:tc>
          <w:tcPr>
            <w:tcW w:w="29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situation, contexte</w:t>
            </w:r>
          </w:p>
        </w:tc>
        <w:tc>
          <w:tcPr>
            <w:tcW w:w="14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les faits</w:t>
            </w:r>
          </w:p>
        </w:tc>
        <w:tc>
          <w:tcPr>
            <w:tcW w:w="2585" w:type="dxa"/>
            <w:shd w:val="clear" w:color="auto" w:fill="FAFAF7"/>
          </w:tcPr>
          <w:p>
            <w:pPr>
              <w:spacing w:after="0" w:line="264" w:lineRule="auto"/>
            </w:pPr>
            <w:r>
              <w:rPr>
                <w:rStyle w:val="Armenien"/>
                <w:sz w:val="23"/>
              </w:rPr>
              <w:t xml:space="preserve">իրավիճակ</w:t>
            </w:r>
            <w:r>
              <w:rPr>
                <w:rStyle w:val="Translit"/>
              </w:rPr>
              <w:t xml:space="preserve">  iravichak</w:t>
            </w:r>
          </w:p>
        </w:tc>
      </w:tr>
      <w:tr>
        <w:tc>
          <w:tcPr>
            <w:tcW w:w="2300" w:type="dxa"/>
          </w:tcPr>
          <w:p>
            <w:pPr>
              <w:spacing w:after="0" w:line="264" w:lineRule="auto"/>
            </w:pPr>
            <w:r>
              <w:rPr/>
              <w:t xml:space="preserve">collision  </w:t>
            </w:r>
            <w:r>
              <w:rPr>
                <w:rStyle w:val="Pos"/>
              </w:rPr>
              <w:t xml:space="preserve">n.f.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/>
              <w:t xml:space="preserve">choc de deux corps</w:t>
            </w:r>
          </w:p>
        </w:tc>
        <w:tc>
          <w:tcPr>
            <w:tcW w:w="1400" w:type="dxa"/>
          </w:tcPr>
          <w:p>
            <w:pPr>
              <w:spacing w:after="0" w:line="264" w:lineRule="auto"/>
            </w:pPr>
            <w:r>
              <w:rPr/>
              <w:t xml:space="preserve">le choc</w:t>
            </w:r>
          </w:p>
        </w:tc>
        <w:tc>
          <w:tcPr>
            <w:tcW w:w="2585" w:type="dxa"/>
          </w:tcPr>
          <w:p>
            <w:pPr>
              <w:spacing w:after="0" w:line="264" w:lineRule="auto"/>
            </w:pPr>
            <w:r>
              <w:rPr>
                <w:rStyle w:val="Armenien"/>
                <w:sz w:val="23"/>
              </w:rPr>
              <w:t xml:space="preserve">բախում</w:t>
            </w:r>
            <w:r>
              <w:rPr>
                <w:rStyle w:val="Translit"/>
              </w:rPr>
              <w:t xml:space="preserve">  bakhum</w:t>
            </w:r>
          </w:p>
        </w:tc>
      </w:tr>
      <w:tr>
        <w:tc>
          <w:tcPr>
            <w:tcW w:w="23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collusion  </w:t>
            </w:r>
            <w:r>
              <w:rPr>
                <w:rStyle w:val="Pos"/>
              </w:rPr>
              <w:t xml:space="preserve">n.f.</w:t>
            </w:r>
          </w:p>
        </w:tc>
        <w:tc>
          <w:tcPr>
            <w:tcW w:w="29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entente secrète</w:t>
            </w:r>
          </w:p>
        </w:tc>
        <w:tc>
          <w:tcPr>
            <w:tcW w:w="14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le complot</w:t>
            </w:r>
          </w:p>
        </w:tc>
        <w:tc>
          <w:tcPr>
            <w:tcW w:w="2585" w:type="dxa"/>
            <w:shd w:val="clear" w:color="auto" w:fill="FAFAF7"/>
          </w:tcPr>
          <w:p>
            <w:pPr>
              <w:spacing w:after="0" w:line="264" w:lineRule="auto"/>
            </w:pPr>
            <w:r>
              <w:rPr>
                <w:rStyle w:val="Armenien"/>
                <w:sz w:val="23"/>
              </w:rPr>
              <w:t xml:space="preserve">գաղտնի դավ</w:t>
            </w:r>
            <w:r>
              <w:rPr>
                <w:rStyle w:val="Translit"/>
              </w:rPr>
              <w:t xml:space="preserve">  gaghtni dav</w:t>
            </w:r>
          </w:p>
        </w:tc>
      </w:tr>
      <w:tr>
        <w:tc>
          <w:tcPr>
            <w:tcW w:w="2300" w:type="dxa"/>
          </w:tcPr>
          <w:p>
            <w:pPr>
              <w:spacing w:after="0" w:line="264" w:lineRule="auto"/>
            </w:pPr>
            <w:r>
              <w:rPr/>
              <w:t xml:space="preserve">prodige  </w:t>
            </w:r>
            <w:r>
              <w:rPr>
                <w:rStyle w:val="Pos"/>
              </w:rPr>
              <w:t xml:space="preserve">n.m.</w:t>
            </w:r>
          </w:p>
        </w:tc>
        <w:tc>
          <w:tcPr>
            <w:tcW w:w="2900" w:type="dxa"/>
          </w:tcPr>
          <w:p>
            <w:pPr>
              <w:spacing w:after="0" w:line="264" w:lineRule="auto"/>
            </w:pPr>
            <w:r>
              <w:rPr/>
              <w:t xml:space="preserve">fait merveilleux, talent</w:t>
            </w:r>
          </w:p>
        </w:tc>
        <w:tc>
          <w:tcPr>
            <w:tcW w:w="1400" w:type="dxa"/>
          </w:tcPr>
          <w:p>
            <w:pPr>
              <w:spacing w:after="0" w:line="264" w:lineRule="auto"/>
            </w:pPr>
            <w:r>
              <w:rPr/>
              <w:t xml:space="preserve">le miracle</w:t>
            </w:r>
          </w:p>
        </w:tc>
        <w:tc>
          <w:tcPr>
            <w:tcW w:w="2585" w:type="dxa"/>
          </w:tcPr>
          <w:p>
            <w:pPr>
              <w:spacing w:after="0" w:line="264" w:lineRule="auto"/>
            </w:pPr>
            <w:r>
              <w:rPr>
                <w:rStyle w:val="Armenien"/>
                <w:sz w:val="23"/>
              </w:rPr>
              <w:t xml:space="preserve">հրաշք</w:t>
            </w:r>
            <w:r>
              <w:rPr>
                <w:rStyle w:val="Translit"/>
              </w:rPr>
              <w:t xml:space="preserve">  hrashk’</w:t>
            </w:r>
          </w:p>
        </w:tc>
      </w:tr>
      <w:tr>
        <w:tc>
          <w:tcPr>
            <w:tcW w:w="23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prodigue  </w:t>
            </w:r>
            <w:r>
              <w:rPr>
                <w:rStyle w:val="Pos"/>
              </w:rPr>
              <w:t xml:space="preserve">adj.</w:t>
            </w:r>
          </w:p>
        </w:tc>
        <w:tc>
          <w:tcPr>
            <w:tcW w:w="29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qui dépense sans compter</w:t>
            </w:r>
          </w:p>
        </w:tc>
        <w:tc>
          <w:tcPr>
            <w:tcW w:w="1400" w:type="dxa"/>
            <w:shd w:val="clear" w:color="auto" w:fill="FAFAF7"/>
          </w:tcPr>
          <w:p>
            <w:pPr>
              <w:spacing w:after="0" w:line="264" w:lineRule="auto"/>
            </w:pPr>
            <w:r>
              <w:rPr/>
              <w:t xml:space="preserve">la dépense</w:t>
            </w:r>
          </w:p>
        </w:tc>
        <w:tc>
          <w:tcPr>
            <w:tcW w:w="2585" w:type="dxa"/>
            <w:shd w:val="clear" w:color="auto" w:fill="FAFAF7"/>
          </w:tcPr>
          <w:p>
            <w:pPr>
              <w:spacing w:after="0" w:line="264" w:lineRule="auto"/>
            </w:pPr>
            <w:r>
              <w:rPr>
                <w:rStyle w:val="Armenien"/>
                <w:sz w:val="23"/>
              </w:rPr>
              <w:t xml:space="preserve">շռայլ</w:t>
            </w:r>
            <w:r>
              <w:rPr>
                <w:rStyle w:val="Translit"/>
              </w:rPr>
              <w:t xml:space="preserve">  shrayl</w:t>
            </w:r>
          </w:p>
        </w:tc>
      </w:tr>
    </w:tbl>
    <w:p>
      <w:pPr>
        <w:pStyle w:val="GloseArm"/>
      </w:pPr>
      <w:r>
        <w:rPr>
          <w:rStyle w:val="Armenien"/>
        </w:rPr>
        <w:t xml:space="preserve">Հուշում</w:t>
      </w:r>
      <w:r>
        <w:rPr>
          <w:rStyle w:val="Translit"/>
        </w:rPr>
        <w:t xml:space="preserve">   Conseil — mémoriser chaque paire par son indice (colonne « Piège »).</w:t>
      </w:r>
    </w:p>
    <w:p>
      <w:r>
        <w:br w:type="page"/>
      </w:r>
    </w:p>
    <w:p>
      <w:pPr>
        <w:pStyle w:val="Etiquette"/>
      </w:pPr>
      <w:r>
        <w:rPr/>
        <w:t xml:space="preserve">Exercice 1 · Compléter</w:t>
      </w:r>
    </w:p>
    <w:p>
      <w:pPr>
        <w:pStyle w:val="Exemple"/>
      </w:pPr>
      <w:r>
        <w:rPr/>
        <w:t xml:space="preserve">Compléter chaque phrase par le paronyme qui convient, en l’accordant si nécessaire.</w:t>
      </w:r>
    </w:p>
    <w:p>
      <w:pPr>
        <w:pStyle w:val="Corps"/>
      </w:pPr>
      <w:r>
        <w:rPr/>
        <w:t xml:space="preserve">1.   Le congrès a réuni d’</w:t>
      </w:r>
      <w:r>
        <w:rPr/>
        <w:t xml:space="preserve">______________</w:t>
      </w:r>
      <w:r>
        <w:rPr/>
        <w:t xml:space="preserve"> linguistes venus de toute l’Europe.</w:t>
      </w:r>
    </w:p>
    <w:p>
      <w:pPr>
        <w:pStyle w:val="Corps"/>
      </w:pPr>
      <w:r>
        <w:rPr/>
        <w:t xml:space="preserve">2.   Devant l’orage </w:t>
      </w:r>
      <w:r>
        <w:rPr/>
        <w:t xml:space="preserve">______________</w:t>
      </w:r>
      <w:r>
        <w:rPr/>
        <w:t xml:space="preserve">, les promeneurs pressèrent le pas.</w:t>
      </w:r>
    </w:p>
    <w:p>
      <w:pPr>
        <w:pStyle w:val="Corps"/>
      </w:pPr>
      <w:r>
        <w:rPr/>
        <w:t xml:space="preserve">3.   Faute de preuves, l’enquêteur en était réduit à de simples </w:t>
      </w:r>
      <w:r>
        <w:rPr/>
        <w:t xml:space="preserve">______________</w:t>
      </w:r>
      <w:r>
        <w:rPr/>
        <w:t xml:space="preserve">.</w:t>
      </w:r>
    </w:p>
    <w:p>
      <w:pPr>
        <w:pStyle w:val="Etiquette"/>
      </w:pPr>
      <w:r>
        <w:rPr/>
        <w:t xml:space="preserve">Exercice 2 · Associer</w:t>
      </w:r>
    </w:p>
    <w:p>
      <w:pPr>
        <w:pStyle w:val="Exemple"/>
      </w:pPr>
      <w:r>
        <w:rPr/>
        <w:t xml:space="preserve">Relier chaque mot français à sa glose arménienne.</w:t>
      </w:r>
    </w:p>
    <w:p>
      <w:pPr>
        <w:pStyle w:val="Corps"/>
      </w:pPr>
      <w:r>
        <w:rPr/>
        <w:t xml:space="preserve">a. éminent          b. conjoncture          c. imminent</w:t>
      </w:r>
    </w:p>
    <w:p>
      <w:pPr>
        <w:pStyle w:val="GloseArm"/>
      </w:pPr>
      <w:r>
        <w:rPr>
          <w:rStyle w:val="Armenien"/>
        </w:rPr>
        <w:t xml:space="preserve">1. իրավիճակ    2. ականավոր    3. մոտալուտ</w:t>
      </w:r>
    </w:p>
    <w:p>
      <w:pPr>
        <w:pStyle w:val="Folio"/>
      </w:pPr>
      <w:r>
        <w:rPr/>
        <w:t xml:space="preserve">Les Paronymes de la langue française · Livret d’exercices</w:t>
      </w:r>
    </w:p>
    <w:sectPr>
      <w:pgSz w:w="11906" w:h="16838"/>
      <w:pgMar w:top="1417" w:right="1134" w:bottom="1247" w:left="1587" w:header="720" w:footer="720" w:gutter="0"/>
    </w:sectPr>
  </w:body>
</w:document>
</file>

<file path=word/settings.xml><?xml version="1.0" encoding="utf-8"?>
<w:settings xmlns:w="http://schemas.openxmlformats.org/wordprocessingml/2006/main">
  <w:mirrorMargins/>
  <w:defaultTabStop w:val="708"/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color w:val="17120F"/>
        <w:sz w:val="22"/>
        <w:szCs w:val="22"/>
        <w:lang w:val="fr-FR"/>
      </w:rPr>
    </w:rPrDefault>
    <w:pPrDefault>
      <w:pPr>
        <w:spacing w:after="120" w:line="340" w:lineRule="auto"/>
      </w:pPr>
    </w:pPrDefault>
  </w:docDefaults>
  <w:style w:type="paragraph" w:default="1" w:styleId="Normal">
    <w:name w:val="Normal"/>
    <w:pPr>
      <w:spacing w:after="0" w:line="240" w:lineRule="auto"/>
    </w:pPr>
  </w:style>
  <w:style w:type="paragraph" w:styleId="Corps">
    <w:name w:val="Corps"/>
    <w:basedOn w:val="Normal"/>
    <w:qFormat/>
    <w:pPr>
      <w:spacing w:after="120" w:line="340" w:lineRule="auto"/>
      <w:jc w:val="both"/>
    </w:pPr>
    <w:rPr>
      <w:sz w:val="22"/>
    </w:rPr>
  </w:style>
  <w:style w:type="paragraph" w:styleId="TitreCouverture">
    <w:name w:val="Titre couverture"/>
    <w:basedOn w:val="Normal"/>
    <w:qFormat/>
    <w:pPr>
      <w:spacing w:before="240" w:after="60" w:line="240" w:lineRule="auto"/>
    </w:pPr>
    <w:rPr>
      <w:sz w:val="80"/>
      <w:szCs w:val="80"/>
    </w:rPr>
  </w:style>
  <w:style w:type="paragraph" w:styleId="Titre1">
    <w:name w:val="Titre 1"/>
    <w:basedOn w:val="Normal"/>
    <w:qFormat/>
    <w:pPr>
      <w:pBdr>
        <w:top w:val="single" w:sz="16" w:space="8" w:color="1F6B5C"/>
      </w:pBdr>
      <w:spacing w:before="320" w:after="160" w:line="280" w:lineRule="auto"/>
    </w:pPr>
    <w:rPr>
      <w:sz w:val="52"/>
      <w:szCs w:val="52"/>
    </w:rPr>
  </w:style>
  <w:style w:type="paragraph" w:styleId="Titre2">
    <w:name w:val="Titre 2"/>
    <w:basedOn w:val="Normal"/>
    <w:qFormat/>
    <w:pPr>
      <w:spacing w:before="120" w:after="40"/>
    </w:pPr>
    <w:rPr>
      <w:b/>
      <w:sz w:val="32"/>
      <w:szCs w:val="32"/>
    </w:rPr>
  </w:style>
  <w:style w:type="paragraph" w:styleId="Chapo">
    <w:name w:val="Chapo"/>
    <w:basedOn w:val="Normal"/>
    <w:pPr>
      <w:spacing w:after="160" w:line="372" w:lineRule="auto"/>
    </w:pPr>
    <w:rPr>
      <w:sz w:val="26"/>
      <w:szCs w:val="26"/>
      <w:color w:val="4A453E"/>
    </w:rPr>
  </w:style>
  <w:style w:type="paragraph" w:styleId="Exemple">
    <w:name w:val="Exemple"/>
    <w:basedOn w:val="Normal"/>
    <w:pPr>
      <w:ind w:left="340"/>
      <w:spacing w:after="80"/>
    </w:pPr>
    <w:rPr>
      <w:i/>
      <w:sz w:val="21"/>
      <w:szCs w:val="21"/>
      <w:color w:val="4A453E"/>
    </w:rPr>
  </w:style>
  <w:style w:type="paragraph" w:styleId="Phonetique">
    <w:name w:val="Phonetique"/>
    <w:basedOn w:val="Normal"/>
    <w:pPr>
      <w:spacing w:after="60"/>
    </w:pPr>
    <w:rPr>
      <w:i/>
      <w:sz w:val="20"/>
      <w:szCs w:val="20"/>
      <w:color w:val="7C766E"/>
    </w:rPr>
  </w:style>
  <w:style w:type="paragraph" w:styleId="Surtitre">
    <w:name w:val="Surtitre"/>
    <w:basedOn w:val="Normal"/>
    <w:pPr>
      <w:spacing w:after="120"/>
    </w:pPr>
    <w:rPr>
      <w:rFonts w:ascii="Calibri" w:hAnsi="Calibri"/>
      <w:b/>
      <w:caps/>
      <w:spacing w:val="34"/>
      <w:sz w:val="17"/>
      <w:szCs w:val="17"/>
      <w:color w:val="7C766E"/>
    </w:rPr>
  </w:style>
  <w:style w:type="paragraph" w:styleId="Etiquette">
    <w:name w:val="Etiquette"/>
    <w:basedOn w:val="Normal"/>
    <w:pPr>
      <w:spacing w:before="120" w:after="80"/>
    </w:pPr>
    <w:rPr>
      <w:rFonts w:ascii="Calibri" w:hAnsi="Calibri"/>
      <w:b/>
      <w:caps/>
      <w:spacing w:val="30"/>
      <w:sz w:val="17"/>
      <w:szCs w:val="17"/>
      <w:color w:val="154A40"/>
    </w:rPr>
  </w:style>
  <w:style w:type="paragraph" w:styleId="Folio">
    <w:name w:val="Folio"/>
    <w:basedOn w:val="Normal"/>
    <w:rPr>
      <w:rFonts w:ascii="Calibri" w:hAnsi="Calibri"/>
      <w:sz w:val="18"/>
      <w:szCs w:val="18"/>
      <w:color w:val="A39C92"/>
    </w:rPr>
  </w:style>
  <w:style w:type="paragraph" w:styleId="GloseArm">
    <w:name w:val="Glose armenienne"/>
    <w:basedOn w:val="Normal"/>
    <w:pPr>
      <w:pBdr>
        <w:left w:val="single" w:sz="16" w:space="6" w:color="1F6B5C"/>
      </w:pBdr>
      <w:shd w:val="clear" w:color="auto" w:fill="E8F0ED"/>
      <w:spacing w:before="80" w:after="80" w:line="276" w:lineRule="auto"/>
      <w:ind w:left="170"/>
    </w:pPr>
    <w:rPr>
      <w:rFonts w:ascii="Arial" w:hAnsi="Arial"/>
      <w:sz w:val="24"/>
      <w:szCs w:val="24"/>
      <w:color w:val="154A40"/>
    </w:rPr>
  </w:style>
  <w:style w:type="paragraph" w:styleId="NePasConfondre">
    <w:name w:val="Ne pas confondre"/>
    <w:basedOn w:val="Normal"/>
    <w:pPr>
      <w:pBdr>
        <w:left w:val="single" w:sz="16" w:space="8" w:color="B45A2A"/>
      </w:pBdr>
      <w:shd w:val="clear" w:color="auto" w:fill="F6E9DE"/>
      <w:spacing w:before="160" w:after="120" w:line="300" w:lineRule="auto"/>
      <w:ind w:left="200" w:right="120"/>
    </w:pPr>
    <w:rPr>
      <w:sz w:val="21"/>
      <w:szCs w:val="21"/>
      <w:color w:val="4A453E"/>
    </w:rPr>
  </w:style>
  <w:style w:type="character" w:styleId="Armenien">
    <w:name w:val="Armenien"/>
    <w:rPr>
      <w:rFonts w:ascii="Arial" w:hAnsi="Arial" w:cs="Arial"/>
      <w:sz w:val="24"/>
      <w:szCs w:val="24"/>
      <w:color w:val="1F6B5C"/>
    </w:rPr>
  </w:style>
  <w:style w:type="character" w:styleId="Translit">
    <w:name w:val="Translitteration"/>
    <w:rPr>
      <w:i/>
      <w:sz w:val="20"/>
      <w:szCs w:val="20"/>
      <w:color w:val="7C766E"/>
    </w:rPr>
  </w:style>
  <w:style w:type="character" w:styleId="LabelAlerte">
    <w:name w:val="Label alerte"/>
    <w:rPr>
      <w:rFonts w:ascii="Calibri" w:hAnsi="Calibri"/>
      <w:b/>
      <w:caps/>
      <w:spacing w:val="30"/>
      <w:sz w:val="17"/>
      <w:szCs w:val="17"/>
      <w:color w:val="B45A2A"/>
    </w:rPr>
  </w:style>
  <w:style w:type="character" w:styleId="Pos">
    <w:name w:val="Categorie gram"/>
    <w:rPr>
      <w:i/>
      <w:sz w:val="22"/>
      <w:szCs w:val="22"/>
      <w:color w:val="7C766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