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6B58" w14:textId="725F4045" w:rsidR="00C535D4" w:rsidRDefault="00C535D4" w:rsidP="00C960F4">
      <w:pPr>
        <w:jc w:val="both"/>
      </w:pPr>
      <w:r>
        <w:rPr>
          <w:noProof/>
        </w:rPr>
        <mc:AlternateContent>
          <mc:Choice Requires="wps">
            <w:drawing>
              <wp:anchor distT="0" distB="0" distL="114300" distR="114300" simplePos="0" relativeHeight="251657728" behindDoc="0" locked="0" layoutInCell="1" allowOverlap="1" wp14:anchorId="1C1442A3" wp14:editId="7F48B59A">
                <wp:simplePos x="0" y="0"/>
                <wp:positionH relativeFrom="column">
                  <wp:posOffset>-502920</wp:posOffset>
                </wp:positionH>
                <wp:positionV relativeFrom="paragraph">
                  <wp:posOffset>4683034</wp:posOffset>
                </wp:positionV>
                <wp:extent cx="84909" cy="672193"/>
                <wp:effectExtent l="0" t="0" r="10795" b="13970"/>
                <wp:wrapNone/>
                <wp:docPr id="1679461326" name="Rectangle 6"/>
                <wp:cNvGraphicFramePr/>
                <a:graphic xmlns:a="http://schemas.openxmlformats.org/drawingml/2006/main">
                  <a:graphicData uri="http://schemas.microsoft.com/office/word/2010/wordprocessingShape">
                    <wps:wsp>
                      <wps:cNvSpPr/>
                      <wps:spPr>
                        <a:xfrm>
                          <a:off x="0" y="0"/>
                          <a:ext cx="84909" cy="672193"/>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105DC" id="Rectangle 6" o:spid="_x0000_s1026" style="position:absolute;margin-left:-39.6pt;margin-top:368.75pt;width:6.7pt;height:52.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" fillcolor="#70ad47 [3209]" strokecolor="#10190a [489]" strokeweight="1pt"/>
            </w:pict>
          </mc:Fallback>
        </mc:AlternateContent>
      </w:r>
      <w:r>
        <w:rPr>
          <w:noProof/>
        </w:rPr>
        <mc:AlternateContent>
          <mc:Choice Requires="wps">
            <w:drawing>
              <wp:anchor distT="0" distB="0" distL="114300" distR="114300" simplePos="0" relativeHeight="251656704" behindDoc="0" locked="0" layoutInCell="1" allowOverlap="1" wp14:anchorId="6A5A837C" wp14:editId="0A65FDB1">
                <wp:simplePos x="0" y="0"/>
                <wp:positionH relativeFrom="column">
                  <wp:posOffset>-509451</wp:posOffset>
                </wp:positionH>
                <wp:positionV relativeFrom="paragraph">
                  <wp:posOffset>4683035</wp:posOffset>
                </wp:positionV>
                <wp:extent cx="6766560" cy="685800"/>
                <wp:effectExtent l="0" t="0" r="15240" b="19050"/>
                <wp:wrapNone/>
                <wp:docPr id="623955413" name="Rectangle 4"/>
                <wp:cNvGraphicFramePr/>
                <a:graphic xmlns:a="http://schemas.openxmlformats.org/drawingml/2006/main">
                  <a:graphicData uri="http://schemas.microsoft.com/office/word/2010/wordprocessingShape">
                    <wps:wsp>
                      <wps:cNvSpPr/>
                      <wps:spPr>
                        <a:xfrm>
                          <a:off x="0" y="0"/>
                          <a:ext cx="6766560" cy="685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42A05B" w14:textId="2FB3EA74" w:rsidR="00C535D4" w:rsidRPr="00C535D4" w:rsidRDefault="00C535D4" w:rsidP="00C535D4">
                            <w:pPr>
                              <w:jc w:val="center"/>
                              <w:rPr>
                                <w:rFonts w:ascii="Times New Roman" w:hAnsi="Times New Roman" w:cs="Times New Roman"/>
                                <w:sz w:val="44"/>
                                <w:szCs w:val="44"/>
                              </w:rPr>
                            </w:pPr>
                            <w:r w:rsidRPr="00C535D4">
                              <w:rPr>
                                <w:rFonts w:ascii="Times New Roman" w:hAnsi="Times New Roman" w:cs="Times New Roman"/>
                                <w:sz w:val="44"/>
                                <w:szCs w:val="44"/>
                              </w:rPr>
                              <w:t>Investment Memorandum- Leveraged Buyout Analysis</w:t>
                            </w:r>
                          </w:p>
                          <w:p w14:paraId="6DA7E239" w14:textId="339047DD" w:rsidR="00C535D4" w:rsidRPr="00C535D4" w:rsidRDefault="00C535D4" w:rsidP="00C535D4">
                            <w:pPr>
                              <w:jc w:val="center"/>
                              <w:rPr>
                                <w:rFonts w:ascii="Times New Roman" w:hAnsi="Times New Roman" w:cs="Times New Roman"/>
                                <w:sz w:val="72"/>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A837C" id="Rectangle 4" o:spid="_x0000_s1026" style="position:absolute;left:0;text-align:left;margin-left:-40.1pt;margin-top:368.75pt;width:532.8pt;height:54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" fillcolor="white [3201]" strokecolor="#70ad47 [3209]" strokeweight="1pt">
                <v:textbox>
                  <w:txbxContent>
                    <w:p w14:paraId="7442A05B" w14:textId="2FB3EA74" w:rsidR="00C535D4" w:rsidRPr="00C535D4" w:rsidRDefault="00C535D4" w:rsidP="00C535D4">
                      <w:pPr>
                        <w:jc w:val="center"/>
                        <w:rPr>
                          <w:rFonts w:ascii="Times New Roman" w:hAnsi="Times New Roman" w:cs="Times New Roman"/>
                          <w:sz w:val="44"/>
                          <w:szCs w:val="44"/>
                        </w:rPr>
                      </w:pPr>
                      <w:r w:rsidRPr="00C535D4">
                        <w:rPr>
                          <w:rFonts w:ascii="Times New Roman" w:hAnsi="Times New Roman" w:cs="Times New Roman"/>
                          <w:sz w:val="44"/>
                          <w:szCs w:val="44"/>
                        </w:rPr>
                        <w:t>Investment Memorandum- Leveraged Buyout Analysis</w:t>
                      </w:r>
                    </w:p>
                    <w:p w14:paraId="6DA7E239" w14:textId="339047DD" w:rsidR="00C535D4" w:rsidRPr="00C535D4" w:rsidRDefault="00C535D4" w:rsidP="00C535D4">
                      <w:pPr>
                        <w:jc w:val="center"/>
                        <w:rPr>
                          <w:rFonts w:ascii="Times New Roman" w:hAnsi="Times New Roman" w:cs="Times New Roman"/>
                          <w:sz w:val="72"/>
                          <w:szCs w:val="72"/>
                        </w:rPr>
                      </w:pPr>
                    </w:p>
                  </w:txbxContent>
                </v:textbox>
              </v:rect>
            </w:pict>
          </mc:Fallback>
        </mc:AlternateContent>
      </w:r>
    </w:p>
    <w:p w14:paraId="362D475D" w14:textId="60CD9047" w:rsidR="00B61A75" w:rsidRDefault="00C535D4">
      <w:r>
        <w:rPr>
          <w:noProof/>
        </w:rPr>
        <w:drawing>
          <wp:anchor distT="0" distB="0" distL="114300" distR="114300" simplePos="0" relativeHeight="251655680" behindDoc="0" locked="0" layoutInCell="1" allowOverlap="1" wp14:anchorId="4C3ACAC3" wp14:editId="4924DF04">
            <wp:simplePos x="0" y="0"/>
            <wp:positionH relativeFrom="margin">
              <wp:align>center</wp:align>
            </wp:positionH>
            <wp:positionV relativeFrom="paragraph">
              <wp:posOffset>0</wp:posOffset>
            </wp:positionV>
            <wp:extent cx="6421925" cy="4434840"/>
            <wp:effectExtent l="0" t="0" r="0" b="3810"/>
            <wp:wrapSquare wrapText="bothSides"/>
            <wp:docPr id="1799026294" name="Picture 3" descr="CARE reaffirms its rating on bank facilities of Vinati Org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RE reaffirms its rating on bank facilities of Vinati Organ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1925" cy="4434840"/>
                    </a:xfrm>
                    <a:prstGeom prst="rect">
                      <a:avLst/>
                    </a:prstGeom>
                    <a:noFill/>
                    <a:ln>
                      <a:noFill/>
                    </a:ln>
                  </pic:spPr>
                </pic:pic>
              </a:graphicData>
            </a:graphic>
          </wp:anchor>
        </w:drawing>
      </w:r>
    </w:p>
    <w:p w14:paraId="5BE278F5" w14:textId="77777777" w:rsidR="00C535D4" w:rsidRPr="00C535D4" w:rsidRDefault="00C535D4" w:rsidP="00C535D4"/>
    <w:p w14:paraId="38CB4310" w14:textId="77777777" w:rsidR="00C535D4" w:rsidRPr="00C535D4" w:rsidRDefault="00C535D4" w:rsidP="00C535D4"/>
    <w:p w14:paraId="5518D8DE" w14:textId="77777777" w:rsidR="00C535D4" w:rsidRPr="00C535D4" w:rsidRDefault="00C535D4" w:rsidP="00C535D4"/>
    <w:p w14:paraId="2727FEBA" w14:textId="7B114694" w:rsidR="00C535D4" w:rsidRPr="00C535D4" w:rsidRDefault="00C535D4" w:rsidP="00C535D4"/>
    <w:p w14:paraId="465C4997" w14:textId="77777777" w:rsidR="00C535D4" w:rsidRPr="00C535D4" w:rsidRDefault="00C535D4" w:rsidP="00C535D4"/>
    <w:p w14:paraId="1358B7A4" w14:textId="77777777" w:rsidR="00C535D4" w:rsidRPr="00C535D4" w:rsidRDefault="00C535D4" w:rsidP="00C535D4"/>
    <w:p w14:paraId="3881C949" w14:textId="77777777" w:rsidR="00C535D4" w:rsidRPr="00C535D4" w:rsidRDefault="00C535D4" w:rsidP="00C535D4"/>
    <w:p w14:paraId="1F93FEC7" w14:textId="77777777" w:rsidR="00C535D4" w:rsidRDefault="00C535D4" w:rsidP="00C535D4"/>
    <w:p w14:paraId="5DEFBE3D" w14:textId="51621635" w:rsidR="00C535D4" w:rsidRDefault="00C535D4" w:rsidP="00C535D4">
      <w:pPr>
        <w:tabs>
          <w:tab w:val="left" w:pos="5801"/>
        </w:tabs>
      </w:pPr>
      <w:r>
        <w:tab/>
      </w:r>
    </w:p>
    <w:p w14:paraId="4194344E" w14:textId="77777777" w:rsidR="00C535D4" w:rsidRDefault="00C535D4" w:rsidP="00C535D4">
      <w:pPr>
        <w:tabs>
          <w:tab w:val="left" w:pos="5801"/>
        </w:tabs>
      </w:pPr>
    </w:p>
    <w:p w14:paraId="1C596B2B" w14:textId="77777777" w:rsidR="007D6525" w:rsidRDefault="007D6525" w:rsidP="007D6525">
      <w:pPr>
        <w:tabs>
          <w:tab w:val="left" w:pos="5801"/>
        </w:tabs>
        <w:jc w:val="both"/>
      </w:pPr>
    </w:p>
    <w:p w14:paraId="6623E8D1" w14:textId="77777777" w:rsidR="007D6525" w:rsidRDefault="007D6525" w:rsidP="007D6525">
      <w:pPr>
        <w:tabs>
          <w:tab w:val="left" w:pos="5801"/>
        </w:tabs>
        <w:jc w:val="both"/>
      </w:pPr>
    </w:p>
    <w:p w14:paraId="280CCD6B" w14:textId="77777777" w:rsidR="007D6525" w:rsidRDefault="007D6525" w:rsidP="007D6525">
      <w:pPr>
        <w:tabs>
          <w:tab w:val="left" w:pos="5801"/>
        </w:tabs>
        <w:jc w:val="both"/>
      </w:pPr>
    </w:p>
    <w:p w14:paraId="137D6F2B" w14:textId="048F4C48" w:rsidR="00EB63D9" w:rsidRPr="00F46505" w:rsidRDefault="005D2ECA" w:rsidP="007D6525">
      <w:pPr>
        <w:pStyle w:val="ListParagraph"/>
        <w:numPr>
          <w:ilvl w:val="0"/>
          <w:numId w:val="1"/>
        </w:numPr>
        <w:tabs>
          <w:tab w:val="left" w:pos="5801"/>
        </w:tabs>
        <w:jc w:val="both"/>
        <w:rPr>
          <w:rFonts w:ascii="Times New Roman" w:hAnsi="Times New Roman" w:cs="Times New Roman"/>
          <w:b/>
          <w:bCs/>
          <w:i/>
          <w:iCs/>
          <w:u w:val="single"/>
        </w:rPr>
      </w:pPr>
      <w:r w:rsidRPr="00F46505">
        <w:rPr>
          <w:rFonts w:ascii="Times New Roman" w:hAnsi="Times New Roman" w:cs="Times New Roman"/>
          <w:b/>
          <w:bCs/>
          <w:i/>
          <w:iCs/>
          <w:noProof/>
          <w:color w:val="538135" w:themeColor="accent6" w:themeShade="BF"/>
          <w:u w:val="single"/>
        </w:rPr>
        <w:lastRenderedPageBreak/>
        <mc:AlternateContent>
          <mc:Choice Requires="wps">
            <w:drawing>
              <wp:anchor distT="0" distB="0" distL="114300" distR="114300" simplePos="0" relativeHeight="251660800" behindDoc="0" locked="0" layoutInCell="1" allowOverlap="1" wp14:anchorId="49BBBC8B" wp14:editId="31761808">
                <wp:simplePos x="0" y="0"/>
                <wp:positionH relativeFrom="page">
                  <wp:align>left</wp:align>
                </wp:positionH>
                <wp:positionV relativeFrom="paragraph">
                  <wp:posOffset>-914400</wp:posOffset>
                </wp:positionV>
                <wp:extent cx="7550059" cy="529046"/>
                <wp:effectExtent l="0" t="0" r="13335" b="23495"/>
                <wp:wrapNone/>
                <wp:docPr id="771860016" name="Rectangle 10"/>
                <wp:cNvGraphicFramePr/>
                <a:graphic xmlns:a="http://schemas.openxmlformats.org/drawingml/2006/main">
                  <a:graphicData uri="http://schemas.microsoft.com/office/word/2010/wordprocessingShape">
                    <wps:wsp>
                      <wps:cNvSpPr/>
                      <wps:spPr>
                        <a:xfrm>
                          <a:off x="0" y="0"/>
                          <a:ext cx="7550059" cy="529046"/>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261ED4" w14:textId="6B82A8A1" w:rsidR="005D2ECA" w:rsidRPr="005D2ECA" w:rsidRDefault="005D2ECA" w:rsidP="005D2ECA">
                            <w:pPr>
                              <w:rPr>
                                <w:rFonts w:ascii="Times New Roman" w:hAnsi="Times New Roman" w:cs="Times New Roman"/>
                                <w:b/>
                                <w:bCs/>
                                <w:lang w:val="en-US"/>
                              </w:rPr>
                            </w:pPr>
                            <w:r w:rsidRPr="005D2ECA">
                              <w:rPr>
                                <w:rFonts w:ascii="Times New Roman" w:hAnsi="Times New Roman" w:cs="Times New Roman"/>
                                <w:b/>
                                <w:bCs/>
                                <w:lang w:val="en-US"/>
                              </w:rPr>
                              <w:t xml:space="preserve">Vinati Organics </w:t>
                            </w:r>
                            <w:r w:rsidR="007D6525">
                              <w:rPr>
                                <w:rFonts w:ascii="Times New Roman" w:hAnsi="Times New Roman" w:cs="Times New Roman"/>
                                <w:b/>
                                <w:bCs/>
                                <w:lang w:val="en-US"/>
                              </w:rPr>
                              <w:t xml:space="preserve"> </w:t>
                            </w:r>
                          </w:p>
                          <w:p w14:paraId="346F91E6" w14:textId="130938CF" w:rsidR="005D2ECA" w:rsidRPr="005D2ECA" w:rsidRDefault="005D2ECA" w:rsidP="005D2ECA">
                            <w:pPr>
                              <w:rPr>
                                <w:rFonts w:ascii="Times New Roman" w:hAnsi="Times New Roman" w:cs="Times New Roman"/>
                                <w:i/>
                                <w:iCs/>
                                <w:lang w:val="en-US"/>
                              </w:rPr>
                            </w:pPr>
                            <w:r w:rsidRPr="005D2ECA">
                              <w:rPr>
                                <w:rFonts w:ascii="Times New Roman" w:hAnsi="Times New Roman" w:cs="Times New Roman"/>
                                <w:i/>
                                <w:iCs/>
                                <w:lang w:val="en-US"/>
                              </w:rPr>
                              <w:t xml:space="preserve">Overview and Summary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BBC8B" id="Rectangle 10" o:spid="_x0000_s1027" style="position:absolute;left:0;text-align:left;margin-left:0;margin-top:-1in;width:594.5pt;height:41.65pt;z-index:251660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" fillcolor="#70ad47 [3209]" strokecolor="#09101d [484]" strokeweight="1pt">
                <v:textbox>
                  <w:txbxContent>
                    <w:p w14:paraId="32261ED4" w14:textId="6B82A8A1" w:rsidR="005D2ECA" w:rsidRPr="005D2ECA" w:rsidRDefault="005D2ECA" w:rsidP="005D2ECA">
                      <w:pPr>
                        <w:rPr>
                          <w:rFonts w:ascii="Times New Roman" w:hAnsi="Times New Roman" w:cs="Times New Roman"/>
                          <w:b/>
                          <w:bCs/>
                          <w:lang w:val="en-US"/>
                        </w:rPr>
                      </w:pPr>
                      <w:r w:rsidRPr="005D2ECA">
                        <w:rPr>
                          <w:rFonts w:ascii="Times New Roman" w:hAnsi="Times New Roman" w:cs="Times New Roman"/>
                          <w:b/>
                          <w:bCs/>
                          <w:lang w:val="en-US"/>
                        </w:rPr>
                        <w:t xml:space="preserve">Vinati Organics </w:t>
                      </w:r>
                      <w:r w:rsidR="007D6525">
                        <w:rPr>
                          <w:rFonts w:ascii="Times New Roman" w:hAnsi="Times New Roman" w:cs="Times New Roman"/>
                          <w:b/>
                          <w:bCs/>
                          <w:lang w:val="en-US"/>
                        </w:rPr>
                        <w:t xml:space="preserve"> </w:t>
                      </w:r>
                    </w:p>
                    <w:p w14:paraId="346F91E6" w14:textId="130938CF" w:rsidR="005D2ECA" w:rsidRPr="005D2ECA" w:rsidRDefault="005D2ECA" w:rsidP="005D2ECA">
                      <w:pPr>
                        <w:rPr>
                          <w:rFonts w:ascii="Times New Roman" w:hAnsi="Times New Roman" w:cs="Times New Roman"/>
                          <w:i/>
                          <w:iCs/>
                          <w:lang w:val="en-US"/>
                        </w:rPr>
                      </w:pPr>
                      <w:r w:rsidRPr="005D2ECA">
                        <w:rPr>
                          <w:rFonts w:ascii="Times New Roman" w:hAnsi="Times New Roman" w:cs="Times New Roman"/>
                          <w:i/>
                          <w:iCs/>
                          <w:lang w:val="en-US"/>
                        </w:rPr>
                        <w:t xml:space="preserve">Overview and Summary </w:t>
                      </w:r>
                    </w:p>
                  </w:txbxContent>
                </v:textbox>
                <w10:wrap anchorx="page"/>
              </v:rect>
            </w:pict>
          </mc:Fallback>
        </mc:AlternateContent>
      </w:r>
      <w:r w:rsidR="00EB63D9" w:rsidRPr="00F46505">
        <w:rPr>
          <w:rFonts w:ascii="Times New Roman" w:hAnsi="Times New Roman" w:cs="Times New Roman"/>
          <w:b/>
          <w:bCs/>
          <w:i/>
          <w:iCs/>
          <w:color w:val="538135" w:themeColor="accent6" w:themeShade="BF"/>
          <w:u w:val="single"/>
        </w:rPr>
        <w:t>Financing Environment for Indian LBO’s</w:t>
      </w:r>
    </w:p>
    <w:p w14:paraId="79A7BAC4" w14:textId="48417DA1" w:rsidR="007D6525" w:rsidRPr="00F46505" w:rsidRDefault="007D6525" w:rsidP="00EB63D9">
      <w:pPr>
        <w:pStyle w:val="ListParagraph"/>
        <w:tabs>
          <w:tab w:val="left" w:pos="5801"/>
        </w:tabs>
        <w:ind w:left="360"/>
        <w:jc w:val="both"/>
        <w:rPr>
          <w:rFonts w:ascii="Times New Roman" w:hAnsi="Times New Roman" w:cs="Times New Roman"/>
          <w:sz w:val="20"/>
          <w:szCs w:val="20"/>
        </w:rPr>
      </w:pPr>
      <w:r w:rsidRPr="00F46505">
        <w:rPr>
          <w:rFonts w:ascii="Times New Roman" w:hAnsi="Times New Roman" w:cs="Times New Roman"/>
          <w:sz w:val="20"/>
          <w:szCs w:val="20"/>
        </w:rPr>
        <w:t>The conservative nature of the Indian banking sector significantly constrains the financing of mergers and acquisitions, as the regulatory framework only permits banks to provide indirect financing via project financing or working capital loans rather than direct acquisition financing. This compels Indian acquirers to rely on private credit, non-banking financial institutions (NBFCs), offshore financing, or ultimately the bond market to fund their acquisitions, all of which generally come at a higher cost of capital.</w:t>
      </w:r>
    </w:p>
    <w:p w14:paraId="18C6CE45" w14:textId="77777777" w:rsidR="007D6525" w:rsidRDefault="007D6525" w:rsidP="007D6525">
      <w:pPr>
        <w:tabs>
          <w:tab w:val="left" w:pos="5801"/>
        </w:tabs>
        <w:jc w:val="both"/>
        <w:rPr>
          <w:rFonts w:ascii="Times New Roman" w:hAnsi="Times New Roman" w:cs="Times New Roman"/>
        </w:rPr>
      </w:pPr>
    </w:p>
    <w:p w14:paraId="379B5F23" w14:textId="5E9D830D" w:rsidR="003A236D" w:rsidRDefault="00F46505" w:rsidP="00F46505">
      <w:pPr>
        <w:pStyle w:val="ListParagraph"/>
        <w:numPr>
          <w:ilvl w:val="0"/>
          <w:numId w:val="1"/>
        </w:numPr>
        <w:tabs>
          <w:tab w:val="left" w:pos="5801"/>
        </w:tabs>
        <w:jc w:val="both"/>
        <w:rPr>
          <w:rFonts w:ascii="Times New Roman" w:hAnsi="Times New Roman" w:cs="Times New Roman"/>
          <w:b/>
          <w:bCs/>
          <w:i/>
          <w:iCs/>
          <w:color w:val="538135" w:themeColor="accent6" w:themeShade="BF"/>
          <w:u w:val="single"/>
        </w:rPr>
      </w:pPr>
      <w:r w:rsidRPr="00F46505">
        <w:rPr>
          <w:rFonts w:ascii="Times New Roman" w:hAnsi="Times New Roman" w:cs="Times New Roman"/>
          <w:b/>
          <w:bCs/>
          <w:i/>
          <w:iCs/>
          <w:color w:val="538135" w:themeColor="accent6" w:themeShade="BF"/>
          <w:u w:val="single"/>
        </w:rPr>
        <w:t xml:space="preserve">Scope for </w:t>
      </w:r>
      <w:proofErr w:type="gramStart"/>
      <w:r w:rsidRPr="00F46505">
        <w:rPr>
          <w:rFonts w:ascii="Times New Roman" w:hAnsi="Times New Roman" w:cs="Times New Roman"/>
          <w:b/>
          <w:bCs/>
          <w:i/>
          <w:iCs/>
          <w:color w:val="538135" w:themeColor="accent6" w:themeShade="BF"/>
          <w:u w:val="single"/>
        </w:rPr>
        <w:t>LBO’s</w:t>
      </w:r>
      <w:proofErr w:type="gramEnd"/>
      <w:r w:rsidRPr="00F46505">
        <w:rPr>
          <w:rFonts w:ascii="Times New Roman" w:hAnsi="Times New Roman" w:cs="Times New Roman"/>
          <w:b/>
          <w:bCs/>
          <w:i/>
          <w:iCs/>
          <w:color w:val="538135" w:themeColor="accent6" w:themeShade="BF"/>
          <w:u w:val="single"/>
        </w:rPr>
        <w:t xml:space="preserve"> in the Indian Speciality Chemical Secto</w:t>
      </w:r>
      <w:r w:rsidR="003A236D">
        <w:rPr>
          <w:rFonts w:ascii="Times New Roman" w:hAnsi="Times New Roman" w:cs="Times New Roman"/>
          <w:b/>
          <w:bCs/>
          <w:i/>
          <w:iCs/>
          <w:color w:val="538135" w:themeColor="accent6" w:themeShade="BF"/>
          <w:u w:val="single"/>
        </w:rPr>
        <w:t>r</w:t>
      </w:r>
    </w:p>
    <w:p w14:paraId="7857C311" w14:textId="77777777" w:rsidR="003A236D" w:rsidRDefault="00F46505" w:rsidP="003A236D">
      <w:pPr>
        <w:pStyle w:val="ListParagraph"/>
        <w:tabs>
          <w:tab w:val="left" w:pos="5801"/>
        </w:tabs>
        <w:ind w:left="360"/>
        <w:jc w:val="both"/>
        <w:rPr>
          <w:rFonts w:ascii="Times New Roman" w:hAnsi="Times New Roman" w:cs="Times New Roman"/>
          <w:sz w:val="20"/>
          <w:szCs w:val="20"/>
        </w:rPr>
      </w:pPr>
      <w:r w:rsidRPr="003A236D">
        <w:rPr>
          <w:rFonts w:ascii="Times New Roman" w:hAnsi="Times New Roman" w:cs="Times New Roman"/>
          <w:sz w:val="20"/>
          <w:szCs w:val="20"/>
        </w:rPr>
        <w:t>Despite these financing constraints, the speciality chemicals segment is one of the more credible hunting grounds for leveraged acquisitions in India today. It is the strongest-performing pillar of the country's broader chemicals industry, running a net trade surplus, and spans sixteen sub-segments that score well on both cost competitiveness and market attractiveness from agrochemicals (a $5.5 billion market growing at an 8.3% CAGR) to food and feed ingredient chemicals (a $3 billion market growing at 7–9% CAGR).</w:t>
      </w:r>
    </w:p>
    <w:p w14:paraId="0168A902" w14:textId="77777777" w:rsidR="003A236D" w:rsidRDefault="003A236D" w:rsidP="003A236D">
      <w:pPr>
        <w:pStyle w:val="ListParagraph"/>
        <w:tabs>
          <w:tab w:val="left" w:pos="5801"/>
        </w:tabs>
        <w:ind w:left="360"/>
        <w:jc w:val="both"/>
        <w:rPr>
          <w:rFonts w:ascii="Times New Roman" w:hAnsi="Times New Roman" w:cs="Times New Roman"/>
          <w:sz w:val="20"/>
          <w:szCs w:val="20"/>
        </w:rPr>
      </w:pPr>
    </w:p>
    <w:p w14:paraId="7F2A20F5" w14:textId="59E3560A" w:rsidR="00F46505" w:rsidRDefault="00F46505" w:rsidP="003A236D">
      <w:pPr>
        <w:pStyle w:val="ListParagraph"/>
        <w:tabs>
          <w:tab w:val="left" w:pos="5801"/>
        </w:tabs>
        <w:ind w:left="360"/>
        <w:jc w:val="both"/>
        <w:rPr>
          <w:rFonts w:ascii="Times New Roman" w:hAnsi="Times New Roman" w:cs="Times New Roman"/>
          <w:sz w:val="20"/>
          <w:szCs w:val="20"/>
        </w:rPr>
      </w:pPr>
      <w:r w:rsidRPr="00F46505">
        <w:rPr>
          <w:rFonts w:ascii="Times New Roman" w:hAnsi="Times New Roman" w:cs="Times New Roman"/>
          <w:sz w:val="20"/>
          <w:szCs w:val="20"/>
        </w:rPr>
        <w:t>Three structural tailwinds make the sector particularly suited to debt-financed buyouts, where lenders need confidence in durable, contracted cash flows:</w:t>
      </w:r>
    </w:p>
    <w:p w14:paraId="556B9A4B" w14:textId="77777777" w:rsidR="003A236D" w:rsidRPr="003A236D" w:rsidRDefault="003A236D" w:rsidP="003A236D">
      <w:pPr>
        <w:pStyle w:val="ListParagraph"/>
        <w:tabs>
          <w:tab w:val="left" w:pos="5801"/>
        </w:tabs>
        <w:ind w:left="360"/>
        <w:jc w:val="both"/>
        <w:rPr>
          <w:rFonts w:ascii="Times New Roman" w:hAnsi="Times New Roman" w:cs="Times New Roman"/>
          <w:b/>
          <w:bCs/>
          <w:i/>
          <w:iCs/>
          <w:color w:val="538135" w:themeColor="accent6" w:themeShade="BF"/>
          <w:u w:val="single"/>
        </w:rPr>
      </w:pPr>
    </w:p>
    <w:p w14:paraId="0E889A1C" w14:textId="01C1D85F" w:rsidR="00F46505" w:rsidRPr="00F46505" w:rsidRDefault="00F46505" w:rsidP="00F46505">
      <w:pPr>
        <w:pStyle w:val="ListParagraph"/>
        <w:numPr>
          <w:ilvl w:val="0"/>
          <w:numId w:val="4"/>
        </w:numPr>
        <w:rPr>
          <w:rFonts w:ascii="Times New Roman" w:hAnsi="Times New Roman" w:cs="Times New Roman"/>
          <w:sz w:val="20"/>
          <w:szCs w:val="20"/>
        </w:rPr>
      </w:pPr>
      <w:r w:rsidRPr="00A14791">
        <w:rPr>
          <w:rFonts w:ascii="Times New Roman" w:hAnsi="Times New Roman" w:cs="Times New Roman"/>
          <w:b/>
          <w:bCs/>
          <w:sz w:val="20"/>
          <w:szCs w:val="20"/>
        </w:rPr>
        <w:t>The China+1 shift</w:t>
      </w:r>
      <w:r w:rsidR="00A14791" w:rsidRPr="00A14791">
        <w:rPr>
          <w:rFonts w:ascii="Times New Roman" w:hAnsi="Times New Roman" w:cs="Times New Roman"/>
          <w:sz w:val="20"/>
          <w:szCs w:val="20"/>
        </w:rPr>
        <w:t xml:space="preserve">- </w:t>
      </w:r>
      <w:r w:rsidRPr="00F46505">
        <w:rPr>
          <w:rFonts w:ascii="Times New Roman" w:hAnsi="Times New Roman" w:cs="Times New Roman"/>
          <w:sz w:val="20"/>
          <w:szCs w:val="20"/>
        </w:rPr>
        <w:t>India is positioned to capture manufacturing diversifying away from China, aided by low manufacturing wages, a lower corporate tax rate, and schemes such as PLI. A modest five-percentage-point shift in global specialty chemicals share from China to India would represent an $8 billion opportunity for Indian players and a full 20% shift could nearly double the size of the domestic industry.</w:t>
      </w:r>
    </w:p>
    <w:p w14:paraId="29DF74E8" w14:textId="77777777" w:rsidR="00F46505" w:rsidRPr="00F46505" w:rsidRDefault="00F46505" w:rsidP="00F46505">
      <w:pPr>
        <w:rPr>
          <w:rFonts w:ascii="Times New Roman" w:hAnsi="Times New Roman" w:cs="Times New Roman"/>
          <w:sz w:val="20"/>
          <w:szCs w:val="20"/>
        </w:rPr>
      </w:pPr>
    </w:p>
    <w:p w14:paraId="395EDE67" w14:textId="2D9BF47B" w:rsidR="00F46505" w:rsidRPr="00F46505" w:rsidRDefault="00F46505" w:rsidP="00F46505">
      <w:pPr>
        <w:pStyle w:val="ListParagraph"/>
        <w:numPr>
          <w:ilvl w:val="0"/>
          <w:numId w:val="4"/>
        </w:numPr>
        <w:rPr>
          <w:rFonts w:ascii="Times New Roman" w:hAnsi="Times New Roman" w:cs="Times New Roman"/>
          <w:sz w:val="20"/>
          <w:szCs w:val="20"/>
        </w:rPr>
      </w:pPr>
      <w:r w:rsidRPr="00A14791">
        <w:rPr>
          <w:rFonts w:ascii="Times New Roman" w:hAnsi="Times New Roman" w:cs="Times New Roman"/>
          <w:b/>
          <w:bCs/>
          <w:sz w:val="20"/>
          <w:szCs w:val="20"/>
        </w:rPr>
        <w:t>CRAMS (Contract Research and Manufacturing Services)</w:t>
      </w:r>
      <w:r w:rsidR="00A14791">
        <w:rPr>
          <w:rFonts w:ascii="Times New Roman" w:hAnsi="Times New Roman" w:cs="Times New Roman"/>
          <w:sz w:val="20"/>
          <w:szCs w:val="20"/>
        </w:rPr>
        <w:t>-</w:t>
      </w:r>
      <w:r w:rsidRPr="00F46505">
        <w:rPr>
          <w:rFonts w:ascii="Times New Roman" w:hAnsi="Times New Roman" w:cs="Times New Roman"/>
          <w:sz w:val="20"/>
          <w:szCs w:val="20"/>
        </w:rPr>
        <w:t xml:space="preserve"> What began as a pharmaceutical stronghold has spread to agrochemicals, with firms like PI Industries, SRF, Navin Fluorine, and Anupam </w:t>
      </w:r>
      <w:proofErr w:type="spellStart"/>
      <w:r w:rsidRPr="00F46505">
        <w:rPr>
          <w:rFonts w:ascii="Times New Roman" w:hAnsi="Times New Roman" w:cs="Times New Roman"/>
          <w:sz w:val="20"/>
          <w:szCs w:val="20"/>
        </w:rPr>
        <w:t>Rasayan</w:t>
      </w:r>
      <w:proofErr w:type="spellEnd"/>
      <w:r w:rsidRPr="00F46505">
        <w:rPr>
          <w:rFonts w:ascii="Times New Roman" w:hAnsi="Times New Roman" w:cs="Times New Roman"/>
          <w:sz w:val="20"/>
          <w:szCs w:val="20"/>
        </w:rPr>
        <w:t xml:space="preserve"> building decade-long track records with global clients. The Indian CRAMS market, valued at roughly $21 billion in 2023, is projected to reach $35.1 billion by 2028</w:t>
      </w:r>
      <w:r w:rsidR="00A14791">
        <w:rPr>
          <w:rFonts w:ascii="Times New Roman" w:hAnsi="Times New Roman" w:cs="Times New Roman"/>
          <w:sz w:val="20"/>
          <w:szCs w:val="20"/>
        </w:rPr>
        <w:t xml:space="preserve">, </w:t>
      </w:r>
      <w:r w:rsidRPr="00F46505">
        <w:rPr>
          <w:rFonts w:ascii="Times New Roman" w:hAnsi="Times New Roman" w:cs="Times New Roman"/>
          <w:sz w:val="20"/>
          <w:szCs w:val="20"/>
        </w:rPr>
        <w:t>a 10.8% CAGR</w:t>
      </w:r>
      <w:r w:rsidR="00A14791">
        <w:rPr>
          <w:rFonts w:ascii="Times New Roman" w:hAnsi="Times New Roman" w:cs="Times New Roman"/>
          <w:sz w:val="20"/>
          <w:szCs w:val="20"/>
        </w:rPr>
        <w:t>,</w:t>
      </w:r>
      <w:r w:rsidR="00925A36">
        <w:rPr>
          <w:rFonts w:ascii="Times New Roman" w:hAnsi="Times New Roman" w:cs="Times New Roman"/>
          <w:sz w:val="20"/>
          <w:szCs w:val="20"/>
        </w:rPr>
        <w:t xml:space="preserve"> </w:t>
      </w:r>
      <w:r w:rsidRPr="00F46505">
        <w:rPr>
          <w:rFonts w:ascii="Times New Roman" w:hAnsi="Times New Roman" w:cs="Times New Roman"/>
          <w:sz w:val="20"/>
          <w:szCs w:val="20"/>
        </w:rPr>
        <w:t>driven by process expertise, cost efficiency, and IP protection that generate recurring, sticky business.</w:t>
      </w:r>
    </w:p>
    <w:p w14:paraId="63F2D0D4" w14:textId="77777777" w:rsidR="00F46505" w:rsidRPr="00F46505" w:rsidRDefault="00F46505" w:rsidP="00F46505">
      <w:pPr>
        <w:rPr>
          <w:rFonts w:ascii="Times New Roman" w:hAnsi="Times New Roman" w:cs="Times New Roman"/>
          <w:sz w:val="20"/>
          <w:szCs w:val="20"/>
        </w:rPr>
      </w:pPr>
    </w:p>
    <w:p w14:paraId="3EBFA802" w14:textId="58A8CA17" w:rsidR="00F46505" w:rsidRPr="00F46505" w:rsidRDefault="00F46505" w:rsidP="00F46505">
      <w:pPr>
        <w:pStyle w:val="ListParagraph"/>
        <w:numPr>
          <w:ilvl w:val="0"/>
          <w:numId w:val="4"/>
        </w:numPr>
        <w:rPr>
          <w:rFonts w:ascii="Times New Roman" w:hAnsi="Times New Roman" w:cs="Times New Roman"/>
          <w:sz w:val="20"/>
          <w:szCs w:val="20"/>
        </w:rPr>
      </w:pPr>
      <w:r w:rsidRPr="00A14791">
        <w:rPr>
          <w:rFonts w:ascii="Times New Roman" w:hAnsi="Times New Roman" w:cs="Times New Roman"/>
          <w:b/>
          <w:bCs/>
          <w:sz w:val="20"/>
          <w:szCs w:val="20"/>
        </w:rPr>
        <w:t>Policy and sustainability tailwinds</w:t>
      </w:r>
      <w:r w:rsidR="00A14791">
        <w:rPr>
          <w:rFonts w:ascii="Times New Roman" w:hAnsi="Times New Roman" w:cs="Times New Roman"/>
          <w:sz w:val="20"/>
          <w:szCs w:val="20"/>
        </w:rPr>
        <w:t xml:space="preserve">- </w:t>
      </w:r>
      <w:r w:rsidRPr="00F46505">
        <w:rPr>
          <w:rFonts w:ascii="Times New Roman" w:hAnsi="Times New Roman" w:cs="Times New Roman"/>
          <w:sz w:val="20"/>
          <w:szCs w:val="20"/>
        </w:rPr>
        <w:t xml:space="preserve">100% FDI is permitted in chemicals, and the sector is being pushed toward green chemistry and net-zero commitments (by 2070), creating both funding support (e.g., PLI for green hydrogen and ammonia) and a runway of capex-driven, high-barrier-to-entry </w:t>
      </w:r>
      <w:proofErr w:type="gramStart"/>
      <w:r w:rsidRPr="00F46505">
        <w:rPr>
          <w:rFonts w:ascii="Times New Roman" w:hAnsi="Times New Roman" w:cs="Times New Roman"/>
          <w:sz w:val="20"/>
          <w:szCs w:val="20"/>
        </w:rPr>
        <w:t xml:space="preserve">projects </w:t>
      </w:r>
      <w:r w:rsidR="00925A36">
        <w:rPr>
          <w:rFonts w:ascii="Times New Roman" w:hAnsi="Times New Roman" w:cs="Times New Roman"/>
          <w:sz w:val="20"/>
          <w:szCs w:val="20"/>
        </w:rPr>
        <w:t>,</w:t>
      </w:r>
      <w:proofErr w:type="gramEnd"/>
      <w:r w:rsidR="00925A36">
        <w:rPr>
          <w:rFonts w:ascii="Times New Roman" w:hAnsi="Times New Roman" w:cs="Times New Roman"/>
          <w:sz w:val="20"/>
          <w:szCs w:val="20"/>
        </w:rPr>
        <w:t xml:space="preserve"> </w:t>
      </w:r>
      <w:r w:rsidRPr="00F46505">
        <w:rPr>
          <w:rFonts w:ascii="Times New Roman" w:hAnsi="Times New Roman" w:cs="Times New Roman"/>
          <w:sz w:val="20"/>
          <w:szCs w:val="20"/>
        </w:rPr>
        <w:t>exactly the kind of asset base that can support leverage.</w:t>
      </w:r>
    </w:p>
    <w:p w14:paraId="2D7858E3" w14:textId="77777777" w:rsidR="00F46505" w:rsidRPr="00F46505" w:rsidRDefault="00F46505" w:rsidP="00F46505">
      <w:pPr>
        <w:pStyle w:val="ListParagraph"/>
        <w:rPr>
          <w:rFonts w:ascii="Times New Roman" w:hAnsi="Times New Roman" w:cs="Times New Roman"/>
          <w:sz w:val="20"/>
          <w:szCs w:val="20"/>
        </w:rPr>
      </w:pPr>
    </w:p>
    <w:p w14:paraId="0D73C5CF" w14:textId="77777777" w:rsidR="00F46505" w:rsidRPr="00F46505" w:rsidRDefault="00F46505" w:rsidP="00F46505">
      <w:pPr>
        <w:pStyle w:val="ListParagraph"/>
        <w:rPr>
          <w:rFonts w:ascii="Times New Roman" w:hAnsi="Times New Roman" w:cs="Times New Roman"/>
          <w:sz w:val="20"/>
          <w:szCs w:val="20"/>
        </w:rPr>
      </w:pPr>
    </w:p>
    <w:p w14:paraId="599D3229" w14:textId="5F2A0266" w:rsidR="00F46505" w:rsidRDefault="00F46505" w:rsidP="00F46505">
      <w:pPr>
        <w:rPr>
          <w:rFonts w:ascii="Times New Roman" w:hAnsi="Times New Roman" w:cs="Times New Roman"/>
          <w:b/>
          <w:bCs/>
          <w:sz w:val="20"/>
          <w:szCs w:val="20"/>
        </w:rPr>
      </w:pPr>
      <w:r w:rsidRPr="00F46505">
        <w:rPr>
          <w:rFonts w:ascii="Times New Roman" w:hAnsi="Times New Roman" w:cs="Times New Roman"/>
          <w:sz w:val="20"/>
          <w:szCs w:val="20"/>
        </w:rPr>
        <w:t xml:space="preserve">These dynamics </w:t>
      </w:r>
      <w:r w:rsidR="003A236D">
        <w:rPr>
          <w:rFonts w:ascii="Times New Roman" w:hAnsi="Times New Roman" w:cs="Times New Roman"/>
          <w:sz w:val="20"/>
          <w:szCs w:val="20"/>
        </w:rPr>
        <w:t xml:space="preserve">of the </w:t>
      </w:r>
      <w:r w:rsidRPr="00F46505">
        <w:rPr>
          <w:rFonts w:ascii="Times New Roman" w:hAnsi="Times New Roman" w:cs="Times New Roman"/>
          <w:sz w:val="20"/>
          <w:szCs w:val="20"/>
        </w:rPr>
        <w:t xml:space="preserve">recurring revenue, high switching costs from long-qualification-cycle contracts, and capital intensity that discourages new entrants are the same </w:t>
      </w:r>
      <w:r w:rsidR="003A236D">
        <w:rPr>
          <w:rFonts w:ascii="Times New Roman" w:hAnsi="Times New Roman" w:cs="Times New Roman"/>
          <w:sz w:val="20"/>
          <w:szCs w:val="20"/>
        </w:rPr>
        <w:t xml:space="preserve">characteristics </w:t>
      </w:r>
      <w:r w:rsidRPr="00F46505">
        <w:rPr>
          <w:rFonts w:ascii="Times New Roman" w:hAnsi="Times New Roman" w:cs="Times New Roman"/>
          <w:sz w:val="20"/>
          <w:szCs w:val="20"/>
        </w:rPr>
        <w:t xml:space="preserve">private equity looks for in an LBO candidate: </w:t>
      </w:r>
      <w:r w:rsidRPr="003A236D">
        <w:rPr>
          <w:rFonts w:ascii="Times New Roman" w:hAnsi="Times New Roman" w:cs="Times New Roman"/>
          <w:b/>
          <w:bCs/>
          <w:sz w:val="20"/>
          <w:szCs w:val="20"/>
        </w:rPr>
        <w:t>predictable cash flow that can service debt, and a moat that protects margins through a leveraged holding period.</w:t>
      </w:r>
    </w:p>
    <w:p w14:paraId="7007BFF0" w14:textId="77777777" w:rsidR="003A236D" w:rsidRDefault="003A236D" w:rsidP="00F46505">
      <w:pPr>
        <w:rPr>
          <w:rFonts w:ascii="Times New Roman" w:hAnsi="Times New Roman" w:cs="Times New Roman"/>
          <w:b/>
          <w:bCs/>
          <w:sz w:val="20"/>
          <w:szCs w:val="20"/>
        </w:rPr>
      </w:pPr>
    </w:p>
    <w:p w14:paraId="01290AC7" w14:textId="77777777" w:rsidR="003A236D" w:rsidRDefault="003A236D" w:rsidP="003A236D">
      <w:pPr>
        <w:pStyle w:val="ListParagraph"/>
        <w:numPr>
          <w:ilvl w:val="0"/>
          <w:numId w:val="1"/>
        </w:numPr>
        <w:rPr>
          <w:rFonts w:ascii="Times New Roman" w:hAnsi="Times New Roman" w:cs="Times New Roman"/>
          <w:b/>
          <w:bCs/>
          <w:i/>
          <w:iCs/>
          <w:color w:val="388600"/>
          <w:u w:val="single"/>
        </w:rPr>
      </w:pPr>
      <w:r w:rsidRPr="003A236D">
        <w:rPr>
          <w:rFonts w:ascii="Times New Roman" w:hAnsi="Times New Roman" w:cs="Times New Roman"/>
          <w:b/>
          <w:bCs/>
          <w:i/>
          <w:iCs/>
          <w:color w:val="388600"/>
          <w:u w:val="single"/>
        </w:rPr>
        <w:t>About Vinati Organic</w:t>
      </w:r>
      <w:r>
        <w:rPr>
          <w:rFonts w:ascii="Times New Roman" w:hAnsi="Times New Roman" w:cs="Times New Roman"/>
          <w:b/>
          <w:bCs/>
          <w:i/>
          <w:iCs/>
          <w:color w:val="388600"/>
          <w:u w:val="single"/>
        </w:rPr>
        <w:t>s</w:t>
      </w:r>
    </w:p>
    <w:p w14:paraId="3CB8C0B0" w14:textId="3287071F" w:rsidR="003A236D" w:rsidRPr="003A236D" w:rsidRDefault="003A236D" w:rsidP="003A236D">
      <w:pPr>
        <w:pStyle w:val="ListParagraph"/>
        <w:ind w:left="360"/>
        <w:rPr>
          <w:rFonts w:ascii="Times New Roman" w:hAnsi="Times New Roman" w:cs="Times New Roman"/>
          <w:b/>
          <w:bCs/>
          <w:i/>
          <w:iCs/>
          <w:color w:val="388600"/>
          <w:u w:val="single"/>
        </w:rPr>
      </w:pPr>
      <w:r w:rsidRPr="003A236D">
        <w:rPr>
          <w:rFonts w:ascii="Times New Roman" w:hAnsi="Times New Roman" w:cs="Times New Roman"/>
          <w:sz w:val="20"/>
          <w:szCs w:val="20"/>
        </w:rPr>
        <w:t>Vinati Organics Limited (VOL) is a fitting case study. Founded in 1989 and headquartered in Maharashtra which itself a state that has actively courted chemicals investment, Vinati has grown from a single-product manufacturer into an integrated specialty chemicals business serving customers across more than 35 countries. It holds the position of the world's largest manufacturer of IBB and ATBS, two key organic intermediates, with roughly 65% global market share in ATBS specifically.</w:t>
      </w:r>
    </w:p>
    <w:p w14:paraId="54A6E68A" w14:textId="77777777" w:rsidR="003A236D" w:rsidRPr="003A236D" w:rsidRDefault="003A236D" w:rsidP="003A236D">
      <w:pPr>
        <w:pStyle w:val="ListParagraph"/>
        <w:ind w:left="360"/>
        <w:rPr>
          <w:rFonts w:ascii="Times New Roman" w:hAnsi="Times New Roman" w:cs="Times New Roman"/>
          <w:sz w:val="20"/>
          <w:szCs w:val="20"/>
        </w:rPr>
      </w:pPr>
    </w:p>
    <w:p w14:paraId="16C50791" w14:textId="77777777" w:rsidR="003A236D" w:rsidRDefault="003A236D" w:rsidP="003A236D">
      <w:pPr>
        <w:pStyle w:val="ListParagraph"/>
        <w:ind w:left="360"/>
        <w:rPr>
          <w:rFonts w:ascii="Times New Roman" w:hAnsi="Times New Roman" w:cs="Times New Roman"/>
          <w:sz w:val="20"/>
          <w:szCs w:val="20"/>
        </w:rPr>
      </w:pPr>
      <w:r w:rsidRPr="003A236D">
        <w:rPr>
          <w:rFonts w:ascii="Times New Roman" w:hAnsi="Times New Roman" w:cs="Times New Roman"/>
          <w:sz w:val="20"/>
          <w:szCs w:val="20"/>
        </w:rPr>
        <w:t xml:space="preserve">The Company's track record is what makes it interesting from an LBO standpoint: standalone revenue reached ₹2,228 crore in FY 2025-26 (year ended March 2026), with net profit of ₹487.78 crore — up from </w:t>
      </w:r>
      <w:r w:rsidRPr="003A236D">
        <w:rPr>
          <w:rFonts w:ascii="Times New Roman" w:hAnsi="Times New Roman" w:cs="Times New Roman"/>
          <w:sz w:val="20"/>
          <w:szCs w:val="20"/>
        </w:rPr>
        <w:lastRenderedPageBreak/>
        <w:t>₹415.23 crore the prior year. Over the last ten years, revenue has compounded at roughly 14% CAGR and net profit at roughly 20% CAGR, translating into approximately 49x growth in shareholder wealth over that period. As of March 2026, Vinati continues to operate with a debt-to-equity ratio at or near zero, meaning the business remains essentially unlevered and self-funding even after more than three decades of growth.</w:t>
      </w:r>
    </w:p>
    <w:p w14:paraId="38798C2F" w14:textId="77777777" w:rsidR="003A236D" w:rsidRPr="003A236D" w:rsidRDefault="003A236D" w:rsidP="003A236D">
      <w:pPr>
        <w:pStyle w:val="ListParagraph"/>
        <w:ind w:left="360"/>
        <w:rPr>
          <w:rFonts w:ascii="Times New Roman" w:hAnsi="Times New Roman" w:cs="Times New Roman"/>
          <w:sz w:val="20"/>
          <w:szCs w:val="20"/>
        </w:rPr>
      </w:pPr>
    </w:p>
    <w:p w14:paraId="1FC0012C" w14:textId="2414F7AF" w:rsidR="003A236D" w:rsidRPr="003A236D" w:rsidRDefault="003A236D" w:rsidP="003A236D">
      <w:pPr>
        <w:pStyle w:val="ListParagraph"/>
        <w:ind w:left="360"/>
        <w:rPr>
          <w:rFonts w:ascii="Times New Roman" w:hAnsi="Times New Roman" w:cs="Times New Roman"/>
          <w:sz w:val="20"/>
          <w:szCs w:val="20"/>
        </w:rPr>
      </w:pPr>
      <w:r w:rsidRPr="003A236D">
        <w:rPr>
          <w:rFonts w:ascii="Times New Roman" w:hAnsi="Times New Roman" w:cs="Times New Roman"/>
          <w:sz w:val="20"/>
          <w:szCs w:val="20"/>
        </w:rPr>
        <w:t xml:space="preserve">A debt-free, high-margin, structurally advantaged compounder is attractive — but it is also exactly the kind of asset </w:t>
      </w:r>
      <w:proofErr w:type="gramStart"/>
      <w:r w:rsidRPr="003A236D">
        <w:rPr>
          <w:rFonts w:ascii="Times New Roman" w:hAnsi="Times New Roman" w:cs="Times New Roman"/>
          <w:sz w:val="20"/>
          <w:szCs w:val="20"/>
        </w:rPr>
        <w:t>where</w:t>
      </w:r>
      <w:proofErr w:type="gramEnd"/>
      <w:r w:rsidRPr="003A236D">
        <w:rPr>
          <w:rFonts w:ascii="Times New Roman" w:hAnsi="Times New Roman" w:cs="Times New Roman"/>
          <w:sz w:val="20"/>
          <w:szCs w:val="20"/>
        </w:rPr>
        <w:t xml:space="preserve"> paying too much for control (entry multiple) or over-levering the balance sheet can erase the equity case, however good the underlying business is. The following sections walk through the buyout structure </w:t>
      </w:r>
      <w:r w:rsidR="00CB452D" w:rsidRPr="003A236D">
        <w:rPr>
          <w:rFonts w:ascii="Times New Roman" w:hAnsi="Times New Roman" w:cs="Times New Roman"/>
          <w:sz w:val="20"/>
          <w:szCs w:val="20"/>
        </w:rPr>
        <w:t>modelled</w:t>
      </w:r>
      <w:r w:rsidRPr="003A236D">
        <w:rPr>
          <w:rFonts w:ascii="Times New Roman" w:hAnsi="Times New Roman" w:cs="Times New Roman"/>
          <w:sz w:val="20"/>
          <w:szCs w:val="20"/>
        </w:rPr>
        <w:t xml:space="preserve"> — entry pricing, financing mix, and projected cash generation — to test whether the returns justify the price and leverage assumed.</w:t>
      </w:r>
    </w:p>
    <w:p w14:paraId="571934FA" w14:textId="77777777" w:rsidR="003A236D" w:rsidRPr="003A236D" w:rsidRDefault="003A236D" w:rsidP="003A236D">
      <w:pPr>
        <w:pStyle w:val="ListParagraph"/>
        <w:ind w:left="360"/>
        <w:rPr>
          <w:rFonts w:ascii="Times New Roman" w:hAnsi="Times New Roman" w:cs="Times New Roman"/>
          <w:b/>
          <w:bCs/>
          <w:i/>
          <w:iCs/>
          <w:color w:val="388600"/>
          <w:u w:val="single"/>
        </w:rPr>
      </w:pPr>
    </w:p>
    <w:p w14:paraId="508E5E8E" w14:textId="407710C1" w:rsidR="003A236D" w:rsidRDefault="00CB452D" w:rsidP="00F46505">
      <w:pPr>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4656" behindDoc="0" locked="0" layoutInCell="1" allowOverlap="1" wp14:anchorId="1ABA1173" wp14:editId="51539070">
                <wp:simplePos x="0" y="0"/>
                <wp:positionH relativeFrom="margin">
                  <wp:posOffset>165100</wp:posOffset>
                </wp:positionH>
                <wp:positionV relativeFrom="paragraph">
                  <wp:posOffset>3175</wp:posOffset>
                </wp:positionV>
                <wp:extent cx="5737860" cy="1187450"/>
                <wp:effectExtent l="0" t="0" r="15240" b="12700"/>
                <wp:wrapNone/>
                <wp:docPr id="1184036000" name="Rectangle 6"/>
                <wp:cNvGraphicFramePr/>
                <a:graphic xmlns:a="http://schemas.openxmlformats.org/drawingml/2006/main">
                  <a:graphicData uri="http://schemas.microsoft.com/office/word/2010/wordprocessingShape">
                    <wps:wsp>
                      <wps:cNvSpPr/>
                      <wps:spPr>
                        <a:xfrm>
                          <a:off x="0" y="0"/>
                          <a:ext cx="5737860" cy="1187450"/>
                        </a:xfrm>
                        <a:prstGeom prst="rect">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65C93FF3" w14:textId="21024A92" w:rsidR="00CB452D" w:rsidRDefault="00CB452D" w:rsidP="00CB452D">
                            <w:pPr>
                              <w:rPr>
                                <w:rFonts w:ascii="Times New Roman" w:hAnsi="Times New Roman" w:cs="Times New Roman"/>
                                <w:sz w:val="20"/>
                                <w:szCs w:val="20"/>
                                <w:lang w:val="en-US"/>
                              </w:rPr>
                            </w:pPr>
                            <w:r w:rsidRPr="00CB452D">
                              <w:rPr>
                                <w:rFonts w:ascii="Times New Roman" w:hAnsi="Times New Roman" w:cs="Times New Roman"/>
                                <w:b/>
                                <w:bCs/>
                                <w:sz w:val="20"/>
                                <w:szCs w:val="20"/>
                                <w:lang w:val="en-US"/>
                              </w:rPr>
                              <w:t>Methodology –</w:t>
                            </w:r>
                            <w:r w:rsidRPr="00CB452D">
                              <w:rPr>
                                <w:rFonts w:ascii="Times New Roman" w:hAnsi="Times New Roman" w:cs="Times New Roman"/>
                                <w:sz w:val="20"/>
                                <w:szCs w:val="20"/>
                                <w:lang w:val="en-US"/>
                              </w:rPr>
                              <w:t xml:space="preserve"> Vinati Organics is not currently and has never been a part of an actual leveraged buyout. What makes this company stand apart is its capital structure which is essentially debt-free. This report is a hypothetical LBO scenario</w:t>
                            </w:r>
                            <w:r w:rsidR="00B74AEF">
                              <w:rPr>
                                <w:rFonts w:ascii="Times New Roman" w:hAnsi="Times New Roman" w:cs="Times New Roman"/>
                                <w:sz w:val="20"/>
                                <w:szCs w:val="20"/>
                                <w:lang w:val="en-US"/>
                              </w:rPr>
                              <w:t>. Year 0 financials in this report, revenue</w:t>
                            </w:r>
                            <w:r w:rsidR="0099338E">
                              <w:rPr>
                                <w:rFonts w:ascii="Times New Roman" w:hAnsi="Times New Roman" w:cs="Times New Roman"/>
                                <w:sz w:val="20"/>
                                <w:szCs w:val="20"/>
                                <w:lang w:val="en-US"/>
                              </w:rPr>
                              <w:t xml:space="preserve">, EBITDA, EBITDA Margin, D&amp;A, Cap Ex and the entry multiple are Vinati’s actual reported </w:t>
                            </w:r>
                            <w:r w:rsidR="00A656B6">
                              <w:rPr>
                                <w:rFonts w:ascii="Times New Roman" w:hAnsi="Times New Roman" w:cs="Times New Roman"/>
                                <w:sz w:val="20"/>
                                <w:szCs w:val="20"/>
                                <w:lang w:val="en-US"/>
                              </w:rPr>
                              <w:t xml:space="preserve">figures for FY25-26(Year ended March 2026) and it’s trading </w:t>
                            </w:r>
                            <w:r w:rsidR="003B53B4">
                              <w:rPr>
                                <w:rFonts w:ascii="Times New Roman" w:hAnsi="Times New Roman" w:cs="Times New Roman"/>
                                <w:sz w:val="20"/>
                                <w:szCs w:val="20"/>
                                <w:lang w:val="en-US"/>
                              </w:rPr>
                              <w:t xml:space="preserve">multiple is sourced from FY26 results and market data. The leveraged capital structure </w:t>
                            </w:r>
                            <w:r w:rsidR="00C626FD">
                              <w:rPr>
                                <w:rFonts w:ascii="Times New Roman" w:hAnsi="Times New Roman" w:cs="Times New Roman"/>
                                <w:sz w:val="20"/>
                                <w:szCs w:val="20"/>
                                <w:lang w:val="en-US"/>
                              </w:rPr>
                              <w:t xml:space="preserve">and </w:t>
                            </w:r>
                            <w:r w:rsidR="008A15EC">
                              <w:rPr>
                                <w:rFonts w:ascii="Times New Roman" w:hAnsi="Times New Roman" w:cs="Times New Roman"/>
                                <w:sz w:val="20"/>
                                <w:szCs w:val="20"/>
                                <w:lang w:val="en-US"/>
                              </w:rPr>
                              <w:t xml:space="preserve">five year forward operating projections </w:t>
                            </w:r>
                            <w:r w:rsidR="003B53B4">
                              <w:rPr>
                                <w:rFonts w:ascii="Times New Roman" w:hAnsi="Times New Roman" w:cs="Times New Roman"/>
                                <w:sz w:val="20"/>
                                <w:szCs w:val="20"/>
                                <w:lang w:val="en-US"/>
                              </w:rPr>
                              <w:t xml:space="preserve">thus </w:t>
                            </w:r>
                            <w:r w:rsidR="00C626FD">
                              <w:rPr>
                                <w:rFonts w:ascii="Times New Roman" w:hAnsi="Times New Roman" w:cs="Times New Roman"/>
                                <w:sz w:val="20"/>
                                <w:szCs w:val="20"/>
                                <w:lang w:val="en-US"/>
                              </w:rPr>
                              <w:t xml:space="preserve">remain hypothetical and is assumed </w:t>
                            </w:r>
                            <w:r w:rsidR="008A15EC">
                              <w:rPr>
                                <w:rFonts w:ascii="Times New Roman" w:hAnsi="Times New Roman" w:cs="Times New Roman"/>
                                <w:sz w:val="20"/>
                                <w:szCs w:val="20"/>
                                <w:lang w:val="en-US"/>
                              </w:rPr>
                              <w:t xml:space="preserve">solely </w:t>
                            </w:r>
                            <w:r w:rsidR="00C626FD">
                              <w:rPr>
                                <w:rFonts w:ascii="Times New Roman" w:hAnsi="Times New Roman" w:cs="Times New Roman"/>
                                <w:sz w:val="20"/>
                                <w:szCs w:val="20"/>
                                <w:lang w:val="en-US"/>
                              </w:rPr>
                              <w:t xml:space="preserve">for modelling purposes. </w:t>
                            </w:r>
                            <w:r w:rsidR="00F76F69">
                              <w:rPr>
                                <w:rFonts w:ascii="Times New Roman" w:hAnsi="Times New Roman" w:cs="Times New Roman"/>
                                <w:sz w:val="20"/>
                                <w:szCs w:val="20"/>
                                <w:lang w:val="en-US"/>
                              </w:rPr>
                              <w:t xml:space="preserve">This is because, no actual buyout, </w:t>
                            </w:r>
                            <w:r w:rsidR="00BA46EB">
                              <w:rPr>
                                <w:rFonts w:ascii="Times New Roman" w:hAnsi="Times New Roman" w:cs="Times New Roman"/>
                                <w:sz w:val="20"/>
                                <w:szCs w:val="20"/>
                                <w:lang w:val="en-US"/>
                              </w:rPr>
                              <w:t xml:space="preserve">debt financing or management projections exist for this scenario. </w:t>
                            </w:r>
                          </w:p>
                          <w:p w14:paraId="5AB2A40B" w14:textId="77777777" w:rsidR="00CB452D" w:rsidRDefault="00CB452D" w:rsidP="00CB452D">
                            <w:pPr>
                              <w:rPr>
                                <w:rFonts w:ascii="Times New Roman" w:hAnsi="Times New Roman" w:cs="Times New Roman"/>
                                <w:sz w:val="20"/>
                                <w:szCs w:val="20"/>
                                <w:lang w:val="en-US"/>
                              </w:rPr>
                            </w:pPr>
                          </w:p>
                          <w:p w14:paraId="0E596B1F" w14:textId="77777777" w:rsidR="00CB452D" w:rsidRPr="00CB452D" w:rsidRDefault="00CB452D" w:rsidP="00CB452D">
                            <w:pPr>
                              <w:rPr>
                                <w:rFonts w:ascii="Times New Roman" w:hAnsi="Times New Roman" w:cs="Times New Roman"/>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BA1173" id="Rectangle 6" o:spid="_x0000_s1028" style="position:absolute;margin-left:13pt;margin-top:.25pt;width:451.8pt;height:93.5pt;z-index:2516546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" fillcolor="#e2efd9 [665]" strokecolor="#70ad47 [3209]" strokeweight="1pt">
                <v:textbox>
                  <w:txbxContent>
                    <w:p w14:paraId="65C93FF3" w14:textId="21024A92" w:rsidR="00CB452D" w:rsidRDefault="00CB452D" w:rsidP="00CB452D">
                      <w:pPr>
                        <w:rPr>
                          <w:rFonts w:ascii="Times New Roman" w:hAnsi="Times New Roman" w:cs="Times New Roman"/>
                          <w:sz w:val="20"/>
                          <w:szCs w:val="20"/>
                          <w:lang w:val="en-US"/>
                        </w:rPr>
                      </w:pPr>
                      <w:r w:rsidRPr="00CB452D">
                        <w:rPr>
                          <w:rFonts w:ascii="Times New Roman" w:hAnsi="Times New Roman" w:cs="Times New Roman"/>
                          <w:b/>
                          <w:bCs/>
                          <w:sz w:val="20"/>
                          <w:szCs w:val="20"/>
                          <w:lang w:val="en-US"/>
                        </w:rPr>
                        <w:t>Methodology –</w:t>
                      </w:r>
                      <w:r w:rsidRPr="00CB452D">
                        <w:rPr>
                          <w:rFonts w:ascii="Times New Roman" w:hAnsi="Times New Roman" w:cs="Times New Roman"/>
                          <w:sz w:val="20"/>
                          <w:szCs w:val="20"/>
                          <w:lang w:val="en-US"/>
                        </w:rPr>
                        <w:t xml:space="preserve"> Vinati Organics is not currently and has never been a part of an actual leveraged buyout. What makes this company stand apart is its capital structure which is essentially debt-free. This report is a hypothetical LBO scenario</w:t>
                      </w:r>
                      <w:r w:rsidR="00B74AEF">
                        <w:rPr>
                          <w:rFonts w:ascii="Times New Roman" w:hAnsi="Times New Roman" w:cs="Times New Roman"/>
                          <w:sz w:val="20"/>
                          <w:szCs w:val="20"/>
                          <w:lang w:val="en-US"/>
                        </w:rPr>
                        <w:t>. Year 0 financials in this report, revenue</w:t>
                      </w:r>
                      <w:r w:rsidR="0099338E">
                        <w:rPr>
                          <w:rFonts w:ascii="Times New Roman" w:hAnsi="Times New Roman" w:cs="Times New Roman"/>
                          <w:sz w:val="20"/>
                          <w:szCs w:val="20"/>
                          <w:lang w:val="en-US"/>
                        </w:rPr>
                        <w:t xml:space="preserve">, EBITDA, EBITDA Margin, D&amp;A, Cap Ex and the entry multiple are Vinati’s actual reported </w:t>
                      </w:r>
                      <w:r w:rsidR="00A656B6">
                        <w:rPr>
                          <w:rFonts w:ascii="Times New Roman" w:hAnsi="Times New Roman" w:cs="Times New Roman"/>
                          <w:sz w:val="20"/>
                          <w:szCs w:val="20"/>
                          <w:lang w:val="en-US"/>
                        </w:rPr>
                        <w:t xml:space="preserve">figures for FY25-26(Year ended March 2026) and it’s trading </w:t>
                      </w:r>
                      <w:r w:rsidR="003B53B4">
                        <w:rPr>
                          <w:rFonts w:ascii="Times New Roman" w:hAnsi="Times New Roman" w:cs="Times New Roman"/>
                          <w:sz w:val="20"/>
                          <w:szCs w:val="20"/>
                          <w:lang w:val="en-US"/>
                        </w:rPr>
                        <w:t xml:space="preserve">multiple is sourced from FY26 results and market data. The leveraged capital structure </w:t>
                      </w:r>
                      <w:r w:rsidR="00C626FD">
                        <w:rPr>
                          <w:rFonts w:ascii="Times New Roman" w:hAnsi="Times New Roman" w:cs="Times New Roman"/>
                          <w:sz w:val="20"/>
                          <w:szCs w:val="20"/>
                          <w:lang w:val="en-US"/>
                        </w:rPr>
                        <w:t xml:space="preserve">and </w:t>
                      </w:r>
                      <w:r w:rsidR="008A15EC">
                        <w:rPr>
                          <w:rFonts w:ascii="Times New Roman" w:hAnsi="Times New Roman" w:cs="Times New Roman"/>
                          <w:sz w:val="20"/>
                          <w:szCs w:val="20"/>
                          <w:lang w:val="en-US"/>
                        </w:rPr>
                        <w:t xml:space="preserve">five year forward operating projections </w:t>
                      </w:r>
                      <w:r w:rsidR="003B53B4">
                        <w:rPr>
                          <w:rFonts w:ascii="Times New Roman" w:hAnsi="Times New Roman" w:cs="Times New Roman"/>
                          <w:sz w:val="20"/>
                          <w:szCs w:val="20"/>
                          <w:lang w:val="en-US"/>
                        </w:rPr>
                        <w:t xml:space="preserve">thus </w:t>
                      </w:r>
                      <w:r w:rsidR="00C626FD">
                        <w:rPr>
                          <w:rFonts w:ascii="Times New Roman" w:hAnsi="Times New Roman" w:cs="Times New Roman"/>
                          <w:sz w:val="20"/>
                          <w:szCs w:val="20"/>
                          <w:lang w:val="en-US"/>
                        </w:rPr>
                        <w:t xml:space="preserve">remain hypothetical and is assumed </w:t>
                      </w:r>
                      <w:r w:rsidR="008A15EC">
                        <w:rPr>
                          <w:rFonts w:ascii="Times New Roman" w:hAnsi="Times New Roman" w:cs="Times New Roman"/>
                          <w:sz w:val="20"/>
                          <w:szCs w:val="20"/>
                          <w:lang w:val="en-US"/>
                        </w:rPr>
                        <w:t xml:space="preserve">solely </w:t>
                      </w:r>
                      <w:r w:rsidR="00C626FD">
                        <w:rPr>
                          <w:rFonts w:ascii="Times New Roman" w:hAnsi="Times New Roman" w:cs="Times New Roman"/>
                          <w:sz w:val="20"/>
                          <w:szCs w:val="20"/>
                          <w:lang w:val="en-US"/>
                        </w:rPr>
                        <w:t xml:space="preserve">for modelling purposes. </w:t>
                      </w:r>
                      <w:r w:rsidR="00F76F69">
                        <w:rPr>
                          <w:rFonts w:ascii="Times New Roman" w:hAnsi="Times New Roman" w:cs="Times New Roman"/>
                          <w:sz w:val="20"/>
                          <w:szCs w:val="20"/>
                          <w:lang w:val="en-US"/>
                        </w:rPr>
                        <w:t xml:space="preserve">This is because, no actual buyout, </w:t>
                      </w:r>
                      <w:r w:rsidR="00BA46EB">
                        <w:rPr>
                          <w:rFonts w:ascii="Times New Roman" w:hAnsi="Times New Roman" w:cs="Times New Roman"/>
                          <w:sz w:val="20"/>
                          <w:szCs w:val="20"/>
                          <w:lang w:val="en-US"/>
                        </w:rPr>
                        <w:t xml:space="preserve">debt financing or management projections exist for this scenario. </w:t>
                      </w:r>
                    </w:p>
                    <w:p w14:paraId="5AB2A40B" w14:textId="77777777" w:rsidR="00CB452D" w:rsidRDefault="00CB452D" w:rsidP="00CB452D">
                      <w:pPr>
                        <w:rPr>
                          <w:rFonts w:ascii="Times New Roman" w:hAnsi="Times New Roman" w:cs="Times New Roman"/>
                          <w:sz w:val="20"/>
                          <w:szCs w:val="20"/>
                          <w:lang w:val="en-US"/>
                        </w:rPr>
                      </w:pPr>
                    </w:p>
                    <w:p w14:paraId="0E596B1F" w14:textId="77777777" w:rsidR="00CB452D" w:rsidRPr="00CB452D" w:rsidRDefault="00CB452D" w:rsidP="00CB452D">
                      <w:pPr>
                        <w:rPr>
                          <w:rFonts w:ascii="Times New Roman" w:hAnsi="Times New Roman" w:cs="Times New Roman"/>
                          <w:sz w:val="20"/>
                          <w:szCs w:val="20"/>
                          <w:lang w:val="en-US"/>
                        </w:rPr>
                      </w:pPr>
                    </w:p>
                  </w:txbxContent>
                </v:textbox>
                <w10:wrap anchorx="margin"/>
              </v:rect>
            </w:pict>
          </mc:Fallback>
        </mc:AlternateContent>
      </w:r>
    </w:p>
    <w:p w14:paraId="047D1370" w14:textId="3946881C" w:rsidR="003A236D" w:rsidRPr="003A236D" w:rsidRDefault="003A236D" w:rsidP="00F46505">
      <w:pPr>
        <w:rPr>
          <w:rFonts w:ascii="Times New Roman" w:hAnsi="Times New Roman" w:cs="Times New Roman"/>
          <w:b/>
          <w:bCs/>
          <w:sz w:val="20"/>
          <w:szCs w:val="20"/>
        </w:rPr>
      </w:pPr>
    </w:p>
    <w:p w14:paraId="768203AF" w14:textId="3BA4239C" w:rsidR="00F46505" w:rsidRPr="00F46505" w:rsidRDefault="00F46505" w:rsidP="00F46505">
      <w:pPr>
        <w:pStyle w:val="ListParagraph"/>
        <w:tabs>
          <w:tab w:val="left" w:pos="5801"/>
        </w:tabs>
        <w:ind w:left="360"/>
        <w:jc w:val="both"/>
        <w:rPr>
          <w:rFonts w:ascii="Times New Roman" w:hAnsi="Times New Roman" w:cs="Times New Roman"/>
          <w:b/>
          <w:bCs/>
          <w:color w:val="538135" w:themeColor="accent6" w:themeShade="BF"/>
          <w:u w:val="single"/>
        </w:rPr>
      </w:pPr>
    </w:p>
    <w:p w14:paraId="46FE6D51" w14:textId="4ED44565" w:rsidR="00F46505" w:rsidRDefault="00F46505" w:rsidP="00F46505">
      <w:pPr>
        <w:pStyle w:val="ListParagraph"/>
        <w:tabs>
          <w:tab w:val="left" w:pos="5801"/>
        </w:tabs>
        <w:ind w:left="360"/>
        <w:jc w:val="both"/>
        <w:rPr>
          <w:rFonts w:ascii="Times New Roman" w:hAnsi="Times New Roman" w:cs="Times New Roman"/>
          <w:b/>
          <w:bCs/>
          <w:i/>
          <w:iCs/>
          <w:color w:val="538135" w:themeColor="accent6" w:themeShade="BF"/>
          <w:u w:val="single"/>
        </w:rPr>
      </w:pPr>
    </w:p>
    <w:p w14:paraId="5F91960A" w14:textId="77777777" w:rsidR="00350E1D" w:rsidRPr="00350E1D" w:rsidRDefault="00350E1D" w:rsidP="00350E1D"/>
    <w:p w14:paraId="01A33718" w14:textId="77777777" w:rsidR="00350E1D" w:rsidRPr="00350E1D" w:rsidRDefault="00350E1D" w:rsidP="00350E1D"/>
    <w:p w14:paraId="2F8CFDDF" w14:textId="77777777" w:rsidR="00350E1D" w:rsidRPr="00350E1D" w:rsidRDefault="00350E1D" w:rsidP="00350E1D"/>
    <w:p w14:paraId="041D8916" w14:textId="77777777" w:rsidR="00350E1D" w:rsidRPr="00350E1D" w:rsidRDefault="00350E1D" w:rsidP="00350E1D"/>
    <w:p w14:paraId="0D666091" w14:textId="77777777" w:rsidR="00350E1D" w:rsidRPr="00350E1D" w:rsidRDefault="00350E1D" w:rsidP="00350E1D"/>
    <w:p w14:paraId="4D1300E0" w14:textId="77777777" w:rsidR="00350E1D" w:rsidRPr="00350E1D" w:rsidRDefault="00350E1D" w:rsidP="00350E1D"/>
    <w:p w14:paraId="68DEB8BD" w14:textId="77777777" w:rsidR="00350E1D" w:rsidRPr="00350E1D" w:rsidRDefault="00350E1D" w:rsidP="00350E1D"/>
    <w:p w14:paraId="246FDBDC" w14:textId="77777777" w:rsidR="00350E1D" w:rsidRPr="00350E1D" w:rsidRDefault="00350E1D" w:rsidP="00350E1D"/>
    <w:p w14:paraId="5C263838" w14:textId="77777777" w:rsidR="00350E1D" w:rsidRPr="00350E1D" w:rsidRDefault="00350E1D" w:rsidP="00350E1D"/>
    <w:p w14:paraId="748141EA" w14:textId="77777777" w:rsidR="00350E1D" w:rsidRPr="00350E1D" w:rsidRDefault="00350E1D" w:rsidP="00350E1D"/>
    <w:p w14:paraId="7FE10985" w14:textId="77777777" w:rsidR="00350E1D" w:rsidRPr="00350E1D" w:rsidRDefault="00350E1D" w:rsidP="00350E1D"/>
    <w:p w14:paraId="1CD71A72" w14:textId="77777777" w:rsidR="00350E1D" w:rsidRPr="00350E1D" w:rsidRDefault="00350E1D" w:rsidP="00350E1D"/>
    <w:p w14:paraId="3D0D68BD" w14:textId="77777777" w:rsidR="00350E1D" w:rsidRPr="00350E1D" w:rsidRDefault="00350E1D" w:rsidP="00350E1D"/>
    <w:p w14:paraId="00BE1445" w14:textId="77777777" w:rsidR="00350E1D" w:rsidRDefault="00350E1D" w:rsidP="00350E1D">
      <w:pPr>
        <w:rPr>
          <w:rFonts w:ascii="Times New Roman" w:hAnsi="Times New Roman" w:cs="Times New Roman"/>
          <w:b/>
          <w:bCs/>
          <w:i/>
          <w:iCs/>
          <w:color w:val="538135" w:themeColor="accent6" w:themeShade="BF"/>
          <w:u w:val="single"/>
        </w:rPr>
      </w:pPr>
    </w:p>
    <w:p w14:paraId="31A53733" w14:textId="2A436F5D" w:rsidR="00350E1D" w:rsidRDefault="00350E1D" w:rsidP="00350E1D">
      <w:pPr>
        <w:tabs>
          <w:tab w:val="left" w:pos="3559"/>
        </w:tabs>
      </w:pPr>
      <w:r>
        <w:tab/>
      </w:r>
    </w:p>
    <w:p w14:paraId="36D30547" w14:textId="77777777" w:rsidR="00350E1D" w:rsidRDefault="00350E1D" w:rsidP="00350E1D">
      <w:pPr>
        <w:tabs>
          <w:tab w:val="left" w:pos="3559"/>
        </w:tabs>
      </w:pPr>
    </w:p>
    <w:p w14:paraId="7D20569C" w14:textId="77777777" w:rsidR="00350E1D" w:rsidRDefault="00350E1D" w:rsidP="00350E1D">
      <w:pPr>
        <w:tabs>
          <w:tab w:val="left" w:pos="3559"/>
        </w:tabs>
      </w:pPr>
    </w:p>
    <w:p w14:paraId="273035FC" w14:textId="77777777" w:rsidR="00350E1D" w:rsidRDefault="00350E1D" w:rsidP="00350E1D">
      <w:pPr>
        <w:tabs>
          <w:tab w:val="left" w:pos="3559"/>
        </w:tabs>
      </w:pPr>
    </w:p>
    <w:p w14:paraId="62971DE0" w14:textId="77777777" w:rsidR="00350E1D" w:rsidRDefault="00350E1D" w:rsidP="00350E1D">
      <w:pPr>
        <w:tabs>
          <w:tab w:val="left" w:pos="3559"/>
        </w:tabs>
      </w:pPr>
    </w:p>
    <w:p w14:paraId="7B38EFC5" w14:textId="77777777" w:rsidR="00350E1D" w:rsidRDefault="00350E1D" w:rsidP="00350E1D">
      <w:pPr>
        <w:tabs>
          <w:tab w:val="left" w:pos="3559"/>
        </w:tabs>
      </w:pPr>
    </w:p>
    <w:p w14:paraId="61285ED5" w14:textId="77777777" w:rsidR="00350E1D" w:rsidRDefault="00350E1D" w:rsidP="00350E1D">
      <w:pPr>
        <w:tabs>
          <w:tab w:val="left" w:pos="3559"/>
        </w:tabs>
      </w:pPr>
    </w:p>
    <w:p w14:paraId="09D7C661" w14:textId="0A0D3504" w:rsidR="00350E1D" w:rsidRDefault="00350E1D" w:rsidP="00350E1D">
      <w:pPr>
        <w:tabs>
          <w:tab w:val="left" w:pos="3559"/>
        </w:tabs>
      </w:pPr>
      <w:r>
        <w:rPr>
          <w:noProof/>
        </w:rPr>
        <w:lastRenderedPageBreak/>
        <mc:AlternateContent>
          <mc:Choice Requires="wps">
            <w:drawing>
              <wp:anchor distT="0" distB="0" distL="114300" distR="114300" simplePos="0" relativeHeight="251661824" behindDoc="0" locked="0" layoutInCell="1" allowOverlap="1" wp14:anchorId="20593A63" wp14:editId="37B78FCE">
                <wp:simplePos x="0" y="0"/>
                <wp:positionH relativeFrom="page">
                  <wp:align>left</wp:align>
                </wp:positionH>
                <wp:positionV relativeFrom="paragraph">
                  <wp:posOffset>-914400</wp:posOffset>
                </wp:positionV>
                <wp:extent cx="7549200" cy="529200"/>
                <wp:effectExtent l="0" t="0" r="13970" b="23495"/>
                <wp:wrapNone/>
                <wp:docPr id="201531470" name="Rectangle 7"/>
                <wp:cNvGraphicFramePr/>
                <a:graphic xmlns:a="http://schemas.openxmlformats.org/drawingml/2006/main">
                  <a:graphicData uri="http://schemas.microsoft.com/office/word/2010/wordprocessingShape">
                    <wps:wsp>
                      <wps:cNvSpPr/>
                      <wps:spPr>
                        <a:xfrm>
                          <a:off x="0" y="0"/>
                          <a:ext cx="7549200" cy="52920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08688E8" w14:textId="77777777" w:rsidR="00A433E0" w:rsidRDefault="00CC486D" w:rsidP="00A433E0">
                            <w:pPr>
                              <w:rPr>
                                <w:rFonts w:ascii="Times New Roman" w:hAnsi="Times New Roman" w:cs="Times New Roman"/>
                                <w:b/>
                                <w:bCs/>
                                <w:lang w:val="en-US"/>
                              </w:rPr>
                            </w:pPr>
                            <w:r w:rsidRPr="00A433E0">
                              <w:rPr>
                                <w:rFonts w:ascii="Times New Roman" w:hAnsi="Times New Roman" w:cs="Times New Roman"/>
                                <w:b/>
                                <w:bCs/>
                                <w:lang w:val="en-US"/>
                              </w:rPr>
                              <w:t xml:space="preserve">Transaction Structure </w:t>
                            </w:r>
                          </w:p>
                          <w:p w14:paraId="4BD82DBC" w14:textId="794393B5" w:rsidR="00CC486D" w:rsidRPr="00A433E0" w:rsidRDefault="00A433E0" w:rsidP="00A433E0">
                            <w:pPr>
                              <w:rPr>
                                <w:rFonts w:ascii="Times New Roman" w:hAnsi="Times New Roman" w:cs="Times New Roman"/>
                                <w:i/>
                                <w:iCs/>
                                <w:lang w:val="en-US"/>
                              </w:rPr>
                            </w:pPr>
                            <w:r w:rsidRPr="00A433E0">
                              <w:rPr>
                                <w:rFonts w:ascii="Times New Roman" w:hAnsi="Times New Roman" w:cs="Times New Roman"/>
                                <w:b/>
                                <w:bCs/>
                                <w:lang w:val="en-US"/>
                              </w:rPr>
                              <w:t xml:space="preserve"> </w:t>
                            </w:r>
                            <w:r w:rsidRPr="00A433E0">
                              <w:rPr>
                                <w:rFonts w:ascii="Times New Roman" w:hAnsi="Times New Roman" w:cs="Times New Roman"/>
                                <w:i/>
                                <w:iCs/>
                                <w:lang w:val="en-US"/>
                              </w:rPr>
                              <w:t xml:space="preserve">Sources and Uses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93A63" id="Rectangle 7" o:spid="_x0000_s1029" style="position:absolute;margin-left:0;margin-top:-1in;width:594.45pt;height:41.65pt;z-index:2516618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" fillcolor="#70ad47 [3209]" strokecolor="#10190a [489]" strokeweight="1pt">
                <v:textbox>
                  <w:txbxContent>
                    <w:p w14:paraId="308688E8" w14:textId="77777777" w:rsidR="00A433E0" w:rsidRDefault="00CC486D" w:rsidP="00A433E0">
                      <w:pPr>
                        <w:rPr>
                          <w:rFonts w:ascii="Times New Roman" w:hAnsi="Times New Roman" w:cs="Times New Roman"/>
                          <w:b/>
                          <w:bCs/>
                          <w:lang w:val="en-US"/>
                        </w:rPr>
                      </w:pPr>
                      <w:r w:rsidRPr="00A433E0">
                        <w:rPr>
                          <w:rFonts w:ascii="Times New Roman" w:hAnsi="Times New Roman" w:cs="Times New Roman"/>
                          <w:b/>
                          <w:bCs/>
                          <w:lang w:val="en-US"/>
                        </w:rPr>
                        <w:t xml:space="preserve">Transaction Structure </w:t>
                      </w:r>
                    </w:p>
                    <w:p w14:paraId="4BD82DBC" w14:textId="794393B5" w:rsidR="00CC486D" w:rsidRPr="00A433E0" w:rsidRDefault="00A433E0" w:rsidP="00A433E0">
                      <w:pPr>
                        <w:rPr>
                          <w:rFonts w:ascii="Times New Roman" w:hAnsi="Times New Roman" w:cs="Times New Roman"/>
                          <w:i/>
                          <w:iCs/>
                          <w:lang w:val="en-US"/>
                        </w:rPr>
                      </w:pPr>
                      <w:r w:rsidRPr="00A433E0">
                        <w:rPr>
                          <w:rFonts w:ascii="Times New Roman" w:hAnsi="Times New Roman" w:cs="Times New Roman"/>
                          <w:b/>
                          <w:bCs/>
                          <w:lang w:val="en-US"/>
                        </w:rPr>
                        <w:t xml:space="preserve"> </w:t>
                      </w:r>
                      <w:r w:rsidRPr="00A433E0">
                        <w:rPr>
                          <w:rFonts w:ascii="Times New Roman" w:hAnsi="Times New Roman" w:cs="Times New Roman"/>
                          <w:i/>
                          <w:iCs/>
                          <w:lang w:val="en-US"/>
                        </w:rPr>
                        <w:t xml:space="preserve">Sources and Uses </w:t>
                      </w:r>
                    </w:p>
                  </w:txbxContent>
                </v:textbox>
                <w10:wrap anchorx="page"/>
              </v:rect>
            </w:pict>
          </mc:Fallback>
        </mc:AlternateContent>
      </w:r>
    </w:p>
    <w:p w14:paraId="0E4EFD3C" w14:textId="77777777" w:rsidR="00F7511A" w:rsidRDefault="00F7511A" w:rsidP="00F7511A"/>
    <w:tbl>
      <w:tblPr>
        <w:tblStyle w:val="TableGrid"/>
        <w:tblW w:w="0" w:type="auto"/>
        <w:tblLook w:val="04A0" w:firstRow="1" w:lastRow="0" w:firstColumn="1" w:lastColumn="0" w:noHBand="0" w:noVBand="1"/>
      </w:tblPr>
      <w:tblGrid>
        <w:gridCol w:w="2254"/>
        <w:gridCol w:w="2254"/>
        <w:gridCol w:w="2254"/>
        <w:gridCol w:w="2254"/>
      </w:tblGrid>
      <w:tr w:rsidR="00DE6056" w14:paraId="2C729CEB" w14:textId="77777777" w:rsidTr="00DE6056">
        <w:tc>
          <w:tcPr>
            <w:tcW w:w="2254" w:type="dxa"/>
          </w:tcPr>
          <w:p w14:paraId="6826A5E5" w14:textId="0F2E157C" w:rsidR="00DE6056" w:rsidRPr="00DE6056" w:rsidRDefault="00DE6056" w:rsidP="00DE6056">
            <w:pPr>
              <w:jc w:val="center"/>
              <w:rPr>
                <w:rFonts w:ascii="Times New Roman" w:hAnsi="Times New Roman" w:cs="Times New Roman"/>
                <w:b/>
                <w:bCs/>
              </w:rPr>
            </w:pPr>
            <w:r w:rsidRPr="00DE6056">
              <w:rPr>
                <w:rFonts w:ascii="Times New Roman" w:hAnsi="Times New Roman" w:cs="Times New Roman"/>
                <w:b/>
                <w:bCs/>
              </w:rPr>
              <w:t>Sources</w:t>
            </w:r>
          </w:p>
        </w:tc>
        <w:tc>
          <w:tcPr>
            <w:tcW w:w="2254" w:type="dxa"/>
          </w:tcPr>
          <w:p w14:paraId="2DB73B80" w14:textId="75FAF788" w:rsidR="00DE6056" w:rsidRPr="00DE6056" w:rsidRDefault="00DE6056" w:rsidP="00DE6056">
            <w:pPr>
              <w:jc w:val="center"/>
              <w:rPr>
                <w:rFonts w:ascii="Times New Roman" w:hAnsi="Times New Roman" w:cs="Times New Roman"/>
                <w:b/>
                <w:bCs/>
              </w:rPr>
            </w:pPr>
            <w:r w:rsidRPr="00DE6056">
              <w:rPr>
                <w:rFonts w:ascii="Times New Roman" w:hAnsi="Times New Roman" w:cs="Times New Roman"/>
                <w:b/>
                <w:bCs/>
              </w:rPr>
              <w:t>Amount</w:t>
            </w:r>
          </w:p>
        </w:tc>
        <w:tc>
          <w:tcPr>
            <w:tcW w:w="2254" w:type="dxa"/>
          </w:tcPr>
          <w:p w14:paraId="69727A42" w14:textId="37F7132B" w:rsidR="00DE6056" w:rsidRPr="00DE6056" w:rsidRDefault="00DE6056" w:rsidP="00DE6056">
            <w:pPr>
              <w:jc w:val="center"/>
              <w:rPr>
                <w:rFonts w:ascii="Times New Roman" w:hAnsi="Times New Roman" w:cs="Times New Roman"/>
                <w:b/>
                <w:bCs/>
              </w:rPr>
            </w:pPr>
            <w:r w:rsidRPr="00DE6056">
              <w:rPr>
                <w:rFonts w:ascii="Times New Roman" w:hAnsi="Times New Roman" w:cs="Times New Roman"/>
                <w:b/>
                <w:bCs/>
              </w:rPr>
              <w:t>XEBITDA</w:t>
            </w:r>
          </w:p>
        </w:tc>
        <w:tc>
          <w:tcPr>
            <w:tcW w:w="2254" w:type="dxa"/>
          </w:tcPr>
          <w:p w14:paraId="67C9313B" w14:textId="1CA72EB7" w:rsidR="00DE6056" w:rsidRPr="00DE6056" w:rsidRDefault="00DE6056" w:rsidP="00DE6056">
            <w:pPr>
              <w:jc w:val="center"/>
              <w:rPr>
                <w:rFonts w:ascii="Times New Roman" w:hAnsi="Times New Roman" w:cs="Times New Roman"/>
                <w:b/>
                <w:bCs/>
              </w:rPr>
            </w:pPr>
            <w:r w:rsidRPr="00DE6056">
              <w:rPr>
                <w:rFonts w:ascii="Times New Roman" w:hAnsi="Times New Roman" w:cs="Times New Roman"/>
                <w:b/>
                <w:bCs/>
              </w:rPr>
              <w:t>% of capital</w:t>
            </w:r>
          </w:p>
        </w:tc>
      </w:tr>
      <w:tr w:rsidR="00DE6056" w14:paraId="5D0B288B" w14:textId="77777777" w:rsidTr="00DE6056">
        <w:tc>
          <w:tcPr>
            <w:tcW w:w="2254" w:type="dxa"/>
          </w:tcPr>
          <w:p w14:paraId="43FAC035" w14:textId="33FD8F10" w:rsidR="00DE6056" w:rsidRDefault="00DE6056" w:rsidP="00314DBC">
            <w:pPr>
              <w:jc w:val="both"/>
            </w:pPr>
            <w:r>
              <w:t xml:space="preserve">Bank Debt </w:t>
            </w:r>
          </w:p>
        </w:tc>
        <w:tc>
          <w:tcPr>
            <w:tcW w:w="2254" w:type="dxa"/>
          </w:tcPr>
          <w:p w14:paraId="05AC8D1F" w14:textId="44980CC4" w:rsidR="00DE6056" w:rsidRDefault="002050E6" w:rsidP="00314DBC">
            <w:pPr>
              <w:jc w:val="right"/>
            </w:pPr>
            <w:r>
              <w:t>30,738</w:t>
            </w:r>
          </w:p>
        </w:tc>
        <w:tc>
          <w:tcPr>
            <w:tcW w:w="2254" w:type="dxa"/>
          </w:tcPr>
          <w:p w14:paraId="47AE85E6" w14:textId="19140677" w:rsidR="00DE6056" w:rsidRDefault="002050E6" w:rsidP="00314DBC">
            <w:pPr>
              <w:jc w:val="right"/>
            </w:pPr>
            <w:r>
              <w:t>4.7x</w:t>
            </w:r>
          </w:p>
        </w:tc>
        <w:tc>
          <w:tcPr>
            <w:tcW w:w="2254" w:type="dxa"/>
          </w:tcPr>
          <w:p w14:paraId="0D53A5C5" w14:textId="61ED5AC1" w:rsidR="00DE6056" w:rsidRDefault="00314DBC" w:rsidP="00314DBC">
            <w:pPr>
              <w:jc w:val="right"/>
            </w:pPr>
            <w:r>
              <w:t>22.8%</w:t>
            </w:r>
          </w:p>
        </w:tc>
      </w:tr>
      <w:tr w:rsidR="00DE6056" w14:paraId="6A0EBB0F" w14:textId="77777777" w:rsidTr="00DE6056">
        <w:tc>
          <w:tcPr>
            <w:tcW w:w="2254" w:type="dxa"/>
          </w:tcPr>
          <w:p w14:paraId="101F3C42" w14:textId="39EACD16" w:rsidR="00DE6056" w:rsidRDefault="00DE6056" w:rsidP="00314DBC">
            <w:pPr>
              <w:jc w:val="both"/>
            </w:pPr>
            <w:r>
              <w:t xml:space="preserve">Senior Notes </w:t>
            </w:r>
          </w:p>
        </w:tc>
        <w:tc>
          <w:tcPr>
            <w:tcW w:w="2254" w:type="dxa"/>
          </w:tcPr>
          <w:p w14:paraId="195768B3" w14:textId="7A55383A" w:rsidR="00DE6056" w:rsidRDefault="002050E6" w:rsidP="00314DBC">
            <w:pPr>
              <w:jc w:val="right"/>
            </w:pPr>
            <w:r>
              <w:t>12,426</w:t>
            </w:r>
          </w:p>
        </w:tc>
        <w:tc>
          <w:tcPr>
            <w:tcW w:w="2254" w:type="dxa"/>
          </w:tcPr>
          <w:p w14:paraId="495861C2" w14:textId="32C9EDE9" w:rsidR="00DE6056" w:rsidRDefault="002050E6" w:rsidP="00314DBC">
            <w:pPr>
              <w:jc w:val="right"/>
            </w:pPr>
            <w:r>
              <w:t>1.9x</w:t>
            </w:r>
          </w:p>
        </w:tc>
        <w:tc>
          <w:tcPr>
            <w:tcW w:w="2254" w:type="dxa"/>
          </w:tcPr>
          <w:p w14:paraId="5EAB3B4C" w14:textId="55E293F0" w:rsidR="00DE6056" w:rsidRDefault="00314DBC" w:rsidP="00314DBC">
            <w:pPr>
              <w:jc w:val="right"/>
            </w:pPr>
            <w:r>
              <w:t>9.2%</w:t>
            </w:r>
          </w:p>
        </w:tc>
      </w:tr>
      <w:tr w:rsidR="00DE6056" w14:paraId="62A50639" w14:textId="77777777" w:rsidTr="00DE6056">
        <w:tc>
          <w:tcPr>
            <w:tcW w:w="2254" w:type="dxa"/>
          </w:tcPr>
          <w:p w14:paraId="522B103B" w14:textId="7EA0532E" w:rsidR="00DE6056" w:rsidRDefault="00DE6056" w:rsidP="00314DBC">
            <w:pPr>
              <w:jc w:val="both"/>
            </w:pPr>
            <w:r>
              <w:t xml:space="preserve">Total Debt </w:t>
            </w:r>
          </w:p>
        </w:tc>
        <w:tc>
          <w:tcPr>
            <w:tcW w:w="2254" w:type="dxa"/>
          </w:tcPr>
          <w:p w14:paraId="591A82D8" w14:textId="728364AF" w:rsidR="00DE6056" w:rsidRDefault="002050E6" w:rsidP="00314DBC">
            <w:pPr>
              <w:jc w:val="right"/>
            </w:pPr>
            <w:r>
              <w:t>43,164</w:t>
            </w:r>
          </w:p>
        </w:tc>
        <w:tc>
          <w:tcPr>
            <w:tcW w:w="2254" w:type="dxa"/>
          </w:tcPr>
          <w:p w14:paraId="691A8962" w14:textId="10358B65" w:rsidR="00DE6056" w:rsidRDefault="002050E6" w:rsidP="00314DBC">
            <w:pPr>
              <w:jc w:val="right"/>
            </w:pPr>
            <w:r>
              <w:t>6.6x</w:t>
            </w:r>
          </w:p>
        </w:tc>
        <w:tc>
          <w:tcPr>
            <w:tcW w:w="2254" w:type="dxa"/>
          </w:tcPr>
          <w:p w14:paraId="3A156A8A" w14:textId="70F6BA34" w:rsidR="00DE6056" w:rsidRDefault="00314DBC" w:rsidP="00314DBC">
            <w:pPr>
              <w:jc w:val="right"/>
            </w:pPr>
            <w:r>
              <w:t>32.0%</w:t>
            </w:r>
          </w:p>
        </w:tc>
      </w:tr>
      <w:tr w:rsidR="00DE6056" w14:paraId="2E04653E" w14:textId="77777777" w:rsidTr="00DE6056">
        <w:tc>
          <w:tcPr>
            <w:tcW w:w="2254" w:type="dxa"/>
          </w:tcPr>
          <w:p w14:paraId="6FECAD98" w14:textId="4751A3D5" w:rsidR="00DE6056" w:rsidRDefault="00DE6056" w:rsidP="00314DBC">
            <w:pPr>
              <w:jc w:val="both"/>
            </w:pPr>
            <w:r>
              <w:t xml:space="preserve">Sponsor Equity </w:t>
            </w:r>
          </w:p>
        </w:tc>
        <w:tc>
          <w:tcPr>
            <w:tcW w:w="2254" w:type="dxa"/>
          </w:tcPr>
          <w:p w14:paraId="65CC87D8" w14:textId="6E9F9282" w:rsidR="00DE6056" w:rsidRDefault="002050E6" w:rsidP="00314DBC">
            <w:pPr>
              <w:jc w:val="right"/>
            </w:pPr>
            <w:r>
              <w:t xml:space="preserve">91,560 </w:t>
            </w:r>
          </w:p>
        </w:tc>
        <w:tc>
          <w:tcPr>
            <w:tcW w:w="2254" w:type="dxa"/>
          </w:tcPr>
          <w:p w14:paraId="72844B66" w14:textId="04B3DAF9" w:rsidR="00DE6056" w:rsidRDefault="002050E6" w:rsidP="00314DBC">
            <w:pPr>
              <w:jc w:val="right"/>
            </w:pPr>
            <w:r>
              <w:t>14.0x</w:t>
            </w:r>
          </w:p>
        </w:tc>
        <w:tc>
          <w:tcPr>
            <w:tcW w:w="2254" w:type="dxa"/>
          </w:tcPr>
          <w:p w14:paraId="584D7167" w14:textId="5C7BE91B" w:rsidR="00DE6056" w:rsidRDefault="00314DBC" w:rsidP="00314DBC">
            <w:pPr>
              <w:jc w:val="right"/>
            </w:pPr>
            <w:r>
              <w:t>68.0%</w:t>
            </w:r>
          </w:p>
        </w:tc>
      </w:tr>
      <w:tr w:rsidR="00DE6056" w14:paraId="07C1D729" w14:textId="77777777" w:rsidTr="00DE6056">
        <w:tc>
          <w:tcPr>
            <w:tcW w:w="2254" w:type="dxa"/>
          </w:tcPr>
          <w:p w14:paraId="79ACD9C8" w14:textId="6BA389C7" w:rsidR="00DE6056" w:rsidRDefault="00DE6056" w:rsidP="00314DBC">
            <w:pPr>
              <w:jc w:val="both"/>
            </w:pPr>
            <w:r>
              <w:t xml:space="preserve">Total Sources </w:t>
            </w:r>
          </w:p>
        </w:tc>
        <w:tc>
          <w:tcPr>
            <w:tcW w:w="2254" w:type="dxa"/>
          </w:tcPr>
          <w:p w14:paraId="772BBAD3" w14:textId="6A6AD4CA" w:rsidR="00DE6056" w:rsidRDefault="002050E6" w:rsidP="00314DBC">
            <w:pPr>
              <w:jc w:val="right"/>
            </w:pPr>
            <w:r>
              <w:t>134,724</w:t>
            </w:r>
          </w:p>
        </w:tc>
        <w:tc>
          <w:tcPr>
            <w:tcW w:w="2254" w:type="dxa"/>
          </w:tcPr>
          <w:p w14:paraId="63AB2384" w14:textId="1FCBDC3B" w:rsidR="00DE6056" w:rsidRDefault="00314DBC" w:rsidP="00314DBC">
            <w:pPr>
              <w:jc w:val="right"/>
            </w:pPr>
            <w:r>
              <w:t>20.6x</w:t>
            </w:r>
          </w:p>
        </w:tc>
        <w:tc>
          <w:tcPr>
            <w:tcW w:w="2254" w:type="dxa"/>
          </w:tcPr>
          <w:p w14:paraId="377E6A54" w14:textId="069B91D7" w:rsidR="00DE6056" w:rsidRDefault="00314DBC" w:rsidP="00314DBC">
            <w:pPr>
              <w:jc w:val="right"/>
            </w:pPr>
            <w:r>
              <w:t>100%</w:t>
            </w:r>
          </w:p>
        </w:tc>
      </w:tr>
    </w:tbl>
    <w:p w14:paraId="3A01B9F7" w14:textId="77777777" w:rsidR="00DE6056" w:rsidRPr="00F7511A" w:rsidRDefault="00DE6056" w:rsidP="00F7511A"/>
    <w:tbl>
      <w:tblPr>
        <w:tblStyle w:val="TableGrid"/>
        <w:tblW w:w="0" w:type="auto"/>
        <w:tblLook w:val="04A0" w:firstRow="1" w:lastRow="0" w:firstColumn="1" w:lastColumn="0" w:noHBand="0" w:noVBand="1"/>
      </w:tblPr>
      <w:tblGrid>
        <w:gridCol w:w="2254"/>
        <w:gridCol w:w="2254"/>
        <w:gridCol w:w="2254"/>
        <w:gridCol w:w="2254"/>
      </w:tblGrid>
      <w:tr w:rsidR="00DE6056" w14:paraId="140F0A4E" w14:textId="77777777" w:rsidTr="00DE6056">
        <w:tc>
          <w:tcPr>
            <w:tcW w:w="2254" w:type="dxa"/>
          </w:tcPr>
          <w:p w14:paraId="1774932F" w14:textId="348A264E" w:rsidR="00DE6056" w:rsidRPr="00DE6056" w:rsidRDefault="00DE6056" w:rsidP="00DE6056">
            <w:pPr>
              <w:jc w:val="center"/>
              <w:rPr>
                <w:b/>
                <w:bCs/>
              </w:rPr>
            </w:pPr>
            <w:r w:rsidRPr="00DE6056">
              <w:rPr>
                <w:b/>
                <w:bCs/>
              </w:rPr>
              <w:t>Uses</w:t>
            </w:r>
          </w:p>
        </w:tc>
        <w:tc>
          <w:tcPr>
            <w:tcW w:w="2254" w:type="dxa"/>
          </w:tcPr>
          <w:p w14:paraId="6E3F2998" w14:textId="54FC46AC" w:rsidR="00DE6056" w:rsidRDefault="00DE6056" w:rsidP="00DE6056">
            <w:pPr>
              <w:jc w:val="center"/>
            </w:pPr>
            <w:r w:rsidRPr="00DE6056">
              <w:rPr>
                <w:rFonts w:ascii="Times New Roman" w:hAnsi="Times New Roman" w:cs="Times New Roman"/>
                <w:b/>
                <w:bCs/>
              </w:rPr>
              <w:t>Amount</w:t>
            </w:r>
          </w:p>
        </w:tc>
        <w:tc>
          <w:tcPr>
            <w:tcW w:w="2254" w:type="dxa"/>
          </w:tcPr>
          <w:p w14:paraId="082B9CEA" w14:textId="6D3025C6" w:rsidR="00DE6056" w:rsidRDefault="00DE6056" w:rsidP="00DE6056">
            <w:pPr>
              <w:jc w:val="center"/>
            </w:pPr>
            <w:r w:rsidRPr="00DE6056">
              <w:rPr>
                <w:rFonts w:ascii="Times New Roman" w:hAnsi="Times New Roman" w:cs="Times New Roman"/>
                <w:b/>
                <w:bCs/>
              </w:rPr>
              <w:t>XEBITDA</w:t>
            </w:r>
          </w:p>
        </w:tc>
        <w:tc>
          <w:tcPr>
            <w:tcW w:w="2254" w:type="dxa"/>
          </w:tcPr>
          <w:p w14:paraId="0C2F77AE" w14:textId="6B260F58" w:rsidR="00DE6056" w:rsidRDefault="00DE6056" w:rsidP="00DE6056">
            <w:pPr>
              <w:jc w:val="center"/>
            </w:pPr>
            <w:r w:rsidRPr="00DE6056">
              <w:rPr>
                <w:rFonts w:ascii="Times New Roman" w:hAnsi="Times New Roman" w:cs="Times New Roman"/>
                <w:b/>
                <w:bCs/>
              </w:rPr>
              <w:t>% of capital</w:t>
            </w:r>
          </w:p>
        </w:tc>
      </w:tr>
      <w:tr w:rsidR="00DE6056" w14:paraId="500DD32F" w14:textId="77777777" w:rsidTr="00DE6056">
        <w:tc>
          <w:tcPr>
            <w:tcW w:w="2254" w:type="dxa"/>
          </w:tcPr>
          <w:p w14:paraId="200B1FBD" w14:textId="65E13D8E" w:rsidR="00DE6056" w:rsidRDefault="004B14C5" w:rsidP="00DE6056">
            <w:r>
              <w:t xml:space="preserve">Purchase of Equity </w:t>
            </w:r>
          </w:p>
        </w:tc>
        <w:tc>
          <w:tcPr>
            <w:tcW w:w="2254" w:type="dxa"/>
          </w:tcPr>
          <w:p w14:paraId="65CD617C" w14:textId="2A262728" w:rsidR="00DE6056" w:rsidRDefault="00524C7C" w:rsidP="00A4674E">
            <w:pPr>
              <w:jc w:val="right"/>
            </w:pPr>
            <w:r>
              <w:t>130,800</w:t>
            </w:r>
          </w:p>
        </w:tc>
        <w:tc>
          <w:tcPr>
            <w:tcW w:w="2254" w:type="dxa"/>
          </w:tcPr>
          <w:p w14:paraId="1321CB5C" w14:textId="5222DCC1" w:rsidR="00DE6056" w:rsidRDefault="00524C7C" w:rsidP="00A4674E">
            <w:pPr>
              <w:jc w:val="right"/>
            </w:pPr>
            <w:r>
              <w:t>20.0x</w:t>
            </w:r>
          </w:p>
        </w:tc>
        <w:tc>
          <w:tcPr>
            <w:tcW w:w="2254" w:type="dxa"/>
          </w:tcPr>
          <w:p w14:paraId="12833ED3" w14:textId="5C79CE3D" w:rsidR="00DE6056" w:rsidRDefault="00306A3A" w:rsidP="00A4674E">
            <w:pPr>
              <w:jc w:val="right"/>
            </w:pPr>
            <w:r>
              <w:t>97.1%</w:t>
            </w:r>
          </w:p>
        </w:tc>
      </w:tr>
      <w:tr w:rsidR="00DE6056" w14:paraId="41F607BB" w14:textId="77777777" w:rsidTr="00DE6056">
        <w:tc>
          <w:tcPr>
            <w:tcW w:w="2254" w:type="dxa"/>
          </w:tcPr>
          <w:p w14:paraId="3D6B8432" w14:textId="1724A8AF" w:rsidR="00DE6056" w:rsidRDefault="004B14C5" w:rsidP="00DE6056">
            <w:r>
              <w:t>Refinancing of existing debt</w:t>
            </w:r>
          </w:p>
        </w:tc>
        <w:tc>
          <w:tcPr>
            <w:tcW w:w="2254" w:type="dxa"/>
          </w:tcPr>
          <w:p w14:paraId="60BB4F00" w14:textId="14B8EDA5" w:rsidR="00DE6056" w:rsidRDefault="00524C7C" w:rsidP="00A4674E">
            <w:pPr>
              <w:jc w:val="right"/>
            </w:pPr>
            <w:r>
              <w:t>0</w:t>
            </w:r>
          </w:p>
        </w:tc>
        <w:tc>
          <w:tcPr>
            <w:tcW w:w="2254" w:type="dxa"/>
          </w:tcPr>
          <w:p w14:paraId="0CD28EDE" w14:textId="1B05AB4E" w:rsidR="00DE6056" w:rsidRDefault="00524C7C" w:rsidP="00A4674E">
            <w:pPr>
              <w:jc w:val="right"/>
            </w:pPr>
            <w:r>
              <w:t>0.0x</w:t>
            </w:r>
          </w:p>
        </w:tc>
        <w:tc>
          <w:tcPr>
            <w:tcW w:w="2254" w:type="dxa"/>
          </w:tcPr>
          <w:p w14:paraId="3F360F01" w14:textId="15513DD1" w:rsidR="00DE6056" w:rsidRDefault="00306A3A" w:rsidP="00A4674E">
            <w:pPr>
              <w:jc w:val="right"/>
            </w:pPr>
            <w:r>
              <w:t>0.0%</w:t>
            </w:r>
          </w:p>
          <w:p w14:paraId="04BF824A" w14:textId="002E8FDA" w:rsidR="00306A3A" w:rsidRDefault="00306A3A" w:rsidP="00A4674E">
            <w:pPr>
              <w:jc w:val="right"/>
            </w:pPr>
          </w:p>
        </w:tc>
      </w:tr>
      <w:tr w:rsidR="00DE6056" w14:paraId="25D350F8" w14:textId="77777777" w:rsidTr="00DE6056">
        <w:tc>
          <w:tcPr>
            <w:tcW w:w="2254" w:type="dxa"/>
          </w:tcPr>
          <w:p w14:paraId="16936947" w14:textId="3F5A44BD" w:rsidR="00DE6056" w:rsidRDefault="00524C7C" w:rsidP="00DE6056">
            <w:r>
              <w:t xml:space="preserve">Fees and Expenses </w:t>
            </w:r>
          </w:p>
        </w:tc>
        <w:tc>
          <w:tcPr>
            <w:tcW w:w="2254" w:type="dxa"/>
          </w:tcPr>
          <w:p w14:paraId="303A8230" w14:textId="50D80D16" w:rsidR="00DE6056" w:rsidRDefault="00524C7C" w:rsidP="00A4674E">
            <w:pPr>
              <w:jc w:val="right"/>
            </w:pPr>
            <w:r>
              <w:t>3,924</w:t>
            </w:r>
          </w:p>
        </w:tc>
        <w:tc>
          <w:tcPr>
            <w:tcW w:w="2254" w:type="dxa"/>
          </w:tcPr>
          <w:p w14:paraId="4FA14A85" w14:textId="1249BFF8" w:rsidR="00DE6056" w:rsidRDefault="00524C7C" w:rsidP="00A4674E">
            <w:pPr>
              <w:jc w:val="right"/>
            </w:pPr>
            <w:r>
              <w:t>0.6x</w:t>
            </w:r>
          </w:p>
        </w:tc>
        <w:tc>
          <w:tcPr>
            <w:tcW w:w="2254" w:type="dxa"/>
          </w:tcPr>
          <w:p w14:paraId="79B4BD69" w14:textId="40CD3E2B" w:rsidR="00DE6056" w:rsidRDefault="00306A3A" w:rsidP="00A4674E">
            <w:pPr>
              <w:jc w:val="right"/>
            </w:pPr>
            <w:r>
              <w:t>2.9%</w:t>
            </w:r>
          </w:p>
        </w:tc>
      </w:tr>
      <w:tr w:rsidR="00DE6056" w14:paraId="35F5E538" w14:textId="77777777" w:rsidTr="00DE6056">
        <w:tc>
          <w:tcPr>
            <w:tcW w:w="2254" w:type="dxa"/>
          </w:tcPr>
          <w:p w14:paraId="36D5FC42" w14:textId="0243F1F1" w:rsidR="00DE6056" w:rsidRDefault="00524C7C" w:rsidP="00DE6056">
            <w:r>
              <w:t xml:space="preserve">Total Uses </w:t>
            </w:r>
          </w:p>
        </w:tc>
        <w:tc>
          <w:tcPr>
            <w:tcW w:w="2254" w:type="dxa"/>
          </w:tcPr>
          <w:p w14:paraId="4A3B325D" w14:textId="6581DD0C" w:rsidR="00DE6056" w:rsidRDefault="00524C7C" w:rsidP="00A4674E">
            <w:pPr>
              <w:jc w:val="right"/>
            </w:pPr>
            <w:r>
              <w:t>134,724</w:t>
            </w:r>
          </w:p>
        </w:tc>
        <w:tc>
          <w:tcPr>
            <w:tcW w:w="2254" w:type="dxa"/>
          </w:tcPr>
          <w:p w14:paraId="5C07F113" w14:textId="1D61F5BD" w:rsidR="00DE6056" w:rsidRDefault="00524C7C" w:rsidP="00A4674E">
            <w:pPr>
              <w:jc w:val="right"/>
            </w:pPr>
            <w:r>
              <w:t>20.6x</w:t>
            </w:r>
          </w:p>
        </w:tc>
        <w:tc>
          <w:tcPr>
            <w:tcW w:w="2254" w:type="dxa"/>
          </w:tcPr>
          <w:p w14:paraId="37B85732" w14:textId="5A46F33A" w:rsidR="00DE6056" w:rsidRDefault="00306A3A" w:rsidP="00A4674E">
            <w:pPr>
              <w:jc w:val="right"/>
            </w:pPr>
            <w:r>
              <w:t>100%</w:t>
            </w:r>
          </w:p>
        </w:tc>
      </w:tr>
    </w:tbl>
    <w:p w14:paraId="57CEBBCE" w14:textId="3001CBB8" w:rsidR="00F7511A" w:rsidRPr="00A4674E" w:rsidRDefault="00A4674E" w:rsidP="00E41ED7">
      <w:pPr>
        <w:jc w:val="center"/>
        <w:rPr>
          <w:rFonts w:ascii="Times New Roman" w:hAnsi="Times New Roman" w:cs="Times New Roman"/>
          <w:i/>
          <w:iCs/>
          <w:color w:val="595959" w:themeColor="text1" w:themeTint="A6"/>
          <w:sz w:val="16"/>
          <w:szCs w:val="16"/>
        </w:rPr>
      </w:pPr>
      <w:r w:rsidRPr="00A4674E">
        <w:rPr>
          <w:rFonts w:ascii="Times New Roman" w:hAnsi="Times New Roman" w:cs="Times New Roman"/>
          <w:i/>
          <w:iCs/>
          <w:color w:val="595959" w:themeColor="text1" w:themeTint="A6"/>
          <w:sz w:val="16"/>
          <w:szCs w:val="16"/>
        </w:rPr>
        <w:t>All figures in</w:t>
      </w:r>
      <w:r w:rsidR="0045671C">
        <w:rPr>
          <w:rFonts w:ascii="Times New Roman" w:hAnsi="Times New Roman" w:cs="Times New Roman"/>
          <w:i/>
          <w:iCs/>
          <w:color w:val="595959" w:themeColor="text1" w:themeTint="A6"/>
          <w:sz w:val="16"/>
          <w:szCs w:val="16"/>
        </w:rPr>
        <w:t xml:space="preserve"> Rs.</w:t>
      </w:r>
      <w:r w:rsidRPr="00A4674E">
        <w:rPr>
          <w:rFonts w:ascii="Times New Roman" w:hAnsi="Times New Roman" w:cs="Times New Roman"/>
          <w:i/>
          <w:iCs/>
          <w:color w:val="595959" w:themeColor="text1" w:themeTint="A6"/>
          <w:sz w:val="16"/>
          <w:szCs w:val="16"/>
        </w:rPr>
        <w:t xml:space="preserve"> mm</w:t>
      </w:r>
    </w:p>
    <w:p w14:paraId="1044EC2A" w14:textId="77777777" w:rsidR="00F7511A" w:rsidRPr="00F7511A" w:rsidRDefault="00F7511A" w:rsidP="00F7511A"/>
    <w:p w14:paraId="360733CB" w14:textId="515B8FE0" w:rsidR="00C014BE" w:rsidRPr="0026029C" w:rsidRDefault="00801ED0" w:rsidP="0026029C">
      <w:pPr>
        <w:pStyle w:val="ListParagraph"/>
        <w:numPr>
          <w:ilvl w:val="0"/>
          <w:numId w:val="7"/>
        </w:numPr>
        <w:rPr>
          <w:rFonts w:ascii="Times New Roman" w:eastAsia="Times New Roman" w:hAnsi="Times New Roman" w:cs="Times New Roman"/>
          <w:kern w:val="0"/>
          <w:lang w:eastAsia="en-IN"/>
          <w14:ligatures w14:val="none"/>
        </w:rPr>
      </w:pPr>
      <w:r w:rsidRPr="0026029C">
        <w:rPr>
          <w:rFonts w:ascii="Times New Roman" w:hAnsi="Times New Roman" w:cs="Times New Roman"/>
        </w:rPr>
        <w:t xml:space="preserve">The Transaction is structured based on Vinati’s actual FY26 consolidated </w:t>
      </w:r>
      <w:r w:rsidR="00C014BE" w:rsidRPr="0026029C">
        <w:rPr>
          <w:rFonts w:ascii="Times New Roman" w:hAnsi="Times New Roman" w:cs="Times New Roman"/>
        </w:rPr>
        <w:t xml:space="preserve">LTM </w:t>
      </w:r>
      <w:r w:rsidRPr="0026029C">
        <w:rPr>
          <w:rFonts w:ascii="Times New Roman" w:hAnsi="Times New Roman" w:cs="Times New Roman"/>
        </w:rPr>
        <w:t xml:space="preserve">EBITDA of </w:t>
      </w:r>
      <w:r w:rsidR="00C014BE" w:rsidRPr="0026029C">
        <w:rPr>
          <w:rFonts w:ascii="Times New Roman" w:hAnsi="Times New Roman" w:cs="Times New Roman"/>
        </w:rPr>
        <w:t xml:space="preserve">Rs </w:t>
      </w:r>
      <w:r w:rsidR="00C014BE" w:rsidRPr="0026029C">
        <w:rPr>
          <w:rFonts w:ascii="Times New Roman" w:eastAsia="Times New Roman" w:hAnsi="Times New Roman" w:cs="Times New Roman"/>
          <w:kern w:val="0"/>
          <w:lang w:eastAsia="en-IN"/>
          <w14:ligatures w14:val="none"/>
        </w:rPr>
        <w:t>6,54</w:t>
      </w:r>
      <w:r w:rsidR="0000469A" w:rsidRPr="0026029C">
        <w:rPr>
          <w:rFonts w:ascii="Times New Roman" w:eastAsia="Times New Roman" w:hAnsi="Times New Roman" w:cs="Times New Roman"/>
          <w:kern w:val="0"/>
          <w:lang w:eastAsia="en-IN"/>
          <w14:ligatures w14:val="none"/>
        </w:rPr>
        <w:t>0</w:t>
      </w:r>
      <w:r w:rsidR="00ED0F0A" w:rsidRPr="0026029C">
        <w:rPr>
          <w:rFonts w:ascii="Times New Roman" w:eastAsia="Times New Roman" w:hAnsi="Times New Roman" w:cs="Times New Roman"/>
          <w:kern w:val="0"/>
          <w:lang w:eastAsia="en-IN"/>
          <w14:ligatures w14:val="none"/>
        </w:rPr>
        <w:t xml:space="preserve"> </w:t>
      </w:r>
      <w:r w:rsidR="0000469A" w:rsidRPr="0026029C">
        <w:rPr>
          <w:rFonts w:ascii="Times New Roman" w:eastAsia="Times New Roman" w:hAnsi="Times New Roman" w:cs="Times New Roman"/>
          <w:kern w:val="0"/>
          <w:lang w:eastAsia="en-IN"/>
          <w14:ligatures w14:val="none"/>
        </w:rPr>
        <w:t>m</w:t>
      </w:r>
      <w:r w:rsidR="00ED0F0A" w:rsidRPr="0026029C">
        <w:rPr>
          <w:rFonts w:ascii="Times New Roman" w:eastAsia="Times New Roman" w:hAnsi="Times New Roman" w:cs="Times New Roman"/>
          <w:kern w:val="0"/>
          <w:lang w:eastAsia="en-IN"/>
          <w14:ligatures w14:val="none"/>
        </w:rPr>
        <w:t>m</w:t>
      </w:r>
      <w:r w:rsidR="00C014BE" w:rsidRPr="0026029C">
        <w:rPr>
          <w:rFonts w:ascii="Times New Roman" w:eastAsia="Times New Roman" w:hAnsi="Times New Roman" w:cs="Times New Roman"/>
          <w:kern w:val="0"/>
          <w:lang w:eastAsia="en-IN"/>
          <w14:ligatures w14:val="none"/>
        </w:rPr>
        <w:t>, at a modest 20.0x multiple</w:t>
      </w:r>
      <w:r w:rsidR="008E51D9" w:rsidRPr="0026029C">
        <w:rPr>
          <w:rFonts w:ascii="Times New Roman" w:eastAsia="Times New Roman" w:hAnsi="Times New Roman" w:cs="Times New Roman"/>
          <w:kern w:val="0"/>
          <w:lang w:eastAsia="en-IN"/>
          <w14:ligatures w14:val="none"/>
        </w:rPr>
        <w:t xml:space="preserve">, which is the company’s real current market EV/EBITDA. This implies an enterprise value of </w:t>
      </w:r>
      <w:r w:rsidR="0000469A" w:rsidRPr="0026029C">
        <w:rPr>
          <w:rFonts w:ascii="Times New Roman" w:eastAsia="Times New Roman" w:hAnsi="Times New Roman" w:cs="Times New Roman"/>
          <w:kern w:val="0"/>
          <w:lang w:eastAsia="en-IN"/>
          <w14:ligatures w14:val="none"/>
        </w:rPr>
        <w:t>Rs.</w:t>
      </w:r>
      <w:r w:rsidR="00380637" w:rsidRPr="0026029C">
        <w:rPr>
          <w:rFonts w:ascii="Times New Roman" w:eastAsia="Times New Roman" w:hAnsi="Times New Roman" w:cs="Times New Roman"/>
          <w:kern w:val="0"/>
          <w:lang w:eastAsia="en-IN"/>
          <w14:ligatures w14:val="none"/>
        </w:rPr>
        <w:t>1,30,800</w:t>
      </w:r>
      <w:r w:rsidR="0000469A" w:rsidRPr="0026029C">
        <w:rPr>
          <w:rFonts w:ascii="Times New Roman" w:eastAsia="Times New Roman" w:hAnsi="Times New Roman" w:cs="Times New Roman"/>
          <w:kern w:val="0"/>
          <w:lang w:eastAsia="en-IN"/>
          <w14:ligatures w14:val="none"/>
        </w:rPr>
        <w:t>mm</w:t>
      </w:r>
      <w:r w:rsidR="00FC6573" w:rsidRPr="0026029C">
        <w:rPr>
          <w:rFonts w:ascii="Times New Roman" w:eastAsia="Times New Roman" w:hAnsi="Times New Roman" w:cs="Times New Roman"/>
          <w:kern w:val="0"/>
          <w:lang w:eastAsia="en-IN"/>
          <w14:ligatures w14:val="none"/>
        </w:rPr>
        <w:t xml:space="preserve">. </w:t>
      </w:r>
    </w:p>
    <w:p w14:paraId="4E396DBA" w14:textId="77777777" w:rsidR="00F2107A" w:rsidRDefault="00F2107A" w:rsidP="00F2107A">
      <w:pPr>
        <w:pStyle w:val="ListParagraph"/>
        <w:rPr>
          <w:rFonts w:ascii="Times New Roman" w:eastAsia="Times New Roman" w:hAnsi="Times New Roman" w:cs="Times New Roman"/>
          <w:kern w:val="0"/>
          <w:lang w:eastAsia="en-IN"/>
          <w14:ligatures w14:val="none"/>
        </w:rPr>
      </w:pPr>
    </w:p>
    <w:p w14:paraId="72B7D752" w14:textId="77777777" w:rsidR="006457C6" w:rsidRDefault="00FC6573" w:rsidP="006457C6">
      <w:pPr>
        <w:pStyle w:val="ListParagraph"/>
        <w:numPr>
          <w:ilvl w:val="0"/>
          <w:numId w:val="6"/>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As Vinati is debt-free, </w:t>
      </w:r>
      <w:r w:rsidR="00BF3F40">
        <w:rPr>
          <w:rFonts w:ascii="Times New Roman" w:eastAsia="Times New Roman" w:hAnsi="Times New Roman" w:cs="Times New Roman"/>
          <w:kern w:val="0"/>
          <w:lang w:eastAsia="en-IN"/>
          <w14:ligatures w14:val="none"/>
        </w:rPr>
        <w:t xml:space="preserve">no refinancing of existing debt is needed and full enterprise value flows through as equity purchase price. </w:t>
      </w:r>
    </w:p>
    <w:p w14:paraId="11CC5183" w14:textId="77777777" w:rsidR="006457C6" w:rsidRPr="006457C6" w:rsidRDefault="006457C6" w:rsidP="006457C6">
      <w:pPr>
        <w:pStyle w:val="ListParagraph"/>
        <w:rPr>
          <w:rFonts w:ascii="Times New Roman" w:eastAsia="Times New Roman" w:hAnsi="Times New Roman" w:cs="Times New Roman"/>
          <w:kern w:val="0"/>
          <w:lang w:eastAsia="en-IN"/>
          <w14:ligatures w14:val="none"/>
        </w:rPr>
      </w:pPr>
    </w:p>
    <w:p w14:paraId="758B5D3C" w14:textId="52060146" w:rsidR="00F2107A" w:rsidRPr="006457C6" w:rsidRDefault="00073A6B" w:rsidP="006457C6">
      <w:pPr>
        <w:pStyle w:val="ListParagraph"/>
        <w:numPr>
          <w:ilvl w:val="0"/>
          <w:numId w:val="6"/>
        </w:numPr>
        <w:rPr>
          <w:rFonts w:ascii="Times New Roman" w:eastAsia="Times New Roman" w:hAnsi="Times New Roman" w:cs="Times New Roman"/>
          <w:kern w:val="0"/>
          <w:lang w:eastAsia="en-IN"/>
          <w14:ligatures w14:val="none"/>
        </w:rPr>
      </w:pPr>
      <w:r w:rsidRPr="006457C6">
        <w:rPr>
          <w:rFonts w:ascii="Times New Roman" w:eastAsia="Times New Roman" w:hAnsi="Times New Roman" w:cs="Times New Roman"/>
          <w:kern w:val="0"/>
          <w:lang w:eastAsia="en-IN"/>
          <w14:ligatures w14:val="none"/>
        </w:rPr>
        <w:t xml:space="preserve">The total leverage of 6.6x EBITDA is funded via a two-tranche debt structure that reflects the financing constraints discussed earlier. As Indian banks can’t directly underwrite acquisition financing, the bank debt tranche here of (Rs 30,738mm and priced at 8.5%) is modelled as financing routed through structures banks can actually provide - which in this case is more of an asset-backed or working capital-linked facility at an operating company level, not a conventional US/UK term loan B secured directly against the buyout. </w:t>
      </w:r>
    </w:p>
    <w:p w14:paraId="5D874EF9" w14:textId="77777777" w:rsidR="002F08C5" w:rsidRPr="002F08C5" w:rsidRDefault="002F08C5" w:rsidP="002F08C5">
      <w:pPr>
        <w:pStyle w:val="ListParagraph"/>
        <w:rPr>
          <w:rFonts w:ascii="Times New Roman" w:eastAsia="Times New Roman" w:hAnsi="Times New Roman" w:cs="Times New Roman"/>
          <w:kern w:val="0"/>
          <w:lang w:eastAsia="en-IN"/>
          <w14:ligatures w14:val="none"/>
        </w:rPr>
      </w:pPr>
    </w:p>
    <w:p w14:paraId="47C7F824" w14:textId="4827DEEE" w:rsidR="002F08C5" w:rsidRDefault="00A81BCB" w:rsidP="00F2107A">
      <w:pPr>
        <w:pStyle w:val="ListParagraph"/>
        <w:numPr>
          <w:ilvl w:val="0"/>
          <w:numId w:val="6"/>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The senior notes tranche</w:t>
      </w:r>
      <w:r w:rsidR="007C4144">
        <w:rPr>
          <w:rFonts w:ascii="Times New Roman" w:eastAsia="Times New Roman" w:hAnsi="Times New Roman" w:cs="Times New Roman"/>
          <w:kern w:val="0"/>
          <w:lang w:eastAsia="en-IN"/>
          <w14:ligatures w14:val="none"/>
        </w:rPr>
        <w:t xml:space="preserve"> here (Rs. 12,426mm and priced at </w:t>
      </w:r>
      <w:r w:rsidR="00FC565F">
        <w:rPr>
          <w:rFonts w:ascii="Times New Roman" w:eastAsia="Times New Roman" w:hAnsi="Times New Roman" w:cs="Times New Roman"/>
          <w:kern w:val="0"/>
          <w:lang w:eastAsia="en-IN"/>
          <w14:ligatures w14:val="none"/>
        </w:rPr>
        <w:t>9.5%)</w:t>
      </w:r>
      <w:r w:rsidR="007C4144">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represents the </w:t>
      </w:r>
      <w:r w:rsidR="00FC565F">
        <w:rPr>
          <w:rFonts w:ascii="Times New Roman" w:eastAsia="Times New Roman" w:hAnsi="Times New Roman" w:cs="Times New Roman"/>
          <w:kern w:val="0"/>
          <w:lang w:eastAsia="en-IN"/>
          <w14:ligatures w14:val="none"/>
        </w:rPr>
        <w:t xml:space="preserve">bond market </w:t>
      </w:r>
      <w:r w:rsidR="00EC3FD4">
        <w:rPr>
          <w:rFonts w:ascii="Times New Roman" w:eastAsia="Times New Roman" w:hAnsi="Times New Roman" w:cs="Times New Roman"/>
          <w:kern w:val="0"/>
          <w:lang w:eastAsia="en-IN"/>
          <w14:ligatures w14:val="none"/>
        </w:rPr>
        <w:t xml:space="preserve">and private credit </w:t>
      </w:r>
      <w:r w:rsidR="00AB17CB">
        <w:rPr>
          <w:rFonts w:ascii="Times New Roman" w:eastAsia="Times New Roman" w:hAnsi="Times New Roman" w:cs="Times New Roman"/>
          <w:kern w:val="0"/>
          <w:lang w:eastAsia="en-IN"/>
          <w14:ligatures w14:val="none"/>
        </w:rPr>
        <w:t>financing as mentioned earlier as the fallback for Indian acquirers</w:t>
      </w:r>
      <w:r w:rsidR="00873517">
        <w:rPr>
          <w:rFonts w:ascii="Times New Roman" w:eastAsia="Times New Roman" w:hAnsi="Times New Roman" w:cs="Times New Roman"/>
          <w:kern w:val="0"/>
          <w:lang w:eastAsia="en-IN"/>
          <w14:ligatures w14:val="none"/>
        </w:rPr>
        <w:t xml:space="preserve"> once bank capacity gets exhausted. </w:t>
      </w:r>
      <w:r w:rsidR="007753F7">
        <w:rPr>
          <w:rFonts w:ascii="Times New Roman" w:eastAsia="Times New Roman" w:hAnsi="Times New Roman" w:cs="Times New Roman"/>
          <w:kern w:val="0"/>
          <w:lang w:eastAsia="en-IN"/>
          <w14:ligatures w14:val="none"/>
        </w:rPr>
        <w:t xml:space="preserve"> This 100bps premium</w:t>
      </w:r>
      <w:r w:rsidR="00ED1E5D">
        <w:rPr>
          <w:rFonts w:ascii="Times New Roman" w:eastAsia="Times New Roman" w:hAnsi="Times New Roman" w:cs="Times New Roman"/>
          <w:kern w:val="0"/>
          <w:lang w:eastAsia="en-IN"/>
          <w14:ligatures w14:val="none"/>
        </w:rPr>
        <w:t xml:space="preserve"> over the bank debt tranche shows the higher cost </w:t>
      </w:r>
      <w:r w:rsidR="00101ED5">
        <w:rPr>
          <w:rFonts w:ascii="Times New Roman" w:eastAsia="Times New Roman" w:hAnsi="Times New Roman" w:cs="Times New Roman"/>
          <w:kern w:val="0"/>
          <w:lang w:eastAsia="en-IN"/>
          <w14:ligatures w14:val="none"/>
        </w:rPr>
        <w:t xml:space="preserve">typically associated with these funding sources. </w:t>
      </w:r>
    </w:p>
    <w:p w14:paraId="0A16DA02" w14:textId="77777777" w:rsidR="00101ED5" w:rsidRPr="00101ED5" w:rsidRDefault="00101ED5" w:rsidP="00101ED5">
      <w:pPr>
        <w:pStyle w:val="ListParagraph"/>
        <w:rPr>
          <w:rFonts w:ascii="Times New Roman" w:eastAsia="Times New Roman" w:hAnsi="Times New Roman" w:cs="Times New Roman"/>
          <w:kern w:val="0"/>
          <w:lang w:eastAsia="en-IN"/>
          <w14:ligatures w14:val="none"/>
        </w:rPr>
      </w:pPr>
    </w:p>
    <w:p w14:paraId="678C3D41" w14:textId="73F13BCF" w:rsidR="00101ED5" w:rsidRDefault="00101ED5" w:rsidP="00F2107A">
      <w:pPr>
        <w:pStyle w:val="ListParagraph"/>
        <w:numPr>
          <w:ilvl w:val="0"/>
          <w:numId w:val="6"/>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As the entry price (20x EBITDA) is far more than the leverage capacity (in total of 6.6x EBITDA), debt only covers 32% of the capital structure. The remaining 68% is funded by sponsor equity.</w:t>
      </w:r>
    </w:p>
    <w:p w14:paraId="0821BBE5" w14:textId="1B79310E" w:rsidR="00644E19" w:rsidRPr="004A0C71" w:rsidRDefault="004A0C71" w:rsidP="004A0C71">
      <w:pPr>
        <w:jc w:val="center"/>
        <w:rPr>
          <w:rFonts w:ascii="Times New Roman" w:eastAsia="Times New Roman" w:hAnsi="Times New Roman" w:cs="Times New Roman"/>
          <w:i/>
          <w:iCs/>
          <w:kern w:val="0"/>
          <w:sz w:val="16"/>
          <w:szCs w:val="16"/>
          <w:lang w:eastAsia="en-IN"/>
          <w14:ligatures w14:val="none"/>
        </w:rPr>
      </w:pPr>
      <w:r w:rsidRPr="004A0C71">
        <w:rPr>
          <w:rFonts w:ascii="Times New Roman" w:hAnsi="Times New Roman" w:cs="Times New Roman"/>
          <w:i/>
          <w:iCs/>
          <w:noProof/>
          <w:color w:val="595959" w:themeColor="text1" w:themeTint="A6"/>
        </w:rPr>
        <w:lastRenderedPageBreak/>
        <w:drawing>
          <wp:anchor distT="0" distB="0" distL="114300" distR="114300" simplePos="0" relativeHeight="251652096" behindDoc="0" locked="0" layoutInCell="1" allowOverlap="1" wp14:anchorId="70342E16" wp14:editId="16A7F259">
            <wp:simplePos x="0" y="0"/>
            <wp:positionH relativeFrom="margin">
              <wp:posOffset>-764152</wp:posOffset>
            </wp:positionH>
            <wp:positionV relativeFrom="paragraph">
              <wp:posOffset>108964</wp:posOffset>
            </wp:positionV>
            <wp:extent cx="7205550" cy="3234519"/>
            <wp:effectExtent l="0" t="0" r="0" b="4445"/>
            <wp:wrapSquare wrapText="bothSides"/>
            <wp:docPr id="779144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44665" name="Picture 779144665"/>
                    <pic:cNvPicPr/>
                  </pic:nvPicPr>
                  <pic:blipFill>
                    <a:blip r:embed="rId9">
                      <a:extLst>
                        <a:ext uri="{28A0092B-C50C-407E-A947-70E740481C1C}">
                          <a14:useLocalDpi xmlns:a14="http://schemas.microsoft.com/office/drawing/2010/main" val="0"/>
                        </a:ext>
                      </a:extLst>
                    </a:blip>
                    <a:stretch>
                      <a:fillRect/>
                    </a:stretch>
                  </pic:blipFill>
                  <pic:spPr>
                    <a:xfrm>
                      <a:off x="0" y="0"/>
                      <a:ext cx="7205550" cy="3234519"/>
                    </a:xfrm>
                    <a:prstGeom prst="rect">
                      <a:avLst/>
                    </a:prstGeom>
                  </pic:spPr>
                </pic:pic>
              </a:graphicData>
            </a:graphic>
            <wp14:sizeRelH relativeFrom="margin">
              <wp14:pctWidth>0</wp14:pctWidth>
            </wp14:sizeRelH>
            <wp14:sizeRelV relativeFrom="margin">
              <wp14:pctHeight>0</wp14:pctHeight>
            </wp14:sizeRelV>
          </wp:anchor>
        </w:drawing>
      </w:r>
      <w:r w:rsidR="006E2736" w:rsidRPr="004A0C71">
        <w:rPr>
          <w:rFonts w:ascii="Times New Roman" w:eastAsia="Times New Roman" w:hAnsi="Times New Roman" w:cs="Times New Roman"/>
          <w:i/>
          <w:iCs/>
          <w:noProof/>
          <w:color w:val="595959" w:themeColor="text1" w:themeTint="A6"/>
          <w:kern w:val="0"/>
          <w:lang w:eastAsia="en-IN"/>
        </w:rPr>
        <mc:AlternateContent>
          <mc:Choice Requires="wps">
            <w:drawing>
              <wp:anchor distT="0" distB="0" distL="114300" distR="114300" simplePos="0" relativeHeight="251648000" behindDoc="0" locked="0" layoutInCell="1" allowOverlap="1" wp14:anchorId="644A959F" wp14:editId="2CC1E802">
                <wp:simplePos x="0" y="0"/>
                <wp:positionH relativeFrom="column">
                  <wp:posOffset>-959742</wp:posOffset>
                </wp:positionH>
                <wp:positionV relativeFrom="paragraph">
                  <wp:posOffset>-899286</wp:posOffset>
                </wp:positionV>
                <wp:extent cx="7683190" cy="574334"/>
                <wp:effectExtent l="0" t="0" r="13335" b="16510"/>
                <wp:wrapNone/>
                <wp:docPr id="863325722" name="Rectangle 9"/>
                <wp:cNvGraphicFramePr/>
                <a:graphic xmlns:a="http://schemas.openxmlformats.org/drawingml/2006/main">
                  <a:graphicData uri="http://schemas.microsoft.com/office/word/2010/wordprocessingShape">
                    <wps:wsp>
                      <wps:cNvSpPr/>
                      <wps:spPr>
                        <a:xfrm>
                          <a:off x="0" y="0"/>
                          <a:ext cx="7683190" cy="574334"/>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2D7EA032" w14:textId="77777777" w:rsidR="00926D0D" w:rsidRPr="00926D0D" w:rsidRDefault="00E13342" w:rsidP="00926D0D">
                            <w:pPr>
                              <w:rPr>
                                <w:rFonts w:ascii="Times New Roman" w:hAnsi="Times New Roman" w:cs="Times New Roman"/>
                                <w:b/>
                                <w:bCs/>
                                <w:lang w:val="en-US"/>
                              </w:rPr>
                            </w:pPr>
                            <w:r w:rsidRPr="00926D0D">
                              <w:rPr>
                                <w:rFonts w:ascii="Times New Roman" w:hAnsi="Times New Roman" w:cs="Times New Roman"/>
                                <w:b/>
                                <w:bCs/>
                                <w:lang w:val="en-US"/>
                              </w:rPr>
                              <w:t xml:space="preserve">Transaction Structure </w:t>
                            </w:r>
                          </w:p>
                          <w:p w14:paraId="375E20A4" w14:textId="625939DB" w:rsidR="00E13342" w:rsidRPr="00926D0D" w:rsidRDefault="00E13342" w:rsidP="00926D0D">
                            <w:pPr>
                              <w:rPr>
                                <w:rFonts w:ascii="Times New Roman" w:hAnsi="Times New Roman" w:cs="Times New Roman"/>
                                <w:i/>
                                <w:iCs/>
                                <w:lang w:val="en-US"/>
                              </w:rPr>
                            </w:pPr>
                            <w:r w:rsidRPr="00926D0D">
                              <w:rPr>
                                <w:rFonts w:ascii="Times New Roman" w:hAnsi="Times New Roman" w:cs="Times New Roman"/>
                                <w:i/>
                                <w:iCs/>
                                <w:lang w:val="en-US"/>
                              </w:rPr>
                              <w:t>O</w:t>
                            </w:r>
                            <w:r w:rsidR="00926D0D" w:rsidRPr="00926D0D">
                              <w:rPr>
                                <w:rFonts w:ascii="Times New Roman" w:hAnsi="Times New Roman" w:cs="Times New Roman"/>
                                <w:i/>
                                <w:iCs/>
                                <w:lang w:val="en-US"/>
                              </w:rPr>
                              <w:t>perating model – Fiv</w:t>
                            </w:r>
                            <w:r w:rsidR="00926D0D">
                              <w:rPr>
                                <w:rFonts w:ascii="Times New Roman" w:hAnsi="Times New Roman" w:cs="Times New Roman"/>
                                <w:i/>
                                <w:iCs/>
                                <w:lang w:val="en-US"/>
                              </w:rPr>
                              <w:t>e-</w:t>
                            </w:r>
                            <w:r w:rsidR="00926D0D" w:rsidRPr="00926D0D">
                              <w:rPr>
                                <w:rFonts w:ascii="Times New Roman" w:hAnsi="Times New Roman" w:cs="Times New Roman"/>
                                <w:i/>
                                <w:iCs/>
                                <w:lang w:val="en-US"/>
                              </w:rPr>
                              <w:t xml:space="preserve"> Year Projection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A959F" id="Rectangle 9" o:spid="_x0000_s1030" style="position:absolute;left:0;text-align:left;margin-left:-75.55pt;margin-top:-70.8pt;width:605pt;height:45.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" fillcolor="#70ad47 [3209]" strokecolor="#10190a [489]" strokeweight="1pt">
                <v:textbox>
                  <w:txbxContent>
                    <w:p w14:paraId="2D7EA032" w14:textId="77777777" w:rsidR="00926D0D" w:rsidRPr="00926D0D" w:rsidRDefault="00E13342" w:rsidP="00926D0D">
                      <w:pPr>
                        <w:rPr>
                          <w:rFonts w:ascii="Times New Roman" w:hAnsi="Times New Roman" w:cs="Times New Roman"/>
                          <w:b/>
                          <w:bCs/>
                          <w:lang w:val="en-US"/>
                        </w:rPr>
                      </w:pPr>
                      <w:r w:rsidRPr="00926D0D">
                        <w:rPr>
                          <w:rFonts w:ascii="Times New Roman" w:hAnsi="Times New Roman" w:cs="Times New Roman"/>
                          <w:b/>
                          <w:bCs/>
                          <w:lang w:val="en-US"/>
                        </w:rPr>
                        <w:t xml:space="preserve">Transaction Structure </w:t>
                      </w:r>
                    </w:p>
                    <w:p w14:paraId="375E20A4" w14:textId="625939DB" w:rsidR="00E13342" w:rsidRPr="00926D0D" w:rsidRDefault="00E13342" w:rsidP="00926D0D">
                      <w:pPr>
                        <w:rPr>
                          <w:rFonts w:ascii="Times New Roman" w:hAnsi="Times New Roman" w:cs="Times New Roman"/>
                          <w:i/>
                          <w:iCs/>
                          <w:lang w:val="en-US"/>
                        </w:rPr>
                      </w:pPr>
                      <w:r w:rsidRPr="00926D0D">
                        <w:rPr>
                          <w:rFonts w:ascii="Times New Roman" w:hAnsi="Times New Roman" w:cs="Times New Roman"/>
                          <w:i/>
                          <w:iCs/>
                          <w:lang w:val="en-US"/>
                        </w:rPr>
                        <w:t>O</w:t>
                      </w:r>
                      <w:r w:rsidR="00926D0D" w:rsidRPr="00926D0D">
                        <w:rPr>
                          <w:rFonts w:ascii="Times New Roman" w:hAnsi="Times New Roman" w:cs="Times New Roman"/>
                          <w:i/>
                          <w:iCs/>
                          <w:lang w:val="en-US"/>
                        </w:rPr>
                        <w:t>perating model – Fiv</w:t>
                      </w:r>
                      <w:r w:rsidR="00926D0D">
                        <w:rPr>
                          <w:rFonts w:ascii="Times New Roman" w:hAnsi="Times New Roman" w:cs="Times New Roman"/>
                          <w:i/>
                          <w:iCs/>
                          <w:lang w:val="en-US"/>
                        </w:rPr>
                        <w:t>e-</w:t>
                      </w:r>
                      <w:r w:rsidR="00926D0D" w:rsidRPr="00926D0D">
                        <w:rPr>
                          <w:rFonts w:ascii="Times New Roman" w:hAnsi="Times New Roman" w:cs="Times New Roman"/>
                          <w:i/>
                          <w:iCs/>
                          <w:lang w:val="en-US"/>
                        </w:rPr>
                        <w:t xml:space="preserve"> Year Projection </w:t>
                      </w:r>
                    </w:p>
                  </w:txbxContent>
                </v:textbox>
              </v:rect>
            </w:pict>
          </mc:Fallback>
        </mc:AlternateContent>
      </w:r>
      <w:proofErr w:type="gramStart"/>
      <w:r w:rsidR="000B03C3">
        <w:rPr>
          <w:rFonts w:ascii="Times New Roman" w:eastAsia="Times New Roman" w:hAnsi="Times New Roman" w:cs="Times New Roman"/>
          <w:i/>
          <w:iCs/>
          <w:color w:val="595959" w:themeColor="text1" w:themeTint="A6"/>
          <w:kern w:val="0"/>
          <w:sz w:val="16"/>
          <w:szCs w:val="16"/>
          <w:lang w:eastAsia="en-IN"/>
          <w14:ligatures w14:val="none"/>
        </w:rPr>
        <w:t>A</w:t>
      </w:r>
      <w:r>
        <w:rPr>
          <w:rFonts w:ascii="Times New Roman" w:eastAsia="Times New Roman" w:hAnsi="Times New Roman" w:cs="Times New Roman"/>
          <w:i/>
          <w:iCs/>
          <w:color w:val="595959" w:themeColor="text1" w:themeTint="A6"/>
          <w:kern w:val="0"/>
          <w:sz w:val="16"/>
          <w:szCs w:val="16"/>
          <w:lang w:eastAsia="en-IN"/>
          <w14:ligatures w14:val="none"/>
        </w:rPr>
        <w:t>l</w:t>
      </w:r>
      <w:r w:rsidRPr="004A0C71">
        <w:rPr>
          <w:rFonts w:ascii="Times New Roman" w:eastAsia="Times New Roman" w:hAnsi="Times New Roman" w:cs="Times New Roman"/>
          <w:i/>
          <w:iCs/>
          <w:color w:val="595959" w:themeColor="text1" w:themeTint="A6"/>
          <w:kern w:val="0"/>
          <w:sz w:val="16"/>
          <w:szCs w:val="16"/>
          <w:lang w:eastAsia="en-IN"/>
          <w14:ligatures w14:val="none"/>
        </w:rPr>
        <w:t>l  figures</w:t>
      </w:r>
      <w:proofErr w:type="gramEnd"/>
      <w:r w:rsidRPr="004A0C71">
        <w:rPr>
          <w:rFonts w:ascii="Times New Roman" w:eastAsia="Times New Roman" w:hAnsi="Times New Roman" w:cs="Times New Roman"/>
          <w:i/>
          <w:iCs/>
          <w:color w:val="595959" w:themeColor="text1" w:themeTint="A6"/>
          <w:kern w:val="0"/>
          <w:sz w:val="16"/>
          <w:szCs w:val="16"/>
          <w:lang w:eastAsia="en-IN"/>
          <w14:ligatures w14:val="none"/>
        </w:rPr>
        <w:t xml:space="preserve"> in </w:t>
      </w:r>
      <w:r w:rsidR="0045671C">
        <w:rPr>
          <w:rFonts w:ascii="Times New Roman" w:eastAsia="Times New Roman" w:hAnsi="Times New Roman" w:cs="Times New Roman"/>
          <w:i/>
          <w:iCs/>
          <w:color w:val="595959" w:themeColor="text1" w:themeTint="A6"/>
          <w:kern w:val="0"/>
          <w:sz w:val="16"/>
          <w:szCs w:val="16"/>
          <w:lang w:eastAsia="en-IN"/>
          <w14:ligatures w14:val="none"/>
        </w:rPr>
        <w:t>Rs.</w:t>
      </w:r>
      <w:r w:rsidRPr="004A0C71">
        <w:rPr>
          <w:rFonts w:ascii="Times New Roman" w:eastAsia="Times New Roman" w:hAnsi="Times New Roman" w:cs="Times New Roman"/>
          <w:i/>
          <w:iCs/>
          <w:color w:val="595959" w:themeColor="text1" w:themeTint="A6"/>
          <w:kern w:val="0"/>
          <w:sz w:val="16"/>
          <w:szCs w:val="16"/>
          <w:lang w:eastAsia="en-IN"/>
          <w14:ligatures w14:val="none"/>
        </w:rPr>
        <w:t>mm</w:t>
      </w:r>
    </w:p>
    <w:p w14:paraId="5DC0661C" w14:textId="77777777" w:rsidR="004A0C71" w:rsidRDefault="004A0C71" w:rsidP="004A0C71">
      <w:pPr>
        <w:jc w:val="both"/>
        <w:rPr>
          <w:rFonts w:ascii="Times New Roman" w:eastAsia="Times New Roman" w:hAnsi="Times New Roman" w:cs="Times New Roman"/>
          <w:i/>
          <w:iCs/>
          <w:kern w:val="0"/>
          <w:lang w:eastAsia="en-IN"/>
          <w14:ligatures w14:val="none"/>
        </w:rPr>
      </w:pPr>
    </w:p>
    <w:p w14:paraId="5C35E299" w14:textId="77777777" w:rsidR="00E67796" w:rsidRDefault="00E67796" w:rsidP="00E67796">
      <w:pPr>
        <w:pStyle w:val="ListParagraph"/>
        <w:jc w:val="both"/>
        <w:rPr>
          <w:rFonts w:ascii="Times New Roman" w:eastAsia="Times New Roman" w:hAnsi="Times New Roman" w:cs="Times New Roman"/>
          <w:kern w:val="0"/>
          <w:lang w:eastAsia="en-IN"/>
          <w14:ligatures w14:val="none"/>
        </w:rPr>
      </w:pPr>
    </w:p>
    <w:p w14:paraId="16BFB084" w14:textId="77777777" w:rsidR="00E67796" w:rsidRDefault="00E67796" w:rsidP="00E67796">
      <w:pPr>
        <w:pStyle w:val="ListParagraph"/>
        <w:jc w:val="both"/>
        <w:rPr>
          <w:rFonts w:ascii="Times New Roman" w:eastAsia="Times New Roman" w:hAnsi="Times New Roman" w:cs="Times New Roman"/>
          <w:kern w:val="0"/>
          <w:lang w:eastAsia="en-IN"/>
          <w14:ligatures w14:val="none"/>
        </w:rPr>
      </w:pPr>
    </w:p>
    <w:p w14:paraId="5F19BD38" w14:textId="1A42FBB9" w:rsidR="00F42490" w:rsidRDefault="004A0C71" w:rsidP="00F42490">
      <w:pPr>
        <w:pStyle w:val="ListParagraph"/>
        <w:numPr>
          <w:ilvl w:val="0"/>
          <w:numId w:val="8"/>
        </w:numPr>
        <w:jc w:val="both"/>
        <w:rPr>
          <w:rFonts w:ascii="Times New Roman" w:eastAsia="Times New Roman" w:hAnsi="Times New Roman" w:cs="Times New Roman"/>
          <w:kern w:val="0"/>
          <w:lang w:eastAsia="en-IN"/>
          <w14:ligatures w14:val="none"/>
        </w:rPr>
      </w:pPr>
      <w:r w:rsidRPr="00D27B40">
        <w:rPr>
          <w:rFonts w:ascii="Times New Roman" w:eastAsia="Times New Roman" w:hAnsi="Times New Roman" w:cs="Times New Roman"/>
          <w:kern w:val="0"/>
          <w:lang w:eastAsia="en-IN"/>
          <w14:ligatures w14:val="none"/>
        </w:rPr>
        <w:t xml:space="preserve">Year 0 </w:t>
      </w:r>
      <w:r w:rsidR="00E96697" w:rsidRPr="00D27B40">
        <w:rPr>
          <w:rFonts w:ascii="Times New Roman" w:eastAsia="Times New Roman" w:hAnsi="Times New Roman" w:cs="Times New Roman"/>
          <w:kern w:val="0"/>
          <w:lang w:eastAsia="en-IN"/>
          <w14:ligatures w14:val="none"/>
        </w:rPr>
        <w:t xml:space="preserve">revenue i.e. Rs. 22,269 mm and EBITDA margin of 29.4% are Vinati’s real consolidated figures. </w:t>
      </w:r>
      <w:r w:rsidR="009C67D1" w:rsidRPr="00D27B40">
        <w:rPr>
          <w:rFonts w:ascii="Times New Roman" w:eastAsia="Times New Roman" w:hAnsi="Times New Roman" w:cs="Times New Roman"/>
          <w:kern w:val="0"/>
          <w:lang w:eastAsia="en-IN"/>
          <w14:ligatures w14:val="none"/>
        </w:rPr>
        <w:t>Going forwar</w:t>
      </w:r>
      <w:r w:rsidR="00D27B40" w:rsidRPr="00D27B40">
        <w:rPr>
          <w:rFonts w:ascii="Times New Roman" w:eastAsia="Times New Roman" w:hAnsi="Times New Roman" w:cs="Times New Roman"/>
          <w:kern w:val="0"/>
          <w:lang w:eastAsia="en-IN"/>
          <w14:ligatures w14:val="none"/>
        </w:rPr>
        <w:t>d</w:t>
      </w:r>
      <w:r w:rsidR="009C67D1" w:rsidRPr="00D27B40">
        <w:rPr>
          <w:rFonts w:ascii="Times New Roman" w:eastAsia="Times New Roman" w:hAnsi="Times New Roman" w:cs="Times New Roman"/>
          <w:kern w:val="0"/>
          <w:lang w:eastAsia="en-IN"/>
          <w14:ligatures w14:val="none"/>
        </w:rPr>
        <w:t>, revenue growth of 20% is a hypothetical assumption</w:t>
      </w:r>
      <w:r w:rsidR="009A4262" w:rsidRPr="00D27B40">
        <w:rPr>
          <w:rFonts w:ascii="Times New Roman" w:eastAsia="Times New Roman" w:hAnsi="Times New Roman" w:cs="Times New Roman"/>
          <w:kern w:val="0"/>
          <w:lang w:eastAsia="en-IN"/>
          <w14:ligatures w14:val="none"/>
        </w:rPr>
        <w:t xml:space="preserve">. However, it is consistent with the management’s guidance on the </w:t>
      </w:r>
      <w:r w:rsidR="002F55B9" w:rsidRPr="00D27B40">
        <w:rPr>
          <w:rFonts w:ascii="Times New Roman" w:eastAsia="Times New Roman" w:hAnsi="Times New Roman" w:cs="Times New Roman"/>
          <w:kern w:val="0"/>
          <w:lang w:eastAsia="en-IN"/>
          <w14:ligatures w14:val="none"/>
        </w:rPr>
        <w:t>FY26 earnings call of a 20%+ revenue CAGR in the coming 3 year</w:t>
      </w:r>
      <w:r w:rsidR="00D27B40" w:rsidRPr="00D27B40">
        <w:rPr>
          <w:rFonts w:ascii="Times New Roman" w:eastAsia="Times New Roman" w:hAnsi="Times New Roman" w:cs="Times New Roman"/>
          <w:kern w:val="0"/>
          <w:lang w:eastAsia="en-IN"/>
          <w14:ligatures w14:val="none"/>
        </w:rPr>
        <w:t>s</w:t>
      </w:r>
      <w:r w:rsidR="00FC038A" w:rsidRPr="00D27B40">
        <w:rPr>
          <w:rFonts w:ascii="Times New Roman" w:eastAsia="Times New Roman" w:hAnsi="Times New Roman" w:cs="Times New Roman"/>
          <w:kern w:val="0"/>
          <w:lang w:eastAsia="en-IN"/>
          <w14:ligatures w14:val="none"/>
        </w:rPr>
        <w:t xml:space="preserve">, this is underpinned by 200-250 </w:t>
      </w:r>
      <w:proofErr w:type="spellStart"/>
      <w:r w:rsidR="00FC038A" w:rsidRPr="00D27B40">
        <w:rPr>
          <w:rFonts w:ascii="Times New Roman" w:eastAsia="Times New Roman" w:hAnsi="Times New Roman" w:cs="Times New Roman"/>
          <w:kern w:val="0"/>
          <w:lang w:eastAsia="en-IN"/>
          <w14:ligatures w14:val="none"/>
        </w:rPr>
        <w:t>cr</w:t>
      </w:r>
      <w:proofErr w:type="spellEnd"/>
      <w:r w:rsidR="00FC038A" w:rsidRPr="00D27B40">
        <w:rPr>
          <w:rFonts w:ascii="Times New Roman" w:eastAsia="Times New Roman" w:hAnsi="Times New Roman" w:cs="Times New Roman"/>
          <w:kern w:val="0"/>
          <w:lang w:eastAsia="en-IN"/>
          <w14:ligatures w14:val="none"/>
        </w:rPr>
        <w:t xml:space="preserve"> of planned FY27 capex directed at </w:t>
      </w:r>
      <w:r w:rsidR="00D27B40" w:rsidRPr="00D27B40">
        <w:rPr>
          <w:rFonts w:ascii="Times New Roman" w:eastAsia="Times New Roman" w:hAnsi="Times New Roman" w:cs="Times New Roman"/>
          <w:kern w:val="0"/>
          <w:lang w:eastAsia="en-IN"/>
          <w14:ligatures w14:val="none"/>
        </w:rPr>
        <w:t xml:space="preserve">new value- added products. </w:t>
      </w:r>
    </w:p>
    <w:p w14:paraId="4B587E3B" w14:textId="77777777" w:rsidR="00F42490" w:rsidRDefault="00F42490" w:rsidP="00F42490">
      <w:pPr>
        <w:pStyle w:val="ListParagraph"/>
        <w:jc w:val="both"/>
        <w:rPr>
          <w:rFonts w:ascii="Times New Roman" w:eastAsia="Times New Roman" w:hAnsi="Times New Roman" w:cs="Times New Roman"/>
          <w:kern w:val="0"/>
          <w:lang w:eastAsia="en-IN"/>
          <w14:ligatures w14:val="none"/>
        </w:rPr>
      </w:pPr>
    </w:p>
    <w:p w14:paraId="3906985F" w14:textId="6ACCE53E" w:rsidR="000745FF" w:rsidRDefault="000745FF" w:rsidP="00F42490">
      <w:pPr>
        <w:pStyle w:val="ListParagraph"/>
        <w:numPr>
          <w:ilvl w:val="0"/>
          <w:numId w:val="8"/>
        </w:numPr>
        <w:jc w:val="both"/>
        <w:rPr>
          <w:rFonts w:ascii="Times New Roman" w:eastAsia="Times New Roman" w:hAnsi="Times New Roman" w:cs="Times New Roman"/>
          <w:kern w:val="0"/>
          <w:lang w:eastAsia="en-IN"/>
          <w14:ligatures w14:val="none"/>
        </w:rPr>
      </w:pPr>
      <w:r w:rsidRPr="00F42490">
        <w:rPr>
          <w:rFonts w:ascii="Times New Roman" w:eastAsia="Times New Roman" w:hAnsi="Times New Roman" w:cs="Times New Roman"/>
          <w:kern w:val="0"/>
          <w:lang w:eastAsia="en-IN"/>
          <w14:ligatures w14:val="none"/>
        </w:rPr>
        <w:t xml:space="preserve">EBITDA margin is </w:t>
      </w:r>
      <w:r w:rsidR="00150132" w:rsidRPr="00F42490">
        <w:rPr>
          <w:rFonts w:ascii="Times New Roman" w:eastAsia="Times New Roman" w:hAnsi="Times New Roman" w:cs="Times New Roman"/>
          <w:kern w:val="0"/>
          <w:lang w:eastAsia="en-IN"/>
          <w14:ligatures w14:val="none"/>
        </w:rPr>
        <w:t xml:space="preserve">expected to expand from the real 29.4% base to around 31.9% by Year 5. </w:t>
      </w:r>
      <w:r w:rsidR="00B57B3B" w:rsidRPr="00F42490">
        <w:rPr>
          <w:rFonts w:ascii="Times New Roman" w:eastAsia="Times New Roman" w:hAnsi="Times New Roman" w:cs="Times New Roman"/>
          <w:kern w:val="0"/>
          <w:lang w:eastAsia="en-IN"/>
          <w14:ligatures w14:val="none"/>
        </w:rPr>
        <w:t xml:space="preserve">This is a 250bps improvement and is phased as 50bps per year (year </w:t>
      </w:r>
      <w:r w:rsidR="00F42490" w:rsidRPr="00F42490">
        <w:rPr>
          <w:rFonts w:ascii="Times New Roman" w:eastAsia="Times New Roman" w:hAnsi="Times New Roman" w:cs="Times New Roman"/>
          <w:kern w:val="0"/>
          <w:lang w:eastAsia="en-IN"/>
          <w14:ligatures w14:val="none"/>
        </w:rPr>
        <w:t xml:space="preserve">1-5). </w:t>
      </w:r>
      <w:r w:rsidR="00E713DE">
        <w:rPr>
          <w:rFonts w:ascii="Times New Roman" w:eastAsia="Times New Roman" w:hAnsi="Times New Roman" w:cs="Times New Roman"/>
          <w:kern w:val="0"/>
          <w:lang w:eastAsia="en-IN"/>
          <w14:ligatures w14:val="none"/>
        </w:rPr>
        <w:t xml:space="preserve">This is relatively a conservative </w:t>
      </w:r>
      <w:r w:rsidR="004458C4">
        <w:rPr>
          <w:rFonts w:ascii="Times New Roman" w:eastAsia="Times New Roman" w:hAnsi="Times New Roman" w:cs="Times New Roman"/>
          <w:kern w:val="0"/>
          <w:lang w:eastAsia="en-IN"/>
          <w14:ligatures w14:val="none"/>
        </w:rPr>
        <w:t xml:space="preserve">assumption keeping in mind Vinati’s recent trend </w:t>
      </w:r>
      <w:r w:rsidR="003465E3">
        <w:rPr>
          <w:rFonts w:ascii="Times New Roman" w:eastAsia="Times New Roman" w:hAnsi="Times New Roman" w:cs="Times New Roman"/>
          <w:kern w:val="0"/>
          <w:lang w:eastAsia="en-IN"/>
          <w14:ligatures w14:val="none"/>
        </w:rPr>
        <w:t xml:space="preserve">i.e. the company’s real consolidated margin expanded by 360 bps in FY26 alone from 25.8% to </w:t>
      </w:r>
      <w:r w:rsidR="003A3479">
        <w:rPr>
          <w:rFonts w:ascii="Times New Roman" w:eastAsia="Times New Roman" w:hAnsi="Times New Roman" w:cs="Times New Roman"/>
          <w:kern w:val="0"/>
          <w:lang w:eastAsia="en-IN"/>
          <w14:ligatures w14:val="none"/>
        </w:rPr>
        <w:t xml:space="preserve">29.4%. Hence, a 250bps further over the span of </w:t>
      </w:r>
      <w:r w:rsidR="0096435C">
        <w:rPr>
          <w:rFonts w:ascii="Times New Roman" w:eastAsia="Times New Roman" w:hAnsi="Times New Roman" w:cs="Times New Roman"/>
          <w:kern w:val="0"/>
          <w:lang w:eastAsia="en-IN"/>
          <w14:ligatures w14:val="none"/>
        </w:rPr>
        <w:t xml:space="preserve">five years is deliberately measured as extrapolation than a straight-line </w:t>
      </w:r>
      <w:r w:rsidR="00A3136E">
        <w:rPr>
          <w:rFonts w:ascii="Times New Roman" w:eastAsia="Times New Roman" w:hAnsi="Times New Roman" w:cs="Times New Roman"/>
          <w:kern w:val="0"/>
          <w:lang w:eastAsia="en-IN"/>
          <w14:ligatures w14:val="none"/>
        </w:rPr>
        <w:t>continuation</w:t>
      </w:r>
      <w:r w:rsidR="0096435C">
        <w:rPr>
          <w:rFonts w:ascii="Times New Roman" w:eastAsia="Times New Roman" w:hAnsi="Times New Roman" w:cs="Times New Roman"/>
          <w:kern w:val="0"/>
          <w:lang w:eastAsia="en-IN"/>
          <w14:ligatures w14:val="none"/>
        </w:rPr>
        <w:t xml:space="preserve"> of </w:t>
      </w:r>
      <w:r w:rsidR="00A3136E">
        <w:rPr>
          <w:rFonts w:ascii="Times New Roman" w:eastAsia="Times New Roman" w:hAnsi="Times New Roman" w:cs="Times New Roman"/>
          <w:kern w:val="0"/>
          <w:lang w:eastAsia="en-IN"/>
          <w14:ligatures w14:val="none"/>
        </w:rPr>
        <w:t xml:space="preserve">an unusually strong single year. </w:t>
      </w:r>
    </w:p>
    <w:p w14:paraId="4568F41F" w14:textId="77777777" w:rsidR="00D2564C" w:rsidRPr="00D2564C" w:rsidRDefault="00D2564C" w:rsidP="00D2564C">
      <w:pPr>
        <w:pStyle w:val="ListParagraph"/>
        <w:rPr>
          <w:rFonts w:ascii="Times New Roman" w:eastAsia="Times New Roman" w:hAnsi="Times New Roman" w:cs="Times New Roman"/>
          <w:kern w:val="0"/>
          <w:lang w:eastAsia="en-IN"/>
          <w14:ligatures w14:val="none"/>
        </w:rPr>
      </w:pPr>
    </w:p>
    <w:p w14:paraId="5B825A07" w14:textId="37B80E88" w:rsidR="002A31ED" w:rsidRDefault="00D2564C" w:rsidP="002A31ED">
      <w:pPr>
        <w:pStyle w:val="ListParagraph"/>
        <w:numPr>
          <w:ilvl w:val="0"/>
          <w:numId w:val="8"/>
        </w:num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Like the original structure, entry as well as exit multiples </w:t>
      </w:r>
      <w:r w:rsidR="00FE5EDA">
        <w:rPr>
          <w:rFonts w:ascii="Times New Roman" w:eastAsia="Times New Roman" w:hAnsi="Times New Roman" w:cs="Times New Roman"/>
          <w:kern w:val="0"/>
          <w:lang w:eastAsia="en-IN"/>
          <w14:ligatures w14:val="none"/>
        </w:rPr>
        <w:t>are constant at 20.0x. It is entirely driven by underlying EBITDA growth and</w:t>
      </w:r>
      <w:r w:rsidR="002A31ED">
        <w:rPr>
          <w:rFonts w:ascii="Times New Roman" w:eastAsia="Times New Roman" w:hAnsi="Times New Roman" w:cs="Times New Roman"/>
          <w:kern w:val="0"/>
          <w:lang w:eastAsia="en-IN"/>
          <w14:ligatures w14:val="none"/>
        </w:rPr>
        <w:t>, also to some extent, deleveraging.</w:t>
      </w:r>
    </w:p>
    <w:p w14:paraId="7D11FD17" w14:textId="77777777" w:rsidR="002A31ED" w:rsidRPr="002A31ED" w:rsidRDefault="002A31ED" w:rsidP="002A31ED">
      <w:pPr>
        <w:pStyle w:val="ListParagraph"/>
        <w:rPr>
          <w:rFonts w:ascii="Times New Roman" w:eastAsia="Times New Roman" w:hAnsi="Times New Roman" w:cs="Times New Roman"/>
          <w:kern w:val="0"/>
          <w:lang w:eastAsia="en-IN"/>
          <w14:ligatures w14:val="none"/>
        </w:rPr>
      </w:pPr>
    </w:p>
    <w:p w14:paraId="236DA22A" w14:textId="43DF4DD1" w:rsidR="00950A64" w:rsidRDefault="001D5238" w:rsidP="0041267A">
      <w:pPr>
        <w:pStyle w:val="ListParagraph"/>
        <w:numPr>
          <w:ilvl w:val="0"/>
          <w:numId w:val="8"/>
        </w:num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The effective tax rate stands at </w:t>
      </w:r>
      <w:r w:rsidR="00F44B79">
        <w:rPr>
          <w:rFonts w:ascii="Times New Roman" w:eastAsia="Times New Roman" w:hAnsi="Times New Roman" w:cs="Times New Roman"/>
          <w:kern w:val="0"/>
          <w:lang w:eastAsia="en-IN"/>
          <w14:ligatures w14:val="none"/>
        </w:rPr>
        <w:t xml:space="preserve">25.17% throughout. </w:t>
      </w:r>
      <w:proofErr w:type="spellStart"/>
      <w:r w:rsidR="00F44B79">
        <w:rPr>
          <w:rFonts w:ascii="Times New Roman" w:eastAsia="Times New Roman" w:hAnsi="Times New Roman" w:cs="Times New Roman"/>
          <w:kern w:val="0"/>
          <w:lang w:eastAsia="en-IN"/>
          <w14:ligatures w14:val="none"/>
        </w:rPr>
        <w:t>CapEx</w:t>
      </w:r>
      <w:proofErr w:type="spellEnd"/>
      <w:r w:rsidR="00F44B79">
        <w:rPr>
          <w:rFonts w:ascii="Times New Roman" w:eastAsia="Times New Roman" w:hAnsi="Times New Roman" w:cs="Times New Roman"/>
          <w:kern w:val="0"/>
          <w:lang w:eastAsia="en-IN"/>
          <w14:ligatures w14:val="none"/>
        </w:rPr>
        <w:t xml:space="preserve"> in Year 0 </w:t>
      </w:r>
      <w:r w:rsidR="00ED00C4">
        <w:rPr>
          <w:rFonts w:ascii="Times New Roman" w:eastAsia="Times New Roman" w:hAnsi="Times New Roman" w:cs="Times New Roman"/>
          <w:kern w:val="0"/>
          <w:lang w:eastAsia="en-IN"/>
          <w14:ligatures w14:val="none"/>
        </w:rPr>
        <w:t xml:space="preserve">of Rs. 2,700 mm is Vinati’s reported FY26 capital expenditure which is around </w:t>
      </w:r>
      <w:r w:rsidR="00E22F21">
        <w:rPr>
          <w:rFonts w:ascii="Times New Roman" w:eastAsia="Times New Roman" w:hAnsi="Times New Roman" w:cs="Times New Roman"/>
          <w:kern w:val="0"/>
          <w:lang w:eastAsia="en-IN"/>
          <w14:ligatures w14:val="none"/>
        </w:rPr>
        <w:t xml:space="preserve">12.1% of the revenue. This real intensity is carried forward </w:t>
      </w:r>
      <w:r w:rsidR="006A6CF1">
        <w:rPr>
          <w:rFonts w:ascii="Times New Roman" w:eastAsia="Times New Roman" w:hAnsi="Times New Roman" w:cs="Times New Roman"/>
          <w:kern w:val="0"/>
          <w:lang w:eastAsia="en-IN"/>
          <w14:ligatures w14:val="none"/>
        </w:rPr>
        <w:t xml:space="preserve">as the Cap-Ex to Sales ratio for the upcoming years of 1-5. D&amp;A is </w:t>
      </w:r>
      <w:r w:rsidR="00950A64">
        <w:rPr>
          <w:rFonts w:ascii="Times New Roman" w:eastAsia="Times New Roman" w:hAnsi="Times New Roman" w:cs="Times New Roman"/>
          <w:kern w:val="0"/>
          <w:lang w:eastAsia="en-IN"/>
          <w14:ligatures w14:val="none"/>
        </w:rPr>
        <w:t>at 4% of the revenue which is consistent with a capital intensive</w:t>
      </w:r>
      <w:r w:rsidR="0041267A">
        <w:rPr>
          <w:rFonts w:ascii="Times New Roman" w:eastAsia="Times New Roman" w:hAnsi="Times New Roman" w:cs="Times New Roman"/>
          <w:kern w:val="0"/>
          <w:lang w:eastAsia="en-IN"/>
          <w14:ligatures w14:val="none"/>
        </w:rPr>
        <w:t>,</w:t>
      </w:r>
      <w:r w:rsidR="00950A64">
        <w:rPr>
          <w:rFonts w:ascii="Times New Roman" w:eastAsia="Times New Roman" w:hAnsi="Times New Roman" w:cs="Times New Roman"/>
          <w:kern w:val="0"/>
          <w:lang w:eastAsia="en-IN"/>
          <w14:ligatures w14:val="none"/>
        </w:rPr>
        <w:t xml:space="preserve"> plant</w:t>
      </w:r>
      <w:r w:rsidR="0041267A">
        <w:rPr>
          <w:rFonts w:ascii="Times New Roman" w:eastAsia="Times New Roman" w:hAnsi="Times New Roman" w:cs="Times New Roman"/>
          <w:kern w:val="0"/>
          <w:lang w:eastAsia="en-IN"/>
          <w14:ligatures w14:val="none"/>
        </w:rPr>
        <w:t>-</w:t>
      </w:r>
      <w:r w:rsidR="00950A64">
        <w:rPr>
          <w:rFonts w:ascii="Times New Roman" w:eastAsia="Times New Roman" w:hAnsi="Times New Roman" w:cs="Times New Roman"/>
          <w:kern w:val="0"/>
          <w:lang w:eastAsia="en-IN"/>
          <w14:ligatures w14:val="none"/>
        </w:rPr>
        <w:t xml:space="preserve">based manufacturer. </w:t>
      </w:r>
    </w:p>
    <w:p w14:paraId="53A9C05A" w14:textId="77777777" w:rsidR="0041267A" w:rsidRPr="0041267A" w:rsidRDefault="0041267A" w:rsidP="0041267A">
      <w:pPr>
        <w:pStyle w:val="ListParagraph"/>
        <w:rPr>
          <w:rFonts w:ascii="Times New Roman" w:eastAsia="Times New Roman" w:hAnsi="Times New Roman" w:cs="Times New Roman"/>
          <w:kern w:val="0"/>
          <w:lang w:eastAsia="en-IN"/>
          <w14:ligatures w14:val="none"/>
        </w:rPr>
      </w:pPr>
    </w:p>
    <w:p w14:paraId="19E3CFDB" w14:textId="77777777" w:rsidR="0041267A" w:rsidRDefault="0041267A" w:rsidP="0041267A">
      <w:pPr>
        <w:jc w:val="both"/>
        <w:rPr>
          <w:rFonts w:ascii="Times New Roman" w:eastAsia="Times New Roman" w:hAnsi="Times New Roman" w:cs="Times New Roman"/>
          <w:kern w:val="0"/>
          <w:lang w:eastAsia="en-IN"/>
          <w14:ligatures w14:val="none"/>
        </w:rPr>
      </w:pPr>
    </w:p>
    <w:p w14:paraId="0FE7AF0E" w14:textId="77777777" w:rsidR="0041267A" w:rsidRDefault="0041267A" w:rsidP="0041267A">
      <w:pPr>
        <w:jc w:val="both"/>
        <w:rPr>
          <w:rFonts w:ascii="Times New Roman" w:eastAsia="Times New Roman" w:hAnsi="Times New Roman" w:cs="Times New Roman"/>
          <w:kern w:val="0"/>
          <w:lang w:eastAsia="en-IN"/>
          <w14:ligatures w14:val="none"/>
        </w:rPr>
      </w:pPr>
    </w:p>
    <w:p w14:paraId="13C518BE" w14:textId="77777777" w:rsidR="0041267A" w:rsidRDefault="0041267A" w:rsidP="0041267A">
      <w:pPr>
        <w:jc w:val="both"/>
        <w:rPr>
          <w:rFonts w:ascii="Times New Roman" w:eastAsia="Times New Roman" w:hAnsi="Times New Roman" w:cs="Times New Roman"/>
          <w:kern w:val="0"/>
          <w:lang w:eastAsia="en-IN"/>
          <w14:ligatures w14:val="none"/>
        </w:rPr>
      </w:pPr>
    </w:p>
    <w:p w14:paraId="302C7BF5" w14:textId="1152B0FF" w:rsidR="0041267A" w:rsidRDefault="008B5034" w:rsidP="0041267A">
      <w:pPr>
        <w:jc w:val="both"/>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mc:AlternateContent>
          <mc:Choice Requires="wps">
            <w:drawing>
              <wp:anchor distT="0" distB="0" distL="114300" distR="114300" simplePos="0" relativeHeight="251654144" behindDoc="0" locked="0" layoutInCell="1" allowOverlap="1" wp14:anchorId="5A2241AC" wp14:editId="2BDBFC4B">
                <wp:simplePos x="0" y="0"/>
                <wp:positionH relativeFrom="page">
                  <wp:align>left</wp:align>
                </wp:positionH>
                <wp:positionV relativeFrom="paragraph">
                  <wp:posOffset>-914400</wp:posOffset>
                </wp:positionV>
                <wp:extent cx="7566987" cy="550334"/>
                <wp:effectExtent l="0" t="0" r="15240" b="21590"/>
                <wp:wrapNone/>
                <wp:docPr id="47512561" name="Rectangle 11"/>
                <wp:cNvGraphicFramePr/>
                <a:graphic xmlns:a="http://schemas.openxmlformats.org/drawingml/2006/main">
                  <a:graphicData uri="http://schemas.microsoft.com/office/word/2010/wordprocessingShape">
                    <wps:wsp>
                      <wps:cNvSpPr/>
                      <wps:spPr>
                        <a:xfrm>
                          <a:off x="0" y="0"/>
                          <a:ext cx="7566987" cy="550334"/>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479BD6C" w14:textId="049DC2E0" w:rsidR="006008FF" w:rsidRPr="006008FF" w:rsidRDefault="006008FF" w:rsidP="006008FF">
                            <w:pPr>
                              <w:rPr>
                                <w:rFonts w:ascii="Times New Roman" w:hAnsi="Times New Roman" w:cs="Times New Roman"/>
                                <w:b/>
                                <w:bCs/>
                                <w:lang w:val="en-US"/>
                              </w:rPr>
                            </w:pPr>
                            <w:r w:rsidRPr="006008FF">
                              <w:rPr>
                                <w:rFonts w:ascii="Times New Roman" w:hAnsi="Times New Roman" w:cs="Times New Roman"/>
                                <w:b/>
                                <w:bCs/>
                                <w:lang w:val="en-US"/>
                              </w:rPr>
                              <w:t xml:space="preserve">Transaction Structure </w:t>
                            </w:r>
                          </w:p>
                          <w:p w14:paraId="30A9D1AB" w14:textId="659F1C23" w:rsidR="006008FF" w:rsidRPr="006008FF" w:rsidRDefault="006008FF" w:rsidP="006008FF">
                            <w:pPr>
                              <w:rPr>
                                <w:rFonts w:ascii="Times New Roman" w:hAnsi="Times New Roman" w:cs="Times New Roman"/>
                                <w:i/>
                                <w:iCs/>
                                <w:lang w:val="en-US"/>
                              </w:rPr>
                            </w:pPr>
                            <w:r w:rsidRPr="006008FF">
                              <w:rPr>
                                <w:rFonts w:ascii="Times New Roman" w:hAnsi="Times New Roman" w:cs="Times New Roman"/>
                                <w:i/>
                                <w:iCs/>
                                <w:lang w:val="en-US"/>
                              </w:rPr>
                              <w:t xml:space="preserve">Cash Flow and Debt Paydown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241AC" id="Rectangle 11" o:spid="_x0000_s1031" style="position:absolute;left:0;text-align:left;margin-left:0;margin-top:-1in;width:595.85pt;height:43.35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" fillcolor="#70ad47 [3209]" strokecolor="#10190a [489]" strokeweight="1pt">
                <v:textbox>
                  <w:txbxContent>
                    <w:p w14:paraId="3479BD6C" w14:textId="049DC2E0" w:rsidR="006008FF" w:rsidRPr="006008FF" w:rsidRDefault="006008FF" w:rsidP="006008FF">
                      <w:pPr>
                        <w:rPr>
                          <w:rFonts w:ascii="Times New Roman" w:hAnsi="Times New Roman" w:cs="Times New Roman"/>
                          <w:b/>
                          <w:bCs/>
                          <w:lang w:val="en-US"/>
                        </w:rPr>
                      </w:pPr>
                      <w:r w:rsidRPr="006008FF">
                        <w:rPr>
                          <w:rFonts w:ascii="Times New Roman" w:hAnsi="Times New Roman" w:cs="Times New Roman"/>
                          <w:b/>
                          <w:bCs/>
                          <w:lang w:val="en-US"/>
                        </w:rPr>
                        <w:t xml:space="preserve">Transaction Structure </w:t>
                      </w:r>
                    </w:p>
                    <w:p w14:paraId="30A9D1AB" w14:textId="659F1C23" w:rsidR="006008FF" w:rsidRPr="006008FF" w:rsidRDefault="006008FF" w:rsidP="006008FF">
                      <w:pPr>
                        <w:rPr>
                          <w:rFonts w:ascii="Times New Roman" w:hAnsi="Times New Roman" w:cs="Times New Roman"/>
                          <w:i/>
                          <w:iCs/>
                          <w:lang w:val="en-US"/>
                        </w:rPr>
                      </w:pPr>
                      <w:r w:rsidRPr="006008FF">
                        <w:rPr>
                          <w:rFonts w:ascii="Times New Roman" w:hAnsi="Times New Roman" w:cs="Times New Roman"/>
                          <w:i/>
                          <w:iCs/>
                          <w:lang w:val="en-US"/>
                        </w:rPr>
                        <w:t xml:space="preserve">Cash Flow and Debt Paydown </w:t>
                      </w:r>
                    </w:p>
                  </w:txbxContent>
                </v:textbox>
                <w10:wrap anchorx="page"/>
              </v:rect>
            </w:pict>
          </mc:Fallback>
        </mc:AlternateConten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7128A" w14:paraId="20C9BE7B" w14:textId="77777777" w:rsidTr="0037128A">
        <w:tc>
          <w:tcPr>
            <w:tcW w:w="1502" w:type="dxa"/>
          </w:tcPr>
          <w:p w14:paraId="37486AA8" w14:textId="0AD8ADF1" w:rsidR="0037128A" w:rsidRPr="0037128A" w:rsidRDefault="0037128A" w:rsidP="0037128A">
            <w:pPr>
              <w:jc w:val="center"/>
              <w:rPr>
                <w:rFonts w:ascii="Times New Roman" w:eastAsia="Times New Roman" w:hAnsi="Times New Roman" w:cs="Times New Roman"/>
                <w:b/>
                <w:bCs/>
                <w:lang w:eastAsia="en-IN"/>
              </w:rPr>
            </w:pPr>
            <w:r w:rsidRPr="0037128A">
              <w:rPr>
                <w:rFonts w:ascii="Times New Roman" w:eastAsia="Times New Roman" w:hAnsi="Times New Roman" w:cs="Times New Roman"/>
                <w:b/>
                <w:bCs/>
                <w:lang w:eastAsia="en-IN"/>
              </w:rPr>
              <w:t>Cash Flow Items</w:t>
            </w:r>
          </w:p>
        </w:tc>
        <w:tc>
          <w:tcPr>
            <w:tcW w:w="1502" w:type="dxa"/>
          </w:tcPr>
          <w:p w14:paraId="703086C5" w14:textId="3595B737" w:rsidR="0037128A" w:rsidRPr="0037128A" w:rsidRDefault="0037128A" w:rsidP="0037128A">
            <w:pPr>
              <w:jc w:val="center"/>
              <w:rPr>
                <w:rFonts w:ascii="Times New Roman" w:eastAsia="Times New Roman" w:hAnsi="Times New Roman" w:cs="Times New Roman"/>
                <w:b/>
                <w:bCs/>
                <w:lang w:eastAsia="en-IN"/>
              </w:rPr>
            </w:pPr>
            <w:r w:rsidRPr="0037128A">
              <w:rPr>
                <w:rFonts w:ascii="Times New Roman" w:eastAsia="Times New Roman" w:hAnsi="Times New Roman" w:cs="Times New Roman"/>
                <w:b/>
                <w:bCs/>
                <w:lang w:eastAsia="en-IN"/>
              </w:rPr>
              <w:t>Year 1</w:t>
            </w:r>
          </w:p>
        </w:tc>
        <w:tc>
          <w:tcPr>
            <w:tcW w:w="1503" w:type="dxa"/>
          </w:tcPr>
          <w:p w14:paraId="10AF284F" w14:textId="4BA28974" w:rsidR="0037128A" w:rsidRPr="0037128A" w:rsidRDefault="0037128A" w:rsidP="0037128A">
            <w:pPr>
              <w:jc w:val="center"/>
              <w:rPr>
                <w:rFonts w:ascii="Times New Roman" w:eastAsia="Times New Roman" w:hAnsi="Times New Roman" w:cs="Times New Roman"/>
                <w:b/>
                <w:bCs/>
                <w:lang w:eastAsia="en-IN"/>
              </w:rPr>
            </w:pPr>
            <w:r w:rsidRPr="0037128A">
              <w:rPr>
                <w:rFonts w:ascii="Times New Roman" w:eastAsia="Times New Roman" w:hAnsi="Times New Roman" w:cs="Times New Roman"/>
                <w:b/>
                <w:bCs/>
                <w:lang w:eastAsia="en-IN"/>
              </w:rPr>
              <w:t>Year 2</w:t>
            </w:r>
          </w:p>
        </w:tc>
        <w:tc>
          <w:tcPr>
            <w:tcW w:w="1503" w:type="dxa"/>
          </w:tcPr>
          <w:p w14:paraId="2AAA122D" w14:textId="04703F11" w:rsidR="0037128A" w:rsidRPr="0037128A" w:rsidRDefault="0037128A" w:rsidP="0037128A">
            <w:pPr>
              <w:jc w:val="center"/>
              <w:rPr>
                <w:rFonts w:ascii="Times New Roman" w:eastAsia="Times New Roman" w:hAnsi="Times New Roman" w:cs="Times New Roman"/>
                <w:b/>
                <w:bCs/>
                <w:lang w:eastAsia="en-IN"/>
              </w:rPr>
            </w:pPr>
            <w:r w:rsidRPr="0037128A">
              <w:rPr>
                <w:rFonts w:ascii="Times New Roman" w:eastAsia="Times New Roman" w:hAnsi="Times New Roman" w:cs="Times New Roman"/>
                <w:b/>
                <w:bCs/>
                <w:lang w:eastAsia="en-IN"/>
              </w:rPr>
              <w:t>Year 3</w:t>
            </w:r>
          </w:p>
        </w:tc>
        <w:tc>
          <w:tcPr>
            <w:tcW w:w="1503" w:type="dxa"/>
          </w:tcPr>
          <w:p w14:paraId="59881A05" w14:textId="35800421" w:rsidR="0037128A" w:rsidRPr="0037128A" w:rsidRDefault="0037128A" w:rsidP="0037128A">
            <w:pPr>
              <w:jc w:val="center"/>
              <w:rPr>
                <w:rFonts w:ascii="Times New Roman" w:eastAsia="Times New Roman" w:hAnsi="Times New Roman" w:cs="Times New Roman"/>
                <w:b/>
                <w:bCs/>
                <w:lang w:eastAsia="en-IN"/>
              </w:rPr>
            </w:pPr>
            <w:r w:rsidRPr="0037128A">
              <w:rPr>
                <w:rFonts w:ascii="Times New Roman" w:eastAsia="Times New Roman" w:hAnsi="Times New Roman" w:cs="Times New Roman"/>
                <w:b/>
                <w:bCs/>
                <w:lang w:eastAsia="en-IN"/>
              </w:rPr>
              <w:t>Year 4</w:t>
            </w:r>
          </w:p>
        </w:tc>
        <w:tc>
          <w:tcPr>
            <w:tcW w:w="1503" w:type="dxa"/>
          </w:tcPr>
          <w:p w14:paraId="555B0B34" w14:textId="0B2B296D" w:rsidR="0037128A" w:rsidRPr="0037128A" w:rsidRDefault="0037128A" w:rsidP="0037128A">
            <w:pPr>
              <w:jc w:val="center"/>
              <w:rPr>
                <w:rFonts w:ascii="Times New Roman" w:eastAsia="Times New Roman" w:hAnsi="Times New Roman" w:cs="Times New Roman"/>
                <w:b/>
                <w:bCs/>
                <w:lang w:eastAsia="en-IN"/>
              </w:rPr>
            </w:pPr>
            <w:r w:rsidRPr="0037128A">
              <w:rPr>
                <w:rFonts w:ascii="Times New Roman" w:eastAsia="Times New Roman" w:hAnsi="Times New Roman" w:cs="Times New Roman"/>
                <w:b/>
                <w:bCs/>
                <w:lang w:eastAsia="en-IN"/>
              </w:rPr>
              <w:t>Year 5</w:t>
            </w:r>
          </w:p>
        </w:tc>
      </w:tr>
      <w:tr w:rsidR="0037128A" w14:paraId="4E9F2508" w14:textId="77777777" w:rsidTr="0037128A">
        <w:tc>
          <w:tcPr>
            <w:tcW w:w="1502" w:type="dxa"/>
          </w:tcPr>
          <w:p w14:paraId="769D406F" w14:textId="4C297C0D" w:rsidR="0037128A" w:rsidRDefault="0037128A" w:rsidP="00FD06CA">
            <w:pPr>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Net Income </w:t>
            </w:r>
          </w:p>
        </w:tc>
        <w:tc>
          <w:tcPr>
            <w:tcW w:w="1502" w:type="dxa"/>
          </w:tcPr>
          <w:p w14:paraId="09BDD4AB" w14:textId="55BA2788" w:rsidR="0037128A" w:rsidRDefault="001D399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1,386</w:t>
            </w:r>
          </w:p>
        </w:tc>
        <w:tc>
          <w:tcPr>
            <w:tcW w:w="1503" w:type="dxa"/>
          </w:tcPr>
          <w:p w14:paraId="52945ECA" w14:textId="6F02E39F" w:rsidR="0037128A" w:rsidRDefault="00C9291C"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2,392</w:t>
            </w:r>
          </w:p>
        </w:tc>
        <w:tc>
          <w:tcPr>
            <w:tcW w:w="1503" w:type="dxa"/>
          </w:tcPr>
          <w:p w14:paraId="21054DD7" w14:textId="0698065D"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3,884</w:t>
            </w:r>
          </w:p>
        </w:tc>
        <w:tc>
          <w:tcPr>
            <w:tcW w:w="1503" w:type="dxa"/>
          </w:tcPr>
          <w:p w14:paraId="6387FE81" w14:textId="37DBAD9F"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5,791</w:t>
            </w:r>
          </w:p>
        </w:tc>
        <w:tc>
          <w:tcPr>
            <w:tcW w:w="1503" w:type="dxa"/>
          </w:tcPr>
          <w:p w14:paraId="733B8D0D" w14:textId="48B880FA"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8,209</w:t>
            </w:r>
          </w:p>
        </w:tc>
      </w:tr>
      <w:tr w:rsidR="0037128A" w14:paraId="587F8613" w14:textId="77777777" w:rsidTr="0037128A">
        <w:tc>
          <w:tcPr>
            <w:tcW w:w="1502" w:type="dxa"/>
          </w:tcPr>
          <w:p w14:paraId="4A5C80BE" w14:textId="270E2760" w:rsidR="0037128A" w:rsidRDefault="0037128A" w:rsidP="00FD06CA">
            <w:pPr>
              <w:rPr>
                <w:rFonts w:ascii="Times New Roman" w:eastAsia="Times New Roman" w:hAnsi="Times New Roman" w:cs="Times New Roman"/>
                <w:lang w:eastAsia="en-IN"/>
              </w:rPr>
            </w:pPr>
            <w:r>
              <w:rPr>
                <w:rFonts w:ascii="Times New Roman" w:eastAsia="Times New Roman" w:hAnsi="Times New Roman" w:cs="Times New Roman"/>
                <w:lang w:eastAsia="en-IN"/>
              </w:rPr>
              <w:t>+D&amp;A</w:t>
            </w:r>
          </w:p>
        </w:tc>
        <w:tc>
          <w:tcPr>
            <w:tcW w:w="1502" w:type="dxa"/>
          </w:tcPr>
          <w:p w14:paraId="59C3D4E2" w14:textId="7C74368E" w:rsidR="0037128A" w:rsidRDefault="001D399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1,069</w:t>
            </w:r>
          </w:p>
        </w:tc>
        <w:tc>
          <w:tcPr>
            <w:tcW w:w="1503" w:type="dxa"/>
          </w:tcPr>
          <w:p w14:paraId="48CAD677" w14:textId="7883FCAC"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1,283</w:t>
            </w:r>
          </w:p>
        </w:tc>
        <w:tc>
          <w:tcPr>
            <w:tcW w:w="1503" w:type="dxa"/>
          </w:tcPr>
          <w:p w14:paraId="28927071" w14:textId="1283818F"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1,539</w:t>
            </w:r>
          </w:p>
        </w:tc>
        <w:tc>
          <w:tcPr>
            <w:tcW w:w="1503" w:type="dxa"/>
          </w:tcPr>
          <w:p w14:paraId="14F07765" w14:textId="0362D5C9"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1,847</w:t>
            </w:r>
          </w:p>
        </w:tc>
        <w:tc>
          <w:tcPr>
            <w:tcW w:w="1503" w:type="dxa"/>
          </w:tcPr>
          <w:p w14:paraId="68211716" w14:textId="0F99D202" w:rsidR="0037128A" w:rsidRDefault="005F6EE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2,216</w:t>
            </w:r>
          </w:p>
        </w:tc>
      </w:tr>
      <w:tr w:rsidR="0037128A" w14:paraId="02F0C280" w14:textId="77777777" w:rsidTr="0037128A">
        <w:tc>
          <w:tcPr>
            <w:tcW w:w="1502" w:type="dxa"/>
          </w:tcPr>
          <w:p w14:paraId="2F477400" w14:textId="762915A1" w:rsidR="0037128A" w:rsidRPr="003E48F3" w:rsidRDefault="003E48F3" w:rsidP="00FD06CA">
            <w:pPr>
              <w:rPr>
                <w:rFonts w:ascii="Times New Roman" w:eastAsia="Times New Roman" w:hAnsi="Times New Roman" w:cs="Times New Roman"/>
                <w:lang w:eastAsia="en-IN"/>
              </w:rPr>
            </w:pPr>
            <w:r>
              <w:rPr>
                <w:rFonts w:ascii="Times New Roman" w:eastAsia="Times New Roman" w:hAnsi="Times New Roman" w:cs="Times New Roman"/>
                <w:lang w:eastAsia="en-IN"/>
              </w:rPr>
              <w:t>-</w:t>
            </w:r>
            <w:proofErr w:type="spellStart"/>
            <w:r w:rsidRPr="003E48F3">
              <w:rPr>
                <w:rFonts w:ascii="Times New Roman" w:eastAsia="Times New Roman" w:hAnsi="Times New Roman" w:cs="Times New Roman"/>
                <w:lang w:eastAsia="en-IN"/>
              </w:rPr>
              <w:t>CapEx</w:t>
            </w:r>
            <w:proofErr w:type="spellEnd"/>
          </w:p>
        </w:tc>
        <w:tc>
          <w:tcPr>
            <w:tcW w:w="1502" w:type="dxa"/>
          </w:tcPr>
          <w:p w14:paraId="6339E975" w14:textId="5621042E" w:rsidR="0037128A" w:rsidRDefault="001D399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3,240</w:t>
            </w:r>
          </w:p>
        </w:tc>
        <w:tc>
          <w:tcPr>
            <w:tcW w:w="1503" w:type="dxa"/>
          </w:tcPr>
          <w:p w14:paraId="3FBE15F4" w14:textId="19726F48" w:rsidR="0037128A" w:rsidRDefault="007058A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3,888</w:t>
            </w:r>
          </w:p>
        </w:tc>
        <w:tc>
          <w:tcPr>
            <w:tcW w:w="1503" w:type="dxa"/>
          </w:tcPr>
          <w:p w14:paraId="7A5D136B" w14:textId="6CC1322C" w:rsidR="0037128A" w:rsidRDefault="007058A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4,666</w:t>
            </w:r>
          </w:p>
        </w:tc>
        <w:tc>
          <w:tcPr>
            <w:tcW w:w="1503" w:type="dxa"/>
          </w:tcPr>
          <w:p w14:paraId="5FBEF1A5" w14:textId="16F916B3" w:rsidR="0037128A" w:rsidRDefault="007058A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5,599</w:t>
            </w:r>
          </w:p>
        </w:tc>
        <w:tc>
          <w:tcPr>
            <w:tcW w:w="1503" w:type="dxa"/>
          </w:tcPr>
          <w:p w14:paraId="3B4937DC" w14:textId="67B82FE5" w:rsidR="0037128A" w:rsidRDefault="007058A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6,718</w:t>
            </w:r>
          </w:p>
        </w:tc>
      </w:tr>
      <w:tr w:rsidR="0037128A" w14:paraId="517882A0" w14:textId="77777777" w:rsidTr="0037128A">
        <w:tc>
          <w:tcPr>
            <w:tcW w:w="1502" w:type="dxa"/>
          </w:tcPr>
          <w:p w14:paraId="6962583A" w14:textId="280A6833" w:rsidR="0037128A" w:rsidRDefault="003E48F3" w:rsidP="00FD06CA">
            <w:pPr>
              <w:rPr>
                <w:rFonts w:ascii="Times New Roman" w:eastAsia="Times New Roman" w:hAnsi="Times New Roman" w:cs="Times New Roman"/>
                <w:lang w:eastAsia="en-IN"/>
              </w:rPr>
            </w:pPr>
            <w:r>
              <w:rPr>
                <w:rFonts w:ascii="Times New Roman" w:eastAsia="Times New Roman" w:hAnsi="Times New Roman" w:cs="Times New Roman"/>
                <w:lang w:eastAsia="en-IN"/>
              </w:rPr>
              <w:t>-Increase in NWC</w:t>
            </w:r>
          </w:p>
        </w:tc>
        <w:tc>
          <w:tcPr>
            <w:tcW w:w="1502" w:type="dxa"/>
          </w:tcPr>
          <w:p w14:paraId="7CDF9DF5" w14:textId="4DCB4D37" w:rsidR="0037128A" w:rsidRDefault="001D399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980</w:t>
            </w:r>
          </w:p>
        </w:tc>
        <w:tc>
          <w:tcPr>
            <w:tcW w:w="1503" w:type="dxa"/>
          </w:tcPr>
          <w:p w14:paraId="29BBBEA2" w14:textId="0DD9D95B" w:rsidR="0037128A" w:rsidRDefault="007058A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1.176</w:t>
            </w:r>
          </w:p>
        </w:tc>
        <w:tc>
          <w:tcPr>
            <w:tcW w:w="1503" w:type="dxa"/>
          </w:tcPr>
          <w:p w14:paraId="228D25CB" w14:textId="14C28D11" w:rsidR="0037128A" w:rsidRDefault="007058A7"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1,411</w:t>
            </w:r>
          </w:p>
        </w:tc>
        <w:tc>
          <w:tcPr>
            <w:tcW w:w="1503" w:type="dxa"/>
          </w:tcPr>
          <w:p w14:paraId="1BEFA787" w14:textId="4F9C1876" w:rsidR="0037128A" w:rsidRDefault="009D405C"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1,693</w:t>
            </w:r>
          </w:p>
        </w:tc>
        <w:tc>
          <w:tcPr>
            <w:tcW w:w="1503" w:type="dxa"/>
          </w:tcPr>
          <w:p w14:paraId="53FAA428" w14:textId="4EEC77D5" w:rsidR="0037128A" w:rsidRDefault="009D405C"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2,032</w:t>
            </w:r>
          </w:p>
        </w:tc>
      </w:tr>
      <w:tr w:rsidR="0037128A" w14:paraId="2DF4E04F" w14:textId="77777777" w:rsidTr="0037128A">
        <w:tc>
          <w:tcPr>
            <w:tcW w:w="1502" w:type="dxa"/>
          </w:tcPr>
          <w:p w14:paraId="173803C7" w14:textId="1D179398" w:rsidR="0037128A" w:rsidRDefault="001D399A" w:rsidP="00FD06CA">
            <w:pPr>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Levered Free Cash Flow </w:t>
            </w:r>
          </w:p>
        </w:tc>
        <w:tc>
          <w:tcPr>
            <w:tcW w:w="1502" w:type="dxa"/>
          </w:tcPr>
          <w:p w14:paraId="5AF59FFD" w14:textId="283D20D3" w:rsidR="0037128A" w:rsidRDefault="001D399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(1,765)</w:t>
            </w:r>
          </w:p>
        </w:tc>
        <w:tc>
          <w:tcPr>
            <w:tcW w:w="1503" w:type="dxa"/>
          </w:tcPr>
          <w:p w14:paraId="1C079DAE" w14:textId="605FE492" w:rsidR="0037128A" w:rsidRDefault="009D405C"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(1,389)</w:t>
            </w:r>
          </w:p>
        </w:tc>
        <w:tc>
          <w:tcPr>
            <w:tcW w:w="1503" w:type="dxa"/>
          </w:tcPr>
          <w:p w14:paraId="6B38DDD9" w14:textId="25787C90" w:rsidR="0037128A" w:rsidRDefault="00FD06C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(853</w:t>
            </w:r>
            <w:r w:rsidR="009D405C">
              <w:rPr>
                <w:rFonts w:ascii="Times New Roman" w:eastAsia="Times New Roman" w:hAnsi="Times New Roman" w:cs="Times New Roman"/>
                <w:lang w:eastAsia="en-IN"/>
              </w:rPr>
              <w:t>)</w:t>
            </w:r>
          </w:p>
        </w:tc>
        <w:tc>
          <w:tcPr>
            <w:tcW w:w="1503" w:type="dxa"/>
          </w:tcPr>
          <w:p w14:paraId="7FA3AC2A" w14:textId="663649CE" w:rsidR="0037128A" w:rsidRDefault="009D405C"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w:t>
            </w:r>
            <w:r w:rsidR="00FD06CA">
              <w:rPr>
                <w:rFonts w:ascii="Times New Roman" w:eastAsia="Times New Roman" w:hAnsi="Times New Roman" w:cs="Times New Roman"/>
                <w:lang w:eastAsia="en-IN"/>
              </w:rPr>
              <w:t>111</w:t>
            </w:r>
            <w:r>
              <w:rPr>
                <w:rFonts w:ascii="Times New Roman" w:eastAsia="Times New Roman" w:hAnsi="Times New Roman" w:cs="Times New Roman"/>
                <w:lang w:eastAsia="en-IN"/>
              </w:rPr>
              <w:t>)</w:t>
            </w:r>
          </w:p>
        </w:tc>
        <w:tc>
          <w:tcPr>
            <w:tcW w:w="1503" w:type="dxa"/>
          </w:tcPr>
          <w:p w14:paraId="4510BB79" w14:textId="727E05FA" w:rsidR="0037128A" w:rsidRDefault="00FD06CA" w:rsidP="00FD06CA">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892</w:t>
            </w:r>
          </w:p>
        </w:tc>
      </w:tr>
    </w:tbl>
    <w:p w14:paraId="12FCBC30" w14:textId="77777777" w:rsidR="000B03C3" w:rsidRDefault="000B03C3" w:rsidP="000B03C3">
      <w:pPr>
        <w:rPr>
          <w:rFonts w:ascii="Times New Roman" w:eastAsia="Times New Roman" w:hAnsi="Times New Roman" w:cs="Times New Roman"/>
          <w:lang w:eastAsia="en-IN"/>
        </w:rPr>
      </w:pPr>
    </w:p>
    <w:tbl>
      <w:tblPr>
        <w:tblStyle w:val="TableGrid"/>
        <w:tblW w:w="0" w:type="auto"/>
        <w:tblLook w:val="04A0" w:firstRow="1" w:lastRow="0" w:firstColumn="1" w:lastColumn="0" w:noHBand="0" w:noVBand="1"/>
      </w:tblPr>
      <w:tblGrid>
        <w:gridCol w:w="1481"/>
        <w:gridCol w:w="1255"/>
        <w:gridCol w:w="1256"/>
        <w:gridCol w:w="1256"/>
        <w:gridCol w:w="1256"/>
        <w:gridCol w:w="1256"/>
        <w:gridCol w:w="1256"/>
      </w:tblGrid>
      <w:tr w:rsidR="00EC566C" w14:paraId="62C1EC7F" w14:textId="77777777" w:rsidTr="005B052F">
        <w:tc>
          <w:tcPr>
            <w:tcW w:w="1481" w:type="dxa"/>
          </w:tcPr>
          <w:p w14:paraId="4148CE11" w14:textId="349563AE"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Debt Schedule</w:t>
            </w:r>
          </w:p>
        </w:tc>
        <w:tc>
          <w:tcPr>
            <w:tcW w:w="1255" w:type="dxa"/>
          </w:tcPr>
          <w:p w14:paraId="211637F9" w14:textId="4C46BCC5"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Year 0</w:t>
            </w:r>
          </w:p>
        </w:tc>
        <w:tc>
          <w:tcPr>
            <w:tcW w:w="1256" w:type="dxa"/>
          </w:tcPr>
          <w:p w14:paraId="6C6DFE1B" w14:textId="4F189963"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Year 1</w:t>
            </w:r>
          </w:p>
        </w:tc>
        <w:tc>
          <w:tcPr>
            <w:tcW w:w="1256" w:type="dxa"/>
          </w:tcPr>
          <w:p w14:paraId="52BA49EB" w14:textId="50C4B572"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Year 2</w:t>
            </w:r>
          </w:p>
        </w:tc>
        <w:tc>
          <w:tcPr>
            <w:tcW w:w="1256" w:type="dxa"/>
          </w:tcPr>
          <w:p w14:paraId="4FB29CCE" w14:textId="20ED215F"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Year 3</w:t>
            </w:r>
          </w:p>
        </w:tc>
        <w:tc>
          <w:tcPr>
            <w:tcW w:w="1256" w:type="dxa"/>
          </w:tcPr>
          <w:p w14:paraId="12365BE9" w14:textId="2571B520"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Year 4</w:t>
            </w:r>
          </w:p>
        </w:tc>
        <w:tc>
          <w:tcPr>
            <w:tcW w:w="1256" w:type="dxa"/>
          </w:tcPr>
          <w:p w14:paraId="4A70C1A6" w14:textId="60CDBB2C" w:rsidR="00EC566C" w:rsidRPr="00EC566C" w:rsidRDefault="00EC566C" w:rsidP="00EC566C">
            <w:pPr>
              <w:jc w:val="center"/>
              <w:rPr>
                <w:rFonts w:ascii="Times New Roman" w:eastAsia="Times New Roman" w:hAnsi="Times New Roman" w:cs="Times New Roman"/>
                <w:b/>
                <w:bCs/>
                <w:lang w:eastAsia="en-IN"/>
              </w:rPr>
            </w:pPr>
            <w:r w:rsidRPr="00EC566C">
              <w:rPr>
                <w:rFonts w:ascii="Times New Roman" w:eastAsia="Times New Roman" w:hAnsi="Times New Roman" w:cs="Times New Roman"/>
                <w:b/>
                <w:bCs/>
                <w:lang w:eastAsia="en-IN"/>
              </w:rPr>
              <w:t>Year 5</w:t>
            </w:r>
          </w:p>
        </w:tc>
      </w:tr>
      <w:tr w:rsidR="00EC566C" w14:paraId="07B046A7" w14:textId="77777777" w:rsidTr="005B052F">
        <w:tc>
          <w:tcPr>
            <w:tcW w:w="1481" w:type="dxa"/>
          </w:tcPr>
          <w:p w14:paraId="449AB341" w14:textId="5DC2E63B" w:rsidR="00EC566C" w:rsidRDefault="00EC566C" w:rsidP="00842CFE">
            <w:pPr>
              <w:rPr>
                <w:rFonts w:ascii="Times New Roman" w:eastAsia="Times New Roman" w:hAnsi="Times New Roman" w:cs="Times New Roman"/>
                <w:lang w:eastAsia="en-IN"/>
              </w:rPr>
            </w:pPr>
            <w:r>
              <w:rPr>
                <w:rFonts w:ascii="Times New Roman" w:eastAsia="Times New Roman" w:hAnsi="Times New Roman" w:cs="Times New Roman"/>
                <w:lang w:eastAsia="en-IN"/>
              </w:rPr>
              <w:t>Bank Deb</w:t>
            </w:r>
            <w:r w:rsidR="00842CFE">
              <w:rPr>
                <w:rFonts w:ascii="Times New Roman" w:eastAsia="Times New Roman" w:hAnsi="Times New Roman" w:cs="Times New Roman"/>
                <w:lang w:eastAsia="en-IN"/>
              </w:rPr>
              <w:t xml:space="preserve">t </w:t>
            </w:r>
            <w:r>
              <w:rPr>
                <w:rFonts w:ascii="Times New Roman" w:eastAsia="Times New Roman" w:hAnsi="Times New Roman" w:cs="Times New Roman"/>
                <w:lang w:eastAsia="en-IN"/>
              </w:rPr>
              <w:t>(</w:t>
            </w:r>
            <w:r w:rsidR="005B052F">
              <w:rPr>
                <w:rFonts w:ascii="Times New Roman" w:eastAsia="Times New Roman" w:hAnsi="Times New Roman" w:cs="Times New Roman"/>
                <w:lang w:eastAsia="en-IN"/>
              </w:rPr>
              <w:t>B</w:t>
            </w:r>
            <w:r>
              <w:rPr>
                <w:rFonts w:ascii="Times New Roman" w:eastAsia="Times New Roman" w:hAnsi="Times New Roman" w:cs="Times New Roman"/>
                <w:lang w:eastAsia="en-IN"/>
              </w:rPr>
              <w:t xml:space="preserve">eg. bal.) </w:t>
            </w:r>
          </w:p>
        </w:tc>
        <w:tc>
          <w:tcPr>
            <w:tcW w:w="1255" w:type="dxa"/>
          </w:tcPr>
          <w:p w14:paraId="7DDBACC3" w14:textId="784D62A4"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1256" w:type="dxa"/>
          </w:tcPr>
          <w:p w14:paraId="6F7FA11C" w14:textId="43B7699F"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30,738</w:t>
            </w:r>
          </w:p>
        </w:tc>
        <w:tc>
          <w:tcPr>
            <w:tcW w:w="1256" w:type="dxa"/>
          </w:tcPr>
          <w:p w14:paraId="0E549B26" w14:textId="0DA6E647"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32,503</w:t>
            </w:r>
          </w:p>
        </w:tc>
        <w:tc>
          <w:tcPr>
            <w:tcW w:w="1256" w:type="dxa"/>
          </w:tcPr>
          <w:p w14:paraId="5ED0AA8A" w14:textId="4E5F09A8"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33,892</w:t>
            </w:r>
          </w:p>
        </w:tc>
        <w:tc>
          <w:tcPr>
            <w:tcW w:w="1256" w:type="dxa"/>
          </w:tcPr>
          <w:p w14:paraId="062B50A5" w14:textId="284CFBEB"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34,745</w:t>
            </w:r>
          </w:p>
        </w:tc>
        <w:tc>
          <w:tcPr>
            <w:tcW w:w="1256" w:type="dxa"/>
          </w:tcPr>
          <w:p w14:paraId="46C17B9E" w14:textId="08BB7819"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34,856</w:t>
            </w:r>
          </w:p>
        </w:tc>
      </w:tr>
      <w:tr w:rsidR="00EC566C" w14:paraId="0DEEC5E2" w14:textId="77777777" w:rsidTr="005B052F">
        <w:tc>
          <w:tcPr>
            <w:tcW w:w="1481" w:type="dxa"/>
          </w:tcPr>
          <w:p w14:paraId="10931783" w14:textId="19073EFA" w:rsidR="00EC566C" w:rsidRDefault="005B052F" w:rsidP="00842CFE">
            <w:pPr>
              <w:rPr>
                <w:rFonts w:ascii="Times New Roman" w:eastAsia="Times New Roman" w:hAnsi="Times New Roman" w:cs="Times New Roman"/>
                <w:lang w:eastAsia="en-IN"/>
              </w:rPr>
            </w:pPr>
            <w:r>
              <w:rPr>
                <w:rFonts w:ascii="Times New Roman" w:eastAsia="Times New Roman" w:hAnsi="Times New Roman" w:cs="Times New Roman"/>
                <w:lang w:eastAsia="en-IN"/>
              </w:rPr>
              <w:t>Interest</w:t>
            </w:r>
            <w:r w:rsidR="00842CFE">
              <w:rPr>
                <w:rFonts w:ascii="Times New Roman" w:eastAsia="Times New Roman" w:hAnsi="Times New Roman" w:cs="Times New Roman"/>
                <w:lang w:eastAsia="en-IN"/>
              </w:rPr>
              <w:t xml:space="preserve"> </w:t>
            </w:r>
            <w:r>
              <w:rPr>
                <w:rFonts w:ascii="Times New Roman" w:eastAsia="Times New Roman" w:hAnsi="Times New Roman" w:cs="Times New Roman"/>
                <w:lang w:eastAsia="en-IN"/>
              </w:rPr>
              <w:t>(8.5%)</w:t>
            </w:r>
          </w:p>
        </w:tc>
        <w:tc>
          <w:tcPr>
            <w:tcW w:w="1255" w:type="dxa"/>
          </w:tcPr>
          <w:p w14:paraId="75F9C1D2" w14:textId="4BCE17C0"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1256" w:type="dxa"/>
          </w:tcPr>
          <w:p w14:paraId="098D8F33" w14:textId="161BE39D"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2,613</w:t>
            </w:r>
          </w:p>
        </w:tc>
        <w:tc>
          <w:tcPr>
            <w:tcW w:w="1256" w:type="dxa"/>
          </w:tcPr>
          <w:p w14:paraId="16BB5F63" w14:textId="45BD3620"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2,763</w:t>
            </w:r>
          </w:p>
        </w:tc>
        <w:tc>
          <w:tcPr>
            <w:tcW w:w="1256" w:type="dxa"/>
          </w:tcPr>
          <w:p w14:paraId="2D4713DC" w14:textId="0E309120"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2,881</w:t>
            </w:r>
          </w:p>
        </w:tc>
        <w:tc>
          <w:tcPr>
            <w:tcW w:w="1256" w:type="dxa"/>
          </w:tcPr>
          <w:p w14:paraId="1AD1AFEC" w14:textId="175A55A6"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2,953</w:t>
            </w:r>
          </w:p>
        </w:tc>
        <w:tc>
          <w:tcPr>
            <w:tcW w:w="1256" w:type="dxa"/>
          </w:tcPr>
          <w:p w14:paraId="7956B1C5" w14:textId="4FF19C96"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2,963</w:t>
            </w:r>
          </w:p>
        </w:tc>
      </w:tr>
      <w:tr w:rsidR="00EC566C" w14:paraId="4135D204" w14:textId="77777777" w:rsidTr="005B052F">
        <w:tc>
          <w:tcPr>
            <w:tcW w:w="1481" w:type="dxa"/>
          </w:tcPr>
          <w:p w14:paraId="1C2A378F" w14:textId="7200B34E" w:rsidR="00EC566C" w:rsidRDefault="005B052F" w:rsidP="00842CFE">
            <w:pPr>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Paydown </w:t>
            </w:r>
          </w:p>
        </w:tc>
        <w:tc>
          <w:tcPr>
            <w:tcW w:w="1255" w:type="dxa"/>
          </w:tcPr>
          <w:p w14:paraId="1AA2353B" w14:textId="3C72096D"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w:t>
            </w:r>
          </w:p>
        </w:tc>
        <w:tc>
          <w:tcPr>
            <w:tcW w:w="1256" w:type="dxa"/>
          </w:tcPr>
          <w:p w14:paraId="5BE0C876" w14:textId="68C21688"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(1,765)</w:t>
            </w:r>
          </w:p>
        </w:tc>
        <w:tc>
          <w:tcPr>
            <w:tcW w:w="1256" w:type="dxa"/>
          </w:tcPr>
          <w:p w14:paraId="59774144" w14:textId="40B6DA5B"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(1,389)</w:t>
            </w:r>
          </w:p>
        </w:tc>
        <w:tc>
          <w:tcPr>
            <w:tcW w:w="1256" w:type="dxa"/>
          </w:tcPr>
          <w:p w14:paraId="4F0FA4D8" w14:textId="4A7EE2F1"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(853)</w:t>
            </w:r>
          </w:p>
        </w:tc>
        <w:tc>
          <w:tcPr>
            <w:tcW w:w="1256" w:type="dxa"/>
          </w:tcPr>
          <w:p w14:paraId="2633D5D3" w14:textId="1436E052"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(111)</w:t>
            </w:r>
          </w:p>
        </w:tc>
        <w:tc>
          <w:tcPr>
            <w:tcW w:w="1256" w:type="dxa"/>
          </w:tcPr>
          <w:p w14:paraId="2D9ED3F3" w14:textId="48D472F9"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892</w:t>
            </w:r>
          </w:p>
        </w:tc>
      </w:tr>
      <w:tr w:rsidR="00EC566C" w14:paraId="6D323C04" w14:textId="77777777" w:rsidTr="005B052F">
        <w:tc>
          <w:tcPr>
            <w:tcW w:w="1481" w:type="dxa"/>
          </w:tcPr>
          <w:p w14:paraId="48C6BAE5" w14:textId="7F20CAB6" w:rsidR="00EC566C" w:rsidRDefault="005B052F" w:rsidP="00842CFE">
            <w:pPr>
              <w:rPr>
                <w:rFonts w:ascii="Times New Roman" w:eastAsia="Times New Roman" w:hAnsi="Times New Roman" w:cs="Times New Roman"/>
                <w:lang w:eastAsia="en-IN"/>
              </w:rPr>
            </w:pPr>
            <w:r>
              <w:rPr>
                <w:rFonts w:ascii="Times New Roman" w:eastAsia="Times New Roman" w:hAnsi="Times New Roman" w:cs="Times New Roman"/>
                <w:lang w:eastAsia="en-IN"/>
              </w:rPr>
              <w:t>Bank debt (End bal.)</w:t>
            </w:r>
          </w:p>
        </w:tc>
        <w:tc>
          <w:tcPr>
            <w:tcW w:w="1255" w:type="dxa"/>
          </w:tcPr>
          <w:p w14:paraId="0AFCBC0F" w14:textId="685B1FC6"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30,738</w:t>
            </w:r>
          </w:p>
        </w:tc>
        <w:tc>
          <w:tcPr>
            <w:tcW w:w="1256" w:type="dxa"/>
          </w:tcPr>
          <w:p w14:paraId="1CC74F43" w14:textId="047D14FA" w:rsidR="00EC566C" w:rsidRDefault="00212478"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32,503</w:t>
            </w:r>
          </w:p>
        </w:tc>
        <w:tc>
          <w:tcPr>
            <w:tcW w:w="1256" w:type="dxa"/>
          </w:tcPr>
          <w:p w14:paraId="25387F94" w14:textId="2A55ADDA"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33,892</w:t>
            </w:r>
          </w:p>
        </w:tc>
        <w:tc>
          <w:tcPr>
            <w:tcW w:w="1256" w:type="dxa"/>
          </w:tcPr>
          <w:p w14:paraId="03831A20" w14:textId="27E2E2A0"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34,745</w:t>
            </w:r>
          </w:p>
        </w:tc>
        <w:tc>
          <w:tcPr>
            <w:tcW w:w="1256" w:type="dxa"/>
          </w:tcPr>
          <w:p w14:paraId="578DEA6E" w14:textId="484A55C2"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34,856</w:t>
            </w:r>
          </w:p>
        </w:tc>
        <w:tc>
          <w:tcPr>
            <w:tcW w:w="1256" w:type="dxa"/>
          </w:tcPr>
          <w:p w14:paraId="7A676FA0" w14:textId="4E400549"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33,964</w:t>
            </w:r>
          </w:p>
        </w:tc>
      </w:tr>
      <w:tr w:rsidR="00EC566C" w14:paraId="1CADFB50" w14:textId="77777777" w:rsidTr="005B052F">
        <w:tc>
          <w:tcPr>
            <w:tcW w:w="1481" w:type="dxa"/>
          </w:tcPr>
          <w:p w14:paraId="3B355F10" w14:textId="57AC98F4" w:rsidR="00EC566C" w:rsidRDefault="005B052F" w:rsidP="00842CFE">
            <w:pPr>
              <w:rPr>
                <w:rFonts w:ascii="Times New Roman" w:eastAsia="Times New Roman" w:hAnsi="Times New Roman" w:cs="Times New Roman"/>
                <w:lang w:eastAsia="en-IN"/>
              </w:rPr>
            </w:pPr>
            <w:r>
              <w:rPr>
                <w:rFonts w:ascii="Times New Roman" w:eastAsia="Times New Roman" w:hAnsi="Times New Roman" w:cs="Times New Roman"/>
                <w:lang w:eastAsia="en-IN"/>
              </w:rPr>
              <w:t>Senior Notes (Flat)</w:t>
            </w:r>
          </w:p>
        </w:tc>
        <w:tc>
          <w:tcPr>
            <w:tcW w:w="1255" w:type="dxa"/>
          </w:tcPr>
          <w:p w14:paraId="098CBB2A" w14:textId="7A19ACB8" w:rsidR="00EC566C"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12,426</w:t>
            </w:r>
          </w:p>
        </w:tc>
        <w:tc>
          <w:tcPr>
            <w:tcW w:w="1256" w:type="dxa"/>
          </w:tcPr>
          <w:p w14:paraId="76F4DF45" w14:textId="6D201B42" w:rsidR="00EC566C" w:rsidRDefault="00212478"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12,426</w:t>
            </w:r>
          </w:p>
        </w:tc>
        <w:tc>
          <w:tcPr>
            <w:tcW w:w="1256" w:type="dxa"/>
          </w:tcPr>
          <w:p w14:paraId="2B264FEE" w14:textId="63D906C2"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12,426</w:t>
            </w:r>
          </w:p>
        </w:tc>
        <w:tc>
          <w:tcPr>
            <w:tcW w:w="1256" w:type="dxa"/>
          </w:tcPr>
          <w:p w14:paraId="77D52CA8" w14:textId="17E5293B"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12,426</w:t>
            </w:r>
          </w:p>
        </w:tc>
        <w:tc>
          <w:tcPr>
            <w:tcW w:w="1256" w:type="dxa"/>
          </w:tcPr>
          <w:p w14:paraId="481F2902" w14:textId="4D6B6D5C"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12,426</w:t>
            </w:r>
          </w:p>
        </w:tc>
        <w:tc>
          <w:tcPr>
            <w:tcW w:w="1256" w:type="dxa"/>
          </w:tcPr>
          <w:p w14:paraId="6E7514DB" w14:textId="2D4F53B7" w:rsidR="00EC566C"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12,426</w:t>
            </w:r>
          </w:p>
        </w:tc>
      </w:tr>
      <w:tr w:rsidR="005B052F" w14:paraId="27E679E0" w14:textId="77777777" w:rsidTr="005B052F">
        <w:tc>
          <w:tcPr>
            <w:tcW w:w="1481" w:type="dxa"/>
          </w:tcPr>
          <w:p w14:paraId="41BF3034" w14:textId="0719F3E5" w:rsidR="005B052F" w:rsidRDefault="005B052F" w:rsidP="00842CFE">
            <w:pPr>
              <w:rPr>
                <w:rFonts w:ascii="Times New Roman" w:eastAsia="Times New Roman" w:hAnsi="Times New Roman" w:cs="Times New Roman"/>
                <w:lang w:eastAsia="en-IN"/>
              </w:rPr>
            </w:pPr>
            <w:r>
              <w:rPr>
                <w:rFonts w:ascii="Times New Roman" w:eastAsia="Times New Roman" w:hAnsi="Times New Roman" w:cs="Times New Roman"/>
                <w:lang w:eastAsia="en-IN"/>
              </w:rPr>
              <w:t>Total Debt (End bal.)</w:t>
            </w:r>
          </w:p>
        </w:tc>
        <w:tc>
          <w:tcPr>
            <w:tcW w:w="1255" w:type="dxa"/>
          </w:tcPr>
          <w:p w14:paraId="5EA9127B" w14:textId="364DD6DE" w:rsidR="005B052F" w:rsidRDefault="0022129B"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43,164</w:t>
            </w:r>
          </w:p>
        </w:tc>
        <w:tc>
          <w:tcPr>
            <w:tcW w:w="1256" w:type="dxa"/>
          </w:tcPr>
          <w:p w14:paraId="1736DF7D" w14:textId="10590004" w:rsidR="005B052F" w:rsidRDefault="00212478"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44,929 </w:t>
            </w:r>
          </w:p>
        </w:tc>
        <w:tc>
          <w:tcPr>
            <w:tcW w:w="1256" w:type="dxa"/>
          </w:tcPr>
          <w:p w14:paraId="2F2879FB" w14:textId="1D806883" w:rsidR="005B052F"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46,318</w:t>
            </w:r>
          </w:p>
        </w:tc>
        <w:tc>
          <w:tcPr>
            <w:tcW w:w="1256" w:type="dxa"/>
          </w:tcPr>
          <w:p w14:paraId="3EDC552B" w14:textId="6495C29B" w:rsidR="005B052F"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47,171</w:t>
            </w:r>
          </w:p>
        </w:tc>
        <w:tc>
          <w:tcPr>
            <w:tcW w:w="1256" w:type="dxa"/>
          </w:tcPr>
          <w:p w14:paraId="25BC3B4C" w14:textId="03413B20" w:rsidR="005B052F"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47,282</w:t>
            </w:r>
          </w:p>
        </w:tc>
        <w:tc>
          <w:tcPr>
            <w:tcW w:w="1256" w:type="dxa"/>
          </w:tcPr>
          <w:p w14:paraId="413BA2EF" w14:textId="52CC52BB" w:rsidR="005B052F" w:rsidRDefault="006C778C" w:rsidP="006C778C">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46,390</w:t>
            </w:r>
          </w:p>
        </w:tc>
      </w:tr>
    </w:tbl>
    <w:p w14:paraId="1613C501" w14:textId="19B111D1" w:rsidR="000B03C3" w:rsidRPr="000B03C3" w:rsidRDefault="000B03C3" w:rsidP="00E41ED7">
      <w:pPr>
        <w:jc w:val="center"/>
        <w:rPr>
          <w:rFonts w:ascii="Times New Roman" w:eastAsia="Times New Roman" w:hAnsi="Times New Roman" w:cs="Times New Roman"/>
          <w:i/>
          <w:iCs/>
          <w:color w:val="595959" w:themeColor="text1" w:themeTint="A6"/>
          <w:sz w:val="16"/>
          <w:szCs w:val="16"/>
          <w:lang w:eastAsia="en-IN"/>
        </w:rPr>
      </w:pPr>
      <w:r w:rsidRPr="000B03C3">
        <w:rPr>
          <w:rFonts w:ascii="Times New Roman" w:eastAsia="Times New Roman" w:hAnsi="Times New Roman" w:cs="Times New Roman"/>
          <w:i/>
          <w:iCs/>
          <w:color w:val="595959" w:themeColor="text1" w:themeTint="A6"/>
          <w:sz w:val="16"/>
          <w:szCs w:val="16"/>
          <w:lang w:eastAsia="en-IN"/>
        </w:rPr>
        <w:t>All figures in</w:t>
      </w:r>
      <w:r w:rsidR="0045671C">
        <w:rPr>
          <w:rFonts w:ascii="Times New Roman" w:eastAsia="Times New Roman" w:hAnsi="Times New Roman" w:cs="Times New Roman"/>
          <w:i/>
          <w:iCs/>
          <w:color w:val="595959" w:themeColor="text1" w:themeTint="A6"/>
          <w:sz w:val="16"/>
          <w:szCs w:val="16"/>
          <w:lang w:eastAsia="en-IN"/>
        </w:rPr>
        <w:t xml:space="preserve"> Rs.</w:t>
      </w:r>
      <w:r w:rsidRPr="000B03C3">
        <w:rPr>
          <w:rFonts w:ascii="Times New Roman" w:eastAsia="Times New Roman" w:hAnsi="Times New Roman" w:cs="Times New Roman"/>
          <w:i/>
          <w:iCs/>
          <w:color w:val="595959" w:themeColor="text1" w:themeTint="A6"/>
          <w:sz w:val="16"/>
          <w:szCs w:val="16"/>
          <w:lang w:eastAsia="en-IN"/>
        </w:rPr>
        <w:t xml:space="preserve"> mm</w:t>
      </w:r>
    </w:p>
    <w:p w14:paraId="06129D8B" w14:textId="77777777" w:rsidR="0045671C" w:rsidRDefault="0045671C" w:rsidP="0045671C">
      <w:pPr>
        <w:pStyle w:val="ListParagraph"/>
        <w:rPr>
          <w:rFonts w:ascii="Times New Roman" w:eastAsia="Times New Roman" w:hAnsi="Times New Roman" w:cs="Times New Roman"/>
          <w:lang w:eastAsia="en-IN"/>
        </w:rPr>
      </w:pPr>
    </w:p>
    <w:p w14:paraId="1629EF8C" w14:textId="77777777" w:rsidR="0045671C" w:rsidRDefault="0045671C" w:rsidP="0045671C">
      <w:pPr>
        <w:pStyle w:val="ListParagraph"/>
        <w:rPr>
          <w:rFonts w:ascii="Times New Roman" w:eastAsia="Times New Roman" w:hAnsi="Times New Roman" w:cs="Times New Roman"/>
          <w:lang w:eastAsia="en-IN"/>
        </w:rPr>
      </w:pPr>
    </w:p>
    <w:p w14:paraId="229DDC85" w14:textId="77777777" w:rsidR="0045671C" w:rsidRDefault="0045671C" w:rsidP="0045671C">
      <w:pPr>
        <w:pStyle w:val="ListParagraph"/>
        <w:rPr>
          <w:rFonts w:ascii="Times New Roman" w:eastAsia="Times New Roman" w:hAnsi="Times New Roman" w:cs="Times New Roman"/>
          <w:lang w:eastAsia="en-IN"/>
        </w:rPr>
      </w:pPr>
    </w:p>
    <w:p w14:paraId="61CD217E" w14:textId="1D21AC5E" w:rsidR="0045671C" w:rsidRPr="0045671C" w:rsidRDefault="006C778C" w:rsidP="0045671C">
      <w:pPr>
        <w:pStyle w:val="ListParagraph"/>
        <w:numPr>
          <w:ilvl w:val="0"/>
          <w:numId w:val="11"/>
        </w:numPr>
        <w:rPr>
          <w:rFonts w:ascii="Times New Roman" w:eastAsia="Times New Roman" w:hAnsi="Times New Roman" w:cs="Times New Roman"/>
          <w:lang w:eastAsia="en-IN"/>
        </w:rPr>
      </w:pPr>
      <w:r w:rsidRPr="0045671C">
        <w:rPr>
          <w:rFonts w:ascii="Times New Roman" w:eastAsia="Times New Roman" w:hAnsi="Times New Roman" w:cs="Times New Roman"/>
          <w:lang w:eastAsia="en-IN"/>
        </w:rPr>
        <w:t>Total Debt rises steadily from Rs. 43,164 mm at entry and to a high of Rs. 47,282 mm in year 4 right before slightly going down in Year 5 to about Rs. 46,390 mm. Levered Free Cash Flow on the other hand, is negative in four of the total five year</w:t>
      </w:r>
      <w:r w:rsidR="0045671C" w:rsidRPr="0045671C">
        <w:rPr>
          <w:rFonts w:ascii="Times New Roman" w:eastAsia="Times New Roman" w:hAnsi="Times New Roman" w:cs="Times New Roman"/>
          <w:lang w:eastAsia="en-IN"/>
        </w:rPr>
        <w:t>s</w:t>
      </w:r>
      <w:r w:rsidRPr="0045671C">
        <w:rPr>
          <w:rFonts w:ascii="Times New Roman" w:eastAsia="Times New Roman" w:hAnsi="Times New Roman" w:cs="Times New Roman"/>
          <w:lang w:eastAsia="en-IN"/>
        </w:rPr>
        <w:t>, turning only marginally positive in Year 5.</w:t>
      </w:r>
    </w:p>
    <w:p w14:paraId="07A23C26" w14:textId="77777777" w:rsidR="0045671C" w:rsidRDefault="0045671C" w:rsidP="0045671C">
      <w:pPr>
        <w:pStyle w:val="ListParagraph"/>
        <w:rPr>
          <w:rFonts w:ascii="Times New Roman" w:eastAsia="Times New Roman" w:hAnsi="Times New Roman" w:cs="Times New Roman"/>
          <w:lang w:eastAsia="en-IN"/>
        </w:rPr>
      </w:pPr>
    </w:p>
    <w:p w14:paraId="79455A9D" w14:textId="77777777" w:rsidR="0045671C" w:rsidRDefault="006C778C" w:rsidP="0045671C">
      <w:pPr>
        <w:pStyle w:val="ListParagraph"/>
        <w:numPr>
          <w:ilvl w:val="0"/>
          <w:numId w:val="11"/>
        </w:numPr>
        <w:rPr>
          <w:rFonts w:ascii="Times New Roman" w:eastAsia="Times New Roman" w:hAnsi="Times New Roman" w:cs="Times New Roman"/>
          <w:lang w:eastAsia="en-IN"/>
        </w:rPr>
      </w:pPr>
      <w:r w:rsidRPr="0045671C">
        <w:rPr>
          <w:rFonts w:ascii="Times New Roman" w:eastAsia="Times New Roman" w:hAnsi="Times New Roman" w:cs="Times New Roman"/>
          <w:lang w:eastAsia="en-IN"/>
        </w:rPr>
        <w:t xml:space="preserve">A business compounding revenue at 20% per year should also compound </w:t>
      </w:r>
      <w:proofErr w:type="gramStart"/>
      <w:r w:rsidRPr="0045671C">
        <w:rPr>
          <w:rFonts w:ascii="Times New Roman" w:eastAsia="Times New Roman" w:hAnsi="Times New Roman" w:cs="Times New Roman"/>
          <w:lang w:eastAsia="en-IN"/>
        </w:rPr>
        <w:t>it’s</w:t>
      </w:r>
      <w:proofErr w:type="gramEnd"/>
      <w:r w:rsidRPr="0045671C">
        <w:rPr>
          <w:rFonts w:ascii="Times New Roman" w:eastAsia="Times New Roman" w:hAnsi="Times New Roman" w:cs="Times New Roman"/>
          <w:lang w:eastAsia="en-IN"/>
        </w:rPr>
        <w:t xml:space="preserve"> working capital and </w:t>
      </w:r>
      <w:proofErr w:type="spellStart"/>
      <w:r w:rsidRPr="0045671C">
        <w:rPr>
          <w:rFonts w:ascii="Times New Roman" w:eastAsia="Times New Roman" w:hAnsi="Times New Roman" w:cs="Times New Roman"/>
          <w:lang w:eastAsia="en-IN"/>
        </w:rPr>
        <w:t>CapEx</w:t>
      </w:r>
      <w:proofErr w:type="spellEnd"/>
      <w:r w:rsidRPr="0045671C">
        <w:rPr>
          <w:rFonts w:ascii="Times New Roman" w:eastAsia="Times New Roman" w:hAnsi="Times New Roman" w:cs="Times New Roman"/>
          <w:lang w:eastAsia="en-IN"/>
        </w:rPr>
        <w:t xml:space="preserve"> at a similar rate to support that growth. Together, these consume </w:t>
      </w:r>
      <w:r w:rsidR="0045671C" w:rsidRPr="0045671C">
        <w:rPr>
          <w:rFonts w:ascii="Times New Roman" w:eastAsia="Times New Roman" w:hAnsi="Times New Roman" w:cs="Times New Roman"/>
          <w:lang w:eastAsia="en-IN"/>
        </w:rPr>
        <w:t>nearly all of the cash business generate,</w:t>
      </w:r>
      <w:r w:rsidR="0045671C">
        <w:rPr>
          <w:rFonts w:ascii="Times New Roman" w:eastAsia="Times New Roman" w:hAnsi="Times New Roman" w:cs="Times New Roman"/>
          <w:lang w:eastAsia="en-IN"/>
        </w:rPr>
        <w:t xml:space="preserve"> </w:t>
      </w:r>
      <w:r w:rsidR="0045671C" w:rsidRPr="0045671C">
        <w:rPr>
          <w:rFonts w:ascii="Times New Roman" w:eastAsia="Times New Roman" w:hAnsi="Times New Roman" w:cs="Times New Roman"/>
          <w:lang w:eastAsia="en-IN"/>
        </w:rPr>
        <w:t>leaving little to no left for servic</w:t>
      </w:r>
      <w:r w:rsidR="0045671C">
        <w:rPr>
          <w:rFonts w:ascii="Times New Roman" w:eastAsia="Times New Roman" w:hAnsi="Times New Roman" w:cs="Times New Roman"/>
          <w:lang w:eastAsia="en-IN"/>
        </w:rPr>
        <w:t>e</w:t>
      </w:r>
      <w:r w:rsidR="0045671C" w:rsidRPr="0045671C">
        <w:rPr>
          <w:rFonts w:ascii="Times New Roman" w:eastAsia="Times New Roman" w:hAnsi="Times New Roman" w:cs="Times New Roman"/>
          <w:lang w:eastAsia="en-IN"/>
        </w:rPr>
        <w:t>, let alone a pay or acquisition debt. This becomes a realistic and important constraint for a high-growth target.</w:t>
      </w:r>
    </w:p>
    <w:p w14:paraId="74B23796" w14:textId="77777777" w:rsidR="0045671C" w:rsidRPr="0045671C" w:rsidRDefault="0045671C" w:rsidP="0045671C">
      <w:pPr>
        <w:pStyle w:val="ListParagraph"/>
        <w:rPr>
          <w:rFonts w:ascii="Times New Roman" w:eastAsia="Times New Roman" w:hAnsi="Times New Roman" w:cs="Times New Roman"/>
          <w:lang w:eastAsia="en-IN"/>
        </w:rPr>
      </w:pPr>
    </w:p>
    <w:p w14:paraId="3F252F2A" w14:textId="4FA55865" w:rsidR="0045671C" w:rsidRPr="0045671C" w:rsidRDefault="0045671C" w:rsidP="0045671C">
      <w:pPr>
        <w:pStyle w:val="ListParagraph"/>
        <w:numPr>
          <w:ilvl w:val="0"/>
          <w:numId w:val="11"/>
        </w:numPr>
        <w:rPr>
          <w:rFonts w:ascii="Times New Roman" w:eastAsia="Times New Roman" w:hAnsi="Times New Roman" w:cs="Times New Roman"/>
          <w:lang w:eastAsia="en-IN"/>
        </w:rPr>
      </w:pPr>
      <w:r w:rsidRPr="0045671C">
        <w:rPr>
          <w:rFonts w:ascii="Times New Roman" w:eastAsia="Times New Roman" w:hAnsi="Times New Roman" w:cs="Times New Roman"/>
          <w:lang w:eastAsia="en-IN"/>
        </w:rPr>
        <w:t xml:space="preserve">In the end, this means that a real sponsor underwriting this deal would rely on undrawn revolving credit facility or any additional equity cures to bridge these particulars shortfalls, since the bank debt tranche structure simply capitalizes the gap onto </w:t>
      </w:r>
      <w:proofErr w:type="gramStart"/>
      <w:r w:rsidRPr="0045671C">
        <w:rPr>
          <w:rFonts w:ascii="Times New Roman" w:eastAsia="Times New Roman" w:hAnsi="Times New Roman" w:cs="Times New Roman"/>
          <w:lang w:eastAsia="en-IN"/>
        </w:rPr>
        <w:t>it’s</w:t>
      </w:r>
      <w:proofErr w:type="gramEnd"/>
      <w:r w:rsidRPr="0045671C">
        <w:rPr>
          <w:rFonts w:ascii="Times New Roman" w:eastAsia="Times New Roman" w:hAnsi="Times New Roman" w:cs="Times New Roman"/>
          <w:lang w:eastAsia="en-IN"/>
        </w:rPr>
        <w:t xml:space="preserve"> own balance.</w:t>
      </w:r>
    </w:p>
    <w:p w14:paraId="5FEC946A" w14:textId="77777777" w:rsidR="000B03C3" w:rsidRPr="000B03C3" w:rsidRDefault="000B03C3" w:rsidP="000B03C3">
      <w:pPr>
        <w:rPr>
          <w:rFonts w:ascii="Times New Roman" w:eastAsia="Times New Roman" w:hAnsi="Times New Roman" w:cs="Times New Roman"/>
          <w:lang w:eastAsia="en-IN"/>
        </w:rPr>
      </w:pPr>
    </w:p>
    <w:p w14:paraId="235BEF9F" w14:textId="77777777" w:rsidR="000B03C3" w:rsidRPr="000B03C3" w:rsidRDefault="000B03C3" w:rsidP="000B03C3">
      <w:pPr>
        <w:rPr>
          <w:rFonts w:ascii="Times New Roman" w:eastAsia="Times New Roman" w:hAnsi="Times New Roman" w:cs="Times New Roman"/>
          <w:lang w:eastAsia="en-IN"/>
        </w:rPr>
      </w:pPr>
    </w:p>
    <w:p w14:paraId="57E6DDBE" w14:textId="77777777" w:rsidR="000B03C3" w:rsidRPr="000B03C3" w:rsidRDefault="000B03C3" w:rsidP="000B03C3">
      <w:pPr>
        <w:rPr>
          <w:rFonts w:ascii="Times New Roman" w:eastAsia="Times New Roman" w:hAnsi="Times New Roman" w:cs="Times New Roman"/>
          <w:lang w:eastAsia="en-IN"/>
        </w:rPr>
      </w:pPr>
    </w:p>
    <w:p w14:paraId="774A169B" w14:textId="77777777" w:rsidR="000B03C3" w:rsidRDefault="000B03C3" w:rsidP="000B03C3">
      <w:pPr>
        <w:rPr>
          <w:rFonts w:ascii="Times New Roman" w:eastAsia="Times New Roman" w:hAnsi="Times New Roman" w:cs="Times New Roman"/>
          <w:lang w:eastAsia="en-IN"/>
        </w:rPr>
      </w:pPr>
    </w:p>
    <w:p w14:paraId="7D388469" w14:textId="77777777" w:rsidR="0045671C" w:rsidRDefault="0045671C" w:rsidP="000B03C3">
      <w:pPr>
        <w:rPr>
          <w:rFonts w:ascii="Times New Roman" w:eastAsia="Times New Roman" w:hAnsi="Times New Roman" w:cs="Times New Roman"/>
          <w:lang w:eastAsia="en-IN"/>
        </w:rPr>
      </w:pPr>
    </w:p>
    <w:tbl>
      <w:tblPr>
        <w:tblStyle w:val="TableGrid"/>
        <w:tblpPr w:leftFromText="180" w:rightFromText="180" w:vertAnchor="text" w:horzAnchor="margin" w:tblpY="336"/>
        <w:tblW w:w="0" w:type="auto"/>
        <w:tblLook w:val="04A0" w:firstRow="1" w:lastRow="0" w:firstColumn="1" w:lastColumn="0" w:noHBand="0" w:noVBand="1"/>
      </w:tblPr>
      <w:tblGrid>
        <w:gridCol w:w="4508"/>
        <w:gridCol w:w="4508"/>
      </w:tblGrid>
      <w:tr w:rsidR="00286635" w:rsidRPr="00286635" w14:paraId="7A69344D" w14:textId="77777777" w:rsidTr="00286635">
        <w:tc>
          <w:tcPr>
            <w:tcW w:w="4508" w:type="dxa"/>
          </w:tcPr>
          <w:p w14:paraId="4CD64C81" w14:textId="2BCAABE6" w:rsidR="00286635" w:rsidRPr="00286635" w:rsidRDefault="00286635" w:rsidP="00286635">
            <w:pPr>
              <w:jc w:val="center"/>
              <w:rPr>
                <w:rFonts w:ascii="Times New Roman" w:eastAsia="Times New Roman" w:hAnsi="Times New Roman" w:cs="Times New Roman"/>
                <w:b/>
                <w:bCs/>
                <w:lang w:eastAsia="en-IN"/>
              </w:rPr>
            </w:pPr>
            <w:r w:rsidRPr="00286635">
              <w:rPr>
                <w:rFonts w:ascii="Times New Roman" w:eastAsia="Times New Roman" w:hAnsi="Times New Roman" w:cs="Times New Roman"/>
                <w:b/>
                <w:bCs/>
                <w:lang w:eastAsia="en-IN"/>
              </w:rPr>
              <w:lastRenderedPageBreak/>
              <w:t>Particulars</w:t>
            </w:r>
          </w:p>
        </w:tc>
        <w:tc>
          <w:tcPr>
            <w:tcW w:w="4508" w:type="dxa"/>
          </w:tcPr>
          <w:p w14:paraId="5441C681" w14:textId="19316049" w:rsidR="00286635" w:rsidRPr="00286635" w:rsidRDefault="00286635" w:rsidP="00286635">
            <w:pPr>
              <w:jc w:val="center"/>
              <w:rPr>
                <w:rFonts w:ascii="Times New Roman" w:eastAsia="Times New Roman" w:hAnsi="Times New Roman" w:cs="Times New Roman"/>
                <w:b/>
                <w:bCs/>
                <w:lang w:eastAsia="en-IN"/>
              </w:rPr>
            </w:pPr>
            <w:r w:rsidRPr="00286635">
              <w:rPr>
                <w:rFonts w:ascii="Times New Roman" w:eastAsia="Times New Roman" w:hAnsi="Times New Roman" w:cs="Times New Roman"/>
                <w:b/>
                <w:bCs/>
                <w:lang w:eastAsia="en-IN"/>
              </w:rPr>
              <w:t>Value</w:t>
            </w:r>
          </w:p>
        </w:tc>
      </w:tr>
      <w:tr w:rsidR="00286635" w14:paraId="7FECFADB" w14:textId="77777777" w:rsidTr="00286635">
        <w:tc>
          <w:tcPr>
            <w:tcW w:w="4508" w:type="dxa"/>
          </w:tcPr>
          <w:p w14:paraId="31086E53" w14:textId="4F43B898"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EBITDA at Exit (End of Year 5)</w:t>
            </w:r>
          </w:p>
        </w:tc>
        <w:tc>
          <w:tcPr>
            <w:tcW w:w="4508" w:type="dxa"/>
          </w:tcPr>
          <w:p w14:paraId="2B7D45D6" w14:textId="706EB33B" w:rsidR="00286635" w:rsidRDefault="00286635" w:rsidP="00E41ED7">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17,676</w:t>
            </w:r>
          </w:p>
        </w:tc>
      </w:tr>
      <w:tr w:rsidR="00286635" w14:paraId="5A193DB7" w14:textId="77777777" w:rsidTr="00286635">
        <w:tc>
          <w:tcPr>
            <w:tcW w:w="4508" w:type="dxa"/>
          </w:tcPr>
          <w:p w14:paraId="416094C7" w14:textId="3D905C90"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Exit Multiple </w:t>
            </w:r>
          </w:p>
        </w:tc>
        <w:tc>
          <w:tcPr>
            <w:tcW w:w="4508" w:type="dxa"/>
          </w:tcPr>
          <w:p w14:paraId="31385B74" w14:textId="5C995457" w:rsidR="00286635" w:rsidRDefault="00286635" w:rsidP="00E41ED7">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20.0x </w:t>
            </w:r>
          </w:p>
        </w:tc>
      </w:tr>
      <w:tr w:rsidR="00286635" w14:paraId="245D569D" w14:textId="77777777" w:rsidTr="00286635">
        <w:tc>
          <w:tcPr>
            <w:tcW w:w="4508" w:type="dxa"/>
          </w:tcPr>
          <w:p w14:paraId="156187C0" w14:textId="355C3765"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Enterprise Value at Exit </w:t>
            </w:r>
          </w:p>
        </w:tc>
        <w:tc>
          <w:tcPr>
            <w:tcW w:w="4508" w:type="dxa"/>
          </w:tcPr>
          <w:p w14:paraId="59A1844D" w14:textId="2ACFB205" w:rsidR="00286635" w:rsidRDefault="00286635" w:rsidP="00E41ED7">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353,530</w:t>
            </w:r>
          </w:p>
        </w:tc>
      </w:tr>
    </w:tbl>
    <w:p w14:paraId="40544BEC" w14:textId="575D528F" w:rsidR="0045671C" w:rsidRDefault="0045671C" w:rsidP="000B03C3">
      <w:pPr>
        <w:rPr>
          <w:rFonts w:ascii="Times New Roman" w:eastAsia="Times New Roman" w:hAnsi="Times New Roman" w:cs="Times New Roman"/>
          <w:lang w:eastAsia="en-IN"/>
        </w:rPr>
      </w:pPr>
      <w:r>
        <w:rPr>
          <w:rFonts w:ascii="Times New Roman" w:eastAsia="Times New Roman" w:hAnsi="Times New Roman" w:cs="Times New Roman"/>
          <w:noProof/>
          <w:lang w:eastAsia="en-IN"/>
        </w:rPr>
        <mc:AlternateContent>
          <mc:Choice Requires="wps">
            <w:drawing>
              <wp:anchor distT="0" distB="0" distL="114300" distR="114300" simplePos="0" relativeHeight="251658240" behindDoc="0" locked="0" layoutInCell="1" allowOverlap="1" wp14:anchorId="32350B6C" wp14:editId="374EDE5A">
                <wp:simplePos x="0" y="0"/>
                <wp:positionH relativeFrom="page">
                  <wp:align>left</wp:align>
                </wp:positionH>
                <wp:positionV relativeFrom="paragraph">
                  <wp:posOffset>-913912</wp:posOffset>
                </wp:positionV>
                <wp:extent cx="7564120" cy="616878"/>
                <wp:effectExtent l="0" t="0" r="17780" b="12065"/>
                <wp:wrapNone/>
                <wp:docPr id="1796288587" name="Rectangle 15"/>
                <wp:cNvGraphicFramePr/>
                <a:graphic xmlns:a="http://schemas.openxmlformats.org/drawingml/2006/main">
                  <a:graphicData uri="http://schemas.microsoft.com/office/word/2010/wordprocessingShape">
                    <wps:wsp>
                      <wps:cNvSpPr/>
                      <wps:spPr>
                        <a:xfrm>
                          <a:off x="0" y="0"/>
                          <a:ext cx="7564120" cy="616878"/>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57C18BFE" w14:textId="7B7F8A79" w:rsidR="0045671C" w:rsidRPr="0045671C" w:rsidRDefault="0045671C" w:rsidP="0045671C">
                            <w:pPr>
                              <w:rPr>
                                <w:rFonts w:ascii="Times New Roman" w:hAnsi="Times New Roman" w:cs="Times New Roman"/>
                                <w:b/>
                                <w:bCs/>
                                <w:lang w:val="en-US"/>
                              </w:rPr>
                            </w:pPr>
                            <w:r w:rsidRPr="0045671C">
                              <w:rPr>
                                <w:rFonts w:ascii="Times New Roman" w:hAnsi="Times New Roman" w:cs="Times New Roman"/>
                                <w:b/>
                                <w:bCs/>
                                <w:lang w:val="en-US"/>
                              </w:rPr>
                              <w:t xml:space="preserve">Return Analysis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50B6C" id="Rectangle 15" o:spid="_x0000_s1032" style="position:absolute;margin-left:0;margin-top:-71.95pt;width:595.6pt;height:48.5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" fillcolor="#70ad47 [3209]" strokecolor="#10190a [489]" strokeweight="1pt">
                <v:textbox>
                  <w:txbxContent>
                    <w:p w14:paraId="57C18BFE" w14:textId="7B7F8A79" w:rsidR="0045671C" w:rsidRPr="0045671C" w:rsidRDefault="0045671C" w:rsidP="0045671C">
                      <w:pPr>
                        <w:rPr>
                          <w:rFonts w:ascii="Times New Roman" w:hAnsi="Times New Roman" w:cs="Times New Roman"/>
                          <w:b/>
                          <w:bCs/>
                          <w:lang w:val="en-US"/>
                        </w:rPr>
                      </w:pPr>
                      <w:r w:rsidRPr="0045671C">
                        <w:rPr>
                          <w:rFonts w:ascii="Times New Roman" w:hAnsi="Times New Roman" w:cs="Times New Roman"/>
                          <w:b/>
                          <w:bCs/>
                          <w:lang w:val="en-US"/>
                        </w:rPr>
                        <w:t xml:space="preserve">Return Analysis </w:t>
                      </w:r>
                    </w:p>
                  </w:txbxContent>
                </v:textbox>
                <w10:wrap anchorx="page"/>
              </v:rect>
            </w:pict>
          </mc:Fallback>
        </mc:AlternateContent>
      </w:r>
    </w:p>
    <w:p w14:paraId="56CBF229" w14:textId="77777777" w:rsidR="0045671C" w:rsidRDefault="0045671C" w:rsidP="000B03C3">
      <w:pPr>
        <w:rPr>
          <w:rFonts w:ascii="Times New Roman" w:eastAsia="Times New Roman" w:hAnsi="Times New Roman" w:cs="Times New Roman"/>
          <w:lang w:eastAsia="en-IN"/>
        </w:rPr>
      </w:pPr>
    </w:p>
    <w:p w14:paraId="08044C2E" w14:textId="77777777" w:rsidR="0045671C" w:rsidRPr="000B03C3" w:rsidRDefault="0045671C" w:rsidP="000B03C3">
      <w:pPr>
        <w:rPr>
          <w:rFonts w:ascii="Times New Roman" w:eastAsia="Times New Roman" w:hAnsi="Times New Roman" w:cs="Times New Roman"/>
          <w:lang w:eastAsia="en-IN"/>
        </w:rPr>
      </w:pPr>
    </w:p>
    <w:tbl>
      <w:tblPr>
        <w:tblStyle w:val="TableGrid"/>
        <w:tblW w:w="0" w:type="auto"/>
        <w:tblLook w:val="04A0" w:firstRow="1" w:lastRow="0" w:firstColumn="1" w:lastColumn="0" w:noHBand="0" w:noVBand="1"/>
      </w:tblPr>
      <w:tblGrid>
        <w:gridCol w:w="4508"/>
        <w:gridCol w:w="4508"/>
      </w:tblGrid>
      <w:tr w:rsidR="00286635" w14:paraId="767735B6" w14:textId="77777777" w:rsidTr="00286635">
        <w:tc>
          <w:tcPr>
            <w:tcW w:w="4508" w:type="dxa"/>
          </w:tcPr>
          <w:p w14:paraId="755EB0E9" w14:textId="1647A02C" w:rsidR="00286635" w:rsidRPr="00286635" w:rsidRDefault="00286635" w:rsidP="00286635">
            <w:pPr>
              <w:jc w:val="center"/>
              <w:rPr>
                <w:rFonts w:ascii="Times New Roman" w:eastAsia="Times New Roman" w:hAnsi="Times New Roman" w:cs="Times New Roman"/>
                <w:b/>
                <w:bCs/>
                <w:lang w:eastAsia="en-IN"/>
              </w:rPr>
            </w:pPr>
            <w:r w:rsidRPr="00286635">
              <w:rPr>
                <w:rFonts w:ascii="Times New Roman" w:eastAsia="Times New Roman" w:hAnsi="Times New Roman" w:cs="Times New Roman"/>
                <w:b/>
                <w:bCs/>
                <w:lang w:eastAsia="en-IN"/>
              </w:rPr>
              <w:t>Particulars</w:t>
            </w:r>
          </w:p>
        </w:tc>
        <w:tc>
          <w:tcPr>
            <w:tcW w:w="4508" w:type="dxa"/>
          </w:tcPr>
          <w:p w14:paraId="4CB5D347" w14:textId="54D86EAE" w:rsidR="00286635" w:rsidRPr="00286635" w:rsidRDefault="00286635" w:rsidP="00286635">
            <w:pPr>
              <w:jc w:val="center"/>
              <w:rPr>
                <w:rFonts w:ascii="Times New Roman" w:eastAsia="Times New Roman" w:hAnsi="Times New Roman" w:cs="Times New Roman"/>
                <w:b/>
                <w:bCs/>
                <w:lang w:eastAsia="en-IN"/>
              </w:rPr>
            </w:pPr>
            <w:r w:rsidRPr="00286635">
              <w:rPr>
                <w:rFonts w:ascii="Times New Roman" w:eastAsia="Times New Roman" w:hAnsi="Times New Roman" w:cs="Times New Roman"/>
                <w:b/>
                <w:bCs/>
                <w:lang w:eastAsia="en-IN"/>
              </w:rPr>
              <w:t>Value</w:t>
            </w:r>
          </w:p>
        </w:tc>
      </w:tr>
      <w:tr w:rsidR="00286635" w14:paraId="74A2B0BC" w14:textId="77777777" w:rsidTr="00286635">
        <w:tc>
          <w:tcPr>
            <w:tcW w:w="4508" w:type="dxa"/>
          </w:tcPr>
          <w:p w14:paraId="56548F09" w14:textId="40815057"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Net Debt at Exit </w:t>
            </w:r>
          </w:p>
        </w:tc>
        <w:tc>
          <w:tcPr>
            <w:tcW w:w="4508" w:type="dxa"/>
          </w:tcPr>
          <w:p w14:paraId="0500394B" w14:textId="19325318" w:rsidR="00286635" w:rsidRDefault="00E41ED7" w:rsidP="00E41ED7">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46,390</w:t>
            </w:r>
          </w:p>
        </w:tc>
      </w:tr>
      <w:tr w:rsidR="00286635" w14:paraId="5722EDE4" w14:textId="77777777" w:rsidTr="00286635">
        <w:tc>
          <w:tcPr>
            <w:tcW w:w="4508" w:type="dxa"/>
          </w:tcPr>
          <w:p w14:paraId="206308DF" w14:textId="3B7B2BB8"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Sponsor Equity Value at Exit </w:t>
            </w:r>
          </w:p>
        </w:tc>
        <w:tc>
          <w:tcPr>
            <w:tcW w:w="4508" w:type="dxa"/>
          </w:tcPr>
          <w:p w14:paraId="12580E22" w14:textId="47330ABA" w:rsidR="00286635" w:rsidRDefault="00E41ED7" w:rsidP="00E41ED7">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307,139</w:t>
            </w:r>
          </w:p>
        </w:tc>
      </w:tr>
      <w:tr w:rsidR="00286635" w14:paraId="6F03B589" w14:textId="77777777" w:rsidTr="00286635">
        <w:tc>
          <w:tcPr>
            <w:tcW w:w="4508" w:type="dxa"/>
          </w:tcPr>
          <w:p w14:paraId="720D1EDD" w14:textId="7952F54A"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Sponsor Equity at Entry </w:t>
            </w:r>
          </w:p>
        </w:tc>
        <w:tc>
          <w:tcPr>
            <w:tcW w:w="4508" w:type="dxa"/>
          </w:tcPr>
          <w:p w14:paraId="7C65F8B8" w14:textId="48AF39DF" w:rsidR="00286635" w:rsidRDefault="00E41ED7" w:rsidP="00E41ED7">
            <w:pPr>
              <w:jc w:val="right"/>
              <w:rPr>
                <w:rFonts w:ascii="Times New Roman" w:eastAsia="Times New Roman" w:hAnsi="Times New Roman" w:cs="Times New Roman"/>
                <w:lang w:eastAsia="en-IN"/>
              </w:rPr>
            </w:pPr>
            <w:r>
              <w:rPr>
                <w:rFonts w:ascii="Times New Roman" w:eastAsia="Times New Roman" w:hAnsi="Times New Roman" w:cs="Times New Roman"/>
                <w:lang w:eastAsia="en-IN"/>
              </w:rPr>
              <w:t>91,560</w:t>
            </w:r>
          </w:p>
        </w:tc>
      </w:tr>
      <w:tr w:rsidR="00286635" w14:paraId="25CA190F" w14:textId="77777777" w:rsidTr="00286635">
        <w:tc>
          <w:tcPr>
            <w:tcW w:w="4508" w:type="dxa"/>
          </w:tcPr>
          <w:p w14:paraId="7C582AFF" w14:textId="412C7165"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MOIC </w:t>
            </w:r>
          </w:p>
        </w:tc>
        <w:tc>
          <w:tcPr>
            <w:tcW w:w="4508" w:type="dxa"/>
          </w:tcPr>
          <w:p w14:paraId="5D767DEF" w14:textId="79302521" w:rsidR="00286635" w:rsidRPr="00E41ED7" w:rsidRDefault="00E41ED7" w:rsidP="00E41ED7">
            <w:pPr>
              <w:jc w:val="right"/>
              <w:rPr>
                <w:rFonts w:ascii="Times New Roman" w:eastAsia="Times New Roman" w:hAnsi="Times New Roman" w:cs="Times New Roman"/>
                <w:b/>
                <w:bCs/>
                <w:lang w:eastAsia="en-IN"/>
              </w:rPr>
            </w:pPr>
            <w:r w:rsidRPr="00E41ED7">
              <w:rPr>
                <w:rFonts w:ascii="Times New Roman" w:eastAsia="Times New Roman" w:hAnsi="Times New Roman" w:cs="Times New Roman"/>
                <w:b/>
                <w:bCs/>
                <w:lang w:eastAsia="en-IN"/>
              </w:rPr>
              <w:t>3.35x</w:t>
            </w:r>
          </w:p>
        </w:tc>
      </w:tr>
      <w:tr w:rsidR="00286635" w14:paraId="0D10FC86" w14:textId="77777777" w:rsidTr="00286635">
        <w:tc>
          <w:tcPr>
            <w:tcW w:w="4508" w:type="dxa"/>
          </w:tcPr>
          <w:p w14:paraId="5530291E" w14:textId="0B9917CA" w:rsidR="00286635" w:rsidRDefault="00286635" w:rsidP="00E41ED7">
            <w:pPr>
              <w:jc w:val="both"/>
              <w:rPr>
                <w:rFonts w:ascii="Times New Roman" w:eastAsia="Times New Roman" w:hAnsi="Times New Roman" w:cs="Times New Roman"/>
                <w:lang w:eastAsia="en-IN"/>
              </w:rPr>
            </w:pPr>
            <w:r>
              <w:rPr>
                <w:rFonts w:ascii="Times New Roman" w:eastAsia="Times New Roman" w:hAnsi="Times New Roman" w:cs="Times New Roman"/>
                <w:lang w:eastAsia="en-IN"/>
              </w:rPr>
              <w:t>IRR (5 year)</w:t>
            </w:r>
          </w:p>
        </w:tc>
        <w:tc>
          <w:tcPr>
            <w:tcW w:w="4508" w:type="dxa"/>
          </w:tcPr>
          <w:p w14:paraId="33A6477B" w14:textId="5827FDD8" w:rsidR="00286635" w:rsidRPr="00E41ED7" w:rsidRDefault="00E41ED7" w:rsidP="00E41ED7">
            <w:pPr>
              <w:jc w:val="right"/>
              <w:rPr>
                <w:rFonts w:ascii="Times New Roman" w:eastAsia="Times New Roman" w:hAnsi="Times New Roman" w:cs="Times New Roman"/>
                <w:b/>
                <w:bCs/>
                <w:lang w:eastAsia="en-IN"/>
              </w:rPr>
            </w:pPr>
            <w:r w:rsidRPr="00E41ED7">
              <w:rPr>
                <w:rFonts w:ascii="Times New Roman" w:eastAsia="Times New Roman" w:hAnsi="Times New Roman" w:cs="Times New Roman"/>
                <w:b/>
                <w:bCs/>
                <w:lang w:eastAsia="en-IN"/>
              </w:rPr>
              <w:t>27.4%</w:t>
            </w:r>
          </w:p>
        </w:tc>
      </w:tr>
    </w:tbl>
    <w:p w14:paraId="2FFC3145" w14:textId="49A8E1AE" w:rsidR="00E41ED7" w:rsidRDefault="00E41ED7" w:rsidP="00E41ED7">
      <w:pPr>
        <w:jc w:val="center"/>
        <w:rPr>
          <w:rFonts w:ascii="Times New Roman" w:eastAsia="Times New Roman" w:hAnsi="Times New Roman" w:cs="Times New Roman"/>
          <w:i/>
          <w:iCs/>
          <w:color w:val="595959" w:themeColor="text1" w:themeTint="A6"/>
          <w:sz w:val="16"/>
          <w:szCs w:val="16"/>
          <w:lang w:eastAsia="en-IN"/>
        </w:rPr>
      </w:pPr>
      <w:r w:rsidRPr="00E41ED7">
        <w:rPr>
          <w:rFonts w:ascii="Times New Roman" w:eastAsia="Times New Roman" w:hAnsi="Times New Roman" w:cs="Times New Roman"/>
          <w:i/>
          <w:iCs/>
          <w:color w:val="595959" w:themeColor="text1" w:themeTint="A6"/>
          <w:sz w:val="16"/>
          <w:szCs w:val="16"/>
          <w:lang w:eastAsia="en-IN"/>
        </w:rPr>
        <w:t>All figures in Rs. mm</w:t>
      </w:r>
    </w:p>
    <w:p w14:paraId="1FA9A255" w14:textId="77777777" w:rsidR="00E41ED7" w:rsidRDefault="00E41ED7" w:rsidP="00E41ED7">
      <w:pPr>
        <w:jc w:val="center"/>
        <w:rPr>
          <w:rFonts w:ascii="Times New Roman" w:eastAsia="Times New Roman" w:hAnsi="Times New Roman" w:cs="Times New Roman"/>
          <w:i/>
          <w:iCs/>
          <w:color w:val="595959" w:themeColor="text1" w:themeTint="A6"/>
          <w:sz w:val="16"/>
          <w:szCs w:val="16"/>
          <w:lang w:eastAsia="en-IN"/>
        </w:rPr>
      </w:pPr>
    </w:p>
    <w:p w14:paraId="31E1C9CD" w14:textId="77777777" w:rsidR="00E41ED7" w:rsidRDefault="00E41ED7" w:rsidP="00E41ED7">
      <w:pPr>
        <w:jc w:val="center"/>
        <w:rPr>
          <w:rFonts w:ascii="Times New Roman" w:eastAsia="Times New Roman" w:hAnsi="Times New Roman" w:cs="Times New Roman"/>
          <w:i/>
          <w:iCs/>
          <w:color w:val="595959" w:themeColor="text1" w:themeTint="A6"/>
          <w:sz w:val="16"/>
          <w:szCs w:val="16"/>
          <w:lang w:eastAsia="en-IN"/>
        </w:rPr>
      </w:pPr>
    </w:p>
    <w:p w14:paraId="7785FBBC" w14:textId="77777777" w:rsidR="00B84B65" w:rsidRDefault="00B84B65" w:rsidP="00E41ED7">
      <w:pPr>
        <w:jc w:val="center"/>
        <w:rPr>
          <w:rFonts w:ascii="Times New Roman" w:eastAsia="Times New Roman" w:hAnsi="Times New Roman" w:cs="Times New Roman"/>
          <w:i/>
          <w:iCs/>
          <w:color w:val="595959" w:themeColor="text1" w:themeTint="A6"/>
          <w:sz w:val="16"/>
          <w:szCs w:val="16"/>
          <w:lang w:eastAsia="en-IN"/>
        </w:rPr>
      </w:pPr>
    </w:p>
    <w:p w14:paraId="1E1DE3AA" w14:textId="77777777" w:rsidR="00B84B65" w:rsidRDefault="00B84B65" w:rsidP="00E41ED7">
      <w:pPr>
        <w:jc w:val="center"/>
        <w:rPr>
          <w:rFonts w:ascii="Times New Roman" w:eastAsia="Times New Roman" w:hAnsi="Times New Roman" w:cs="Times New Roman"/>
          <w:i/>
          <w:iCs/>
          <w:color w:val="595959" w:themeColor="text1" w:themeTint="A6"/>
          <w:sz w:val="16"/>
          <w:szCs w:val="16"/>
          <w:lang w:eastAsia="en-IN"/>
        </w:rPr>
      </w:pPr>
    </w:p>
    <w:p w14:paraId="3825E726" w14:textId="77777777" w:rsidR="00B84B65" w:rsidRDefault="00B84B65" w:rsidP="00E41ED7">
      <w:pPr>
        <w:jc w:val="center"/>
        <w:rPr>
          <w:rFonts w:ascii="Times New Roman" w:eastAsia="Times New Roman" w:hAnsi="Times New Roman" w:cs="Times New Roman"/>
          <w:i/>
          <w:iCs/>
          <w:color w:val="595959" w:themeColor="text1" w:themeTint="A6"/>
          <w:sz w:val="16"/>
          <w:szCs w:val="16"/>
          <w:lang w:eastAsia="en-IN"/>
        </w:rPr>
      </w:pPr>
    </w:p>
    <w:p w14:paraId="7FDBEB0D" w14:textId="77777777" w:rsidR="00BB2AB4" w:rsidRDefault="00ED209D" w:rsidP="00BB2AB4">
      <w:pPr>
        <w:pStyle w:val="ListParagraph"/>
        <w:numPr>
          <w:ilvl w:val="0"/>
          <w:numId w:val="12"/>
        </w:numPr>
        <w:rPr>
          <w:rFonts w:ascii="Times New Roman" w:eastAsia="Times New Roman" w:hAnsi="Times New Roman" w:cs="Times New Roman"/>
          <w:lang w:eastAsia="en-IN"/>
        </w:rPr>
      </w:pPr>
      <w:r w:rsidRPr="00ED209D">
        <w:rPr>
          <w:rFonts w:ascii="Times New Roman" w:eastAsia="Times New Roman" w:hAnsi="Times New Roman" w:cs="Times New Roman"/>
          <w:lang w:eastAsia="en-IN"/>
        </w:rPr>
        <w:t xml:space="preserve">Based on </w:t>
      </w:r>
      <w:r>
        <w:rPr>
          <w:rFonts w:ascii="Times New Roman" w:eastAsia="Times New Roman" w:hAnsi="Times New Roman" w:cs="Times New Roman"/>
          <w:lang w:eastAsia="en-IN"/>
        </w:rPr>
        <w:t xml:space="preserve">the assumptions, </w:t>
      </w:r>
      <w:r w:rsidR="00563305">
        <w:rPr>
          <w:rFonts w:ascii="Times New Roman" w:eastAsia="Times New Roman" w:hAnsi="Times New Roman" w:cs="Times New Roman"/>
          <w:lang w:eastAsia="en-IN"/>
        </w:rPr>
        <w:t xml:space="preserve">the transaction mentioned above generates a 3.35x MOIC and a 27.4% IRR </w:t>
      </w:r>
      <w:r w:rsidR="005A5C87">
        <w:rPr>
          <w:rFonts w:ascii="Times New Roman" w:eastAsia="Times New Roman" w:hAnsi="Times New Roman" w:cs="Times New Roman"/>
          <w:lang w:eastAsia="en-IN"/>
        </w:rPr>
        <w:t>over the five</w:t>
      </w:r>
      <w:r w:rsidR="00AA7A9A">
        <w:rPr>
          <w:rFonts w:ascii="Times New Roman" w:eastAsia="Times New Roman" w:hAnsi="Times New Roman" w:cs="Times New Roman"/>
          <w:lang w:eastAsia="en-IN"/>
        </w:rPr>
        <w:t>-</w:t>
      </w:r>
      <w:r w:rsidR="005A5C87">
        <w:rPr>
          <w:rFonts w:ascii="Times New Roman" w:eastAsia="Times New Roman" w:hAnsi="Times New Roman" w:cs="Times New Roman"/>
          <w:lang w:eastAsia="en-IN"/>
        </w:rPr>
        <w:t xml:space="preserve">year hold period. The Exit EBITDA of Rs. 17,676mm at a 20.0x exit multiple </w:t>
      </w:r>
      <w:r w:rsidR="000F59EF">
        <w:rPr>
          <w:rFonts w:ascii="Times New Roman" w:eastAsia="Times New Roman" w:hAnsi="Times New Roman" w:cs="Times New Roman"/>
          <w:lang w:eastAsia="en-IN"/>
        </w:rPr>
        <w:t>shows an enterprise value of about Rs. 353,530mm at exi</w:t>
      </w:r>
      <w:r w:rsidR="00AA7A9A">
        <w:rPr>
          <w:rFonts w:ascii="Times New Roman" w:eastAsia="Times New Roman" w:hAnsi="Times New Roman" w:cs="Times New Roman"/>
          <w:lang w:eastAsia="en-IN"/>
        </w:rPr>
        <w:t>t</w:t>
      </w:r>
      <w:r w:rsidR="000F59EF">
        <w:rPr>
          <w:rFonts w:ascii="Times New Roman" w:eastAsia="Times New Roman" w:hAnsi="Times New Roman" w:cs="Times New Roman"/>
          <w:lang w:eastAsia="en-IN"/>
        </w:rPr>
        <w:t xml:space="preserve">. </w:t>
      </w:r>
      <w:r w:rsidR="00A13E54">
        <w:rPr>
          <w:rFonts w:ascii="Times New Roman" w:eastAsia="Times New Roman" w:hAnsi="Times New Roman" w:cs="Times New Roman"/>
          <w:lang w:eastAsia="en-IN"/>
        </w:rPr>
        <w:t>Whereas, net debt at exit is Rs. 46,390</w:t>
      </w:r>
      <w:r w:rsidR="00AA7A9A">
        <w:rPr>
          <w:rFonts w:ascii="Times New Roman" w:eastAsia="Times New Roman" w:hAnsi="Times New Roman" w:cs="Times New Roman"/>
          <w:lang w:eastAsia="en-IN"/>
        </w:rPr>
        <w:t>, this yields a sponsor equity value to Rs. 307,139 mm against an entry equity check of Rs.91,560mm.</w:t>
      </w:r>
    </w:p>
    <w:p w14:paraId="3ECE4ABC" w14:textId="77777777" w:rsidR="00BB2AB4" w:rsidRDefault="00BB2AB4" w:rsidP="00BB2AB4">
      <w:pPr>
        <w:pStyle w:val="ListParagraph"/>
        <w:rPr>
          <w:rFonts w:ascii="Times New Roman" w:eastAsia="Times New Roman" w:hAnsi="Times New Roman" w:cs="Times New Roman"/>
          <w:lang w:eastAsia="en-IN"/>
        </w:rPr>
      </w:pPr>
    </w:p>
    <w:p w14:paraId="6D657007" w14:textId="77777777" w:rsidR="00BB2AB4" w:rsidRDefault="00D115F0" w:rsidP="00BB2AB4">
      <w:pPr>
        <w:pStyle w:val="ListParagraph"/>
        <w:numPr>
          <w:ilvl w:val="0"/>
          <w:numId w:val="12"/>
        </w:numPr>
        <w:rPr>
          <w:rFonts w:ascii="Times New Roman" w:eastAsia="Times New Roman" w:hAnsi="Times New Roman" w:cs="Times New Roman"/>
          <w:lang w:eastAsia="en-IN"/>
        </w:rPr>
      </w:pPr>
      <w:r w:rsidRPr="00BB2AB4">
        <w:rPr>
          <w:rFonts w:ascii="Times New Roman" w:eastAsia="Times New Roman" w:hAnsi="Times New Roman" w:cs="Times New Roman"/>
          <w:lang w:eastAsia="en-IN"/>
        </w:rPr>
        <w:t>Every leveraged buyout can be decomposed into three lev</w:t>
      </w:r>
      <w:r w:rsidR="00722786" w:rsidRPr="00BB2AB4">
        <w:rPr>
          <w:rFonts w:ascii="Times New Roman" w:eastAsia="Times New Roman" w:hAnsi="Times New Roman" w:cs="Times New Roman"/>
          <w:lang w:eastAsia="en-IN"/>
        </w:rPr>
        <w:t xml:space="preserve">ers i.e. multiple </w:t>
      </w:r>
      <w:proofErr w:type="gramStart"/>
      <w:r w:rsidR="00722786" w:rsidRPr="00BB2AB4">
        <w:rPr>
          <w:rFonts w:ascii="Times New Roman" w:eastAsia="Times New Roman" w:hAnsi="Times New Roman" w:cs="Times New Roman"/>
          <w:lang w:eastAsia="en-IN"/>
        </w:rPr>
        <w:t>expansion ,</w:t>
      </w:r>
      <w:proofErr w:type="gramEnd"/>
      <w:r w:rsidR="00722786" w:rsidRPr="00BB2AB4">
        <w:rPr>
          <w:rFonts w:ascii="Times New Roman" w:eastAsia="Times New Roman" w:hAnsi="Times New Roman" w:cs="Times New Roman"/>
          <w:lang w:eastAsia="en-IN"/>
        </w:rPr>
        <w:t xml:space="preserve"> EBITDA growth and </w:t>
      </w:r>
      <w:proofErr w:type="gramStart"/>
      <w:r w:rsidR="00722786" w:rsidRPr="00BB2AB4">
        <w:rPr>
          <w:rFonts w:ascii="Times New Roman" w:eastAsia="Times New Roman" w:hAnsi="Times New Roman" w:cs="Times New Roman"/>
          <w:lang w:eastAsia="en-IN"/>
        </w:rPr>
        <w:t>deleveraging .</w:t>
      </w:r>
      <w:proofErr w:type="gramEnd"/>
      <w:r w:rsidR="00722786" w:rsidRPr="00BB2AB4">
        <w:rPr>
          <w:rFonts w:ascii="Times New Roman" w:eastAsia="Times New Roman" w:hAnsi="Times New Roman" w:cs="Times New Roman"/>
          <w:lang w:eastAsia="en-IN"/>
        </w:rPr>
        <w:t xml:space="preserve"> Here multiple expansion contributes to nothing as </w:t>
      </w:r>
      <w:r w:rsidR="00927011" w:rsidRPr="00BB2AB4">
        <w:rPr>
          <w:rFonts w:ascii="Times New Roman" w:eastAsia="Times New Roman" w:hAnsi="Times New Roman" w:cs="Times New Roman"/>
          <w:lang w:eastAsia="en-IN"/>
        </w:rPr>
        <w:t xml:space="preserve">entry and </w:t>
      </w:r>
      <w:proofErr w:type="gramStart"/>
      <w:r w:rsidR="00927011" w:rsidRPr="00BB2AB4">
        <w:rPr>
          <w:rFonts w:ascii="Times New Roman" w:eastAsia="Times New Roman" w:hAnsi="Times New Roman" w:cs="Times New Roman"/>
          <w:lang w:eastAsia="en-IN"/>
        </w:rPr>
        <w:t>exit</w:t>
      </w:r>
      <w:proofErr w:type="gramEnd"/>
      <w:r w:rsidR="00927011" w:rsidRPr="00BB2AB4">
        <w:rPr>
          <w:rFonts w:ascii="Times New Roman" w:eastAsia="Times New Roman" w:hAnsi="Times New Roman" w:cs="Times New Roman"/>
          <w:lang w:eastAsia="en-IN"/>
        </w:rPr>
        <w:t xml:space="preserve"> </w:t>
      </w:r>
      <w:r w:rsidR="007B3240" w:rsidRPr="00BB2AB4">
        <w:rPr>
          <w:rFonts w:ascii="Times New Roman" w:eastAsia="Times New Roman" w:hAnsi="Times New Roman" w:cs="Times New Roman"/>
          <w:lang w:eastAsia="en-IN"/>
        </w:rPr>
        <w:t>multiples</w:t>
      </w:r>
      <w:r w:rsidR="00927011" w:rsidRPr="00BB2AB4">
        <w:rPr>
          <w:rFonts w:ascii="Times New Roman" w:eastAsia="Times New Roman" w:hAnsi="Times New Roman" w:cs="Times New Roman"/>
          <w:lang w:eastAsia="en-IN"/>
        </w:rPr>
        <w:t xml:space="preserve"> are the company’s real current market multiple which is </w:t>
      </w:r>
      <w:proofErr w:type="gramStart"/>
      <w:r w:rsidR="007B3240" w:rsidRPr="00BB2AB4">
        <w:rPr>
          <w:rFonts w:ascii="Times New Roman" w:eastAsia="Times New Roman" w:hAnsi="Times New Roman" w:cs="Times New Roman"/>
          <w:lang w:eastAsia="en-IN"/>
        </w:rPr>
        <w:t>20.0x .</w:t>
      </w:r>
      <w:proofErr w:type="gramEnd"/>
      <w:r w:rsidR="007B3240" w:rsidRPr="00BB2AB4">
        <w:rPr>
          <w:rFonts w:ascii="Times New Roman" w:eastAsia="Times New Roman" w:hAnsi="Times New Roman" w:cs="Times New Roman"/>
          <w:lang w:eastAsia="en-IN"/>
        </w:rPr>
        <w:t xml:space="preserve"> Hence, no value is generated from re-rating.</w:t>
      </w:r>
    </w:p>
    <w:p w14:paraId="6787B6D3" w14:textId="77777777" w:rsidR="00BB2AB4" w:rsidRPr="00BB2AB4" w:rsidRDefault="00BB2AB4" w:rsidP="00BB2AB4">
      <w:pPr>
        <w:pStyle w:val="ListParagraph"/>
        <w:rPr>
          <w:rFonts w:ascii="Times New Roman" w:eastAsia="Times New Roman" w:hAnsi="Times New Roman" w:cs="Times New Roman"/>
          <w:lang w:eastAsia="en-IN"/>
        </w:rPr>
      </w:pPr>
    </w:p>
    <w:p w14:paraId="04AE2442" w14:textId="7D5E1094" w:rsidR="00CA057F" w:rsidRDefault="00DD76CD" w:rsidP="00AA49D9">
      <w:pPr>
        <w:pStyle w:val="ListParagraph"/>
        <w:numPr>
          <w:ilvl w:val="0"/>
          <w:numId w:val="12"/>
        </w:numPr>
        <w:rPr>
          <w:rFonts w:ascii="Times New Roman" w:eastAsia="Times New Roman" w:hAnsi="Times New Roman" w:cs="Times New Roman"/>
          <w:lang w:eastAsia="en-IN"/>
        </w:rPr>
      </w:pPr>
      <w:r w:rsidRPr="00BB2AB4">
        <w:rPr>
          <w:rFonts w:ascii="Times New Roman" w:eastAsia="Times New Roman" w:hAnsi="Times New Roman" w:cs="Times New Roman"/>
          <w:lang w:eastAsia="en-IN"/>
        </w:rPr>
        <w:t>Deleveraging contributes essentially nothing too as the total debt rises from Rs.43,164mm to Rs.47,282mm in the fourth year before ending the hold at Rs.46,390mm. This is because, a business compounding revenue at 20% every year must also compound its capital expenditure and working capital investment at a somewhat similar rate to support the growth. Together, these consume nearly all cash that the business generates, leaving little to service acquisition debt yet alone repay the same.</w:t>
      </w:r>
    </w:p>
    <w:p w14:paraId="00868DCB" w14:textId="77777777" w:rsidR="00AA49D9" w:rsidRPr="00AA49D9" w:rsidRDefault="00AA49D9" w:rsidP="00AA49D9">
      <w:pPr>
        <w:pStyle w:val="ListParagraph"/>
        <w:rPr>
          <w:rFonts w:ascii="Times New Roman" w:eastAsia="Times New Roman" w:hAnsi="Times New Roman" w:cs="Times New Roman"/>
          <w:lang w:eastAsia="en-IN"/>
        </w:rPr>
      </w:pPr>
    </w:p>
    <w:p w14:paraId="4C6E458E" w14:textId="33004FEC" w:rsidR="00AA49D9" w:rsidRDefault="0068224E" w:rsidP="00AA49D9">
      <w:pPr>
        <w:pStyle w:val="ListParagraph"/>
        <w:numPr>
          <w:ilvl w:val="0"/>
          <w:numId w:val="12"/>
        </w:numPr>
        <w:rPr>
          <w:rFonts w:ascii="Times New Roman" w:eastAsia="Times New Roman" w:hAnsi="Times New Roman" w:cs="Times New Roman"/>
          <w:lang w:eastAsia="en-IN"/>
        </w:rPr>
      </w:pPr>
      <w:r>
        <w:rPr>
          <w:rFonts w:ascii="Times New Roman" w:eastAsia="Times New Roman" w:hAnsi="Times New Roman" w:cs="Times New Roman"/>
          <w:lang w:eastAsia="en-IN"/>
        </w:rPr>
        <w:t>This leaves EBITDA growth as the sole driver of the return. EBITDA more than doubles over the hold period, from ₹6,540mm to ₹17,676mm, with a 20% revenue CAGR and a somewhat modest margin expansion from 29.4% to 31.9%. The entire 3.35x MOIC is explained by this growth alone. This is fundamentally a bet on Vinati sustaining a 20% revenue CAGR for five consecutive years. A sponsor underwriting this deal would be underwriting a growth story, and the debt structure exists to amplify that growth into an equity return rather than to generate return on its own.</w:t>
      </w:r>
    </w:p>
    <w:p w14:paraId="193A889C" w14:textId="77777777" w:rsidR="0068224E" w:rsidRPr="0068224E" w:rsidRDefault="0068224E" w:rsidP="0068224E">
      <w:pPr>
        <w:pStyle w:val="ListParagraph"/>
        <w:rPr>
          <w:rFonts w:ascii="Times New Roman" w:eastAsia="Times New Roman" w:hAnsi="Times New Roman" w:cs="Times New Roman"/>
          <w:lang w:eastAsia="en-IN"/>
        </w:rPr>
      </w:pPr>
    </w:p>
    <w:p w14:paraId="1F5BA0F5" w14:textId="77777777" w:rsidR="0068224E" w:rsidRDefault="0068224E" w:rsidP="0068224E">
      <w:pPr>
        <w:rPr>
          <w:rFonts w:ascii="Times New Roman" w:eastAsia="Times New Roman" w:hAnsi="Times New Roman" w:cs="Times New Roman"/>
          <w:lang w:eastAsia="en-IN"/>
        </w:rPr>
      </w:pPr>
    </w:p>
    <w:tbl>
      <w:tblPr>
        <w:tblpPr w:leftFromText="180" w:rightFromText="180" w:vertAnchor="text" w:horzAnchor="page" w:tblpX="7063" w:tblpY="333"/>
        <w:tblW w:w="3880" w:type="dxa"/>
        <w:tblLook w:val="04A0" w:firstRow="1" w:lastRow="0" w:firstColumn="1" w:lastColumn="0" w:noHBand="0" w:noVBand="1"/>
      </w:tblPr>
      <w:tblGrid>
        <w:gridCol w:w="960"/>
        <w:gridCol w:w="960"/>
        <w:gridCol w:w="1000"/>
        <w:gridCol w:w="960"/>
      </w:tblGrid>
      <w:tr w:rsidR="0096054A" w:rsidRPr="00CB12D6" w14:paraId="745ABE00" w14:textId="77777777" w:rsidTr="0096054A">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A9D08E"/>
            <w:noWrap/>
            <w:hideMark/>
          </w:tcPr>
          <w:p w14:paraId="070F4B73" w14:textId="77777777" w:rsidR="0096054A" w:rsidRPr="00CB12D6" w:rsidRDefault="0096054A" w:rsidP="0096054A">
            <w:pPr>
              <w:spacing w:after="0" w:line="240" w:lineRule="auto"/>
              <w:jc w:val="center"/>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lastRenderedPageBreak/>
              <w:t xml:space="preserve">27.4% </w:t>
            </w:r>
          </w:p>
        </w:tc>
        <w:tc>
          <w:tcPr>
            <w:tcW w:w="960" w:type="dxa"/>
            <w:tcBorders>
              <w:top w:val="single" w:sz="4" w:space="0" w:color="auto"/>
              <w:left w:val="nil"/>
              <w:bottom w:val="single" w:sz="4" w:space="0" w:color="auto"/>
              <w:right w:val="single" w:sz="4" w:space="0" w:color="auto"/>
            </w:tcBorders>
            <w:noWrap/>
            <w:vAlign w:val="center"/>
            <w:hideMark/>
          </w:tcPr>
          <w:p w14:paraId="70CE1DC4"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5</w:t>
            </w:r>
          </w:p>
        </w:tc>
        <w:tc>
          <w:tcPr>
            <w:tcW w:w="1000" w:type="dxa"/>
            <w:tcBorders>
              <w:top w:val="single" w:sz="4" w:space="0" w:color="auto"/>
              <w:left w:val="nil"/>
              <w:bottom w:val="single" w:sz="4" w:space="0" w:color="auto"/>
              <w:right w:val="single" w:sz="4" w:space="0" w:color="auto"/>
            </w:tcBorders>
            <w:noWrap/>
            <w:vAlign w:val="center"/>
            <w:hideMark/>
          </w:tcPr>
          <w:p w14:paraId="2E58E1BD"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6.6</w:t>
            </w:r>
          </w:p>
        </w:tc>
        <w:tc>
          <w:tcPr>
            <w:tcW w:w="960" w:type="dxa"/>
            <w:tcBorders>
              <w:top w:val="single" w:sz="4" w:space="0" w:color="auto"/>
              <w:left w:val="nil"/>
              <w:bottom w:val="single" w:sz="4" w:space="0" w:color="auto"/>
              <w:right w:val="single" w:sz="4" w:space="0" w:color="auto"/>
            </w:tcBorders>
            <w:noWrap/>
            <w:vAlign w:val="center"/>
            <w:hideMark/>
          </w:tcPr>
          <w:p w14:paraId="22D8DB1D"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8</w:t>
            </w:r>
          </w:p>
        </w:tc>
      </w:tr>
      <w:tr w:rsidR="0096054A" w:rsidRPr="00CB12D6" w14:paraId="53F6084B" w14:textId="77777777" w:rsidTr="0096054A">
        <w:trPr>
          <w:trHeight w:val="288"/>
        </w:trPr>
        <w:tc>
          <w:tcPr>
            <w:tcW w:w="960" w:type="dxa"/>
            <w:tcBorders>
              <w:top w:val="nil"/>
              <w:left w:val="single" w:sz="4" w:space="0" w:color="auto"/>
              <w:bottom w:val="single" w:sz="4" w:space="0" w:color="auto"/>
              <w:right w:val="single" w:sz="4" w:space="0" w:color="auto"/>
            </w:tcBorders>
            <w:noWrap/>
            <w:hideMark/>
          </w:tcPr>
          <w:p w14:paraId="5837F75E"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15%</w:t>
            </w:r>
          </w:p>
        </w:tc>
        <w:tc>
          <w:tcPr>
            <w:tcW w:w="960" w:type="dxa"/>
            <w:tcBorders>
              <w:top w:val="nil"/>
              <w:left w:val="nil"/>
              <w:bottom w:val="single" w:sz="4" w:space="0" w:color="auto"/>
              <w:right w:val="single" w:sz="4" w:space="0" w:color="auto"/>
            </w:tcBorders>
            <w:noWrap/>
            <w:vAlign w:val="bottom"/>
            <w:hideMark/>
          </w:tcPr>
          <w:p w14:paraId="7619A43E"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20.05%</w:t>
            </w:r>
          </w:p>
        </w:tc>
        <w:tc>
          <w:tcPr>
            <w:tcW w:w="1000" w:type="dxa"/>
            <w:tcBorders>
              <w:top w:val="nil"/>
              <w:left w:val="nil"/>
              <w:bottom w:val="single" w:sz="4" w:space="0" w:color="auto"/>
              <w:right w:val="single" w:sz="4" w:space="0" w:color="auto"/>
            </w:tcBorders>
            <w:noWrap/>
            <w:vAlign w:val="bottom"/>
            <w:hideMark/>
          </w:tcPr>
          <w:p w14:paraId="50BEC938"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21.10%</w:t>
            </w:r>
          </w:p>
        </w:tc>
        <w:tc>
          <w:tcPr>
            <w:tcW w:w="960" w:type="dxa"/>
            <w:tcBorders>
              <w:top w:val="nil"/>
              <w:left w:val="nil"/>
              <w:bottom w:val="single" w:sz="4" w:space="0" w:color="auto"/>
              <w:right w:val="single" w:sz="4" w:space="0" w:color="auto"/>
            </w:tcBorders>
            <w:noWrap/>
            <w:vAlign w:val="bottom"/>
            <w:hideMark/>
          </w:tcPr>
          <w:p w14:paraId="423A5C5C"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22.20%</w:t>
            </w:r>
          </w:p>
        </w:tc>
      </w:tr>
      <w:tr w:rsidR="0096054A" w:rsidRPr="00CB12D6" w14:paraId="60C0FBBB" w14:textId="77777777" w:rsidTr="0096054A">
        <w:trPr>
          <w:trHeight w:val="288"/>
        </w:trPr>
        <w:tc>
          <w:tcPr>
            <w:tcW w:w="960" w:type="dxa"/>
            <w:tcBorders>
              <w:top w:val="nil"/>
              <w:left w:val="single" w:sz="4" w:space="0" w:color="auto"/>
              <w:bottom w:val="single" w:sz="4" w:space="0" w:color="auto"/>
              <w:right w:val="single" w:sz="4" w:space="0" w:color="auto"/>
            </w:tcBorders>
            <w:noWrap/>
            <w:hideMark/>
          </w:tcPr>
          <w:p w14:paraId="20A8FB0B"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18%</w:t>
            </w:r>
          </w:p>
        </w:tc>
        <w:tc>
          <w:tcPr>
            <w:tcW w:w="960" w:type="dxa"/>
            <w:tcBorders>
              <w:top w:val="nil"/>
              <w:left w:val="nil"/>
              <w:bottom w:val="single" w:sz="4" w:space="0" w:color="auto"/>
              <w:right w:val="single" w:sz="4" w:space="0" w:color="auto"/>
            </w:tcBorders>
            <w:noWrap/>
            <w:vAlign w:val="bottom"/>
            <w:hideMark/>
          </w:tcPr>
          <w:p w14:paraId="0DB387A7"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23.59%</w:t>
            </w:r>
          </w:p>
        </w:tc>
        <w:tc>
          <w:tcPr>
            <w:tcW w:w="1000" w:type="dxa"/>
            <w:tcBorders>
              <w:top w:val="nil"/>
              <w:left w:val="nil"/>
              <w:bottom w:val="single" w:sz="4" w:space="0" w:color="auto"/>
              <w:right w:val="single" w:sz="4" w:space="0" w:color="auto"/>
            </w:tcBorders>
            <w:noWrap/>
            <w:vAlign w:val="bottom"/>
            <w:hideMark/>
          </w:tcPr>
          <w:p w14:paraId="3B67BD0D"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24.90%</w:t>
            </w:r>
          </w:p>
        </w:tc>
        <w:tc>
          <w:tcPr>
            <w:tcW w:w="960" w:type="dxa"/>
            <w:tcBorders>
              <w:top w:val="nil"/>
              <w:left w:val="nil"/>
              <w:bottom w:val="single" w:sz="4" w:space="0" w:color="auto"/>
              <w:right w:val="single" w:sz="4" w:space="0" w:color="auto"/>
            </w:tcBorders>
            <w:noWrap/>
            <w:vAlign w:val="bottom"/>
            <w:hideMark/>
          </w:tcPr>
          <w:p w14:paraId="15CC7C15"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26.26%</w:t>
            </w:r>
          </w:p>
        </w:tc>
      </w:tr>
      <w:tr w:rsidR="0096054A" w:rsidRPr="00CB12D6" w14:paraId="142CD0C0" w14:textId="77777777" w:rsidTr="0096054A">
        <w:trPr>
          <w:trHeight w:val="288"/>
        </w:trPr>
        <w:tc>
          <w:tcPr>
            <w:tcW w:w="960" w:type="dxa"/>
            <w:tcBorders>
              <w:top w:val="nil"/>
              <w:left w:val="single" w:sz="4" w:space="0" w:color="auto"/>
              <w:bottom w:val="single" w:sz="4" w:space="0" w:color="auto"/>
              <w:right w:val="single" w:sz="4" w:space="0" w:color="auto"/>
            </w:tcBorders>
            <w:noWrap/>
            <w:hideMark/>
          </w:tcPr>
          <w:p w14:paraId="6686276C"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20%</w:t>
            </w:r>
          </w:p>
        </w:tc>
        <w:tc>
          <w:tcPr>
            <w:tcW w:w="960" w:type="dxa"/>
            <w:tcBorders>
              <w:top w:val="nil"/>
              <w:left w:val="nil"/>
              <w:bottom w:val="single" w:sz="4" w:space="0" w:color="auto"/>
              <w:right w:val="single" w:sz="4" w:space="0" w:color="auto"/>
            </w:tcBorders>
            <w:noWrap/>
            <w:vAlign w:val="bottom"/>
            <w:hideMark/>
          </w:tcPr>
          <w:p w14:paraId="43A3490E"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25.93%</w:t>
            </w:r>
          </w:p>
        </w:tc>
        <w:tc>
          <w:tcPr>
            <w:tcW w:w="1000" w:type="dxa"/>
            <w:tcBorders>
              <w:top w:val="nil"/>
              <w:left w:val="nil"/>
              <w:bottom w:val="single" w:sz="4" w:space="0" w:color="auto"/>
              <w:right w:val="single" w:sz="4" w:space="0" w:color="auto"/>
            </w:tcBorders>
            <w:noWrap/>
            <w:vAlign w:val="bottom"/>
            <w:hideMark/>
          </w:tcPr>
          <w:p w14:paraId="6A366A5C"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27.39%</w:t>
            </w:r>
          </w:p>
        </w:tc>
        <w:tc>
          <w:tcPr>
            <w:tcW w:w="960" w:type="dxa"/>
            <w:tcBorders>
              <w:top w:val="nil"/>
              <w:left w:val="nil"/>
              <w:bottom w:val="single" w:sz="4" w:space="0" w:color="auto"/>
              <w:right w:val="single" w:sz="4" w:space="0" w:color="auto"/>
            </w:tcBorders>
            <w:noWrap/>
            <w:vAlign w:val="bottom"/>
            <w:hideMark/>
          </w:tcPr>
          <w:p w14:paraId="449B482D"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28.90%</w:t>
            </w:r>
          </w:p>
        </w:tc>
      </w:tr>
      <w:tr w:rsidR="0096054A" w:rsidRPr="00CB12D6" w14:paraId="38D4E3C4" w14:textId="77777777" w:rsidTr="0096054A">
        <w:trPr>
          <w:trHeight w:val="288"/>
        </w:trPr>
        <w:tc>
          <w:tcPr>
            <w:tcW w:w="960" w:type="dxa"/>
            <w:tcBorders>
              <w:top w:val="nil"/>
              <w:left w:val="single" w:sz="4" w:space="0" w:color="auto"/>
              <w:bottom w:val="single" w:sz="4" w:space="0" w:color="auto"/>
              <w:right w:val="single" w:sz="4" w:space="0" w:color="auto"/>
            </w:tcBorders>
            <w:noWrap/>
            <w:hideMark/>
          </w:tcPr>
          <w:p w14:paraId="16510688"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22%</w:t>
            </w:r>
          </w:p>
        </w:tc>
        <w:tc>
          <w:tcPr>
            <w:tcW w:w="960" w:type="dxa"/>
            <w:tcBorders>
              <w:top w:val="nil"/>
              <w:left w:val="nil"/>
              <w:bottom w:val="single" w:sz="4" w:space="0" w:color="auto"/>
              <w:right w:val="single" w:sz="4" w:space="0" w:color="auto"/>
            </w:tcBorders>
            <w:noWrap/>
            <w:vAlign w:val="bottom"/>
            <w:hideMark/>
          </w:tcPr>
          <w:p w14:paraId="3D744C66"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28.24%</w:t>
            </w:r>
          </w:p>
        </w:tc>
        <w:tc>
          <w:tcPr>
            <w:tcW w:w="1000" w:type="dxa"/>
            <w:tcBorders>
              <w:top w:val="nil"/>
              <w:left w:val="nil"/>
              <w:bottom w:val="single" w:sz="4" w:space="0" w:color="auto"/>
              <w:right w:val="single" w:sz="4" w:space="0" w:color="auto"/>
            </w:tcBorders>
            <w:noWrap/>
            <w:vAlign w:val="bottom"/>
            <w:hideMark/>
          </w:tcPr>
          <w:p w14:paraId="31A3B95A"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29.85%</w:t>
            </w:r>
          </w:p>
        </w:tc>
        <w:tc>
          <w:tcPr>
            <w:tcW w:w="960" w:type="dxa"/>
            <w:tcBorders>
              <w:top w:val="nil"/>
              <w:left w:val="nil"/>
              <w:bottom w:val="single" w:sz="4" w:space="0" w:color="auto"/>
              <w:right w:val="single" w:sz="4" w:space="0" w:color="auto"/>
            </w:tcBorders>
            <w:noWrap/>
            <w:vAlign w:val="bottom"/>
            <w:hideMark/>
          </w:tcPr>
          <w:p w14:paraId="710A726E"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31.50%</w:t>
            </w:r>
          </w:p>
        </w:tc>
      </w:tr>
      <w:tr w:rsidR="0096054A" w:rsidRPr="00CB12D6" w14:paraId="67E05C40" w14:textId="77777777" w:rsidTr="0096054A">
        <w:trPr>
          <w:trHeight w:val="288"/>
        </w:trPr>
        <w:tc>
          <w:tcPr>
            <w:tcW w:w="960" w:type="dxa"/>
            <w:tcBorders>
              <w:top w:val="nil"/>
              <w:left w:val="single" w:sz="4" w:space="0" w:color="auto"/>
              <w:bottom w:val="single" w:sz="4" w:space="0" w:color="auto"/>
              <w:right w:val="single" w:sz="4" w:space="0" w:color="auto"/>
            </w:tcBorders>
            <w:noWrap/>
            <w:hideMark/>
          </w:tcPr>
          <w:p w14:paraId="5A32AF24" w14:textId="77777777" w:rsidR="0096054A" w:rsidRPr="00CB12D6" w:rsidRDefault="0096054A" w:rsidP="0096054A">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25%</w:t>
            </w:r>
          </w:p>
        </w:tc>
        <w:tc>
          <w:tcPr>
            <w:tcW w:w="960" w:type="dxa"/>
            <w:tcBorders>
              <w:top w:val="nil"/>
              <w:left w:val="nil"/>
              <w:bottom w:val="single" w:sz="4" w:space="0" w:color="auto"/>
              <w:right w:val="single" w:sz="4" w:space="0" w:color="auto"/>
            </w:tcBorders>
            <w:noWrap/>
            <w:vAlign w:val="bottom"/>
            <w:hideMark/>
          </w:tcPr>
          <w:p w14:paraId="6575E938"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31.68%</w:t>
            </w:r>
          </w:p>
        </w:tc>
        <w:tc>
          <w:tcPr>
            <w:tcW w:w="1000" w:type="dxa"/>
            <w:tcBorders>
              <w:top w:val="nil"/>
              <w:left w:val="nil"/>
              <w:bottom w:val="single" w:sz="4" w:space="0" w:color="auto"/>
              <w:right w:val="single" w:sz="4" w:space="0" w:color="auto"/>
            </w:tcBorders>
            <w:noWrap/>
            <w:vAlign w:val="bottom"/>
            <w:hideMark/>
          </w:tcPr>
          <w:p w14:paraId="7780EDD2"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33.49%</w:t>
            </w:r>
          </w:p>
        </w:tc>
        <w:tc>
          <w:tcPr>
            <w:tcW w:w="960" w:type="dxa"/>
            <w:tcBorders>
              <w:top w:val="nil"/>
              <w:left w:val="nil"/>
              <w:bottom w:val="single" w:sz="4" w:space="0" w:color="auto"/>
              <w:right w:val="single" w:sz="4" w:space="0" w:color="auto"/>
            </w:tcBorders>
            <w:noWrap/>
            <w:vAlign w:val="bottom"/>
            <w:hideMark/>
          </w:tcPr>
          <w:p w14:paraId="28308162" w14:textId="77777777" w:rsidR="0096054A" w:rsidRPr="00CB12D6" w:rsidRDefault="0096054A" w:rsidP="0096054A">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35.34%</w:t>
            </w:r>
          </w:p>
        </w:tc>
      </w:tr>
    </w:tbl>
    <w:p w14:paraId="2A9DE48B" w14:textId="790ED55E" w:rsidR="0068224E" w:rsidRPr="00267998" w:rsidRDefault="007E691A" w:rsidP="0068224E">
      <w:pPr>
        <w:rPr>
          <w:rFonts w:ascii="Times New Roman" w:eastAsia="Times New Roman" w:hAnsi="Times New Roman" w:cs="Times New Roman"/>
          <w:sz w:val="20"/>
          <w:szCs w:val="20"/>
          <w:lang w:eastAsia="en-IN"/>
        </w:rPr>
      </w:pPr>
      <w:r>
        <w:rPr>
          <w:rFonts w:ascii="Times New Roman" w:eastAsia="Times New Roman" w:hAnsi="Times New Roman" w:cs="Times New Roman"/>
          <w:lang w:eastAsia="en-IN"/>
        </w:rPr>
        <w:t xml:space="preserve">      </w:t>
      </w:r>
      <w:r w:rsidRPr="00267998">
        <w:rPr>
          <w:rFonts w:ascii="Times New Roman" w:eastAsia="Times New Roman" w:hAnsi="Times New Roman" w:cs="Times New Roman"/>
          <w:lang w:eastAsia="en-IN"/>
        </w:rPr>
        <w:t>E</w:t>
      </w:r>
      <w:r w:rsidRPr="00267998">
        <w:rPr>
          <w:rFonts w:ascii="Times New Roman" w:eastAsia="Times New Roman" w:hAnsi="Times New Roman" w:cs="Times New Roman"/>
          <w:sz w:val="20"/>
          <w:szCs w:val="20"/>
          <w:lang w:eastAsia="en-IN"/>
        </w:rPr>
        <w:t>ntry Multiple vs. Exit Multiple (IRR)</w:t>
      </w:r>
      <w:r w:rsidR="009973B7" w:rsidRPr="00267998">
        <w:rPr>
          <w:rFonts w:ascii="Times New Roman" w:eastAsia="Times New Roman" w:hAnsi="Times New Roman" w:cs="Times New Roman"/>
          <w:noProof/>
          <w:sz w:val="20"/>
          <w:szCs w:val="20"/>
          <w:lang w:eastAsia="en-IN"/>
        </w:rPr>
        <mc:AlternateContent>
          <mc:Choice Requires="wps">
            <w:drawing>
              <wp:anchor distT="0" distB="0" distL="114300" distR="114300" simplePos="0" relativeHeight="251667456" behindDoc="0" locked="0" layoutInCell="1" allowOverlap="1" wp14:anchorId="7E227606" wp14:editId="4C8BC1FA">
                <wp:simplePos x="0" y="0"/>
                <wp:positionH relativeFrom="page">
                  <wp:align>left</wp:align>
                </wp:positionH>
                <wp:positionV relativeFrom="paragraph">
                  <wp:posOffset>-914400</wp:posOffset>
                </wp:positionV>
                <wp:extent cx="7563600" cy="615600"/>
                <wp:effectExtent l="0" t="0" r="18415" b="13335"/>
                <wp:wrapNone/>
                <wp:docPr id="1756131244" name="Rectangle 16"/>
                <wp:cNvGraphicFramePr/>
                <a:graphic xmlns:a="http://schemas.openxmlformats.org/drawingml/2006/main">
                  <a:graphicData uri="http://schemas.microsoft.com/office/word/2010/wordprocessingShape">
                    <wps:wsp>
                      <wps:cNvSpPr/>
                      <wps:spPr>
                        <a:xfrm>
                          <a:off x="0" y="0"/>
                          <a:ext cx="7563600" cy="61560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6E3D9BB8" w14:textId="7DB25380" w:rsidR="001D6A0B" w:rsidRPr="00267998" w:rsidRDefault="001D6A0B" w:rsidP="001D6A0B">
                            <w:pPr>
                              <w:rPr>
                                <w:rFonts w:ascii="Times New Roman" w:hAnsi="Times New Roman" w:cs="Times New Roman"/>
                                <w:b/>
                                <w:bCs/>
                                <w:lang w:val="en-US"/>
                              </w:rPr>
                            </w:pPr>
                            <w:r w:rsidRPr="00267998">
                              <w:rPr>
                                <w:rFonts w:ascii="Times New Roman" w:hAnsi="Times New Roman" w:cs="Times New Roman"/>
                                <w:b/>
                                <w:bCs/>
                                <w:lang w:val="en-US"/>
                              </w:rPr>
                              <w:t xml:space="preserve">Sensitivity Analysis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27606" id="Rectangle 16" o:spid="_x0000_s1033" style="position:absolute;margin-left:0;margin-top:-1in;width:595.55pt;height:48.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" fillcolor="#70ad47 [3209]" strokecolor="#10190a [489]" strokeweight="1pt">
                <v:textbox>
                  <w:txbxContent>
                    <w:p w14:paraId="6E3D9BB8" w14:textId="7DB25380" w:rsidR="001D6A0B" w:rsidRPr="00267998" w:rsidRDefault="001D6A0B" w:rsidP="001D6A0B">
                      <w:pPr>
                        <w:rPr>
                          <w:rFonts w:ascii="Times New Roman" w:hAnsi="Times New Roman" w:cs="Times New Roman"/>
                          <w:b/>
                          <w:bCs/>
                          <w:lang w:val="en-US"/>
                        </w:rPr>
                      </w:pPr>
                      <w:r w:rsidRPr="00267998">
                        <w:rPr>
                          <w:rFonts w:ascii="Times New Roman" w:hAnsi="Times New Roman" w:cs="Times New Roman"/>
                          <w:b/>
                          <w:bCs/>
                          <w:lang w:val="en-US"/>
                        </w:rPr>
                        <w:t xml:space="preserve">Sensitivity Analysis </w:t>
                      </w:r>
                    </w:p>
                  </w:txbxContent>
                </v:textbox>
                <w10:wrap anchorx="page"/>
              </v:rect>
            </w:pict>
          </mc:Fallback>
        </mc:AlternateContent>
      </w:r>
      <w:r w:rsidR="00267998" w:rsidRPr="00267998">
        <w:rPr>
          <w:rFonts w:ascii="Times New Roman" w:eastAsia="Times New Roman" w:hAnsi="Times New Roman" w:cs="Times New Roman"/>
          <w:sz w:val="20"/>
          <w:szCs w:val="20"/>
          <w:lang w:eastAsia="en-IN"/>
        </w:rPr>
        <w:t xml:space="preserve">                                    </w:t>
      </w:r>
      <w:r w:rsidR="00267998">
        <w:rPr>
          <w:rFonts w:ascii="Times New Roman" w:eastAsia="Times New Roman" w:hAnsi="Times New Roman" w:cs="Times New Roman"/>
          <w:sz w:val="20"/>
          <w:szCs w:val="20"/>
          <w:lang w:eastAsia="en-IN"/>
        </w:rPr>
        <w:t xml:space="preserve">              </w:t>
      </w:r>
      <w:r w:rsidR="00267998" w:rsidRPr="00267998">
        <w:rPr>
          <w:rFonts w:ascii="Times New Roman" w:eastAsia="Times New Roman" w:hAnsi="Times New Roman" w:cs="Times New Roman"/>
          <w:sz w:val="20"/>
          <w:szCs w:val="20"/>
          <w:lang w:eastAsia="en-IN"/>
        </w:rPr>
        <w:t xml:space="preserve">  Revenue Growth vs. Leverage (IRR)</w:t>
      </w:r>
    </w:p>
    <w:tbl>
      <w:tblPr>
        <w:tblpPr w:leftFromText="180" w:rightFromText="180" w:vertAnchor="text" w:horzAnchor="page" w:tblpX="568" w:tblpY="-58"/>
        <w:tblW w:w="5800" w:type="dxa"/>
        <w:tblLook w:val="04A0" w:firstRow="1" w:lastRow="0" w:firstColumn="1" w:lastColumn="0" w:noHBand="0" w:noVBand="1"/>
      </w:tblPr>
      <w:tblGrid>
        <w:gridCol w:w="960"/>
        <w:gridCol w:w="960"/>
        <w:gridCol w:w="1000"/>
        <w:gridCol w:w="960"/>
        <w:gridCol w:w="960"/>
        <w:gridCol w:w="960"/>
      </w:tblGrid>
      <w:tr w:rsidR="009D3C39" w:rsidRPr="00CB12D6" w14:paraId="5255706F" w14:textId="77777777" w:rsidTr="009D3C39">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6B1C3EC4" w14:textId="2F326B20" w:rsidR="009D3C39" w:rsidRPr="00CB12D6" w:rsidRDefault="009D3C39" w:rsidP="00741FF7">
            <w:pPr>
              <w:spacing w:after="0" w:line="240" w:lineRule="auto"/>
              <w:jc w:val="center"/>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27.4%</w:t>
            </w:r>
          </w:p>
        </w:tc>
        <w:tc>
          <w:tcPr>
            <w:tcW w:w="960" w:type="dxa"/>
            <w:tcBorders>
              <w:top w:val="single" w:sz="4" w:space="0" w:color="auto"/>
              <w:left w:val="nil"/>
              <w:bottom w:val="single" w:sz="4" w:space="0" w:color="auto"/>
              <w:right w:val="single" w:sz="4" w:space="0" w:color="auto"/>
            </w:tcBorders>
            <w:noWrap/>
            <w:vAlign w:val="bottom"/>
            <w:hideMark/>
          </w:tcPr>
          <w:p w14:paraId="35A0D5E5"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16x</w:t>
            </w:r>
          </w:p>
        </w:tc>
        <w:tc>
          <w:tcPr>
            <w:tcW w:w="1000" w:type="dxa"/>
            <w:tcBorders>
              <w:top w:val="single" w:sz="4" w:space="0" w:color="auto"/>
              <w:left w:val="nil"/>
              <w:bottom w:val="single" w:sz="4" w:space="0" w:color="auto"/>
              <w:right w:val="single" w:sz="4" w:space="0" w:color="auto"/>
            </w:tcBorders>
            <w:noWrap/>
            <w:vAlign w:val="bottom"/>
            <w:hideMark/>
          </w:tcPr>
          <w:p w14:paraId="763A9338"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18x</w:t>
            </w:r>
          </w:p>
        </w:tc>
        <w:tc>
          <w:tcPr>
            <w:tcW w:w="960" w:type="dxa"/>
            <w:tcBorders>
              <w:top w:val="single" w:sz="4" w:space="0" w:color="auto"/>
              <w:left w:val="nil"/>
              <w:bottom w:val="single" w:sz="4" w:space="0" w:color="auto"/>
              <w:right w:val="single" w:sz="4" w:space="0" w:color="auto"/>
            </w:tcBorders>
            <w:noWrap/>
            <w:vAlign w:val="bottom"/>
            <w:hideMark/>
          </w:tcPr>
          <w:p w14:paraId="402ED42A"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20x</w:t>
            </w:r>
          </w:p>
        </w:tc>
        <w:tc>
          <w:tcPr>
            <w:tcW w:w="960" w:type="dxa"/>
            <w:tcBorders>
              <w:top w:val="single" w:sz="4" w:space="0" w:color="auto"/>
              <w:left w:val="nil"/>
              <w:bottom w:val="single" w:sz="4" w:space="0" w:color="auto"/>
              <w:right w:val="single" w:sz="4" w:space="0" w:color="auto"/>
            </w:tcBorders>
            <w:noWrap/>
            <w:vAlign w:val="bottom"/>
            <w:hideMark/>
          </w:tcPr>
          <w:p w14:paraId="5F8E1CCF"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22x</w:t>
            </w:r>
          </w:p>
        </w:tc>
        <w:tc>
          <w:tcPr>
            <w:tcW w:w="960" w:type="dxa"/>
            <w:tcBorders>
              <w:top w:val="single" w:sz="4" w:space="0" w:color="auto"/>
              <w:left w:val="nil"/>
              <w:bottom w:val="single" w:sz="4" w:space="0" w:color="auto"/>
              <w:right w:val="single" w:sz="4" w:space="0" w:color="auto"/>
            </w:tcBorders>
            <w:noWrap/>
            <w:vAlign w:val="bottom"/>
            <w:hideMark/>
          </w:tcPr>
          <w:p w14:paraId="69F40AF6"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24x</w:t>
            </w:r>
          </w:p>
        </w:tc>
      </w:tr>
      <w:tr w:rsidR="009D3C39" w:rsidRPr="00CB12D6" w14:paraId="6DF33FEA" w14:textId="77777777" w:rsidTr="009D3C39">
        <w:trPr>
          <w:trHeight w:val="288"/>
        </w:trPr>
        <w:tc>
          <w:tcPr>
            <w:tcW w:w="960" w:type="dxa"/>
            <w:tcBorders>
              <w:top w:val="nil"/>
              <w:left w:val="single" w:sz="4" w:space="0" w:color="auto"/>
              <w:bottom w:val="single" w:sz="4" w:space="0" w:color="auto"/>
              <w:right w:val="single" w:sz="4" w:space="0" w:color="auto"/>
            </w:tcBorders>
            <w:noWrap/>
            <w:vAlign w:val="bottom"/>
            <w:hideMark/>
          </w:tcPr>
          <w:p w14:paraId="32C72FD6"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16x</w:t>
            </w:r>
          </w:p>
        </w:tc>
        <w:tc>
          <w:tcPr>
            <w:tcW w:w="960" w:type="dxa"/>
            <w:tcBorders>
              <w:top w:val="nil"/>
              <w:left w:val="nil"/>
              <w:bottom w:val="single" w:sz="4" w:space="0" w:color="auto"/>
              <w:right w:val="single" w:sz="4" w:space="0" w:color="auto"/>
            </w:tcBorders>
            <w:noWrap/>
            <w:vAlign w:val="bottom"/>
            <w:hideMark/>
          </w:tcPr>
          <w:p w14:paraId="1E82F298"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29.62%</w:t>
            </w:r>
          </w:p>
        </w:tc>
        <w:tc>
          <w:tcPr>
            <w:tcW w:w="1000" w:type="dxa"/>
            <w:tcBorders>
              <w:top w:val="nil"/>
              <w:left w:val="nil"/>
              <w:bottom w:val="single" w:sz="4" w:space="0" w:color="auto"/>
              <w:right w:val="single" w:sz="4" w:space="0" w:color="auto"/>
            </w:tcBorders>
            <w:noWrap/>
            <w:vAlign w:val="bottom"/>
            <w:hideMark/>
          </w:tcPr>
          <w:p w14:paraId="20A1807F"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33.28%</w:t>
            </w:r>
          </w:p>
        </w:tc>
        <w:tc>
          <w:tcPr>
            <w:tcW w:w="960" w:type="dxa"/>
            <w:tcBorders>
              <w:top w:val="nil"/>
              <w:left w:val="nil"/>
              <w:bottom w:val="single" w:sz="4" w:space="0" w:color="auto"/>
              <w:right w:val="single" w:sz="4" w:space="0" w:color="auto"/>
            </w:tcBorders>
            <w:noWrap/>
            <w:vAlign w:val="bottom"/>
            <w:hideMark/>
          </w:tcPr>
          <w:p w14:paraId="6ECB425A"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36.58%</w:t>
            </w:r>
          </w:p>
        </w:tc>
        <w:tc>
          <w:tcPr>
            <w:tcW w:w="960" w:type="dxa"/>
            <w:tcBorders>
              <w:top w:val="nil"/>
              <w:left w:val="nil"/>
              <w:bottom w:val="single" w:sz="4" w:space="0" w:color="auto"/>
              <w:right w:val="single" w:sz="4" w:space="0" w:color="auto"/>
            </w:tcBorders>
            <w:noWrap/>
            <w:vAlign w:val="bottom"/>
            <w:hideMark/>
          </w:tcPr>
          <w:p w14:paraId="06BD7C12"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39.59%</w:t>
            </w:r>
          </w:p>
        </w:tc>
        <w:tc>
          <w:tcPr>
            <w:tcW w:w="960" w:type="dxa"/>
            <w:tcBorders>
              <w:top w:val="nil"/>
              <w:left w:val="nil"/>
              <w:bottom w:val="single" w:sz="4" w:space="0" w:color="auto"/>
              <w:right w:val="single" w:sz="4" w:space="0" w:color="auto"/>
            </w:tcBorders>
            <w:noWrap/>
            <w:vAlign w:val="bottom"/>
            <w:hideMark/>
          </w:tcPr>
          <w:p w14:paraId="2E4D7E4E"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42.36%</w:t>
            </w:r>
          </w:p>
        </w:tc>
      </w:tr>
      <w:tr w:rsidR="009D3C39" w:rsidRPr="00CB12D6" w14:paraId="56899C73" w14:textId="77777777" w:rsidTr="009D3C39">
        <w:trPr>
          <w:trHeight w:val="288"/>
        </w:trPr>
        <w:tc>
          <w:tcPr>
            <w:tcW w:w="960" w:type="dxa"/>
            <w:tcBorders>
              <w:top w:val="nil"/>
              <w:left w:val="single" w:sz="4" w:space="0" w:color="auto"/>
              <w:bottom w:val="single" w:sz="4" w:space="0" w:color="auto"/>
              <w:right w:val="single" w:sz="4" w:space="0" w:color="auto"/>
            </w:tcBorders>
            <w:noWrap/>
            <w:vAlign w:val="bottom"/>
            <w:hideMark/>
          </w:tcPr>
          <w:p w14:paraId="27E7DC16"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18x</w:t>
            </w:r>
          </w:p>
        </w:tc>
        <w:tc>
          <w:tcPr>
            <w:tcW w:w="960" w:type="dxa"/>
            <w:tcBorders>
              <w:top w:val="nil"/>
              <w:left w:val="nil"/>
              <w:bottom w:val="single" w:sz="4" w:space="0" w:color="auto"/>
              <w:right w:val="single" w:sz="4" w:space="0" w:color="auto"/>
            </w:tcBorders>
            <w:noWrap/>
            <w:vAlign w:val="bottom"/>
            <w:hideMark/>
          </w:tcPr>
          <w:p w14:paraId="04F2F703"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24.80%</w:t>
            </w:r>
          </w:p>
        </w:tc>
        <w:tc>
          <w:tcPr>
            <w:tcW w:w="1000" w:type="dxa"/>
            <w:tcBorders>
              <w:top w:val="nil"/>
              <w:left w:val="nil"/>
              <w:bottom w:val="single" w:sz="4" w:space="0" w:color="auto"/>
              <w:right w:val="single" w:sz="4" w:space="0" w:color="auto"/>
            </w:tcBorders>
            <w:noWrap/>
            <w:vAlign w:val="bottom"/>
            <w:hideMark/>
          </w:tcPr>
          <w:p w14:paraId="77FAD859"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28.33%</w:t>
            </w:r>
          </w:p>
        </w:tc>
        <w:tc>
          <w:tcPr>
            <w:tcW w:w="960" w:type="dxa"/>
            <w:tcBorders>
              <w:top w:val="nil"/>
              <w:left w:val="nil"/>
              <w:bottom w:val="single" w:sz="4" w:space="0" w:color="auto"/>
              <w:right w:val="single" w:sz="4" w:space="0" w:color="auto"/>
            </w:tcBorders>
            <w:noWrap/>
            <w:vAlign w:val="bottom"/>
            <w:hideMark/>
          </w:tcPr>
          <w:p w14:paraId="6D4AB941"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31.51%</w:t>
            </w:r>
          </w:p>
        </w:tc>
        <w:tc>
          <w:tcPr>
            <w:tcW w:w="960" w:type="dxa"/>
            <w:tcBorders>
              <w:top w:val="nil"/>
              <w:left w:val="nil"/>
              <w:bottom w:val="single" w:sz="4" w:space="0" w:color="auto"/>
              <w:right w:val="single" w:sz="4" w:space="0" w:color="auto"/>
            </w:tcBorders>
            <w:noWrap/>
            <w:vAlign w:val="bottom"/>
            <w:hideMark/>
          </w:tcPr>
          <w:p w14:paraId="66B1D43E"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34.40%</w:t>
            </w:r>
          </w:p>
        </w:tc>
        <w:tc>
          <w:tcPr>
            <w:tcW w:w="960" w:type="dxa"/>
            <w:tcBorders>
              <w:top w:val="nil"/>
              <w:left w:val="nil"/>
              <w:bottom w:val="single" w:sz="4" w:space="0" w:color="auto"/>
              <w:right w:val="single" w:sz="4" w:space="0" w:color="auto"/>
            </w:tcBorders>
            <w:noWrap/>
            <w:vAlign w:val="bottom"/>
            <w:hideMark/>
          </w:tcPr>
          <w:p w14:paraId="4F284270"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37.07%</w:t>
            </w:r>
          </w:p>
        </w:tc>
      </w:tr>
      <w:tr w:rsidR="009D3C39" w:rsidRPr="00CB12D6" w14:paraId="01F80090" w14:textId="77777777" w:rsidTr="009D3C39">
        <w:trPr>
          <w:trHeight w:val="288"/>
        </w:trPr>
        <w:tc>
          <w:tcPr>
            <w:tcW w:w="960" w:type="dxa"/>
            <w:tcBorders>
              <w:top w:val="nil"/>
              <w:left w:val="single" w:sz="4" w:space="0" w:color="auto"/>
              <w:bottom w:val="single" w:sz="4" w:space="0" w:color="auto"/>
              <w:right w:val="single" w:sz="4" w:space="0" w:color="auto"/>
            </w:tcBorders>
            <w:noWrap/>
            <w:vAlign w:val="bottom"/>
            <w:hideMark/>
          </w:tcPr>
          <w:p w14:paraId="7843D8D7"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20x</w:t>
            </w:r>
          </w:p>
        </w:tc>
        <w:tc>
          <w:tcPr>
            <w:tcW w:w="960" w:type="dxa"/>
            <w:tcBorders>
              <w:top w:val="nil"/>
              <w:left w:val="nil"/>
              <w:bottom w:val="single" w:sz="4" w:space="0" w:color="auto"/>
              <w:right w:val="single" w:sz="4" w:space="0" w:color="auto"/>
            </w:tcBorders>
            <w:noWrap/>
            <w:vAlign w:val="bottom"/>
            <w:hideMark/>
          </w:tcPr>
          <w:p w14:paraId="5DE2B3FA"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20.89%</w:t>
            </w:r>
          </w:p>
        </w:tc>
        <w:tc>
          <w:tcPr>
            <w:tcW w:w="1000" w:type="dxa"/>
            <w:tcBorders>
              <w:top w:val="nil"/>
              <w:left w:val="nil"/>
              <w:bottom w:val="single" w:sz="4" w:space="0" w:color="auto"/>
              <w:right w:val="single" w:sz="4" w:space="0" w:color="auto"/>
            </w:tcBorders>
            <w:noWrap/>
            <w:vAlign w:val="bottom"/>
            <w:hideMark/>
          </w:tcPr>
          <w:p w14:paraId="5D1F7208"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24.31%</w:t>
            </w:r>
          </w:p>
        </w:tc>
        <w:tc>
          <w:tcPr>
            <w:tcW w:w="960" w:type="dxa"/>
            <w:tcBorders>
              <w:top w:val="nil"/>
              <w:left w:val="nil"/>
              <w:bottom w:val="single" w:sz="4" w:space="0" w:color="auto"/>
              <w:right w:val="single" w:sz="4" w:space="0" w:color="auto"/>
            </w:tcBorders>
            <w:noWrap/>
            <w:vAlign w:val="bottom"/>
            <w:hideMark/>
          </w:tcPr>
          <w:p w14:paraId="1A66928C"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27.39%</w:t>
            </w:r>
          </w:p>
        </w:tc>
        <w:tc>
          <w:tcPr>
            <w:tcW w:w="960" w:type="dxa"/>
            <w:tcBorders>
              <w:top w:val="nil"/>
              <w:left w:val="nil"/>
              <w:bottom w:val="single" w:sz="4" w:space="0" w:color="auto"/>
              <w:right w:val="single" w:sz="4" w:space="0" w:color="auto"/>
            </w:tcBorders>
            <w:noWrap/>
            <w:vAlign w:val="bottom"/>
            <w:hideMark/>
          </w:tcPr>
          <w:p w14:paraId="6C10BF14"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30.19%</w:t>
            </w:r>
          </w:p>
        </w:tc>
        <w:tc>
          <w:tcPr>
            <w:tcW w:w="960" w:type="dxa"/>
            <w:tcBorders>
              <w:top w:val="nil"/>
              <w:left w:val="nil"/>
              <w:bottom w:val="single" w:sz="4" w:space="0" w:color="auto"/>
              <w:right w:val="single" w:sz="4" w:space="0" w:color="auto"/>
            </w:tcBorders>
            <w:noWrap/>
            <w:vAlign w:val="bottom"/>
            <w:hideMark/>
          </w:tcPr>
          <w:p w14:paraId="597F4146"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32.78%</w:t>
            </w:r>
          </w:p>
        </w:tc>
      </w:tr>
      <w:tr w:rsidR="009D3C39" w:rsidRPr="00CB12D6" w14:paraId="40158FBD" w14:textId="77777777" w:rsidTr="009D3C39">
        <w:trPr>
          <w:trHeight w:val="288"/>
        </w:trPr>
        <w:tc>
          <w:tcPr>
            <w:tcW w:w="960" w:type="dxa"/>
            <w:tcBorders>
              <w:top w:val="nil"/>
              <w:left w:val="single" w:sz="4" w:space="0" w:color="auto"/>
              <w:bottom w:val="single" w:sz="4" w:space="0" w:color="auto"/>
              <w:right w:val="single" w:sz="4" w:space="0" w:color="auto"/>
            </w:tcBorders>
            <w:noWrap/>
            <w:vAlign w:val="bottom"/>
            <w:hideMark/>
          </w:tcPr>
          <w:p w14:paraId="223A3788"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22x</w:t>
            </w:r>
          </w:p>
        </w:tc>
        <w:tc>
          <w:tcPr>
            <w:tcW w:w="960" w:type="dxa"/>
            <w:tcBorders>
              <w:top w:val="nil"/>
              <w:left w:val="nil"/>
              <w:bottom w:val="single" w:sz="4" w:space="0" w:color="auto"/>
              <w:right w:val="single" w:sz="4" w:space="0" w:color="auto"/>
            </w:tcBorders>
            <w:noWrap/>
            <w:vAlign w:val="bottom"/>
            <w:hideMark/>
          </w:tcPr>
          <w:p w14:paraId="2E711E1F"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17.62%</w:t>
            </w:r>
          </w:p>
        </w:tc>
        <w:tc>
          <w:tcPr>
            <w:tcW w:w="1000" w:type="dxa"/>
            <w:tcBorders>
              <w:top w:val="nil"/>
              <w:left w:val="nil"/>
              <w:bottom w:val="single" w:sz="4" w:space="0" w:color="auto"/>
              <w:right w:val="single" w:sz="4" w:space="0" w:color="auto"/>
            </w:tcBorders>
            <w:noWrap/>
            <w:vAlign w:val="bottom"/>
            <w:hideMark/>
          </w:tcPr>
          <w:p w14:paraId="449D6134"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20.94%</w:t>
            </w:r>
          </w:p>
        </w:tc>
        <w:tc>
          <w:tcPr>
            <w:tcW w:w="960" w:type="dxa"/>
            <w:tcBorders>
              <w:top w:val="nil"/>
              <w:left w:val="nil"/>
              <w:bottom w:val="single" w:sz="4" w:space="0" w:color="auto"/>
              <w:right w:val="single" w:sz="4" w:space="0" w:color="auto"/>
            </w:tcBorders>
            <w:noWrap/>
            <w:vAlign w:val="bottom"/>
            <w:hideMark/>
          </w:tcPr>
          <w:p w14:paraId="64A6EED7"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23.94%</w:t>
            </w:r>
          </w:p>
        </w:tc>
        <w:tc>
          <w:tcPr>
            <w:tcW w:w="960" w:type="dxa"/>
            <w:tcBorders>
              <w:top w:val="nil"/>
              <w:left w:val="nil"/>
              <w:bottom w:val="single" w:sz="4" w:space="0" w:color="auto"/>
              <w:right w:val="single" w:sz="4" w:space="0" w:color="auto"/>
            </w:tcBorders>
            <w:noWrap/>
            <w:vAlign w:val="bottom"/>
            <w:hideMark/>
          </w:tcPr>
          <w:p w14:paraId="73259DF8"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26.67%</w:t>
            </w:r>
          </w:p>
        </w:tc>
        <w:tc>
          <w:tcPr>
            <w:tcW w:w="960" w:type="dxa"/>
            <w:tcBorders>
              <w:top w:val="nil"/>
              <w:left w:val="nil"/>
              <w:bottom w:val="single" w:sz="4" w:space="0" w:color="auto"/>
              <w:right w:val="single" w:sz="4" w:space="0" w:color="auto"/>
            </w:tcBorders>
            <w:noWrap/>
            <w:vAlign w:val="bottom"/>
            <w:hideMark/>
          </w:tcPr>
          <w:p w14:paraId="052A3A91"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29.18%</w:t>
            </w:r>
          </w:p>
        </w:tc>
      </w:tr>
      <w:tr w:rsidR="009D3C39" w:rsidRPr="00CB12D6" w14:paraId="0D7C399D" w14:textId="77777777" w:rsidTr="009D3C39">
        <w:trPr>
          <w:trHeight w:val="288"/>
        </w:trPr>
        <w:tc>
          <w:tcPr>
            <w:tcW w:w="960" w:type="dxa"/>
            <w:tcBorders>
              <w:top w:val="nil"/>
              <w:left w:val="single" w:sz="4" w:space="0" w:color="auto"/>
              <w:bottom w:val="single" w:sz="4" w:space="0" w:color="auto"/>
              <w:right w:val="single" w:sz="4" w:space="0" w:color="auto"/>
            </w:tcBorders>
            <w:noWrap/>
            <w:vAlign w:val="bottom"/>
            <w:hideMark/>
          </w:tcPr>
          <w:p w14:paraId="16380EF1" w14:textId="77777777" w:rsidR="009D3C39" w:rsidRPr="00CB12D6" w:rsidRDefault="009D3C39" w:rsidP="009D3C39">
            <w:pPr>
              <w:spacing w:after="0" w:line="240" w:lineRule="auto"/>
              <w:jc w:val="center"/>
              <w:rPr>
                <w:rFonts w:ascii="Times New Roman" w:eastAsia="Times New Roman" w:hAnsi="Times New Roman" w:cs="Times New Roman"/>
                <w:b/>
                <w:bCs/>
                <w:color w:val="000000"/>
                <w:kern w:val="0"/>
                <w:lang w:eastAsia="en-IN"/>
                <w14:ligatures w14:val="none"/>
              </w:rPr>
            </w:pPr>
            <w:r w:rsidRPr="00CB12D6">
              <w:rPr>
                <w:rFonts w:ascii="Times New Roman" w:eastAsia="Times New Roman" w:hAnsi="Times New Roman" w:cs="Times New Roman"/>
                <w:b/>
                <w:bCs/>
                <w:color w:val="000000"/>
                <w:kern w:val="0"/>
                <w:lang w:eastAsia="en-IN"/>
                <w14:ligatures w14:val="none"/>
              </w:rPr>
              <w:t>24x</w:t>
            </w:r>
          </w:p>
        </w:tc>
        <w:tc>
          <w:tcPr>
            <w:tcW w:w="960" w:type="dxa"/>
            <w:tcBorders>
              <w:top w:val="nil"/>
              <w:left w:val="nil"/>
              <w:bottom w:val="single" w:sz="4" w:space="0" w:color="auto"/>
              <w:right w:val="single" w:sz="4" w:space="0" w:color="auto"/>
            </w:tcBorders>
            <w:noWrap/>
            <w:vAlign w:val="bottom"/>
            <w:hideMark/>
          </w:tcPr>
          <w:p w14:paraId="7FA1FFC0"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14.81%</w:t>
            </w:r>
          </w:p>
        </w:tc>
        <w:tc>
          <w:tcPr>
            <w:tcW w:w="1000" w:type="dxa"/>
            <w:tcBorders>
              <w:top w:val="nil"/>
              <w:left w:val="nil"/>
              <w:bottom w:val="single" w:sz="4" w:space="0" w:color="auto"/>
              <w:right w:val="single" w:sz="4" w:space="0" w:color="auto"/>
            </w:tcBorders>
            <w:noWrap/>
            <w:vAlign w:val="bottom"/>
            <w:hideMark/>
          </w:tcPr>
          <w:p w14:paraId="04DD5E8B"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18.06%</w:t>
            </w:r>
          </w:p>
        </w:tc>
        <w:tc>
          <w:tcPr>
            <w:tcW w:w="960" w:type="dxa"/>
            <w:tcBorders>
              <w:top w:val="nil"/>
              <w:left w:val="nil"/>
              <w:bottom w:val="single" w:sz="4" w:space="0" w:color="auto"/>
              <w:right w:val="single" w:sz="4" w:space="0" w:color="auto"/>
            </w:tcBorders>
            <w:noWrap/>
            <w:vAlign w:val="bottom"/>
            <w:hideMark/>
          </w:tcPr>
          <w:p w14:paraId="3B809C4A"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20.98%</w:t>
            </w:r>
          </w:p>
        </w:tc>
        <w:tc>
          <w:tcPr>
            <w:tcW w:w="960" w:type="dxa"/>
            <w:tcBorders>
              <w:top w:val="nil"/>
              <w:left w:val="nil"/>
              <w:bottom w:val="single" w:sz="4" w:space="0" w:color="auto"/>
              <w:right w:val="single" w:sz="4" w:space="0" w:color="auto"/>
            </w:tcBorders>
            <w:noWrap/>
            <w:vAlign w:val="bottom"/>
            <w:hideMark/>
          </w:tcPr>
          <w:p w14:paraId="4FF899A6"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23.65%</w:t>
            </w:r>
          </w:p>
        </w:tc>
        <w:tc>
          <w:tcPr>
            <w:tcW w:w="960" w:type="dxa"/>
            <w:tcBorders>
              <w:top w:val="nil"/>
              <w:left w:val="nil"/>
              <w:bottom w:val="single" w:sz="4" w:space="0" w:color="auto"/>
              <w:right w:val="single" w:sz="4" w:space="0" w:color="auto"/>
            </w:tcBorders>
            <w:noWrap/>
            <w:vAlign w:val="bottom"/>
            <w:hideMark/>
          </w:tcPr>
          <w:p w14:paraId="0F2B5C2F" w14:textId="77777777" w:rsidR="009D3C39" w:rsidRPr="00CB12D6" w:rsidRDefault="009D3C39" w:rsidP="009D3C39">
            <w:pPr>
              <w:spacing w:after="0" w:line="240" w:lineRule="auto"/>
              <w:jc w:val="right"/>
              <w:rPr>
                <w:rFonts w:ascii="Times New Roman" w:eastAsia="Times New Roman" w:hAnsi="Times New Roman" w:cs="Times New Roman"/>
                <w:color w:val="000000"/>
                <w:kern w:val="0"/>
                <w:lang w:eastAsia="en-IN"/>
                <w14:ligatures w14:val="none"/>
              </w:rPr>
            </w:pPr>
            <w:r w:rsidRPr="00CB12D6">
              <w:rPr>
                <w:rFonts w:ascii="Times New Roman" w:eastAsia="Times New Roman" w:hAnsi="Times New Roman" w:cs="Times New Roman"/>
                <w:color w:val="000000"/>
                <w:kern w:val="0"/>
                <w:lang w:eastAsia="en-IN"/>
                <w14:ligatures w14:val="none"/>
              </w:rPr>
              <w:t>26.10%</w:t>
            </w:r>
          </w:p>
        </w:tc>
      </w:tr>
    </w:tbl>
    <w:p w14:paraId="1DB0C581" w14:textId="77777777" w:rsidR="00B82CE5" w:rsidRDefault="00B82CE5" w:rsidP="00B82CE5">
      <w:pPr>
        <w:rPr>
          <w:rFonts w:ascii="Times New Roman" w:eastAsia="Times New Roman" w:hAnsi="Times New Roman" w:cs="Times New Roman"/>
          <w:lang w:eastAsia="en-IN"/>
        </w:rPr>
      </w:pPr>
    </w:p>
    <w:p w14:paraId="4D19B55A" w14:textId="7997EFD8" w:rsidR="007E691A" w:rsidRDefault="007E691A" w:rsidP="007E691A">
      <w:pPr>
        <w:rPr>
          <w:rFonts w:ascii="Times New Roman" w:eastAsia="Times New Roman" w:hAnsi="Times New Roman" w:cs="Times New Roman"/>
          <w:lang w:eastAsia="en-IN"/>
        </w:rPr>
      </w:pPr>
    </w:p>
    <w:p w14:paraId="61E2630C" w14:textId="77777777" w:rsidR="00267998" w:rsidRDefault="00267998" w:rsidP="007E691A">
      <w:pPr>
        <w:rPr>
          <w:rFonts w:ascii="Times New Roman" w:eastAsia="Times New Roman" w:hAnsi="Times New Roman" w:cs="Times New Roman"/>
          <w:lang w:eastAsia="en-IN"/>
        </w:rPr>
      </w:pPr>
    </w:p>
    <w:p w14:paraId="40B16CA5" w14:textId="77777777" w:rsidR="00153310" w:rsidRPr="00153310" w:rsidRDefault="001A7942" w:rsidP="00153310">
      <w:pPr>
        <w:pStyle w:val="ListParagraph"/>
        <w:numPr>
          <w:ilvl w:val="0"/>
          <w:numId w:val="13"/>
        </w:numPr>
        <w:rPr>
          <w:rFonts w:ascii="Times New Roman" w:eastAsia="Times New Roman" w:hAnsi="Times New Roman" w:cs="Times New Roman"/>
          <w:lang w:eastAsia="en-IN"/>
        </w:rPr>
      </w:pPr>
      <w:r w:rsidRPr="001A7942">
        <w:rPr>
          <w:rFonts w:ascii="Times New Roman" w:eastAsia="Times New Roman" w:hAnsi="Times New Roman" w:cs="Times New Roman"/>
          <w:lang w:eastAsia="en-IN"/>
        </w:rPr>
        <w:t>Since the base-case return (3.35x MOIC, 27.4% IRR) rests on several forward assumptions, two sensitivities were run to stress-test it</w:t>
      </w:r>
      <w:r>
        <w:rPr>
          <w:rFonts w:ascii="Times New Roman" w:eastAsia="Times New Roman" w:hAnsi="Times New Roman" w:cs="Times New Roman"/>
          <w:lang w:eastAsia="en-IN"/>
        </w:rPr>
        <w:t xml:space="preserve"> i.e. </w:t>
      </w:r>
      <w:r w:rsidRPr="00267998">
        <w:rPr>
          <w:rFonts w:ascii="Times New Roman" w:eastAsia="Times New Roman" w:hAnsi="Times New Roman" w:cs="Times New Roman"/>
          <w:lang w:eastAsia="en-IN"/>
        </w:rPr>
        <w:t>E</w:t>
      </w:r>
      <w:r w:rsidRPr="00267998">
        <w:rPr>
          <w:rFonts w:ascii="Times New Roman" w:eastAsia="Times New Roman" w:hAnsi="Times New Roman" w:cs="Times New Roman"/>
          <w:sz w:val="20"/>
          <w:szCs w:val="20"/>
          <w:lang w:eastAsia="en-IN"/>
        </w:rPr>
        <w:t>ntry Multiple vs. Exit Multiple (IRR)</w:t>
      </w:r>
      <w:r>
        <w:rPr>
          <w:rFonts w:ascii="Times New Roman" w:eastAsia="Times New Roman" w:hAnsi="Times New Roman" w:cs="Times New Roman"/>
          <w:sz w:val="20"/>
          <w:szCs w:val="20"/>
          <w:lang w:eastAsia="en-IN"/>
        </w:rPr>
        <w:t xml:space="preserve"> and </w:t>
      </w:r>
      <w:r w:rsidRPr="00267998">
        <w:rPr>
          <w:rFonts w:ascii="Times New Roman" w:eastAsia="Times New Roman" w:hAnsi="Times New Roman" w:cs="Times New Roman"/>
          <w:sz w:val="20"/>
          <w:szCs w:val="20"/>
          <w:lang w:eastAsia="en-IN"/>
        </w:rPr>
        <w:t>Revenue Growth vs. Leverage (IRR)</w:t>
      </w:r>
      <w:r>
        <w:rPr>
          <w:rFonts w:ascii="Times New Roman" w:eastAsia="Times New Roman" w:hAnsi="Times New Roman" w:cs="Times New Roman"/>
          <w:sz w:val="20"/>
          <w:szCs w:val="20"/>
          <w:lang w:eastAsia="en-IN"/>
        </w:rPr>
        <w:t>.</w:t>
      </w:r>
    </w:p>
    <w:p w14:paraId="66067056" w14:textId="77777777" w:rsidR="00153310" w:rsidRPr="00153310" w:rsidRDefault="00153310" w:rsidP="00153310">
      <w:pPr>
        <w:pStyle w:val="ListParagraph"/>
        <w:rPr>
          <w:rFonts w:ascii="Times New Roman" w:eastAsia="Times New Roman" w:hAnsi="Times New Roman" w:cs="Times New Roman"/>
          <w:lang w:eastAsia="en-IN"/>
        </w:rPr>
      </w:pPr>
    </w:p>
    <w:p w14:paraId="1614074A" w14:textId="77777777" w:rsidR="0008667C" w:rsidRPr="0008667C" w:rsidRDefault="00153310" w:rsidP="0008667C">
      <w:pPr>
        <w:pStyle w:val="ListParagraph"/>
        <w:numPr>
          <w:ilvl w:val="0"/>
          <w:numId w:val="13"/>
        </w:numPr>
        <w:rPr>
          <w:rFonts w:ascii="Times New Roman" w:eastAsia="Times New Roman" w:hAnsi="Times New Roman" w:cs="Times New Roman"/>
          <w:lang w:eastAsia="en-IN"/>
        </w:rPr>
      </w:pPr>
      <w:r w:rsidRPr="00153310">
        <w:rPr>
          <w:rStyle w:val="Strong"/>
          <w:rFonts w:ascii="Times New Roman" w:hAnsi="Times New Roman" w:cs="Times New Roman"/>
        </w:rPr>
        <w:t>Entry Multiple vs. Exit Multiple</w:t>
      </w:r>
      <w:r w:rsidRPr="00153310">
        <w:rPr>
          <w:rFonts w:ascii="Times New Roman" w:hAnsi="Times New Roman" w:cs="Times New Roman"/>
        </w:rPr>
        <w:t>-</w:t>
      </w:r>
      <w:r>
        <w:rPr>
          <w:rFonts w:ascii="Times New Roman" w:hAnsi="Times New Roman" w:cs="Times New Roman"/>
        </w:rPr>
        <w:t xml:space="preserve"> </w:t>
      </w:r>
      <w:r w:rsidRPr="00153310">
        <w:rPr>
          <w:rFonts w:ascii="Times New Roman" w:hAnsi="Times New Roman" w:cs="Times New Roman"/>
        </w:rPr>
        <w:t>The base case of a 20x entry and 20x exit is in the middle of this grid at 27.4% IRR. At the most favourable end, buying in cheaper at 16x and exiting richer at 24x pushes the IRR up to 42.4% whereas, at the least favourable end, buying in at a rich 24x and exiting flat at 16x brings it down to 14.8%. Even along the diagonal, where entry and exit multiples are equal and no re-rating is assumed at all, IRR still holds above roughly 21% across the full 16x-24x range. This tells us the deal is fairly resilient to entry pricing</w:t>
      </w:r>
      <w:r>
        <w:rPr>
          <w:rFonts w:ascii="Times New Roman" w:hAnsi="Times New Roman" w:cs="Times New Roman"/>
        </w:rPr>
        <w:t>.</w:t>
      </w:r>
    </w:p>
    <w:p w14:paraId="19686219" w14:textId="77777777" w:rsidR="0008667C" w:rsidRPr="0008667C" w:rsidRDefault="0008667C" w:rsidP="0008667C">
      <w:pPr>
        <w:pStyle w:val="ListParagraph"/>
        <w:rPr>
          <w:rFonts w:ascii="Times New Roman" w:eastAsia="Times New Roman" w:hAnsi="Times New Roman" w:cs="Times New Roman"/>
          <w:b/>
          <w:bCs/>
          <w:lang w:eastAsia="en-IN"/>
        </w:rPr>
      </w:pPr>
    </w:p>
    <w:p w14:paraId="0B1A25B3" w14:textId="77777777" w:rsidR="00F651D3" w:rsidRDefault="0008667C" w:rsidP="00F651D3">
      <w:pPr>
        <w:pStyle w:val="ListParagraph"/>
        <w:numPr>
          <w:ilvl w:val="0"/>
          <w:numId w:val="13"/>
        </w:numPr>
        <w:rPr>
          <w:rFonts w:ascii="Times New Roman" w:eastAsia="Times New Roman" w:hAnsi="Times New Roman" w:cs="Times New Roman"/>
          <w:lang w:eastAsia="en-IN"/>
        </w:rPr>
      </w:pPr>
      <w:r w:rsidRPr="0008667C">
        <w:rPr>
          <w:rFonts w:ascii="Times New Roman" w:eastAsia="Times New Roman" w:hAnsi="Times New Roman" w:cs="Times New Roman"/>
          <w:b/>
          <w:bCs/>
          <w:lang w:eastAsia="en-IN"/>
        </w:rPr>
        <w:t>Revenue Growth vs. Leverage</w:t>
      </w:r>
      <w:r>
        <w:rPr>
          <w:rFonts w:ascii="Times New Roman" w:eastAsia="Times New Roman" w:hAnsi="Times New Roman" w:cs="Times New Roman"/>
          <w:b/>
          <w:bCs/>
          <w:lang w:eastAsia="en-IN"/>
        </w:rPr>
        <w:t>-</w:t>
      </w:r>
      <w:r w:rsidRPr="0008667C">
        <w:rPr>
          <w:rFonts w:ascii="Times New Roman" w:eastAsia="Times New Roman" w:hAnsi="Times New Roman" w:cs="Times New Roman"/>
          <w:lang w:eastAsia="en-IN"/>
        </w:rPr>
        <w:t xml:space="preserve"> Moving leverage from a </w:t>
      </w:r>
      <w:r w:rsidR="00DC294C">
        <w:rPr>
          <w:rFonts w:ascii="Times New Roman" w:eastAsia="Times New Roman" w:hAnsi="Times New Roman" w:cs="Times New Roman"/>
          <w:lang w:eastAsia="en-IN"/>
        </w:rPr>
        <w:t xml:space="preserve">somewhat </w:t>
      </w:r>
      <w:r w:rsidRPr="0008667C">
        <w:rPr>
          <w:rFonts w:ascii="Times New Roman" w:eastAsia="Times New Roman" w:hAnsi="Times New Roman" w:cs="Times New Roman"/>
          <w:lang w:eastAsia="en-IN"/>
        </w:rPr>
        <w:t>conservative 5.0x to an 8.0x EBITDA shifts the IRR by about 1 to 2 percentage points</w:t>
      </w:r>
      <w:r w:rsidR="00DC294C">
        <w:rPr>
          <w:rFonts w:ascii="Times New Roman" w:eastAsia="Times New Roman" w:hAnsi="Times New Roman" w:cs="Times New Roman"/>
          <w:lang w:eastAsia="en-IN"/>
        </w:rPr>
        <w:t xml:space="preserve"> only</w:t>
      </w:r>
      <w:r w:rsidRPr="0008667C">
        <w:rPr>
          <w:rFonts w:ascii="Times New Roman" w:eastAsia="Times New Roman" w:hAnsi="Times New Roman" w:cs="Times New Roman"/>
          <w:lang w:eastAsia="en-IN"/>
        </w:rPr>
        <w:t xml:space="preserve"> at any given growth rate</w:t>
      </w:r>
      <w:r>
        <w:rPr>
          <w:rFonts w:ascii="Times New Roman" w:eastAsia="Times New Roman" w:hAnsi="Times New Roman" w:cs="Times New Roman"/>
          <w:lang w:eastAsia="en-IN"/>
        </w:rPr>
        <w:t xml:space="preserve">, which is </w:t>
      </w:r>
      <w:r w:rsidRPr="0008667C">
        <w:rPr>
          <w:rFonts w:ascii="Times New Roman" w:eastAsia="Times New Roman" w:hAnsi="Times New Roman" w:cs="Times New Roman"/>
          <w:lang w:eastAsia="en-IN"/>
        </w:rPr>
        <w:t xml:space="preserve">surprisingly </w:t>
      </w:r>
      <w:r>
        <w:rPr>
          <w:rFonts w:ascii="Times New Roman" w:eastAsia="Times New Roman" w:hAnsi="Times New Roman" w:cs="Times New Roman"/>
          <w:lang w:eastAsia="en-IN"/>
        </w:rPr>
        <w:t xml:space="preserve">a </w:t>
      </w:r>
      <w:r w:rsidRPr="0008667C">
        <w:rPr>
          <w:rFonts w:ascii="Times New Roman" w:eastAsia="Times New Roman" w:hAnsi="Times New Roman" w:cs="Times New Roman"/>
          <w:lang w:eastAsia="en-IN"/>
        </w:rPr>
        <w:t>small effect for what looks like a meaningful change in financial risk. Revenue growth, on the other hand, moves far more</w:t>
      </w:r>
      <w:r w:rsidR="00DC294C">
        <w:rPr>
          <w:rFonts w:ascii="Times New Roman" w:eastAsia="Times New Roman" w:hAnsi="Times New Roman" w:cs="Times New Roman"/>
          <w:lang w:eastAsia="en-IN"/>
        </w:rPr>
        <w:t xml:space="preserve">, </w:t>
      </w:r>
      <w:r w:rsidRPr="0008667C">
        <w:rPr>
          <w:rFonts w:ascii="Times New Roman" w:eastAsia="Times New Roman" w:hAnsi="Times New Roman" w:cs="Times New Roman"/>
          <w:lang w:eastAsia="en-IN"/>
        </w:rPr>
        <w:t xml:space="preserve">shifting from 15% to 25% CAGR at constant leverage lifts the IRR from roughly 21% to 34%, a swing of nearly 12 percentage points. The reason leverage matters so little here </w:t>
      </w:r>
      <w:proofErr w:type="gramStart"/>
      <w:r w:rsidRPr="0008667C">
        <w:rPr>
          <w:rFonts w:ascii="Times New Roman" w:eastAsia="Times New Roman" w:hAnsi="Times New Roman" w:cs="Times New Roman"/>
          <w:lang w:eastAsia="en-IN"/>
        </w:rPr>
        <w:t>is</w:t>
      </w:r>
      <w:proofErr w:type="gramEnd"/>
      <w:r w:rsidRPr="0008667C">
        <w:rPr>
          <w:rFonts w:ascii="Times New Roman" w:eastAsia="Times New Roman" w:hAnsi="Times New Roman" w:cs="Times New Roman"/>
          <w:lang w:eastAsia="en-IN"/>
        </w:rPr>
        <w:t xml:space="preserve"> </w:t>
      </w:r>
      <w:r w:rsidR="00DC294C">
        <w:rPr>
          <w:rFonts w:ascii="Times New Roman" w:eastAsia="Times New Roman" w:hAnsi="Times New Roman" w:cs="Times New Roman"/>
          <w:lang w:eastAsia="en-IN"/>
        </w:rPr>
        <w:t>because</w:t>
      </w:r>
      <w:r w:rsidRPr="0008667C">
        <w:rPr>
          <w:rFonts w:ascii="Times New Roman" w:eastAsia="Times New Roman" w:hAnsi="Times New Roman" w:cs="Times New Roman"/>
          <w:lang w:eastAsia="en-IN"/>
        </w:rPr>
        <w:t xml:space="preserve"> debt is barely being repaid over the hold period in the first place, so adding more of it mostly adds interest cost and refinancing risk without generating a matching return benefit.</w:t>
      </w:r>
    </w:p>
    <w:p w14:paraId="052501FF" w14:textId="77777777" w:rsidR="00F651D3" w:rsidRPr="00F651D3" w:rsidRDefault="00F651D3" w:rsidP="00F651D3">
      <w:pPr>
        <w:pStyle w:val="ListParagraph"/>
        <w:rPr>
          <w:rFonts w:ascii="Times New Roman" w:eastAsia="Times New Roman" w:hAnsi="Times New Roman" w:cs="Times New Roman"/>
          <w:lang w:eastAsia="en-IN"/>
        </w:rPr>
      </w:pPr>
    </w:p>
    <w:p w14:paraId="1D848904" w14:textId="458F1948" w:rsidR="00DC294C" w:rsidRPr="00F651D3" w:rsidRDefault="00F651D3" w:rsidP="00F651D3">
      <w:pPr>
        <w:pStyle w:val="ListParagraph"/>
        <w:numPr>
          <w:ilvl w:val="0"/>
          <w:numId w:val="13"/>
        </w:numPr>
        <w:rPr>
          <w:rFonts w:ascii="Times New Roman" w:eastAsia="Times New Roman" w:hAnsi="Times New Roman" w:cs="Times New Roman"/>
          <w:lang w:eastAsia="en-IN"/>
        </w:rPr>
      </w:pPr>
      <w:r w:rsidRPr="00F651D3">
        <w:rPr>
          <w:rFonts w:ascii="Times New Roman" w:eastAsia="Times New Roman" w:hAnsi="Times New Roman" w:cs="Times New Roman"/>
          <w:lang w:eastAsia="en-IN"/>
        </w:rPr>
        <w:t>Taken together, these two grids point to the same conclusion i.e. this is fundamentally a growth bet, not a leverage bet. The debt structure exists to amplify the equity return that Vinati's underlying growth generates, but it cannot manufacture a return on its own the way deleveraging might in a more conventional buyout. A sponsor evaluating this deal should therefore concentrate diligence on the credibility of the 20% growth assumption, not on optimizing the capital structure.</w:t>
      </w:r>
    </w:p>
    <w:p w14:paraId="09E791E5" w14:textId="77777777" w:rsidR="001A7942" w:rsidRDefault="001A7942" w:rsidP="001A7942">
      <w:pPr>
        <w:rPr>
          <w:rFonts w:ascii="Times New Roman" w:eastAsia="Times New Roman" w:hAnsi="Times New Roman" w:cs="Times New Roman"/>
          <w:lang w:eastAsia="en-IN"/>
        </w:rPr>
      </w:pPr>
    </w:p>
    <w:p w14:paraId="153D6AD8" w14:textId="77777777" w:rsidR="001A7942" w:rsidRDefault="001A7942" w:rsidP="004A6CE0">
      <w:pPr>
        <w:pStyle w:val="ListParagraph"/>
        <w:rPr>
          <w:rFonts w:ascii="Times New Roman" w:eastAsia="Times New Roman" w:hAnsi="Times New Roman" w:cs="Times New Roman"/>
          <w:lang w:eastAsia="en-IN"/>
        </w:rPr>
      </w:pPr>
    </w:p>
    <w:p w14:paraId="5E9162E5" w14:textId="77777777" w:rsidR="00F651D3" w:rsidRDefault="00F651D3" w:rsidP="004A6CE0">
      <w:pPr>
        <w:pStyle w:val="ListParagraph"/>
        <w:rPr>
          <w:rFonts w:ascii="Times New Roman" w:eastAsia="Times New Roman" w:hAnsi="Times New Roman" w:cs="Times New Roman"/>
          <w:lang w:eastAsia="en-IN"/>
        </w:rPr>
      </w:pPr>
    </w:p>
    <w:p w14:paraId="2FDBCC87" w14:textId="77777777" w:rsidR="00F651D3" w:rsidRDefault="00F651D3" w:rsidP="004A6CE0">
      <w:pPr>
        <w:pStyle w:val="ListParagraph"/>
        <w:rPr>
          <w:rFonts w:ascii="Times New Roman" w:eastAsia="Times New Roman" w:hAnsi="Times New Roman" w:cs="Times New Roman"/>
          <w:lang w:eastAsia="en-IN"/>
        </w:rPr>
      </w:pPr>
    </w:p>
    <w:p w14:paraId="694C42F3" w14:textId="77777777" w:rsidR="00F651D3" w:rsidRDefault="00F651D3" w:rsidP="004A6CE0">
      <w:pPr>
        <w:pStyle w:val="ListParagraph"/>
        <w:rPr>
          <w:rFonts w:ascii="Times New Roman" w:eastAsia="Times New Roman" w:hAnsi="Times New Roman" w:cs="Times New Roman"/>
          <w:lang w:eastAsia="en-IN"/>
        </w:rPr>
      </w:pPr>
    </w:p>
    <w:p w14:paraId="04D988DE" w14:textId="77777777" w:rsidR="00F651D3" w:rsidRDefault="00F651D3" w:rsidP="004A6CE0">
      <w:pPr>
        <w:pStyle w:val="ListParagraph"/>
        <w:rPr>
          <w:rFonts w:ascii="Times New Roman" w:eastAsia="Times New Roman" w:hAnsi="Times New Roman" w:cs="Times New Roman"/>
          <w:lang w:eastAsia="en-IN"/>
        </w:rPr>
      </w:pPr>
    </w:p>
    <w:p w14:paraId="2B7E17AE" w14:textId="77777777" w:rsidR="00F651D3" w:rsidRDefault="00F651D3" w:rsidP="004A6CE0">
      <w:pPr>
        <w:pStyle w:val="ListParagraph"/>
        <w:rPr>
          <w:rFonts w:ascii="Times New Roman" w:eastAsia="Times New Roman" w:hAnsi="Times New Roman" w:cs="Times New Roman"/>
          <w:lang w:eastAsia="en-IN"/>
        </w:rPr>
      </w:pPr>
    </w:p>
    <w:p w14:paraId="24CC32DD" w14:textId="77777777" w:rsidR="00F651D3" w:rsidRDefault="00F651D3" w:rsidP="004A6CE0">
      <w:pPr>
        <w:pStyle w:val="ListParagraph"/>
        <w:rPr>
          <w:rFonts w:ascii="Times New Roman" w:eastAsia="Times New Roman" w:hAnsi="Times New Roman" w:cs="Times New Roman"/>
          <w:lang w:eastAsia="en-IN"/>
        </w:rPr>
      </w:pPr>
    </w:p>
    <w:p w14:paraId="3D2321B7" w14:textId="77777777" w:rsidR="00F651D3" w:rsidRDefault="00F651D3" w:rsidP="004A6CE0">
      <w:pPr>
        <w:pStyle w:val="ListParagraph"/>
        <w:rPr>
          <w:rFonts w:ascii="Times New Roman" w:eastAsia="Times New Roman" w:hAnsi="Times New Roman" w:cs="Times New Roman"/>
          <w:lang w:eastAsia="en-IN"/>
        </w:rPr>
      </w:pPr>
    </w:p>
    <w:p w14:paraId="035823B9" w14:textId="77777777" w:rsidR="00F651D3" w:rsidRDefault="00F651D3" w:rsidP="004A6CE0">
      <w:pPr>
        <w:pStyle w:val="ListParagraph"/>
        <w:rPr>
          <w:rFonts w:ascii="Times New Roman" w:eastAsia="Times New Roman" w:hAnsi="Times New Roman" w:cs="Times New Roman"/>
          <w:lang w:eastAsia="en-IN"/>
        </w:rPr>
      </w:pPr>
    </w:p>
    <w:p w14:paraId="466D5351" w14:textId="77777777" w:rsidR="00F651D3" w:rsidRDefault="00F651D3" w:rsidP="004A6CE0">
      <w:pPr>
        <w:pStyle w:val="ListParagraph"/>
        <w:rPr>
          <w:rFonts w:ascii="Times New Roman" w:eastAsia="Times New Roman" w:hAnsi="Times New Roman" w:cs="Times New Roman"/>
          <w:lang w:eastAsia="en-IN"/>
        </w:rPr>
      </w:pPr>
    </w:p>
    <w:p w14:paraId="49DC025E" w14:textId="544CE3CD" w:rsidR="00F651D3" w:rsidRDefault="00D32FD0" w:rsidP="001673DF">
      <w:pPr>
        <w:rPr>
          <w:rFonts w:ascii="Times New Roman" w:eastAsia="Times New Roman" w:hAnsi="Times New Roman" w:cs="Times New Roman"/>
          <w:lang w:eastAsia="en-IN"/>
        </w:rPr>
      </w:pPr>
      <w:r>
        <w:rPr>
          <w:noProof/>
          <w:lang w:eastAsia="en-IN"/>
        </w:rPr>
        <w:lastRenderedPageBreak/>
        <mc:AlternateContent>
          <mc:Choice Requires="wps">
            <w:drawing>
              <wp:anchor distT="0" distB="0" distL="114300" distR="114300" simplePos="0" relativeHeight="251668480" behindDoc="0" locked="0" layoutInCell="1" allowOverlap="1" wp14:anchorId="656A5F30" wp14:editId="1858A06F">
                <wp:simplePos x="0" y="0"/>
                <wp:positionH relativeFrom="page">
                  <wp:align>left</wp:align>
                </wp:positionH>
                <wp:positionV relativeFrom="paragraph">
                  <wp:posOffset>-914400</wp:posOffset>
                </wp:positionV>
                <wp:extent cx="7563600" cy="615600"/>
                <wp:effectExtent l="0" t="0" r="18415" b="13335"/>
                <wp:wrapNone/>
                <wp:docPr id="808311405" name="Rectangle 17"/>
                <wp:cNvGraphicFramePr/>
                <a:graphic xmlns:a="http://schemas.openxmlformats.org/drawingml/2006/main">
                  <a:graphicData uri="http://schemas.microsoft.com/office/word/2010/wordprocessingShape">
                    <wps:wsp>
                      <wps:cNvSpPr/>
                      <wps:spPr>
                        <a:xfrm>
                          <a:off x="0" y="0"/>
                          <a:ext cx="7563600" cy="61560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1800BFC" w14:textId="7F2EDC36" w:rsidR="00D32FD0" w:rsidRPr="00D32FD0" w:rsidRDefault="00D32FD0" w:rsidP="00D32FD0">
                            <w:pPr>
                              <w:rPr>
                                <w:rFonts w:ascii="Times New Roman" w:hAnsi="Times New Roman" w:cs="Times New Roman"/>
                                <w:b/>
                                <w:bCs/>
                                <w:lang w:val="en-US"/>
                              </w:rPr>
                            </w:pPr>
                            <w:r w:rsidRPr="00D32FD0">
                              <w:rPr>
                                <w:rFonts w:ascii="Times New Roman" w:hAnsi="Times New Roman" w:cs="Times New Roman"/>
                                <w:b/>
                                <w:bCs/>
                                <w:lang w:val="en-US"/>
                              </w:rPr>
                              <w:t xml:space="preserve">Conclusion and Recommendation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A5F30" id="Rectangle 17" o:spid="_x0000_s1034" style="position:absolute;margin-left:0;margin-top:-1in;width:595.55pt;height:48.45pt;z-index:2516684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" fillcolor="#70ad47 [3209]" strokecolor="#10190a [489]" strokeweight="1pt">
                <v:textbox>
                  <w:txbxContent>
                    <w:p w14:paraId="31800BFC" w14:textId="7F2EDC36" w:rsidR="00D32FD0" w:rsidRPr="00D32FD0" w:rsidRDefault="00D32FD0" w:rsidP="00D32FD0">
                      <w:pPr>
                        <w:rPr>
                          <w:rFonts w:ascii="Times New Roman" w:hAnsi="Times New Roman" w:cs="Times New Roman"/>
                          <w:b/>
                          <w:bCs/>
                          <w:lang w:val="en-US"/>
                        </w:rPr>
                      </w:pPr>
                      <w:r w:rsidRPr="00D32FD0">
                        <w:rPr>
                          <w:rFonts w:ascii="Times New Roman" w:hAnsi="Times New Roman" w:cs="Times New Roman"/>
                          <w:b/>
                          <w:bCs/>
                          <w:lang w:val="en-US"/>
                        </w:rPr>
                        <w:t xml:space="preserve">Conclusion and Recommendation </w:t>
                      </w:r>
                    </w:p>
                  </w:txbxContent>
                </v:textbox>
                <w10:wrap anchorx="page"/>
              </v:rect>
            </w:pict>
          </mc:Fallback>
        </mc:AlternateContent>
      </w:r>
    </w:p>
    <w:p w14:paraId="6E641AE3" w14:textId="65A2B35D" w:rsidR="005B0D58" w:rsidRDefault="005147EE" w:rsidP="005B0D58">
      <w:pPr>
        <w:pStyle w:val="ListParagraph"/>
        <w:numPr>
          <w:ilvl w:val="0"/>
          <w:numId w:val="15"/>
        </w:numPr>
        <w:rPr>
          <w:rFonts w:ascii="Times New Roman" w:eastAsia="Times New Roman" w:hAnsi="Times New Roman" w:cs="Times New Roman"/>
          <w:lang w:eastAsia="en-IN"/>
        </w:rPr>
      </w:pPr>
      <w:r w:rsidRPr="005147EE">
        <w:rPr>
          <w:rFonts w:ascii="Times New Roman" w:eastAsia="Times New Roman" w:hAnsi="Times New Roman" w:cs="Times New Roman"/>
          <w:lang w:eastAsia="en-IN"/>
        </w:rPr>
        <w:t xml:space="preserve">This report set out to test two questions: </w:t>
      </w:r>
      <w:r w:rsidR="00D959E3">
        <w:rPr>
          <w:rFonts w:ascii="Times New Roman" w:eastAsia="Times New Roman" w:hAnsi="Times New Roman" w:cs="Times New Roman"/>
          <w:lang w:eastAsia="en-IN"/>
        </w:rPr>
        <w:t xml:space="preserve">first being </w:t>
      </w:r>
      <w:r w:rsidRPr="005147EE">
        <w:rPr>
          <w:rFonts w:ascii="Times New Roman" w:eastAsia="Times New Roman" w:hAnsi="Times New Roman" w:cs="Times New Roman"/>
          <w:lang w:eastAsia="en-IN"/>
        </w:rPr>
        <w:t xml:space="preserve">whether the Indian speciality chemicals sector </w:t>
      </w:r>
      <w:r w:rsidR="00D959E3">
        <w:rPr>
          <w:rFonts w:ascii="Times New Roman" w:eastAsia="Times New Roman" w:hAnsi="Times New Roman" w:cs="Times New Roman"/>
          <w:lang w:eastAsia="en-IN"/>
        </w:rPr>
        <w:t xml:space="preserve">is a </w:t>
      </w:r>
      <w:r w:rsidRPr="005147EE">
        <w:rPr>
          <w:rFonts w:ascii="Times New Roman" w:eastAsia="Times New Roman" w:hAnsi="Times New Roman" w:cs="Times New Roman"/>
          <w:lang w:eastAsia="en-IN"/>
        </w:rPr>
        <w:t>credible ground for leveraged buyouts despite the structural constraints Indian acquirers face in financing such deals</w:t>
      </w:r>
      <w:r w:rsidR="00D959E3">
        <w:rPr>
          <w:rFonts w:ascii="Times New Roman" w:eastAsia="Times New Roman" w:hAnsi="Times New Roman" w:cs="Times New Roman"/>
          <w:lang w:eastAsia="en-IN"/>
        </w:rPr>
        <w:t xml:space="preserve"> </w:t>
      </w:r>
      <w:r w:rsidRPr="005147EE">
        <w:rPr>
          <w:rFonts w:ascii="Times New Roman" w:eastAsia="Times New Roman" w:hAnsi="Times New Roman" w:cs="Times New Roman"/>
          <w:lang w:eastAsia="en-IN"/>
        </w:rPr>
        <w:t>and second, whether a genuinely high-quality, debt-free company like Vinati Organics stands up as a specific candidate within that sector.</w:t>
      </w:r>
      <w:r w:rsidR="00D959E3">
        <w:rPr>
          <w:rFonts w:ascii="Times New Roman" w:eastAsia="Times New Roman" w:hAnsi="Times New Roman" w:cs="Times New Roman"/>
          <w:lang w:eastAsia="en-IN"/>
        </w:rPr>
        <w:t xml:space="preserve"> The answer to both the questions is a yes. </w:t>
      </w:r>
    </w:p>
    <w:p w14:paraId="6BF15A15" w14:textId="77777777" w:rsidR="005B0D58" w:rsidRDefault="005B0D58" w:rsidP="005B0D58">
      <w:pPr>
        <w:pStyle w:val="ListParagraph"/>
        <w:rPr>
          <w:rFonts w:ascii="Times New Roman" w:eastAsia="Times New Roman" w:hAnsi="Times New Roman" w:cs="Times New Roman"/>
          <w:lang w:eastAsia="en-IN"/>
        </w:rPr>
      </w:pPr>
    </w:p>
    <w:p w14:paraId="25BD1CDC" w14:textId="450B97BF" w:rsidR="005B0D58" w:rsidRPr="005B0D58" w:rsidRDefault="005B0D58" w:rsidP="005B0D58">
      <w:pPr>
        <w:pStyle w:val="ListParagraph"/>
        <w:numPr>
          <w:ilvl w:val="0"/>
          <w:numId w:val="15"/>
        </w:numPr>
        <w:rPr>
          <w:rFonts w:ascii="Times New Roman" w:eastAsia="Times New Roman" w:hAnsi="Times New Roman" w:cs="Times New Roman"/>
          <w:lang w:eastAsia="en-IN"/>
        </w:rPr>
      </w:pPr>
      <w:r w:rsidRPr="005B0D58">
        <w:rPr>
          <w:rFonts w:ascii="Times New Roman" w:eastAsia="Times New Roman" w:hAnsi="Times New Roman" w:cs="Times New Roman"/>
          <w:lang w:eastAsia="en-IN"/>
        </w:rPr>
        <w:t>Speciality chemicals is the strongest-performing pillar of India's broader chemicals industry, and structural tailwinds</w:t>
      </w:r>
      <w:r w:rsidR="001F1778">
        <w:rPr>
          <w:rFonts w:ascii="Times New Roman" w:eastAsia="Times New Roman" w:hAnsi="Times New Roman" w:cs="Times New Roman"/>
          <w:lang w:eastAsia="en-IN"/>
        </w:rPr>
        <w:t xml:space="preserve">, </w:t>
      </w:r>
      <w:r w:rsidRPr="005B0D58">
        <w:rPr>
          <w:rFonts w:ascii="Times New Roman" w:eastAsia="Times New Roman" w:hAnsi="Times New Roman" w:cs="Times New Roman"/>
          <w:lang w:eastAsia="en-IN"/>
        </w:rPr>
        <w:t>the China+1 manufacturing shift, the rise of CRAMS-based contract manufacturing, and supportive policy around FDI and green chemistry giv</w:t>
      </w:r>
      <w:r w:rsidR="001F1778">
        <w:rPr>
          <w:rFonts w:ascii="Times New Roman" w:eastAsia="Times New Roman" w:hAnsi="Times New Roman" w:cs="Times New Roman"/>
          <w:lang w:eastAsia="en-IN"/>
        </w:rPr>
        <w:t>es</w:t>
      </w:r>
      <w:r w:rsidRPr="005B0D58">
        <w:rPr>
          <w:rFonts w:ascii="Times New Roman" w:eastAsia="Times New Roman" w:hAnsi="Times New Roman" w:cs="Times New Roman"/>
          <w:lang w:eastAsia="en-IN"/>
        </w:rPr>
        <w:t xml:space="preserve"> the sector </w:t>
      </w:r>
      <w:r w:rsidR="001F1778">
        <w:rPr>
          <w:rFonts w:ascii="Times New Roman" w:eastAsia="Times New Roman" w:hAnsi="Times New Roman" w:cs="Times New Roman"/>
          <w:lang w:eastAsia="en-IN"/>
        </w:rPr>
        <w:t xml:space="preserve">the specific </w:t>
      </w:r>
      <w:r w:rsidRPr="005B0D58">
        <w:rPr>
          <w:rFonts w:ascii="Times New Roman" w:eastAsia="Times New Roman" w:hAnsi="Times New Roman" w:cs="Times New Roman"/>
          <w:lang w:eastAsia="en-IN"/>
        </w:rPr>
        <w:t>characteristics a lender or sponsor looks for</w:t>
      </w:r>
      <w:r w:rsidR="001F1778">
        <w:rPr>
          <w:rFonts w:ascii="Times New Roman" w:eastAsia="Times New Roman" w:hAnsi="Times New Roman" w:cs="Times New Roman"/>
          <w:lang w:eastAsia="en-IN"/>
        </w:rPr>
        <w:t xml:space="preserve"> i.e. </w:t>
      </w:r>
      <w:r w:rsidRPr="005B0D58">
        <w:rPr>
          <w:rFonts w:ascii="Times New Roman" w:eastAsia="Times New Roman" w:hAnsi="Times New Roman" w:cs="Times New Roman"/>
          <w:lang w:eastAsia="en-IN"/>
        </w:rPr>
        <w:t>recurring, contracted-style revenue, high switching costs, and capital intensity that discourages</w:t>
      </w:r>
      <w:r w:rsidR="001F1778">
        <w:rPr>
          <w:rFonts w:ascii="Times New Roman" w:eastAsia="Times New Roman" w:hAnsi="Times New Roman" w:cs="Times New Roman"/>
          <w:lang w:eastAsia="en-IN"/>
        </w:rPr>
        <w:t xml:space="preserve"> the</w:t>
      </w:r>
      <w:r w:rsidRPr="005B0D58">
        <w:rPr>
          <w:rFonts w:ascii="Times New Roman" w:eastAsia="Times New Roman" w:hAnsi="Times New Roman" w:cs="Times New Roman"/>
          <w:lang w:eastAsia="en-IN"/>
        </w:rPr>
        <w:t xml:space="preserve"> new entrants. Despite India's shallow acquisition-debt markets, this is a sector capable of supporting leveraged transactions in principle.</w:t>
      </w:r>
    </w:p>
    <w:p w14:paraId="6308EC60" w14:textId="77777777" w:rsidR="005B0D58" w:rsidRPr="005B0D58" w:rsidRDefault="005B0D58" w:rsidP="005B0D58">
      <w:pPr>
        <w:pStyle w:val="ListParagraph"/>
        <w:rPr>
          <w:rFonts w:ascii="Times New Roman" w:eastAsia="Times New Roman" w:hAnsi="Times New Roman" w:cs="Times New Roman"/>
          <w:lang w:eastAsia="en-IN"/>
        </w:rPr>
      </w:pPr>
    </w:p>
    <w:p w14:paraId="154BBEAC" w14:textId="6BAC212E" w:rsidR="005B0D58" w:rsidRDefault="008B0547" w:rsidP="00A6485B">
      <w:pPr>
        <w:pStyle w:val="ListParagraph"/>
        <w:numPr>
          <w:ilvl w:val="0"/>
          <w:numId w:val="15"/>
        </w:numPr>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The answer to the second question is more nuanced. </w:t>
      </w:r>
      <w:r w:rsidR="005B0D58" w:rsidRPr="005B0D58">
        <w:rPr>
          <w:rFonts w:ascii="Times New Roman" w:eastAsia="Times New Roman" w:hAnsi="Times New Roman" w:cs="Times New Roman"/>
          <w:lang w:eastAsia="en-IN"/>
        </w:rPr>
        <w:t>Vinati's business fundamentals are genuinely strong</w:t>
      </w:r>
      <w:r>
        <w:rPr>
          <w:rFonts w:ascii="Times New Roman" w:eastAsia="Times New Roman" w:hAnsi="Times New Roman" w:cs="Times New Roman"/>
          <w:lang w:eastAsia="en-IN"/>
        </w:rPr>
        <w:t xml:space="preserve">, </w:t>
      </w:r>
      <w:r w:rsidR="005B0D58" w:rsidRPr="005B0D58">
        <w:rPr>
          <w:rFonts w:ascii="Times New Roman" w:eastAsia="Times New Roman" w:hAnsi="Times New Roman" w:cs="Times New Roman"/>
          <w:lang w:eastAsia="en-IN"/>
        </w:rPr>
        <w:t xml:space="preserve">durable margins, a real competitive moat in its core products, and a management team executing a credible growth plan. But the Company is also richly priced by public markets, trading at roughly 20x EBITDA rather than a discounted or overlooked multiple, and its own growth ambitions are themselves capital-intensive, consuming most of the cash flow that would otherwise service acquisition debt. As a result, the </w:t>
      </w:r>
      <w:r w:rsidRPr="005B0D58">
        <w:rPr>
          <w:rFonts w:ascii="Times New Roman" w:eastAsia="Times New Roman" w:hAnsi="Times New Roman" w:cs="Times New Roman"/>
          <w:lang w:eastAsia="en-IN"/>
        </w:rPr>
        <w:t>modelled</w:t>
      </w:r>
      <w:r w:rsidR="005B0D58" w:rsidRPr="005B0D58">
        <w:rPr>
          <w:rFonts w:ascii="Times New Roman" w:eastAsia="Times New Roman" w:hAnsi="Times New Roman" w:cs="Times New Roman"/>
          <w:lang w:eastAsia="en-IN"/>
        </w:rPr>
        <w:t xml:space="preserve"> transaction offers little of the downside protection </w:t>
      </w:r>
      <w:r w:rsidR="004C0216">
        <w:rPr>
          <w:rFonts w:ascii="Times New Roman" w:eastAsia="Times New Roman" w:hAnsi="Times New Roman" w:cs="Times New Roman"/>
          <w:lang w:eastAsia="en-IN"/>
        </w:rPr>
        <w:t xml:space="preserve">which is </w:t>
      </w:r>
      <w:r w:rsidR="005B0D58" w:rsidRPr="005B0D58">
        <w:rPr>
          <w:rFonts w:ascii="Times New Roman" w:eastAsia="Times New Roman" w:hAnsi="Times New Roman" w:cs="Times New Roman"/>
          <w:lang w:eastAsia="en-IN"/>
        </w:rPr>
        <w:t>cheap entry pricing, meaningful deleveraging that typically cushions a leveraged buyout. The projected return of 3.35x MOIC and 27.4% IRR is real and attractive on paper, but it rests almost entirely on one assumption: that Vinati sustains a 20% revenue CAGR for five consecutive years, a rate the Company has guided toward but has not recently delivered.</w:t>
      </w:r>
    </w:p>
    <w:p w14:paraId="5E86DB93" w14:textId="77777777" w:rsidR="00A6485B" w:rsidRPr="00A6485B" w:rsidRDefault="00A6485B" w:rsidP="00A6485B">
      <w:pPr>
        <w:pStyle w:val="ListParagraph"/>
        <w:rPr>
          <w:rFonts w:ascii="Times New Roman" w:eastAsia="Times New Roman" w:hAnsi="Times New Roman" w:cs="Times New Roman"/>
          <w:lang w:eastAsia="en-IN"/>
        </w:rPr>
      </w:pPr>
    </w:p>
    <w:p w14:paraId="2220C734" w14:textId="42302E32" w:rsidR="00A6485B" w:rsidRPr="00A6485B" w:rsidRDefault="00A6485B" w:rsidP="00A6485B">
      <w:pPr>
        <w:pStyle w:val="ListParagraph"/>
        <w:numPr>
          <w:ilvl w:val="0"/>
          <w:numId w:val="15"/>
        </w:numPr>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In a nutshell, </w:t>
      </w:r>
      <w:r w:rsidRPr="00A6485B">
        <w:rPr>
          <w:rFonts w:ascii="Times New Roman" w:eastAsia="Times New Roman" w:hAnsi="Times New Roman" w:cs="Times New Roman"/>
          <w:b/>
          <w:bCs/>
          <w:lang w:eastAsia="en-IN"/>
        </w:rPr>
        <w:t>the sector is well-suited to leverage; this specific asset is well-run but too richly priced for that leverage to do much of the work.</w:t>
      </w:r>
    </w:p>
    <w:p w14:paraId="4E67CB6A" w14:textId="77777777" w:rsidR="00A6485B" w:rsidRPr="00A6485B" w:rsidRDefault="00A6485B" w:rsidP="00A6485B">
      <w:pPr>
        <w:pStyle w:val="ListParagraph"/>
        <w:rPr>
          <w:rFonts w:ascii="Times New Roman" w:eastAsia="Times New Roman" w:hAnsi="Times New Roman" w:cs="Times New Roman"/>
          <w:lang w:eastAsia="en-IN"/>
        </w:rPr>
      </w:pPr>
    </w:p>
    <w:p w14:paraId="3D00451A" w14:textId="0F034613" w:rsidR="00A6485B" w:rsidRPr="00A6485B" w:rsidRDefault="00300438" w:rsidP="00A6485B">
      <w:pPr>
        <w:pStyle w:val="ListParagraph"/>
        <w:numPr>
          <w:ilvl w:val="0"/>
          <w:numId w:val="15"/>
        </w:numPr>
        <w:rPr>
          <w:rFonts w:ascii="Times New Roman" w:eastAsia="Times New Roman" w:hAnsi="Times New Roman" w:cs="Times New Roman"/>
          <w:lang w:eastAsia="en-IN"/>
        </w:rPr>
      </w:pPr>
      <w:r w:rsidRPr="001C186E">
        <w:rPr>
          <w:rFonts w:ascii="Times New Roman" w:eastAsia="Times New Roman" w:hAnsi="Times New Roman" w:cs="Times New Roman"/>
          <w:b/>
          <w:bCs/>
          <w:lang w:eastAsia="en-IN"/>
        </w:rPr>
        <w:t>Recommendation-</w:t>
      </w:r>
      <w:r>
        <w:rPr>
          <w:rFonts w:ascii="Times New Roman" w:eastAsia="Times New Roman" w:hAnsi="Times New Roman" w:cs="Times New Roman"/>
          <w:lang w:eastAsia="en-IN"/>
        </w:rPr>
        <w:t xml:space="preserve"> Proceed</w:t>
      </w:r>
      <w:r w:rsidR="001C186E">
        <w:rPr>
          <w:rFonts w:ascii="Times New Roman" w:eastAsia="Times New Roman" w:hAnsi="Times New Roman" w:cs="Times New Roman"/>
          <w:lang w:eastAsia="en-IN"/>
        </w:rPr>
        <w:t>,</w:t>
      </w:r>
      <w:r>
        <w:rPr>
          <w:rFonts w:ascii="Times New Roman" w:eastAsia="Times New Roman" w:hAnsi="Times New Roman" w:cs="Times New Roman"/>
          <w:lang w:eastAsia="en-IN"/>
        </w:rPr>
        <w:t xml:space="preserve"> but </w:t>
      </w:r>
      <w:r w:rsidR="007F5133">
        <w:rPr>
          <w:rFonts w:ascii="Times New Roman" w:eastAsia="Times New Roman" w:hAnsi="Times New Roman" w:cs="Times New Roman"/>
          <w:lang w:eastAsia="en-IN"/>
        </w:rPr>
        <w:t xml:space="preserve">make sure </w:t>
      </w:r>
      <w:r w:rsidR="007F5133" w:rsidRPr="00741FF7">
        <w:rPr>
          <w:rFonts w:ascii="Times New Roman" w:eastAsia="Times New Roman" w:hAnsi="Times New Roman" w:cs="Times New Roman"/>
          <w:b/>
          <w:bCs/>
          <w:lang w:eastAsia="en-IN"/>
        </w:rPr>
        <w:t>it’s conditional on growth diligence, not financial structuring</w:t>
      </w:r>
      <w:r w:rsidR="007F5133">
        <w:rPr>
          <w:rFonts w:ascii="Times New Roman" w:eastAsia="Times New Roman" w:hAnsi="Times New Roman" w:cs="Times New Roman"/>
          <w:lang w:eastAsia="en-IN"/>
        </w:rPr>
        <w:t xml:space="preserve">. This is because leverage contributes little to this return </w:t>
      </w:r>
      <w:r w:rsidR="001C186E">
        <w:rPr>
          <w:rFonts w:ascii="Times New Roman" w:eastAsia="Times New Roman" w:hAnsi="Times New Roman" w:cs="Times New Roman"/>
          <w:lang w:eastAsia="en-IN"/>
        </w:rPr>
        <w:t>and debt is not meaningfully repaid during hold period of 5 years.</w:t>
      </w:r>
      <w:r w:rsidR="0017735D">
        <w:rPr>
          <w:rFonts w:ascii="Times New Roman" w:eastAsia="Times New Roman" w:hAnsi="Times New Roman" w:cs="Times New Roman"/>
          <w:lang w:eastAsia="en-IN"/>
        </w:rPr>
        <w:t xml:space="preserve">  T</w:t>
      </w:r>
      <w:r w:rsidR="00891DD3" w:rsidRPr="00891DD3">
        <w:rPr>
          <w:rFonts w:ascii="Times New Roman" w:eastAsia="Times New Roman" w:hAnsi="Times New Roman" w:cs="Times New Roman"/>
          <w:lang w:eastAsia="en-IN"/>
        </w:rPr>
        <w:t>he investment decision should rest on the credibility of the underlying growth thesis</w:t>
      </w:r>
      <w:r w:rsidR="00891DD3">
        <w:rPr>
          <w:rFonts w:ascii="Times New Roman" w:eastAsia="Times New Roman" w:hAnsi="Times New Roman" w:cs="Times New Roman"/>
          <w:lang w:eastAsia="en-IN"/>
        </w:rPr>
        <w:t xml:space="preserve"> which is </w:t>
      </w:r>
      <w:r w:rsidR="00891DD3" w:rsidRPr="00891DD3">
        <w:rPr>
          <w:rFonts w:ascii="Times New Roman" w:eastAsia="Times New Roman" w:hAnsi="Times New Roman" w:cs="Times New Roman"/>
          <w:lang w:eastAsia="en-IN"/>
        </w:rPr>
        <w:t>new capacity, product diversification into food additives and fragrance chemicals, and continued import-substitution demand</w:t>
      </w:r>
      <w:r w:rsidR="00891DD3">
        <w:rPr>
          <w:rFonts w:ascii="Times New Roman" w:eastAsia="Times New Roman" w:hAnsi="Times New Roman" w:cs="Times New Roman"/>
          <w:lang w:eastAsia="en-IN"/>
        </w:rPr>
        <w:t xml:space="preserve"> not on </w:t>
      </w:r>
      <w:r w:rsidR="0017735D" w:rsidRPr="0017735D">
        <w:rPr>
          <w:rFonts w:ascii="Times New Roman" w:eastAsia="Times New Roman" w:hAnsi="Times New Roman" w:cs="Times New Roman"/>
          <w:lang w:eastAsia="en-IN"/>
        </w:rPr>
        <w:t>aggressiveness of the capital structure. A sponsor should also build in a revolving credit facility or contingent equity commitment to bridge the negative free cash flow the model shows in Years 1 through 4, since the structure as modelled has no built-in cushion if growth falls short of plan. Absent strong conviction in sustained 20%+ growth, the deal does not clear the bar; with it, the return is well above a typical hurdle rate.</w:t>
      </w:r>
      <w:r w:rsidR="0017735D">
        <w:rPr>
          <w:rFonts w:ascii="Times New Roman" w:eastAsia="Times New Roman" w:hAnsi="Times New Roman" w:cs="Times New Roman"/>
          <w:lang w:eastAsia="en-IN"/>
        </w:rPr>
        <w:t xml:space="preserve"> </w:t>
      </w:r>
    </w:p>
    <w:sectPr w:rsidR="00A6485B" w:rsidRPr="00A648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58259" w14:textId="77777777" w:rsidR="00680FD7" w:rsidRDefault="00680FD7" w:rsidP="00C960F4">
      <w:pPr>
        <w:spacing w:after="0" w:line="240" w:lineRule="auto"/>
      </w:pPr>
      <w:r>
        <w:separator/>
      </w:r>
    </w:p>
  </w:endnote>
  <w:endnote w:type="continuationSeparator" w:id="0">
    <w:p w14:paraId="19793346" w14:textId="77777777" w:rsidR="00680FD7" w:rsidRDefault="00680FD7" w:rsidP="00C9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D082" w14:textId="77777777" w:rsidR="00680FD7" w:rsidRDefault="00680FD7" w:rsidP="00C960F4">
      <w:pPr>
        <w:spacing w:after="0" w:line="240" w:lineRule="auto"/>
      </w:pPr>
      <w:r>
        <w:separator/>
      </w:r>
    </w:p>
  </w:footnote>
  <w:footnote w:type="continuationSeparator" w:id="0">
    <w:p w14:paraId="63560B3A" w14:textId="77777777" w:rsidR="00680FD7" w:rsidRDefault="00680FD7" w:rsidP="00C96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F41"/>
    <w:multiLevelType w:val="hybridMultilevel"/>
    <w:tmpl w:val="CB40E4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F1219E"/>
    <w:multiLevelType w:val="hybridMultilevel"/>
    <w:tmpl w:val="BFCA51D8"/>
    <w:lvl w:ilvl="0" w:tplc="5A223FA4">
      <w:start w:val="1"/>
      <w:numFmt w:val="bullet"/>
      <w:lvlText w:val="●"/>
      <w:lvlJc w:val="left"/>
      <w:pPr>
        <w:ind w:left="720" w:hanging="360"/>
      </w:pPr>
    </w:lvl>
    <w:lvl w:ilvl="1" w:tplc="0778F3F4">
      <w:start w:val="1"/>
      <w:numFmt w:val="bullet"/>
      <w:lvlText w:val="○"/>
      <w:lvlJc w:val="left"/>
      <w:pPr>
        <w:ind w:left="1440" w:hanging="360"/>
      </w:pPr>
    </w:lvl>
    <w:lvl w:ilvl="2" w:tplc="6A0A9D20">
      <w:start w:val="1"/>
      <w:numFmt w:val="bullet"/>
      <w:lvlText w:val="■"/>
      <w:lvlJc w:val="left"/>
      <w:pPr>
        <w:ind w:left="2160" w:hanging="360"/>
      </w:pPr>
    </w:lvl>
    <w:lvl w:ilvl="3" w:tplc="47F8661A">
      <w:start w:val="1"/>
      <w:numFmt w:val="bullet"/>
      <w:lvlText w:val="●"/>
      <w:lvlJc w:val="left"/>
      <w:pPr>
        <w:ind w:left="2880" w:hanging="360"/>
      </w:pPr>
    </w:lvl>
    <w:lvl w:ilvl="4" w:tplc="8FFC63D8">
      <w:start w:val="1"/>
      <w:numFmt w:val="bullet"/>
      <w:lvlText w:val="○"/>
      <w:lvlJc w:val="left"/>
      <w:pPr>
        <w:ind w:left="3600" w:hanging="360"/>
      </w:pPr>
    </w:lvl>
    <w:lvl w:ilvl="5" w:tplc="B636C368">
      <w:start w:val="1"/>
      <w:numFmt w:val="bullet"/>
      <w:lvlText w:val="■"/>
      <w:lvlJc w:val="left"/>
      <w:pPr>
        <w:ind w:left="4320" w:hanging="360"/>
      </w:pPr>
    </w:lvl>
    <w:lvl w:ilvl="6" w:tplc="DEEEF512">
      <w:start w:val="1"/>
      <w:numFmt w:val="bullet"/>
      <w:lvlText w:val="●"/>
      <w:lvlJc w:val="left"/>
      <w:pPr>
        <w:ind w:left="5040" w:hanging="360"/>
      </w:pPr>
    </w:lvl>
    <w:lvl w:ilvl="7" w:tplc="5CDAB260">
      <w:start w:val="1"/>
      <w:numFmt w:val="bullet"/>
      <w:lvlText w:val="●"/>
      <w:lvlJc w:val="left"/>
      <w:pPr>
        <w:ind w:left="5760" w:hanging="360"/>
      </w:pPr>
    </w:lvl>
    <w:lvl w:ilvl="8" w:tplc="965015B8">
      <w:start w:val="1"/>
      <w:numFmt w:val="bullet"/>
      <w:lvlText w:val="●"/>
      <w:lvlJc w:val="left"/>
      <w:pPr>
        <w:ind w:left="6480" w:hanging="360"/>
      </w:pPr>
    </w:lvl>
  </w:abstractNum>
  <w:abstractNum w:abstractNumId="2" w15:restartNumberingAfterBreak="0">
    <w:nsid w:val="14203D40"/>
    <w:multiLevelType w:val="hybridMultilevel"/>
    <w:tmpl w:val="77C08488"/>
    <w:lvl w:ilvl="0" w:tplc="AEFEBFAC">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66B2BA7"/>
    <w:multiLevelType w:val="hybridMultilevel"/>
    <w:tmpl w:val="02467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480E68"/>
    <w:multiLevelType w:val="hybridMultilevel"/>
    <w:tmpl w:val="AF141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C63D8D"/>
    <w:multiLevelType w:val="hybridMultilevel"/>
    <w:tmpl w:val="E7900C96"/>
    <w:lvl w:ilvl="0" w:tplc="23AE331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046286"/>
    <w:multiLevelType w:val="hybridMultilevel"/>
    <w:tmpl w:val="EE304AC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DFE7C26"/>
    <w:multiLevelType w:val="hybridMultilevel"/>
    <w:tmpl w:val="7292DA40"/>
    <w:lvl w:ilvl="0" w:tplc="23AE331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137EC"/>
    <w:multiLevelType w:val="hybridMultilevel"/>
    <w:tmpl w:val="0CA0A7A2"/>
    <w:lvl w:ilvl="0" w:tplc="23AE331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7B2E3A"/>
    <w:multiLevelType w:val="hybridMultilevel"/>
    <w:tmpl w:val="513CF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A92482"/>
    <w:multiLevelType w:val="hybridMultilevel"/>
    <w:tmpl w:val="75E8A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FC2930"/>
    <w:multiLevelType w:val="hybridMultilevel"/>
    <w:tmpl w:val="C7A0D84A"/>
    <w:lvl w:ilvl="0" w:tplc="A3126666">
      <w:start w:val="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AD01A1"/>
    <w:multiLevelType w:val="hybridMultilevel"/>
    <w:tmpl w:val="08F87730"/>
    <w:lvl w:ilvl="0" w:tplc="23AE331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CA7324"/>
    <w:multiLevelType w:val="multilevel"/>
    <w:tmpl w:val="FCF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055386"/>
    <w:multiLevelType w:val="hybridMultilevel"/>
    <w:tmpl w:val="D77C5764"/>
    <w:lvl w:ilvl="0" w:tplc="A3126666">
      <w:start w:val="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3754551">
    <w:abstractNumId w:val="2"/>
  </w:num>
  <w:num w:numId="2" w16cid:durableId="2143189353">
    <w:abstractNumId w:val="1"/>
    <w:lvlOverride w:ilvl="0">
      <w:startOverride w:val="1"/>
    </w:lvlOverride>
  </w:num>
  <w:num w:numId="3" w16cid:durableId="2123104943">
    <w:abstractNumId w:val="6"/>
  </w:num>
  <w:num w:numId="4" w16cid:durableId="848108469">
    <w:abstractNumId w:val="4"/>
  </w:num>
  <w:num w:numId="5" w16cid:durableId="796023992">
    <w:abstractNumId w:val="10"/>
  </w:num>
  <w:num w:numId="6" w16cid:durableId="1261067313">
    <w:abstractNumId w:val="3"/>
  </w:num>
  <w:num w:numId="7" w16cid:durableId="1102142808">
    <w:abstractNumId w:val="9"/>
  </w:num>
  <w:num w:numId="8" w16cid:durableId="307712211">
    <w:abstractNumId w:val="0"/>
  </w:num>
  <w:num w:numId="9" w16cid:durableId="1378357500">
    <w:abstractNumId w:val="14"/>
  </w:num>
  <w:num w:numId="10" w16cid:durableId="1649044089">
    <w:abstractNumId w:val="11"/>
  </w:num>
  <w:num w:numId="11" w16cid:durableId="1909069312">
    <w:abstractNumId w:val="8"/>
  </w:num>
  <w:num w:numId="12" w16cid:durableId="1453595727">
    <w:abstractNumId w:val="7"/>
  </w:num>
  <w:num w:numId="13" w16cid:durableId="329331969">
    <w:abstractNumId w:val="5"/>
  </w:num>
  <w:num w:numId="14" w16cid:durableId="1533882367">
    <w:abstractNumId w:val="13"/>
  </w:num>
  <w:num w:numId="15" w16cid:durableId="17161549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D4"/>
    <w:rsid w:val="0000469A"/>
    <w:rsid w:val="00073A6B"/>
    <w:rsid w:val="000745FF"/>
    <w:rsid w:val="0008667C"/>
    <w:rsid w:val="00092B19"/>
    <w:rsid w:val="000B03C3"/>
    <w:rsid w:val="000C15B4"/>
    <w:rsid w:val="000D7439"/>
    <w:rsid w:val="000F59EF"/>
    <w:rsid w:val="000F7273"/>
    <w:rsid w:val="00101ED5"/>
    <w:rsid w:val="0014682D"/>
    <w:rsid w:val="00150132"/>
    <w:rsid w:val="00153310"/>
    <w:rsid w:val="001657E7"/>
    <w:rsid w:val="001673DF"/>
    <w:rsid w:val="0017735D"/>
    <w:rsid w:val="001803A6"/>
    <w:rsid w:val="001A7942"/>
    <w:rsid w:val="001C186E"/>
    <w:rsid w:val="001C1F4C"/>
    <w:rsid w:val="001D399A"/>
    <w:rsid w:val="001D5238"/>
    <w:rsid w:val="001D6A0B"/>
    <w:rsid w:val="001F1778"/>
    <w:rsid w:val="002050E6"/>
    <w:rsid w:val="00212478"/>
    <w:rsid w:val="0022129B"/>
    <w:rsid w:val="00246020"/>
    <w:rsid w:val="0026029C"/>
    <w:rsid w:val="00267998"/>
    <w:rsid w:val="00286635"/>
    <w:rsid w:val="002A1226"/>
    <w:rsid w:val="002A31ED"/>
    <w:rsid w:val="002F08C5"/>
    <w:rsid w:val="002F55B9"/>
    <w:rsid w:val="00300438"/>
    <w:rsid w:val="00306A3A"/>
    <w:rsid w:val="00314DBC"/>
    <w:rsid w:val="003465E3"/>
    <w:rsid w:val="00350E1D"/>
    <w:rsid w:val="00352AC2"/>
    <w:rsid w:val="0037128A"/>
    <w:rsid w:val="00380637"/>
    <w:rsid w:val="003A236D"/>
    <w:rsid w:val="003A3479"/>
    <w:rsid w:val="003B53B4"/>
    <w:rsid w:val="003B5752"/>
    <w:rsid w:val="003D501E"/>
    <w:rsid w:val="003E48F3"/>
    <w:rsid w:val="0041267A"/>
    <w:rsid w:val="00426D87"/>
    <w:rsid w:val="004458C4"/>
    <w:rsid w:val="0045671C"/>
    <w:rsid w:val="004719C0"/>
    <w:rsid w:val="004A0C71"/>
    <w:rsid w:val="004A2468"/>
    <w:rsid w:val="004A6CE0"/>
    <w:rsid w:val="004B14C5"/>
    <w:rsid w:val="004B3E16"/>
    <w:rsid w:val="004C0216"/>
    <w:rsid w:val="004E4C58"/>
    <w:rsid w:val="005147EE"/>
    <w:rsid w:val="005176D5"/>
    <w:rsid w:val="00524C7C"/>
    <w:rsid w:val="00563305"/>
    <w:rsid w:val="00575712"/>
    <w:rsid w:val="0058752B"/>
    <w:rsid w:val="005A5C87"/>
    <w:rsid w:val="005B052F"/>
    <w:rsid w:val="005B0D58"/>
    <w:rsid w:val="005C2CAC"/>
    <w:rsid w:val="005D2ECA"/>
    <w:rsid w:val="005F6EE7"/>
    <w:rsid w:val="006008FF"/>
    <w:rsid w:val="00643B46"/>
    <w:rsid w:val="00644E19"/>
    <w:rsid w:val="006457C6"/>
    <w:rsid w:val="00680FD7"/>
    <w:rsid w:val="0068224E"/>
    <w:rsid w:val="006A255A"/>
    <w:rsid w:val="006A6CF1"/>
    <w:rsid w:val="006C778C"/>
    <w:rsid w:val="006E2736"/>
    <w:rsid w:val="007058A7"/>
    <w:rsid w:val="00722786"/>
    <w:rsid w:val="00741FF7"/>
    <w:rsid w:val="007715FC"/>
    <w:rsid w:val="007753F7"/>
    <w:rsid w:val="007B3240"/>
    <w:rsid w:val="007C4144"/>
    <w:rsid w:val="007D6525"/>
    <w:rsid w:val="007E691A"/>
    <w:rsid w:val="007F5133"/>
    <w:rsid w:val="00801ED0"/>
    <w:rsid w:val="00842CFE"/>
    <w:rsid w:val="00873517"/>
    <w:rsid w:val="0087534D"/>
    <w:rsid w:val="008847DA"/>
    <w:rsid w:val="00891DD3"/>
    <w:rsid w:val="008A15EC"/>
    <w:rsid w:val="008B0547"/>
    <w:rsid w:val="008B5034"/>
    <w:rsid w:val="008E51D9"/>
    <w:rsid w:val="00925A36"/>
    <w:rsid w:val="00926D0D"/>
    <w:rsid w:val="00927011"/>
    <w:rsid w:val="00950A64"/>
    <w:rsid w:val="0096054A"/>
    <w:rsid w:val="0096435C"/>
    <w:rsid w:val="0099338E"/>
    <w:rsid w:val="009973B7"/>
    <w:rsid w:val="009A4262"/>
    <w:rsid w:val="009B14F9"/>
    <w:rsid w:val="009C67D1"/>
    <w:rsid w:val="009D3C39"/>
    <w:rsid w:val="009D405C"/>
    <w:rsid w:val="00A13E54"/>
    <w:rsid w:val="00A14791"/>
    <w:rsid w:val="00A3136E"/>
    <w:rsid w:val="00A417FA"/>
    <w:rsid w:val="00A433E0"/>
    <w:rsid w:val="00A4674E"/>
    <w:rsid w:val="00A6485B"/>
    <w:rsid w:val="00A656B6"/>
    <w:rsid w:val="00A66E66"/>
    <w:rsid w:val="00A81BCB"/>
    <w:rsid w:val="00AA49D9"/>
    <w:rsid w:val="00AA7A9A"/>
    <w:rsid w:val="00AB17CB"/>
    <w:rsid w:val="00AD36E9"/>
    <w:rsid w:val="00B238AF"/>
    <w:rsid w:val="00B31B7B"/>
    <w:rsid w:val="00B32AC3"/>
    <w:rsid w:val="00B57B3B"/>
    <w:rsid w:val="00B61A75"/>
    <w:rsid w:val="00B71065"/>
    <w:rsid w:val="00B71B37"/>
    <w:rsid w:val="00B74AEF"/>
    <w:rsid w:val="00B82CE5"/>
    <w:rsid w:val="00B84007"/>
    <w:rsid w:val="00B84B65"/>
    <w:rsid w:val="00B87E36"/>
    <w:rsid w:val="00BA46EB"/>
    <w:rsid w:val="00BB2AB4"/>
    <w:rsid w:val="00BF3F40"/>
    <w:rsid w:val="00C014BE"/>
    <w:rsid w:val="00C535D4"/>
    <w:rsid w:val="00C54870"/>
    <w:rsid w:val="00C6142D"/>
    <w:rsid w:val="00C626FD"/>
    <w:rsid w:val="00C9291C"/>
    <w:rsid w:val="00C960F4"/>
    <w:rsid w:val="00CA057F"/>
    <w:rsid w:val="00CB12D6"/>
    <w:rsid w:val="00CB452D"/>
    <w:rsid w:val="00CB7C0B"/>
    <w:rsid w:val="00CC486D"/>
    <w:rsid w:val="00CF239A"/>
    <w:rsid w:val="00D115F0"/>
    <w:rsid w:val="00D21EB5"/>
    <w:rsid w:val="00D2564C"/>
    <w:rsid w:val="00D2715A"/>
    <w:rsid w:val="00D27B40"/>
    <w:rsid w:val="00D32FD0"/>
    <w:rsid w:val="00D37152"/>
    <w:rsid w:val="00D41DFE"/>
    <w:rsid w:val="00D44740"/>
    <w:rsid w:val="00D929FB"/>
    <w:rsid w:val="00D959E3"/>
    <w:rsid w:val="00DC294C"/>
    <w:rsid w:val="00DD76CD"/>
    <w:rsid w:val="00DE6056"/>
    <w:rsid w:val="00E13342"/>
    <w:rsid w:val="00E157D6"/>
    <w:rsid w:val="00E22F21"/>
    <w:rsid w:val="00E41ED7"/>
    <w:rsid w:val="00E66E50"/>
    <w:rsid w:val="00E67796"/>
    <w:rsid w:val="00E713DE"/>
    <w:rsid w:val="00E7419A"/>
    <w:rsid w:val="00E81A51"/>
    <w:rsid w:val="00E96697"/>
    <w:rsid w:val="00EB3518"/>
    <w:rsid w:val="00EB63D9"/>
    <w:rsid w:val="00EC3FD4"/>
    <w:rsid w:val="00EC566C"/>
    <w:rsid w:val="00ED00C4"/>
    <w:rsid w:val="00ED0F0A"/>
    <w:rsid w:val="00ED1E5D"/>
    <w:rsid w:val="00ED209D"/>
    <w:rsid w:val="00EE74EF"/>
    <w:rsid w:val="00F2107A"/>
    <w:rsid w:val="00F42490"/>
    <w:rsid w:val="00F44B79"/>
    <w:rsid w:val="00F46505"/>
    <w:rsid w:val="00F53067"/>
    <w:rsid w:val="00F651D3"/>
    <w:rsid w:val="00F7511A"/>
    <w:rsid w:val="00F76F69"/>
    <w:rsid w:val="00F84564"/>
    <w:rsid w:val="00FC038A"/>
    <w:rsid w:val="00FC565F"/>
    <w:rsid w:val="00FC6573"/>
    <w:rsid w:val="00FD06CA"/>
    <w:rsid w:val="00FE5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45957"/>
  <w15:chartTrackingRefBased/>
  <w15:docId w15:val="{890B457C-2B8D-4AB6-9F9F-6275AE8B1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5D4"/>
    <w:rPr>
      <w:rFonts w:eastAsiaTheme="majorEastAsia" w:cstheme="majorBidi"/>
      <w:color w:val="272727" w:themeColor="text1" w:themeTint="D8"/>
    </w:rPr>
  </w:style>
  <w:style w:type="paragraph" w:styleId="Title">
    <w:name w:val="Title"/>
    <w:basedOn w:val="Normal"/>
    <w:next w:val="Normal"/>
    <w:link w:val="TitleChar"/>
    <w:uiPriority w:val="10"/>
    <w:qFormat/>
    <w:rsid w:val="00C5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5D4"/>
    <w:pPr>
      <w:spacing w:before="160"/>
      <w:jc w:val="center"/>
    </w:pPr>
    <w:rPr>
      <w:i/>
      <w:iCs/>
      <w:color w:val="404040" w:themeColor="text1" w:themeTint="BF"/>
    </w:rPr>
  </w:style>
  <w:style w:type="character" w:customStyle="1" w:styleId="QuoteChar">
    <w:name w:val="Quote Char"/>
    <w:basedOn w:val="DefaultParagraphFont"/>
    <w:link w:val="Quote"/>
    <w:uiPriority w:val="29"/>
    <w:rsid w:val="00C535D4"/>
    <w:rPr>
      <w:i/>
      <w:iCs/>
      <w:color w:val="404040" w:themeColor="text1" w:themeTint="BF"/>
    </w:rPr>
  </w:style>
  <w:style w:type="paragraph" w:styleId="ListParagraph">
    <w:name w:val="List Paragraph"/>
    <w:basedOn w:val="Normal"/>
    <w:qFormat/>
    <w:rsid w:val="00C535D4"/>
    <w:pPr>
      <w:ind w:left="720"/>
      <w:contextualSpacing/>
    </w:pPr>
  </w:style>
  <w:style w:type="character" w:styleId="IntenseEmphasis">
    <w:name w:val="Intense Emphasis"/>
    <w:basedOn w:val="DefaultParagraphFont"/>
    <w:uiPriority w:val="21"/>
    <w:qFormat/>
    <w:rsid w:val="00C535D4"/>
    <w:rPr>
      <w:i/>
      <w:iCs/>
      <w:color w:val="2F5496" w:themeColor="accent1" w:themeShade="BF"/>
    </w:rPr>
  </w:style>
  <w:style w:type="paragraph" w:styleId="IntenseQuote">
    <w:name w:val="Intense Quote"/>
    <w:basedOn w:val="Normal"/>
    <w:next w:val="Normal"/>
    <w:link w:val="IntenseQuoteChar"/>
    <w:uiPriority w:val="30"/>
    <w:qFormat/>
    <w:rsid w:val="00C53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5D4"/>
    <w:rPr>
      <w:i/>
      <w:iCs/>
      <w:color w:val="2F5496" w:themeColor="accent1" w:themeShade="BF"/>
    </w:rPr>
  </w:style>
  <w:style w:type="character" w:styleId="IntenseReference">
    <w:name w:val="Intense Reference"/>
    <w:basedOn w:val="DefaultParagraphFont"/>
    <w:uiPriority w:val="32"/>
    <w:qFormat/>
    <w:rsid w:val="00C535D4"/>
    <w:rPr>
      <w:b/>
      <w:bCs/>
      <w:smallCaps/>
      <w:color w:val="2F5496" w:themeColor="accent1" w:themeShade="BF"/>
      <w:spacing w:val="5"/>
    </w:rPr>
  </w:style>
  <w:style w:type="paragraph" w:styleId="Header">
    <w:name w:val="header"/>
    <w:basedOn w:val="Normal"/>
    <w:link w:val="HeaderChar"/>
    <w:uiPriority w:val="99"/>
    <w:unhideWhenUsed/>
    <w:rsid w:val="00C960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60F4"/>
  </w:style>
  <w:style w:type="paragraph" w:styleId="Footer">
    <w:name w:val="footer"/>
    <w:basedOn w:val="Normal"/>
    <w:link w:val="FooterChar"/>
    <w:uiPriority w:val="99"/>
    <w:unhideWhenUsed/>
    <w:rsid w:val="00C960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60F4"/>
  </w:style>
  <w:style w:type="table" w:styleId="TableGrid">
    <w:name w:val="Table Grid"/>
    <w:basedOn w:val="TableNormal"/>
    <w:uiPriority w:val="39"/>
    <w:rsid w:val="00DE6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533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533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011E9-2984-4D04-8894-51C6CBF47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2537</Words>
  <Characters>14465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Amaya Sood</dc:creator>
  <cp:keywords/>
  <dc:description/>
  <cp:lastModifiedBy>Amaya Sood</cp:lastModifiedBy>
  <cp:revision>3</cp:revision>
  <dcterms:created xsi:type="dcterms:W3CDTF">2026-07-27T08:56:00Z</dcterms:created>
  <dcterms:modified xsi:type="dcterms:W3CDTF">2026-07-28T04:37:00Z</dcterms:modified>
</cp:coreProperties>
</file>