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Tasas de interés activas en Colombia: costo y concentración del crédito</w:t>
      </w:r>
    </w:p>
    <w:p>
      <w:pPr>
        <w:spacing w:after="80"/>
      </w:pPr>
      <w:r>
        <w:rPr>
          <w:sz w:val="18"/>
        </w:rPr>
        <w:t>Informe de hallazgos (E9) — Observatorio Datum para Coquito Amarillo SAS · Visualización de Datos, USB Medellín</w:t>
      </w:r>
    </w:p>
    <w:p>
      <w:pPr>
        <w:spacing w:after="80"/>
      </w:pPr>
      <w:r>
        <w:rPr>
          <w:sz w:val="18"/>
        </w:rPr>
        <w:t>Fuente: Superintendencia Financiera de Colombia, «Tasas de interés activas por tipo de crédito – Últimos dos meses» (datos.gov.co, qzsc-9esp, CC BY-SA 4.0), descargado el 2026-10-07. Cortes semanales del 03-07-2026 al 25-09-2026 (13 semanas). Archivo de 11.544.961 filas; se procesó una muestra aleatoria del 22% por bloque (2.539.891 filas) y el dataset curado tiene 2.539.734 filas de 54 entidades. Las tasas son efectivas anuales; los promedios se ponderan por monto y excluyen las compras a una cuota con tasa 0 %.</w:t>
      </w:r>
    </w:p>
    <w:p>
      <w:pPr>
        <w:pStyle w:val="Heading2"/>
      </w:pPr>
      <w:r>
        <w:t>1. Respuestas a las preguntas de negocio</w:t>
      </w:r>
    </w:p>
    <w:p>
      <w:pPr>
        <w:spacing w:after="80"/>
      </w:pPr>
      <w:r>
        <w:rPr>
          <w:b/>
        </w:rPr>
        <w:t xml:space="preserve">P1 · ¿Dónde financiar grandes operaciones más barato? </w:t>
      </w:r>
      <w:r>
        <w:t>Las tres entidades con menor tasa ponderada en crédito comercial preferencial o corporativo son: 1) Banco Caja Social S.A. (12,04 %); 2) Banco Davivienda (13,92 %); 3) Banco de Bogotá (13,99 %). El promedio ponderado del mercado en esta modalidad es 14,20 % (ranking entre 9 entidades con al menos 30 créditos en la muestra).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sz w:val="17"/>
              </w:rPr>
              <w:t>Entidad</w:t>
            </w:r>
          </w:p>
        </w:tc>
        <w:tc>
          <w:tcPr>
            <w:tcW w:type="dxa" w:w="2493"/>
          </w:tcPr>
          <w:p>
            <w:r>
              <w:rPr>
                <w:sz w:val="17"/>
              </w:rPr>
              <w:t>Tasa ponderada E.A.</w:t>
            </w:r>
          </w:p>
        </w:tc>
        <w:tc>
          <w:tcPr>
            <w:tcW w:type="dxa" w:w="2493"/>
          </w:tcPr>
          <w:p>
            <w:r>
              <w:rPr>
                <w:sz w:val="17"/>
              </w:rPr>
              <w:t>Créditos (muestra)</w:t>
            </w:r>
          </w:p>
        </w:tc>
        <w:tc>
          <w:tcPr>
            <w:tcW w:type="dxa" w:w="2493"/>
          </w:tcPr>
          <w:p>
            <w:r>
              <w:rPr>
                <w:sz w:val="17"/>
              </w:rPr>
              <w:t>% del monto preferencial</w:t>
            </w:r>
          </w:p>
        </w:tc>
      </w:tr>
      <w:tr>
        <w:tc>
          <w:tcPr>
            <w:tcW w:type="dxa" w:w="2493"/>
          </w:tcPr>
          <w:p>
            <w:r>
              <w:rPr>
                <w:sz w:val="17"/>
              </w:rPr>
              <w:t>Banco Caja Social S.A.</w:t>
            </w:r>
          </w:p>
        </w:tc>
        <w:tc>
          <w:tcPr>
            <w:tcW w:type="dxa" w:w="2493"/>
          </w:tcPr>
          <w:p>
            <w:r>
              <w:rPr>
                <w:sz w:val="17"/>
              </w:rPr>
              <w:t>12,04 %</w:t>
            </w:r>
          </w:p>
        </w:tc>
        <w:tc>
          <w:tcPr>
            <w:tcW w:type="dxa" w:w="2493"/>
          </w:tcPr>
          <w:p>
            <w:r>
              <w:rPr>
                <w:sz w:val="17"/>
              </w:rPr>
              <w:t>87</w:t>
            </w:r>
          </w:p>
        </w:tc>
        <w:tc>
          <w:tcPr>
            <w:tcW w:type="dxa" w:w="2493"/>
          </w:tcPr>
          <w:p>
            <w:r>
              <w:rPr>
                <w:sz w:val="17"/>
              </w:rPr>
              <w:t>1,4 %</w:t>
            </w:r>
          </w:p>
        </w:tc>
      </w:tr>
      <w:tr>
        <w:tc>
          <w:tcPr>
            <w:tcW w:type="dxa" w:w="2493"/>
          </w:tcPr>
          <w:p>
            <w:r>
              <w:rPr>
                <w:sz w:val="17"/>
              </w:rPr>
              <w:t>Banco Davivienda</w:t>
            </w:r>
          </w:p>
        </w:tc>
        <w:tc>
          <w:tcPr>
            <w:tcW w:type="dxa" w:w="2493"/>
          </w:tcPr>
          <w:p>
            <w:r>
              <w:rPr>
                <w:sz w:val="17"/>
              </w:rPr>
              <w:t>13,92 %</w:t>
            </w:r>
          </w:p>
        </w:tc>
        <w:tc>
          <w:tcPr>
            <w:tcW w:type="dxa" w:w="2493"/>
          </w:tcPr>
          <w:p>
            <w:r>
              <w:rPr>
                <w:sz w:val="17"/>
              </w:rPr>
              <w:t>315</w:t>
            </w:r>
          </w:p>
        </w:tc>
        <w:tc>
          <w:tcPr>
            <w:tcW w:type="dxa" w:w="2493"/>
          </w:tcPr>
          <w:p>
            <w:r>
              <w:rPr>
                <w:sz w:val="17"/>
              </w:rPr>
              <w:t>17,9 %</w:t>
            </w:r>
          </w:p>
        </w:tc>
      </w:tr>
      <w:tr>
        <w:tc>
          <w:tcPr>
            <w:tcW w:type="dxa" w:w="2493"/>
          </w:tcPr>
          <w:p>
            <w:r>
              <w:rPr>
                <w:sz w:val="17"/>
              </w:rPr>
              <w:t>Banco de Bogotá</w:t>
            </w:r>
          </w:p>
        </w:tc>
        <w:tc>
          <w:tcPr>
            <w:tcW w:type="dxa" w:w="2493"/>
          </w:tcPr>
          <w:p>
            <w:r>
              <w:rPr>
                <w:sz w:val="17"/>
              </w:rPr>
              <w:t>13,99 %</w:t>
            </w:r>
          </w:p>
        </w:tc>
        <w:tc>
          <w:tcPr>
            <w:tcW w:type="dxa" w:w="2493"/>
          </w:tcPr>
          <w:p>
            <w:r>
              <w:rPr>
                <w:sz w:val="17"/>
              </w:rPr>
              <w:t>338</w:t>
            </w:r>
          </w:p>
        </w:tc>
        <w:tc>
          <w:tcPr>
            <w:tcW w:type="dxa" w:w="2493"/>
          </w:tcPr>
          <w:p>
            <w:r>
              <w:rPr>
                <w:sz w:val="17"/>
              </w:rPr>
              <w:t>11,6 %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</w:rPr>
        <w:t xml:space="preserve">P2 · ¿Quién concentra el crédito? </w:t>
      </w:r>
      <w:r>
        <w:t>Bancos concentran el 93,1 % del monto desembolsado y el 80,2 % de los créditos. Resto: Compañías de financiamiento 4,5 %; Instituciones oficiales especiales 2,1 %; Cooperativas financieras 0,3 %; Corporaciones financieras 0,0 %.</w:t>
      </w:r>
    </w:p>
    <w:p>
      <w:r>
        <w:drawing>
          <wp:inline xmlns:a="http://schemas.openxmlformats.org/drawingml/2006/main" xmlns:pic="http://schemas.openxmlformats.org/drawingml/2006/picture">
            <wp:extent cx="4680000" cy="166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2_participac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6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/>
        </w:rPr>
        <w:t xml:space="preserve">P3 · ¿Cómo fluctuó la tasa semana a semana? </w:t>
      </w:r>
      <w:r>
        <w:t>Comercial tesorería: pasó de 13,53 % (03-jul) a 12,96 % (25-sep), −0,56 p.p.; mínimo 11,86 % (18-sep) y máximo 15,29 % (28-ago). Consumo: pasó de 21,88 % (03-jul) a 22,88 % (25-sep), +1,00 p.p.; mínimo 21,88 % (03-jul) y máximo 23,79 % (17-jul).</w:t>
      </w:r>
    </w:p>
    <w:p>
      <w:r>
        <w:drawing>
          <wp:inline xmlns:a="http://schemas.openxmlformats.org/drawingml/2006/main" xmlns:pic="http://schemas.openxmlformats.org/drawingml/2006/picture">
            <wp:extent cx="5400000" cy="205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3_tasa_seman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0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/>
        </w:rPr>
        <w:t xml:space="preserve">P4 · ¿Los créditos pequeños son más caros? </w:t>
      </w:r>
      <w:r>
        <w:t>El monto promedio por crédito va de $0,3 M en Consumo (tasa 22,70 %) a $560,1 M en Comercial preferencial o corporativo (tasa 14,20 %), La correlación entre el logaritmo del monto promedio y la tasa es -0,57: los créditos más pequeños son, en general, más caros.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sz w:val="17"/>
              </w:rPr>
              <w:t>Tipo de crédito</w:t>
            </w:r>
          </w:p>
        </w:tc>
        <w:tc>
          <w:tcPr>
            <w:tcW w:type="dxa" w:w="3324"/>
          </w:tcPr>
          <w:p>
            <w:r>
              <w:rPr>
                <w:sz w:val="17"/>
              </w:rPr>
              <w:t>Monto promedio por crédito</w:t>
            </w:r>
          </w:p>
        </w:tc>
        <w:tc>
          <w:tcPr>
            <w:tcW w:type="dxa" w:w="3324"/>
          </w:tcPr>
          <w:p>
            <w:r>
              <w:rPr>
                <w:sz w:val="17"/>
              </w:rPr>
              <w:t>Tasa ponderada E.A.</w:t>
            </w:r>
          </w:p>
        </w:tc>
      </w:tr>
      <w:tr>
        <w:tc>
          <w:tcPr>
            <w:tcW w:type="dxa" w:w="3324"/>
          </w:tcPr>
          <w:p>
            <w:r>
              <w:rPr>
                <w:sz w:val="17"/>
              </w:rPr>
              <w:t>Consumo</w:t>
            </w:r>
          </w:p>
        </w:tc>
        <w:tc>
          <w:tcPr>
            <w:tcW w:type="dxa" w:w="3324"/>
          </w:tcPr>
          <w:p>
            <w:r>
              <w:rPr>
                <w:sz w:val="17"/>
              </w:rPr>
              <w:t>$0,3 M</w:t>
            </w:r>
          </w:p>
        </w:tc>
        <w:tc>
          <w:tcPr>
            <w:tcW w:type="dxa" w:w="3324"/>
          </w:tcPr>
          <w:p>
            <w:r>
              <w:rPr>
                <w:sz w:val="17"/>
              </w:rPr>
              <w:t>22,70 %</w:t>
            </w:r>
          </w:p>
        </w:tc>
      </w:tr>
      <w:tr>
        <w:tc>
          <w:tcPr>
            <w:tcW w:type="dxa" w:w="3324"/>
          </w:tcPr>
          <w:p>
            <w:r>
              <w:rPr>
                <w:sz w:val="17"/>
              </w:rPr>
              <w:t>Crédito productivo</w:t>
            </w:r>
          </w:p>
        </w:tc>
        <w:tc>
          <w:tcPr>
            <w:tcW w:type="dxa" w:w="3324"/>
          </w:tcPr>
          <w:p>
            <w:r>
              <w:rPr>
                <w:sz w:val="17"/>
              </w:rPr>
              <w:t>$11,1 M</w:t>
            </w:r>
          </w:p>
        </w:tc>
        <w:tc>
          <w:tcPr>
            <w:tcW w:type="dxa" w:w="3324"/>
          </w:tcPr>
          <w:p>
            <w:r>
              <w:rPr>
                <w:sz w:val="17"/>
              </w:rPr>
              <w:t>36,75 %</w:t>
            </w:r>
          </w:p>
        </w:tc>
      </w:tr>
      <w:tr>
        <w:tc>
          <w:tcPr>
            <w:tcW w:type="dxa" w:w="3324"/>
          </w:tcPr>
          <w:p>
            <w:r>
              <w:rPr>
                <w:sz w:val="17"/>
              </w:rPr>
              <w:t>Comercial ordinario</w:t>
            </w:r>
          </w:p>
        </w:tc>
        <w:tc>
          <w:tcPr>
            <w:tcW w:type="dxa" w:w="3324"/>
          </w:tcPr>
          <w:p>
            <w:r>
              <w:rPr>
                <w:sz w:val="17"/>
              </w:rPr>
              <w:t>$14,9 M</w:t>
            </w:r>
          </w:p>
        </w:tc>
        <w:tc>
          <w:tcPr>
            <w:tcW w:type="dxa" w:w="3324"/>
          </w:tcPr>
          <w:p>
            <w:r>
              <w:rPr>
                <w:sz w:val="17"/>
              </w:rPr>
              <w:t>18,53 %</w:t>
            </w:r>
          </w:p>
        </w:tc>
      </w:tr>
      <w:tr>
        <w:tc>
          <w:tcPr>
            <w:tcW w:type="dxa" w:w="3324"/>
          </w:tcPr>
          <w:p>
            <w:r>
              <w:rPr>
                <w:sz w:val="17"/>
              </w:rPr>
              <w:t>Comercial especial</w:t>
            </w:r>
          </w:p>
        </w:tc>
        <w:tc>
          <w:tcPr>
            <w:tcW w:type="dxa" w:w="3324"/>
          </w:tcPr>
          <w:p>
            <w:r>
              <w:rPr>
                <w:sz w:val="17"/>
              </w:rPr>
              <w:t>$104,9 M</w:t>
            </w:r>
          </w:p>
        </w:tc>
        <w:tc>
          <w:tcPr>
            <w:tcW w:type="dxa" w:w="3324"/>
          </w:tcPr>
          <w:p>
            <w:r>
              <w:rPr>
                <w:sz w:val="17"/>
              </w:rPr>
              <w:t>13,84 %</w:t>
            </w:r>
          </w:p>
        </w:tc>
      </w:tr>
      <w:tr>
        <w:tc>
          <w:tcPr>
            <w:tcW w:type="dxa" w:w="3324"/>
          </w:tcPr>
          <w:p>
            <w:r>
              <w:rPr>
                <w:sz w:val="17"/>
              </w:rPr>
              <w:t>Comercial tesorería</w:t>
            </w:r>
          </w:p>
        </w:tc>
        <w:tc>
          <w:tcPr>
            <w:tcW w:type="dxa" w:w="3324"/>
          </w:tcPr>
          <w:p>
            <w:r>
              <w:rPr>
                <w:sz w:val="17"/>
              </w:rPr>
              <w:t>$133,7 M</w:t>
            </w:r>
          </w:p>
        </w:tc>
        <w:tc>
          <w:tcPr>
            <w:tcW w:type="dxa" w:w="3324"/>
          </w:tcPr>
          <w:p>
            <w:r>
              <w:rPr>
                <w:sz w:val="17"/>
              </w:rPr>
              <w:t>13,24 %</w:t>
            </w:r>
          </w:p>
        </w:tc>
      </w:tr>
      <w:tr>
        <w:tc>
          <w:tcPr>
            <w:tcW w:type="dxa" w:w="3324"/>
          </w:tcPr>
          <w:p>
            <w:r>
              <w:rPr>
                <w:sz w:val="17"/>
              </w:rPr>
              <w:t>Vivienda</w:t>
            </w:r>
          </w:p>
        </w:tc>
        <w:tc>
          <w:tcPr>
            <w:tcW w:type="dxa" w:w="3324"/>
          </w:tcPr>
          <w:p>
            <w:r>
              <w:rPr>
                <w:sz w:val="17"/>
              </w:rPr>
              <w:t>$168,3 M</w:t>
            </w:r>
          </w:p>
        </w:tc>
        <w:tc>
          <w:tcPr>
            <w:tcW w:type="dxa" w:w="3324"/>
          </w:tcPr>
          <w:p>
            <w:r>
              <w:rPr>
                <w:sz w:val="17"/>
              </w:rPr>
              <w:t>13,44 %</w:t>
            </w:r>
          </w:p>
        </w:tc>
      </w:tr>
      <w:tr>
        <w:tc>
          <w:tcPr>
            <w:tcW w:type="dxa" w:w="3324"/>
          </w:tcPr>
          <w:p>
            <w:r>
              <w:rPr>
                <w:sz w:val="17"/>
              </w:rPr>
              <w:t>Comercial preferencial o corporativo</w:t>
            </w:r>
          </w:p>
        </w:tc>
        <w:tc>
          <w:tcPr>
            <w:tcW w:type="dxa" w:w="3324"/>
          </w:tcPr>
          <w:p>
            <w:r>
              <w:rPr>
                <w:sz w:val="17"/>
              </w:rPr>
              <w:t>$560,1 M</w:t>
            </w:r>
          </w:p>
        </w:tc>
        <w:tc>
          <w:tcPr>
            <w:tcW w:type="dxa" w:w="3324"/>
          </w:tcPr>
          <w:p>
            <w:r>
              <w:rPr>
                <w:sz w:val="17"/>
              </w:rPr>
              <w:t>14,20 %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</w:rPr>
        <w:t xml:space="preserve">P5 · ¿Qué debe aislarse antes de llegar a la gerencia? </w:t>
      </w:r>
      <w:r>
        <w:t>0 filas superan la usura certificada por la SFC para su modalidad y semana; 2.158 filas (0,08 %) tienen un monto promedio menor a $1.000 (máximo en la semana del 03-jul-2026) y 157 filas con monto menor a $1 se eliminaron en la limpieza. Además, 22,2 % de las filas son compras a una cuota con tasa 0 %: no son errores, pero deben excluirse del costo promedio.</w:t>
      </w:r>
    </w:p>
    <w:p>
      <w:pPr>
        <w:pStyle w:val="Heading2"/>
      </w:pPr>
      <w:r>
        <w:t>2. Hallazgo principal</w:t>
      </w:r>
    </w:p>
    <w:p>
      <w:pPr>
        <w:spacing w:after="80"/>
      </w:pPr>
      <w:r>
        <w:t>Un promedio simple de la tasa con los ceros incluidos da 22,40 %; el costo real ponderado por monto y sin compras a una cuota es 19,44 %. Usar el primer número subestimaría el costo del crédito y llevaría a Coquito Amarillo SAS a presupuestar mal su financiación.</w:t>
      </w:r>
    </w:p>
    <w:p>
      <w:pPr>
        <w:pStyle w:val="Heading2"/>
      </w:pPr>
      <w:r>
        <w:t>3. Limitaciones y riesgos que permanecen</w:t>
      </w:r>
    </w:p>
    <w:p>
      <w:pPr>
        <w:pStyle w:val="ListBullet"/>
      </w:pPr>
      <w:r>
        <w:t>Muestra del 22%: los totales absolutos son estimaciones (monto total estimado ≈ $211,37 billones = monto de la muestra / 0.22); las tasas y participaciones sí son representativas.</w:t>
      </w:r>
    </w:p>
    <w:p>
      <w:pPr>
        <w:pStyle w:val="ListBullet"/>
      </w:pPr>
      <w:r>
        <w:t>Datos agregados por la SFC: cada fila agrupa créditos; no hay microdatos ni identificador de deudor, por eso no se pueden eliminar duplicados por ID y solo se quitaron copias idénticas.</w:t>
      </w:r>
    </w:p>
    <w:p>
      <w:pPr>
        <w:pStyle w:val="ListBullet"/>
      </w:pPr>
      <w:r>
        <w:t>Ventana de solo dos meses: no permite ver tendencias de largo plazo ni estacionalidad anual.</w:t>
      </w:r>
    </w:p>
    <w:p>
      <w:pPr>
        <w:pStyle w:val="ListBullet"/>
      </w:pPr>
      <w:r>
        <w:t>Riesgo de reidentificación: el 49,5 % de las filas corresponde a un solo crédito; grupo étnico y sexo solo se muestran agregados (Ley 1581 de 2012).</w:t>
      </w:r>
    </w:p>
    <w:p>
      <w:pPr>
        <w:pStyle w:val="ListBullet"/>
      </w:pPr>
      <w:r>
        <w:t>La usura se compara con certificaciones mensuales de la SFC y la semana de corte puede cruzar dos meses: se usó el tope mayor (criterio conservador).</w:t>
      </w:r>
    </w:p>
    <w:p>
      <w:pPr>
        <w:pStyle w:val="ListBullet"/>
      </w:pPr>
      <w:r>
        <w:t>Los rangos de monto en SMLMV usan esquemas distintos según la entidad (1–3 vs. 1–2 y 2–3 SMLMV); se unificó la escritura, no los cortes.</w:t>
      </w:r>
    </w:p>
    <w:p>
      <w:pPr>
        <w:spacing w:after="80"/>
      </w:pPr>
      <w:r>
        <w:rPr>
          <w:sz w:val="16"/>
        </w:rPr>
        <w:t>Todas las cifras provienen del notebook (bloque 16 b, RESPUESTAS_NEGOCIO) y coinciden con las medidas DAX del tablero.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