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sz w:val="20"/>
        </w:rPr>
      </w:r>
      <w:r>
        <w:rPr>
          <w:rFonts w:ascii="微软雅黑" w:hAnsi="微软雅黑"/>
          <w:b/>
          <w:sz w:val="20"/>
        </w:rPr>
        <w:t>给我分析一下603106恒银科技这个股票</w:t>
      </w:r>
      <w:r>
        <w:rPr>
          <w:rFonts w:ascii="微软雅黑" w:hAnsi="微软雅黑"/>
          <w:sz w:val="20"/>
        </w:rPr>
      </w:r>
    </w:p>
    <w:p>
      <w:r>
        <w:rPr>
          <w:rFonts w:ascii="微软雅黑" w:hAnsi="微软雅黑"/>
          <w:sz w:val="20"/>
        </w:rPr>
      </w:r>
      <w:r>
        <w:rPr>
          <w:rFonts w:ascii="微软雅黑" w:hAnsi="微软雅黑"/>
          <w:b/>
          <w:sz w:val="20"/>
        </w:rPr>
        <w:t>研究问题：</w:t>
      </w:r>
      <w:r>
        <w:rPr>
          <w:rFonts w:ascii="微软雅黑" w:hAnsi="微软雅黑"/>
          <w:sz w:val="20"/>
        </w:rPr>
        <w:t xml:space="preserve"> 给我分析一下603106恒银科技这个股票</w:t>
      </w:r>
    </w:p>
    <w:p>
      <w:r>
        <w:rPr>
          <w:rFonts w:ascii="微软雅黑" w:hAnsi="微软雅黑"/>
          <w:sz w:val="20"/>
        </w:rPr>
        <w:t>由xx证券人工智能实验室的 Agent 自动生成</w:t>
      </w:r>
    </w:p>
    <w:p>
      <w:r>
        <w:rPr>
          <w:rFonts w:ascii="微软雅黑" w:hAnsi="微软雅黑"/>
          <w:sz w:val="20"/>
        </w:rPr>
      </w:r>
      <w:r>
        <w:rPr>
          <w:rFonts w:ascii="微软雅黑" w:hAnsi="微软雅黑"/>
          <w:b/>
          <w:sz w:val="20"/>
        </w:rPr>
        <w:t>提交日期：</w:t>
      </w:r>
      <w:r>
        <w:rPr>
          <w:rFonts w:ascii="微软雅黑" w:hAnsi="微软雅黑"/>
          <w:sz w:val="20"/>
        </w:rPr>
        <w:t xml:space="preserve"> 2026 年 04 月 14 日</w:t>
      </w:r>
    </w:p>
    <w:p>
      <w:r>
        <w:rPr>
          <w:rFonts w:ascii="微软雅黑" w:hAnsi="微软雅黑"/>
          <w:sz w:val="20"/>
        </w:rPr>
        <w:t>---</w:t>
      </w:r>
    </w:p>
    <w:p>
      <w:pPr>
        <w:pStyle w:val="ChineseHeading1"/>
      </w:pPr>
      <w:r>
        <w:t>1 研究经理 分析结果</w:t>
      </w:r>
    </w:p>
    <w:p>
      <w:r>
        <w:rPr>
          <w:rFonts w:ascii="微软雅黑" w:hAnsi="微软雅黑"/>
          <w:sz w:val="20"/>
        </w:rPr>
        <w:t>在审阅了研究团队关于恒银科技（603106）的全面分析报告及正反两方的激烈辩论后，作为投资组合经理，我的职责是剥离情绪化的叙事，基于客观证据、风险收益比和投资组合策略做出最终决策。以下是我的综合评估与明确指令。</w:t>
      </w:r>
    </w:p>
    <w:p>
      <w:r>
        <w:rPr>
          <w:rFonts w:ascii="微软雅黑" w:hAnsi="微软雅黑"/>
          <w:sz w:val="20"/>
        </w:rPr>
        <w:t>首先，客观评估双方论证质量。看涨研究员的论证核心在于“预期差”与“拐点博弈”，其逻辑链条试图将短期财务困境解释为长期转型的必要代价，并着重强调了股东结构优化（筹码集中、机构增持）和技术面短期走强作为先行指标。这一论证的强项在于它识别了市场可能存在的过度悲观情绪以及行业长期的政策性驱动因素，其关于商业模式演进和数字人民币机遇的分析具有前瞻性。然而，其薄弱环节在于将“可能性”等同于“确定性”，对持续扩大的亏损和负现金流给予了过于宽容的“战略性”解读，且将股东行为直接等同于股价上涨的保证，这忽略了基本面恶化期间筹码集中可能伴随的流动性风险和“价值陷阱”可能性。相比之下，看跌研究员的论证则根植于“现状验证”原则，其力量来源于无可辩驳的财务事实：营收下滑、亏损同比扩大45%、经营现金流持续为负。该论证严厉地质疑了转型故事的有效性，指出缺乏订单验证的转型只是空中楼阁，并正确地强调了在激烈竞争中，行业红利未必能普惠至每一家企业。其论证更为严谨，紧扣当前可验证的数据，风险意识突出，但可能相对低估了市场在极端悲观情绪下对任何边际改善可能做出的剧烈正面反应。</w:t>
      </w:r>
    </w:p>
    <w:p>
      <w:r>
        <w:rPr>
          <w:rFonts w:ascii="微软雅黑" w:hAnsi="微软雅黑"/>
          <w:sz w:val="20"/>
        </w:rPr>
        <w:t>综合所有报告，识别最关键的投资因素，我认为有以下几点构成了决策的核心矛盾。第一，财务健康度是当前无法回避的硬伤。持续亏损与负现金流并非单纯的会计问题，它直接威胁公司的持续经营能力和再投资能力，这是看跌论点的基石，也是任何看涨假设必须跨越的最大障碍。第二，转型成效的验证缺失。公司向智慧银行解决方案的转型是合理的战略方向，但产品报告和新闻报告均显示，其在获取标志性订单、提升服务收入占比以改善盈利模式方面，尚未给出令人信服的证据。故事与业绩之间的鸿沟是最大的不确定性来源。第三，股东结构变化与技术面信号的博弈。股东户数锐减与机构增持是一个强烈的积极信号，通常具有领先性。然而，当这一信号与持续恶化的基本面并存时，其指示意义变得复杂。它可能预示真正的价值发现，也可能仅是短期资金博弈或陷入流动性匮乏的盘整状态。技术面的短期多头格局在缺乏基本面共振的情况下，其可靠性存疑。</w:t>
      </w:r>
    </w:p>
    <w:p>
      <w:r>
        <w:rPr>
          <w:rFonts w:ascii="微软雅黑" w:hAnsi="微软雅黑"/>
          <w:sz w:val="20"/>
        </w:rPr>
        <w:t>基于以上分析，评估当前的风险收益比。潜在收益方面，如果看涨研究员的假设成立——公司成功抓住数字人民币和信创机遇，新业务订单放量带动营收重回增长并实现盈亏平衡，那么股价从当前水平确有显著的修复空间（如上看至12-13元）。潜在风险方面，如果看跌研究员的担忧成为现实——转型不及预期，亏损持续，现金流恶化，则当前2.16倍市净率并无足够安全边际，股价可能向下测试净资产甚至更低（如7.5元以下）。关键在于，实现潜在收益需要一系列假设在未来逐一兑现，且面临激烈的行业竞争；而潜在风险则基于已经发生且正在恶化的财务数据。从概率上看，短期内基本面出现V型反转的迹象不足，风险更为具体可见，而收益则依赖于较多尚未发生的积极变量。因此，当前的风险收益比并不吸引人，风险显著高于收益。</w:t>
      </w:r>
    </w:p>
    <w:p>
      <w:r>
        <w:rPr>
          <w:rFonts w:ascii="微软雅黑" w:hAnsi="微软雅黑"/>
          <w:sz w:val="20"/>
        </w:rPr>
        <w:t>因此，我做出明确的投资决策：</w:t>
      </w:r>
      <w:r>
        <w:rPr>
          <w:rFonts w:ascii="微软雅黑" w:hAnsi="微软雅黑"/>
          <w:b/>
          <w:sz w:val="20"/>
        </w:rPr>
        <w:t>建议卖出或继续观望，对于未持仓者，现阶段不建议买入。</w:t>
      </w:r>
      <w:r>
        <w:rPr>
          <w:rFonts w:ascii="微软雅黑" w:hAnsi="微软雅黑"/>
          <w:sz w:val="20"/>
        </w:rPr>
        <w:t xml:space="preserve"> 我的立场更倾向于支持看跌研究员的谨慎观点。投资的核心应建立在可验证的、持续改善的基本面之上，而非对美好未来的单纯憧憬。恒银科技目前正处于“故事期”与“验证期”的艰难过渡中，但财务数据并未提供过渡顺利的证据，反而显示压力在加大。股东结构的积极变化值得关注，但不足以构成逆转向淡基本面的充分理由。在基本面出现明确拐点信号之前，投资该股票等同于进行一场高风险的概率博弈，不符合我们投资组合追求稳健风险调整后回报的整体策略。</w:t>
      </w:r>
    </w:p>
    <w:p>
      <w:r>
        <w:rPr>
          <w:rFonts w:ascii="微软雅黑" w:hAnsi="微软雅黑"/>
          <w:sz w:val="20"/>
        </w:rPr>
        <w:t>具体的执行建议与风险管理措施如下。对于已持有该股票的投资者，建议利用市场任何因短期技术反弹或行业政策传闻带来的股价上行机会（例如接近9.80元关键阻力位时），进行减仓操作，以降低风险暴露。对于未持有的投资者，应保持耐心，采取观望策略。将关注点从“猜测拐点”转移到“确认拐点”。需要密切追踪的关键验证信号包括：1）公司季度营业收入恢复同比正增长；2）毛利率出现企稳或环比改善迹象；3）经营性现金流量净额转正；4）公司公告获得来自大型银行的、具有示范效应的智慧银行解决方案大额订单。只有当一个以上信号连续出现，表明公司转型开始产生切实的财务效果时，才应重新评估其投资价值。在此之前，应避免基于情绪或技术图形的交易，尊重基本面数据所揭示的现实风险。</w:t>
      </w:r>
    </w:p>
    <w:p>
      <w:r>
        <w:rPr>
          <w:rFonts w:ascii="微软雅黑" w:hAnsi="微软雅黑"/>
          <w:sz w:val="20"/>
        </w:rPr>
        <w:t>---</w:t>
      </w:r>
    </w:p>
    <w:p>
      <w:pPr>
        <w:pStyle w:val="ChineseHeading1"/>
      </w:pPr>
      <w:r>
        <w:t>2 交易执行 分析结果</w:t>
      </w:r>
    </w:p>
    <w:p>
      <w:r>
        <w:rPr>
          <w:rFonts w:ascii="微软雅黑" w:hAnsi="微软雅黑"/>
          <w:sz w:val="20"/>
        </w:rPr>
        <w:t>基于研究经理的综合决策，即“建议卖出或继续观望，对于未持仓者，现阶段不建议买入”，我将制定一份详细的交易执行计划。当前时间为2026年4月14日15:55:41，A股市场已收盘，因此计划将主要针对下一个交易日及后续一段时间的操作。</w:t>
      </w:r>
    </w:p>
    <w:p>
      <w:r>
        <w:rPr>
          <w:rFonts w:ascii="微软雅黑" w:hAnsi="微软雅黑"/>
          <w:sz w:val="20"/>
        </w:rPr>
        <w:t>首先，明确核心交易策略。对于已持有恒银科技（603106.SH）仓位的投资者，核心策略是</w:t>
      </w:r>
      <w:r>
        <w:rPr>
          <w:rFonts w:ascii="微软雅黑" w:hAnsi="微软雅黑"/>
          <w:b/>
          <w:sz w:val="20"/>
        </w:rPr>
        <w:t>利用市场反弹机会进行减仓或清仓</w:t>
      </w:r>
      <w:r>
        <w:rPr>
          <w:rFonts w:ascii="微软雅黑" w:hAnsi="微软雅黑"/>
          <w:sz w:val="20"/>
        </w:rPr>
        <w:t>，以降低风险暴露。对于未持仓的投资者，策略是</w:t>
      </w:r>
      <w:r>
        <w:rPr>
          <w:rFonts w:ascii="微软雅黑" w:hAnsi="微软雅黑"/>
          <w:b/>
          <w:sz w:val="20"/>
        </w:rPr>
        <w:t>保持观望，不建立新仓位</w:t>
      </w:r>
      <w:r>
        <w:rPr>
          <w:rFonts w:ascii="微软雅黑" w:hAnsi="微软雅黑"/>
          <w:sz w:val="20"/>
        </w:rPr>
        <w:t>，等待基本面出现明确拐点信号后再做评估。这一策略的核心理念是尊重当前持续恶化的财务数据（营收下滑、亏损扩大、经营现金流为负）所揭示的现实风险，避免在转型故事与业绩验证之间存在巨大鸿沟时进行高风险博弈。</w:t>
      </w:r>
    </w:p>
    <w:p>
      <w:r>
        <w:rPr>
          <w:rFonts w:ascii="微软雅黑" w:hAnsi="微软雅黑"/>
          <w:sz w:val="20"/>
        </w:rPr>
        <w:t>关于目标价位与仓位管理，对于持仓者，减仓操作的目标价位应设定在关键阻力位附近。根据技术分析报告，首要强阻力位在前期高点9.80元附近，该位置在过去三个月内多次压制股价。因此，</w:t>
      </w:r>
      <w:r>
        <w:rPr>
          <w:rFonts w:ascii="微软雅黑" w:hAnsi="微软雅黑"/>
          <w:b/>
          <w:sz w:val="20"/>
        </w:rPr>
        <w:t>减仓的第一目标区间设定在9.60元至9.80元</w:t>
      </w:r>
      <w:r>
        <w:rPr>
          <w:rFonts w:ascii="微软雅黑" w:hAnsi="微软雅黑"/>
          <w:sz w:val="20"/>
        </w:rPr>
        <w:t>。考虑到市场情绪偏弱，一次性全部清仓可能因流动性冲击导致成交不理想，建议采取分批减仓策略。例如，可将计划减持的总仓位分为两到三批，当股价反弹进入9.60-9.80元区域时执行第一批减仓；若股价能强势突破9.80元并站稳，则可观察是否向次要阻力位10.50元区域运动，并在此过程中执行后续批次的减仓。对于未持仓者，目标价位不适用，应维持空仓观望。</w:t>
      </w:r>
    </w:p>
    <w:p>
      <w:r>
        <w:rPr>
          <w:rFonts w:ascii="微软雅黑" w:hAnsi="微软雅黑"/>
          <w:sz w:val="20"/>
        </w:rPr>
        <w:t>入场与出场时机方面，对于持仓者的出场（减仓）时机，应结合价格走势与成交量。理想的减仓时机是股价在成交量温和或明显放大的配合下，反弹至上述目标阻力区间时。应避免在股价无量阴跌或盘中突然脉冲式拉升时匆忙交易，前者流动性差，后者持续性存疑。具体执行可考虑在交易日盘中，当股价触及9.70元上方且分时图显示上涨动能衰减时，下达限价卖出指令。对于未持仓者，不存在入场时机，严格禁止在当前基本面背景下新建买入头寸。</w:t>
      </w:r>
    </w:p>
    <w:p>
      <w:r>
        <w:rPr>
          <w:rFonts w:ascii="微软雅黑" w:hAnsi="微软雅黑"/>
          <w:sz w:val="20"/>
        </w:rPr>
        <w:t>止损与止盈设置是风险控制的关键环节。对于仍持有部分仓位的投资者，鉴于研究结论偏空，</w:t>
      </w:r>
      <w:r>
        <w:rPr>
          <w:rFonts w:ascii="微软雅黑" w:hAnsi="微软雅黑"/>
          <w:b/>
          <w:sz w:val="20"/>
        </w:rPr>
        <w:t>不应设置传统的向上止盈目标，而应强化止损纪律</w:t>
      </w:r>
      <w:r>
        <w:rPr>
          <w:rFonts w:ascii="微软雅黑" w:hAnsi="微软雅黑"/>
          <w:sz w:val="20"/>
        </w:rPr>
        <w:t>。由于策略是反弹减仓，因此止损位应设置为一个防止股价未能反弹即掉头向下的保护性措施。建议将</w:t>
      </w:r>
      <w:r>
        <w:rPr>
          <w:rFonts w:ascii="微软雅黑" w:hAnsi="微软雅黑"/>
          <w:b/>
          <w:sz w:val="20"/>
        </w:rPr>
        <w:t>8.40元</w:t>
      </w:r>
      <w:r>
        <w:rPr>
          <w:rFonts w:ascii="微软雅黑" w:hAnsi="微软雅黑"/>
          <w:sz w:val="20"/>
        </w:rPr>
        <w:t>设为移动止损或预警线。该位置是60日均线及近期震荡平台下沿，具有技术意义。若股价放量跌破8.40元，应视为短期反弹结构可能失败、下行风险加剧的信号，届时无论是否达到反弹目标，都应考虑执行剩余仓位的止损卖出，以控制更大亏损。对于未持仓者，不涉及此设置。</w:t>
      </w:r>
    </w:p>
    <w:p>
      <w:r>
        <w:rPr>
          <w:rFonts w:ascii="微软雅黑" w:hAnsi="微软雅黑"/>
          <w:sz w:val="20"/>
        </w:rPr>
        <w:t>风险控制措施需要多维度考量。一是流动性风险，该股日均成交额相对中等，在大额卖出时需注意冲击成本。执行减仓计划时，应拆分为小单，选择市场流动性较好的时段（如上午10:00-10:30）分批进行，避免使用市价单造成不必要的滑点。二是基本面恶化风险，这是主要风险源，已通过“卖出/观望”策略本身进行规避。三是市场系统性风险，需关注上证指数及金融科技板块的整体走势，若大盘转弱，将削弱个股反弹动能，应更坚决地执行减仓。四是“价值陷阱”风险，即股价看似便宜（PB 2.16倍），但基本面可能持续下行，因此绝不因估值而抄底。</w:t>
      </w:r>
    </w:p>
    <w:p>
      <w:r>
        <w:rPr>
          <w:rFonts w:ascii="微软雅黑" w:hAnsi="微软雅黑"/>
          <w:sz w:val="20"/>
        </w:rPr>
        <w:t>市场监控要点必须明确且具体。交易员及投资者需持续监控以下几点：一是公司公告，特别是季度财报、业绩预告以及任何关于重大合同订单的公告，这是验证转型能否落地的核心。二是关键技术价位，即阻力位9.80元和支撑位8.40元的攻守情况。三是成交量变化，反弹至阻力位时是否放量滞涨，或下跌时是否放量破位。四是行业政策新闻，特别是数字人民币试点进展和银行业IT投资相关的政策，评估其对板块情绪的实际拉动效果。五是股东权益变动披露，观察前期增持的机构是否有减持动向，以及股东户数变化趋势是否发生逆转。</w:t>
      </w:r>
    </w:p>
    <w:p>
      <w:r>
        <w:rPr>
          <w:rFonts w:ascii="微软雅黑" w:hAnsi="微软雅黑"/>
          <w:sz w:val="20"/>
        </w:rPr>
        <w:t>最后，制定应急预案以应对不同情景。情景一：股价快速反弹，强势突破9.80元阻力位并放量站稳。此时不应追高，持仓者按计划在更高位置（如10.20-10.50元）完成剩余仓位减持，未持仓者继续观望，因为单日突破仍需基本面配合才能转化为趋势。情景二：股价未能反弹至目标区间即掉头向下，并放量跌破8.40元关键支撑。持仓者应立即执行止损，卖出全部或大部分剩余仓位。未持仓者继续远离。情景三：股价在8.40元至9.80元之间持续窄幅震荡，无明显方向。持仓者应保持耐心，等待反弹减仓机会，同时以8.40元为底线；未持仓者维持观望，直至区间被有效突破且伴随基本面信号。情景四：公司突然发布超预期的利空消息（如亏损额大幅增加、重要订单流失）。无论股价处于何位置，持仓者应考虑第一时间减仓以控制风险。</w:t>
      </w:r>
    </w:p>
    <w:p>
      <w:r>
        <w:rPr>
          <w:rFonts w:ascii="微软雅黑" w:hAnsi="微软雅黑"/>
          <w:sz w:val="20"/>
        </w:rPr>
        <w:t>综上所述，本次针对恒银科技的交易执行计划以风险控制为首要目标，为持仓者设计了基于技术反弹的退出路径，并为所有投资者明确了等待基本面验证的纪律。在当前的财务与竞争态势下，规避不确定性、保存资本实力是优于追逐潜在收益的选择。</w:t>
      </w:r>
    </w:p>
    <w:p>
      <w:r>
        <w:rPr>
          <w:rFonts w:ascii="微软雅黑" w:hAnsi="微软雅黑"/>
          <w:sz w:val="20"/>
        </w:rPr>
        <w:t>---</w:t>
      </w:r>
    </w:p>
    <w:p>
      <w:pPr>
        <w:pStyle w:val="ChineseHeading1"/>
      </w:pPr>
      <w:r>
        <w:t>3 风险管理 分析结果</w:t>
      </w:r>
    </w:p>
    <w:p>
      <w:r>
        <w:rPr>
          <w:rFonts w:ascii="微软雅黑" w:hAnsi="微软雅黑"/>
          <w:sz w:val="20"/>
        </w:rPr>
        <w:t>在审阅了关于恒银科技（603106）的全面分析报告、研究经理的最终建议、交易员制定的详细计划以及风险团队三方（激进、保守、中性）的激烈辩论后，我作为风险管理经理，现做出最终的风险管理决策。我的职责是超越单一视角的争论，基于公司整体风险承受能力、投资目标、市场环境以及投资组合的整体风险状况，做出一个平衡、审慎且可执行的决策。</w:t>
      </w:r>
    </w:p>
    <w:p>
      <w:r>
        <w:rPr>
          <w:rFonts w:ascii="微软雅黑" w:hAnsi="微软雅黑"/>
          <w:sz w:val="20"/>
        </w:rPr>
        <w:t>首先，我对三方风险观点进行综合评估。激进风险分析师的观点核心在于捕捉“预期差”和“拐点博弈”，其论证强调了行业转型的长期趋势、潜在的政策红利以及当前估值可能已过度反映悲观预期。其提出的通过极小仓位试探、与基本面催化剂严格绑定的金字塔式加仓策略，以及运用期权对冲等工具，体现了主动管理风险的意图。然而，该观点的最大弱点在于其乐观假设建立在公司转型能够成功这一尚未被验证的前提之上，且将短期财务数据的显著恶化轻描淡写地归为“战略性投入”，这在一定程度上美化了当前清晰可见的财务风险。保守风险分析师的观点则根植于“现状验证”和“资本保护”原则，其力量来源于无可辩驳的基本面事实：营收下滑、亏损扩大、经营现金流为负。该观点正确地指出了“价值陷阱”的风险，即低估值在基本面持续恶化下并非安全边际，并强调了规避本金永久性损失的重要性。其建议的绝对回避或极低仓位配合严格止损的纪律，对于风险厌恶型投资者是审慎的。中性风险分析师的观点最具框架性，它承认了风险与潜在收益并存但不对称的现实，提出了基于概率分布、仓位严格限制、条件触发和双重止损的纪律化参与方式。这种方法试图将不可控的“赌结果”转化为可管理的“赌概率”过程，为不同风险偏好的投资者提供了一个结构化的决策路径。</w:t>
      </w:r>
    </w:p>
    <w:p>
      <w:r>
        <w:rPr>
          <w:rFonts w:ascii="微软雅黑" w:hAnsi="微软雅黑"/>
          <w:sz w:val="20"/>
        </w:rPr>
        <w:t>综合来看，保守观点基于当前可验证的、正在恶化的财务数据，其风险警示最为坚实。中性观点提供了在承认高风险前提下，通过极端严格的纪律进行有限参与的框架，具有方法论上的参考价值。激进观点则过于依赖对未来积极变化的假设，在当前时点，其风险收益比的论证说服力不足，尤其不适合作为机构整体风险管理框架下的主导策略。</w:t>
      </w:r>
    </w:p>
    <w:p>
      <w:r>
        <w:rPr>
          <w:rFonts w:ascii="微软雅黑" w:hAnsi="微软雅黑"/>
          <w:sz w:val="20"/>
        </w:rPr>
        <w:t>其次，我评估交易员计划的风险水平。交易员计划完全遵循了研究经理“卖出或观望”的结论，为核心策略是：为持仓者设计利用技术反弹至9.60-9.80元阻力区减仓的退出路径，并以8.40元作为防止下跌的保护性止损线；对未持仓者则要求保持观望。该计划的风险水平被评估为“中等偏低”，因为它以控制下行风险为首要目标，主动放弃了在当前不确定性下博取上行收益的企图。计划中的分批减仓、关键价位设定、流动性管理考量以及对不同市场情景的应急预案，都体现了专业的交易执行和风险控制思维。该计划的主要风险在于执行风险，即市场可能不提供理想的反弹减仓机会，股价可能直接跌破止损位，导致持仓者面临计划内的损失。然而，这是一种已被预先识别和接受的、有限度的风险。</w:t>
      </w:r>
    </w:p>
    <w:p>
      <w:r>
        <w:rPr>
          <w:rFonts w:ascii="微软雅黑" w:hAnsi="微软雅黑"/>
          <w:sz w:val="20"/>
        </w:rPr>
        <w:t>基于以上评估，并综合考虑我司稳健的投资风格、对投资组合整体风险控制的严格要求，以及对清晰基本面支撑的偏好，我做出最终的交易执行决策：</w:t>
      </w:r>
      <w:r>
        <w:rPr>
          <w:rFonts w:ascii="微软雅黑" w:hAnsi="微软雅黑"/>
          <w:b/>
          <w:sz w:val="20"/>
        </w:rPr>
        <w:t>批准交易员计划，并在此基础上强化风险监控要求。</w:t>
      </w:r>
      <w:r>
        <w:rPr>
          <w:rFonts w:ascii="微软雅黑" w:hAnsi="微软雅黑"/>
          <w:sz w:val="20"/>
        </w:rPr>
        <w:t xml:space="preserve"> 我支持研究经理和交易员的核心结论，即在公司基本面出现明确、连续的改善信号之前，规避是优于博弈的选择。对于已持仓的客户或组合，执行反弹减仓计划是当前环境下最优的风险管理动作。对于拟新开仓的指令，不予批准。</w:t>
      </w:r>
    </w:p>
    <w:p>
      <w:r>
        <w:rPr>
          <w:rFonts w:ascii="微软雅黑" w:hAnsi="微软雅黑"/>
          <w:sz w:val="20"/>
        </w:rPr>
        <w:t>为了确保该决策得到有效执行，我制定以下具体的风险控制措施与监控要求：</w:t>
      </w:r>
    </w:p>
    <w:p>
      <w:r>
        <w:rPr>
          <w:rFonts w:ascii="微软雅黑" w:hAnsi="微软雅黑"/>
          <w:sz w:val="20"/>
        </w:rPr>
        <w:t>第一，严格执行仓位与交易纪律。对于所有涉及恒银科技的交易指令，必须明确区分“持仓客户减仓”与“新开仓”两类，并适用不同规则。减仓交易必须严格按照计划中9.60-9.80元的目标区间和分批策略执行，交易员不得因市场短期波动而随意调整目标区间或取消计划。所有减仓单必须使用限价单，避免市价单造成的冲击成本。8.40元的止损警戒线必须录入监控系统，一旦股价放量有效跌破（例如收盘价确认低于8.38元），风险系统应自动触发警报，并要求交易员在下一个交易日执行剩余仓位的止损操作，无需再等待反弹。</w:t>
      </w:r>
    </w:p>
    <w:p>
      <w:r>
        <w:rPr>
          <w:rFonts w:ascii="微软雅黑" w:hAnsi="微软雅黑"/>
          <w:sz w:val="20"/>
        </w:rPr>
        <w:t>第二，设立明确的基本面观察清单与禁令。将交易员计划中提到的关键验证信号（季度营收同比转正、毛利率企稳回升、经营现金流转正、获得标志性大额订单）正式列入对该标的的“基本面观察清单”。在清单中任意一项信号被连续两个季度财报或确凿公告证实之前，风险部门将禁止任何针对该股票的新增多头开仓指令（包括激进策略中提到的“试探性建仓”）。此举是为了防止在情绪或技术面驱动下做出违背基本面风险原则的决策。</w:t>
      </w:r>
    </w:p>
    <w:p>
      <w:r>
        <w:rPr>
          <w:rFonts w:ascii="微软雅黑" w:hAnsi="微软雅黑"/>
          <w:sz w:val="20"/>
        </w:rPr>
        <w:t>第三，实施强化版的压力测试与报告机制。风险部门需模拟在恒银科技股价下跌至7.50元、6.80元（对应更低的市净率水平）时，对持有该标的的相关投资组合造成的损失影响，并评估该损失是否在组合整体风险预算之内。持仓组合经理需定期（至少每月）汇报对该标的的持仓情况、减仓计划执行进展、以及对基本面观察清单的跟踪评估结果。</w:t>
      </w:r>
    </w:p>
    <w:p>
      <w:r>
        <w:rPr>
          <w:rFonts w:ascii="微软雅黑" w:hAnsi="微软雅黑"/>
          <w:sz w:val="20"/>
        </w:rPr>
        <w:t>第四，建立跨部门信息同步与应急响应流程。要求研究部门持续跟踪并即时更新关于恒银科技的订单获取、行业政策、竞争对手动态以及股东结构变化等信息。任何可能显著影响公司短期偿债能力或长期转型前景的重大利空消息（如主要客户流失、重大资产减值、监管处罚等），一经研究部门确认，风险部门有权立即启动应急流程，要求交易部门不受原定减仓目标区间限制，评估并执行紧急减仓或清仓操作。</w:t>
      </w:r>
    </w:p>
    <w:p>
      <w:r>
        <w:rPr>
          <w:rFonts w:ascii="微软雅黑" w:hAnsi="微软雅黑"/>
          <w:sz w:val="20"/>
        </w:rPr>
        <w:t>综上所述，我的决策是基于当前时点（2026年4月14日）可获得的所有信息，在激进、保守、中性三方观点中，更倾向于采纳保守与中性观点中的风险警示和纪律框架，并批准以风险控制为首要目标的交易员计划。恒银科技目前呈现的风险收益特征不符合我司追求稳健风险调整后回报的核心原则，其投资价值需要等待基本面出现切实的拐点信号来重新评估。在不确定性面前，严格的风险纪律和资本保护是首要任务。</w:t>
      </w:r>
    </w:p>
    <w:p>
      <w:r>
        <w:rPr>
          <w:rFonts w:ascii="微软雅黑" w:hAnsi="微软雅黑"/>
          <w:sz w:val="20"/>
        </w:rPr>
        <w:t>---</w:t>
      </w:r>
    </w:p>
    <w:p>
      <w:r>
        <w:rPr>
          <w:rFonts w:ascii="微软雅黑" w:hAnsi="微软雅黑"/>
          <w:sz w:val="20"/>
        </w:rPr>
        <w:t>---</w:t>
      </w:r>
    </w:p>
    <w:p>
      <w:r>
        <w:rPr>
          <w:rFonts w:ascii="微软雅黑" w:hAnsi="微软雅黑"/>
          <w:sz w:val="20"/>
        </w:rPr>
        <w:t>*报告生成时间: 2026-04-14 17:06:56*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Title">
    <w:name w:val="Chinese Title"/>
    <w:pPr>
      <w:spacing w:after="400"/>
      <w:jc w:val="center"/>
    </w:pPr>
    <w:rPr>
      <w:rFonts w:ascii="微软雅黑" w:hAnsi="微软雅黑"/>
      <w:b/>
      <w:sz w:val="36"/>
    </w:rPr>
  </w:style>
  <w:style w:type="paragraph" w:customStyle="1" w:styleId="ChineseHeading1">
    <w:name w:val="Chinese Heading 1"/>
    <w:pPr>
      <w:spacing w:after="200" w:before="200"/>
    </w:pPr>
    <w:rPr>
      <w:rFonts w:ascii="微软雅黑" w:hAnsi="微软雅黑"/>
      <w:b/>
      <w:sz w:val="32"/>
    </w:rPr>
  </w:style>
  <w:style w:type="paragraph" w:customStyle="1" w:styleId="ChineseHeading2">
    <w:name w:val="Chinese Heading 2"/>
    <w:pPr>
      <w:spacing w:after="200" w:before="200"/>
    </w:pPr>
    <w:rPr>
      <w:rFonts w:ascii="微软雅黑" w:hAnsi="微软雅黑"/>
      <w:b/>
      <w:sz w:val="28"/>
    </w:rPr>
  </w:style>
  <w:style w:type="paragraph" w:customStyle="1" w:styleId="ChineseHeading3">
    <w:name w:val="Chinese Heading 3"/>
    <w:pPr>
      <w:spacing w:after="200" w:before="200"/>
    </w:pPr>
    <w:rPr>
      <w:rFonts w:ascii="微软雅黑" w:hAnsi="微软雅黑"/>
      <w:b/>
      <w:sz w:val="24"/>
    </w:rPr>
  </w:style>
  <w:style w:type="paragraph" w:customStyle="1" w:styleId="ChineseHeading4">
    <w:name w:val="Chinese Heading 4"/>
    <w:pPr>
      <w:spacing w:after="200" w:before="200"/>
    </w:pPr>
    <w:rPr>
      <w:rFonts w:ascii="微软雅黑" w:hAnsi="微软雅黑"/>
      <w:b/>
      <w:sz w:val="22"/>
    </w:rPr>
  </w:style>
  <w:style w:type="paragraph" w:customStyle="1" w:styleId="ChineseCode">
    <w:name w:val="Chinese Code"/>
    <w:pPr>
      <w:ind w:left="720"/>
    </w:pPr>
    <w:rPr>
      <w:rFonts w:ascii="Consolas" w:hAnsi="Consolas"/>
      <w:sz w:val="18"/>
    </w:rPr>
  </w:style>
  <w:style w:type="paragraph" w:customStyle="1" w:styleId="ChineseQuote">
    <w:name w:val="Chinese Quote"/>
    <w:pPr>
      <w:ind w:left="720" w:right="720"/>
    </w:pPr>
    <w:rPr>
      <w:rFonts w:ascii="微软雅黑" w:hAnsi="微软雅黑"/>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