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3B47"/>
          <w:sz w:val="56"/>
          <w:szCs w:val="56"/>
        </w:rPr>
        <w:t xml:space="preserve">DevOps Engineering</w:t>
      </w:r>
    </w:p>
    <w:p>
      <w:pPr>
        <w:spacing w:after="100"/>
        <w:jc w:val="center"/>
      </w:pPr>
      <w:r>
        <w:rPr>
          <w:rFonts w:ascii="Arial" w:cs="Arial" w:eastAsia="Arial" w:hAnsi="Arial"/>
          <w:color w:val="1A7E8F"/>
          <w:sz w:val="30"/>
          <w:szCs w:val="30"/>
        </w:rPr>
        <w:t xml:space="preserve">Reference Guide for RAG-Assisted Anomaly Resolution</w:t>
      </w:r>
    </w:p>
    <w:p>
      <w:pPr>
        <w:spacing w:after="80"/>
        <w:jc w:val="center"/>
      </w:pPr>
      <w:r>
        <w:rPr>
          <w:rFonts w:ascii="Arial" w:cs="Arial" w:eastAsia="Arial" w:hAnsi="Arial"/>
          <w:color w:val="5D6E7A"/>
          <w:sz w:val="22"/>
          <w:szCs w:val="22"/>
        </w:rPr>
        <w:t xml:space="preserve">BGL Supercomputer Logs  ·  HDFS Distributed File System Logs</w:t>
      </w:r>
    </w:p>
    <w:p>
      <w:pPr>
        <w:spacing w:after="480"/>
        <w:jc w:val="center"/>
      </w:pPr>
      <w:r>
        <w:rPr>
          <w:rFonts w:ascii="Arial" w:cs="Arial" w:eastAsia="Arial" w:hAnsi="Arial"/>
          <w:color w:val="5D6E7A"/>
          <w:sz w:val="20"/>
          <w:szCs w:val="20"/>
        </w:rPr>
        <w:t xml:space="preserve">Roles &amp; Responsibilities  ·  CI/CD Pipelines  ·  Deployment Strategies  ·  DORA Metrics  ·  Incident &amp;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3B47" w:val="clear"/>
            <w:tcMar>
              <w:top w:type="dxa" w:w="180"/>
              <w:left w:type="dxa" w:w="160"/>
              <w:bottom w:type="dxa" w:w="180"/>
              <w:right w:type="dxa" w:w="160"/>
            </w:tcMar>
          </w:tcPr>
          <w:p>
            <w:pPr>
              <w:jc w:val="center"/>
            </w:pPr>
            <w:r>
              <w:rPr>
                <w:rFonts w:ascii="Arial" w:cs="Arial" w:eastAsia="Arial" w:hAnsi="Arial"/>
                <w:b/>
                <w:bCs/>
                <w:color w:val="FFFFFF"/>
                <w:sz w:val="52"/>
                <w:szCs w:val="52"/>
              </w:rPr>
              <w:t xml:space="preserve">10</w:t>
            </w:r>
          </w:p>
          <w:p>
            <w:pPr>
              <w:jc w:val="center"/>
            </w:pPr>
            <w:r>
              <w:rPr>
                <w:rFonts w:ascii="Arial" w:cs="Arial" w:eastAsia="Arial" w:hAnsi="Arial"/>
                <w:color w:val="D0EEF3"/>
                <w:sz w:val="18"/>
                <w:szCs w:val="18"/>
              </w:rPr>
              <w:t xml:space="preserve">CI/CD pipeline stages</w:t>
            </w:r>
          </w:p>
        </w:tc>
        <w:tc>
          <w:tcPr>
            <w:tcW w:type="dxa" w:w="2340"/>
            <w:tcBorders>
              <w:top w:val="none" w:color="FFFFFF" w:sz="0"/>
              <w:left w:val="none" w:color="FFFFFF" w:sz="0"/>
              <w:bottom w:val="none" w:color="FFFFFF" w:sz="0"/>
              <w:right w:val="none" w:color="FFFFFF" w:sz="0"/>
            </w:tcBorders>
            <w:shd w:fill="1A7E8F" w:val="clear"/>
            <w:tcMar>
              <w:top w:type="dxa" w:w="180"/>
              <w:left w:type="dxa" w:w="160"/>
              <w:bottom w:type="dxa" w:w="180"/>
              <w:right w:type="dxa" w:w="160"/>
            </w:tcMar>
          </w:tcPr>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D0EEF3"/>
                <w:sz w:val="18"/>
                <w:szCs w:val="18"/>
              </w:rPr>
              <w:t xml:space="preserve">DORA performance metrics</w:t>
            </w:r>
          </w:p>
        </w:tc>
        <w:tc>
          <w:tcPr>
            <w:tcW w:type="dxa" w:w="2340"/>
            <w:tcBorders>
              <w:top w:val="none" w:color="FFFFFF" w:sz="0"/>
              <w:left w:val="none" w:color="FFFFFF" w:sz="0"/>
              <w:bottom w:val="none" w:color="FFFFFF" w:sz="0"/>
              <w:right w:val="none" w:color="FFFFFF" w:sz="0"/>
            </w:tcBorders>
            <w:shd w:fill="0D3B47" w:val="clear"/>
            <w:tcMar>
              <w:top w:type="dxa" w:w="180"/>
              <w:left w:type="dxa" w:w="160"/>
              <w:bottom w:type="dxa" w:w="180"/>
              <w:right w:type="dxa" w:w="160"/>
            </w:tcMar>
          </w:tcPr>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D0EEF3"/>
                <w:sz w:val="18"/>
                <w:szCs w:val="18"/>
              </w:rPr>
              <w:t xml:space="preserve">Deployment strategies</w:t>
            </w:r>
          </w:p>
        </w:tc>
        <w:tc>
          <w:tcPr>
            <w:tcW w:type="dxa" w:w="2340"/>
            <w:tcBorders>
              <w:top w:val="none" w:color="FFFFFF" w:sz="0"/>
              <w:left w:val="none" w:color="FFFFFF" w:sz="0"/>
              <w:bottom w:val="none" w:color="FFFFFF" w:sz="0"/>
              <w:right w:val="none" w:color="FFFFFF" w:sz="0"/>
            </w:tcBorders>
            <w:shd w:fill="1A7E8F" w:val="clear"/>
            <w:tcMar>
              <w:top w:type="dxa" w:w="180"/>
              <w:left w:type="dxa" w:w="160"/>
              <w:bottom w:type="dxa" w:w="180"/>
              <w:right w:type="dxa" w:w="160"/>
            </w:tcMar>
          </w:tcPr>
          <w:p>
            <w:pPr>
              <w:jc w:val="center"/>
            </w:pPr>
            <w:r>
              <w:rPr>
                <w:rFonts w:ascii="Arial" w:cs="Arial" w:eastAsia="Arial" w:hAnsi="Arial"/>
                <w:b/>
                <w:bCs/>
                <w:color w:val="FFFFFF"/>
                <w:sz w:val="52"/>
                <w:szCs w:val="52"/>
              </w:rPr>
              <w:t xml:space="preserve">&lt; 5%</w:t>
            </w:r>
          </w:p>
          <w:p>
            <w:pPr>
              <w:jc w:val="center"/>
            </w:pPr>
            <w:r>
              <w:rPr>
                <w:rFonts w:ascii="Arial" w:cs="Arial" w:eastAsia="Arial" w:hAnsi="Arial"/>
                <w:color w:val="D0EEF3"/>
                <w:sz w:val="18"/>
                <w:szCs w:val="18"/>
              </w:rPr>
              <w:t xml:space="preserve">Elite change failure rate</w:t>
            </w:r>
          </w:p>
        </w:tc>
      </w:tr>
    </w:tbl>
    <w:p>
      <w:pPr>
        <w:spacing w:after="32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0D3B47"/>
          <w:sz w:val="34"/>
          <w:szCs w:val="34"/>
        </w:rPr>
        <w:t xml:space="preserve">1. Role Definition &amp; Core Responsibilities</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The DevOps Engineer role bridges software development and IT operations by applying automation, continuous delivery, and infrastructure engineering to the full software delivery lifecycle. The term DevOps — coined in 2008 and formalised through the work of Patrick Debois, Jez Humble, Gene Kim, and the DORA research programme — describes both a cultural philosophy (shared ownership, collaboration, feedback) and a technical practice (automation, CI/CD, IaC, monitoring).</w:t>
      </w:r>
    </w:p>
    <w:p>
      <w:pPr>
        <w:spacing w:after="80"/>
      </w:pPr>
      <w:r>
        <w:t xml:space="preserve"/>
      </w:r>
    </w:p>
    <w:p>
      <w:pPr>
        <w:spacing w:after="120"/>
      </w:pPr>
      <w:r>
        <w:rPr>
          <w:rFonts w:ascii="Arial" w:cs="Arial" w:eastAsia="Arial" w:hAnsi="Arial"/>
          <w:color w:val="111111"/>
          <w:sz w:val="20"/>
          <w:szCs w:val="20"/>
        </w:rPr>
        <w:t xml:space="preserve">While the SRE role focuses primarily on system reliability and SLO management, the DevOps Engineer focuses primarily on delivery pipeline velocity, deployment automation, infrastructure provisioning, and enabling development teams to ship software safely and frequently. In organisations that separate the two roles, DevOps Engineers own the path from code commit to production, while SREs own the production system's reliability after deployment.</w:t>
      </w:r>
    </w:p>
    <w:p>
      <w:pPr>
        <w:spacing w:after="120"/>
      </w:pPr>
      <w:r>
        <w:t xml:space="preserve"/>
      </w:r>
    </w:p>
    <w:p>
      <w:pPr>
        <w:pStyle w:val="Heading2"/>
      </w:pPr>
      <w:r>
        <w:rPr>
          <w:rFonts w:ascii="Arial" w:cs="Arial" w:eastAsia="Arial" w:hAnsi="Arial"/>
          <w:b/>
          <w:bCs/>
          <w:color w:val="1A7E8F"/>
          <w:sz w:val="27"/>
          <w:szCs w:val="27"/>
        </w:rPr>
        <w:t xml:space="preserve">1.1  Core Responsibility Domains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 Domain</w:t>
            </w:r>
          </w:p>
        </w:tc>
        <w:tc>
          <w:tcPr>
            <w:tcW w:type="dxa" w:w="676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Activities &amp; Deliverables</w:t>
            </w:r>
          </w:p>
        </w:tc>
      </w:tr>
      <w:tr>
        <w:tc>
          <w:tcPr>
            <w:tcW w:type="dxa" w:w="2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CI/CD Pipeline Ownership</w:t>
            </w:r>
          </w:p>
        </w:tc>
        <w:tc>
          <w:tcPr>
            <w:tcW w:type="dxa" w:w="6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Design, build, maintain, and optimise automated build-test-deploy pipelines; enforce quality gates; manage pipeline performance and reliability; onboard new services to CI/CD infrastructure.</w:t>
            </w:r>
          </w:p>
        </w:tc>
      </w:tr>
      <w:tr>
        <w:tc>
          <w:tcPr>
            <w:tcW w:type="dxa" w:w="2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Infrastructure as Code (IaC)</w:t>
            </w:r>
          </w:p>
        </w:tc>
        <w:tc>
          <w:tcPr>
            <w:tcW w:type="dxa" w:w="6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Author and maintain Terraform / Ansible / CloudFormation / Pulumi configurations; version infrastructure alongside application code; enforce drift detection and remediation; manage state files securely.</w:t>
            </w:r>
          </w:p>
        </w:tc>
      </w:tr>
      <w:tr>
        <w:tc>
          <w:tcPr>
            <w:tcW w:type="dxa" w:w="2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Deployment Orchestration</w:t>
            </w:r>
          </w:p>
        </w:tc>
        <w:tc>
          <w:tcPr>
            <w:tcW w:type="dxa" w:w="6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Own deployment strategy selection (rolling, blue-green, canary); manage release gates and traffic routing; automate rollback triggers based on health-check failures; maintain deployment audit logs.</w:t>
            </w:r>
          </w:p>
        </w:tc>
      </w:tr>
      <w:tr>
        <w:tc>
          <w:tcPr>
            <w:tcW w:type="dxa" w:w="2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Environment Management</w:t>
            </w:r>
          </w:p>
        </w:tc>
        <w:tc>
          <w:tcPr>
            <w:tcW w:type="dxa" w:w="6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Provision and maintain dev, staging, QA, and production environments; ensure environment parity; manage secrets and configuration; reduce configuration drift through automation.</w:t>
            </w:r>
          </w:p>
        </w:tc>
      </w:tr>
      <w:tr>
        <w:tc>
          <w:tcPr>
            <w:tcW w:type="dxa" w:w="2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Monitoring &amp; Alerting (Ops)</w:t>
            </w:r>
          </w:p>
        </w:tc>
        <w:tc>
          <w:tcPr>
            <w:tcW w:type="dxa" w:w="6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Configure application and infrastructure monitoring; set up alerting policies for CI/CD pipeline failures, build breakages, and deployment regressions; integrate with incident management tooling.</w:t>
            </w:r>
          </w:p>
        </w:tc>
      </w:tr>
      <w:tr>
        <w:tc>
          <w:tcPr>
            <w:tcW w:type="dxa" w:w="2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Change &amp; Release Management</w:t>
            </w:r>
          </w:p>
        </w:tc>
        <w:tc>
          <w:tcPr>
            <w:tcW w:type="dxa" w:w="6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Co-ordinate release schedules; manage change approval workflows; maintain release notes and changelogs; enforce change freeze periods; support emergency hotfix deployments.</w:t>
            </w:r>
          </w:p>
        </w:tc>
      </w:tr>
      <w:tr>
        <w:tc>
          <w:tcPr>
            <w:tcW w:type="dxa" w:w="2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Security &amp; Compliance (DevSecOps)</w:t>
            </w:r>
          </w:p>
        </w:tc>
        <w:tc>
          <w:tcPr>
            <w:tcW w:type="dxa" w:w="6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Integrate SAST/DAST/SCA security scans into pipelines; manage container image scanning; enforce secrets management policies; maintain audit trails for compliance.</w:t>
            </w:r>
          </w:p>
        </w:tc>
      </w:tr>
      <w:tr>
        <w:tc>
          <w:tcPr>
            <w:tcW w:type="dxa" w:w="2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Incident Support &amp; Resolution</w:t>
            </w:r>
          </w:p>
        </w:tc>
        <w:tc>
          <w:tcPr>
            <w:tcW w:type="dxa" w:w="6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Participate in incident response for deployment-related issues; execute rollbacks; diagnose pipeline-introduced failures; provide root-cause analysis for change-caused outages.</w:t>
            </w:r>
          </w:p>
        </w:tc>
      </w:tr>
      <w:tr>
        <w:tc>
          <w:tcPr>
            <w:tcW w:type="dxa" w:w="2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Developer Experience &amp; Tooling</w:t>
            </w:r>
          </w:p>
        </w:tc>
        <w:tc>
          <w:tcPr>
            <w:tcW w:type="dxa" w:w="6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Reduce cognitive load for development teams; build self-service deployment interfaces; maintain internal developer platforms; establish golden paths for new service creation.</w:t>
            </w:r>
          </w:p>
        </w:tc>
      </w:tr>
    </w:tbl>
    <w:p>
      <w:pPr>
        <w:spacing w:after="200"/>
      </w:pPr>
      <w:r>
        <w:t xml:space="preserve"/>
      </w:r>
    </w:p>
    <w:p>
      <w:pPr>
        <w:pStyle w:val="Heading2"/>
      </w:pPr>
      <w:r>
        <w:rPr>
          <w:rFonts w:ascii="Arial" w:cs="Arial" w:eastAsia="Arial" w:hAnsi="Arial"/>
          <w:b/>
          <w:bCs/>
          <w:color w:val="1A7E8F"/>
          <w:sz w:val="27"/>
          <w:szCs w:val="27"/>
        </w:rPr>
        <w:t xml:space="preserve">1.2  DevOps Engineer vs SRE: Complementary Focus</w:t>
      </w:r>
    </w:p>
    <w:p>
      <w:pPr>
        <w:pStyle w:val="ListParagraph"/>
        <w:numPr>
          <w:ilvl w:val="0"/>
          <w:numId w:val="2"/>
        </w:numPr>
        <w:spacing w:after="80"/>
      </w:pPr>
      <w:r>
        <w:rPr>
          <w:rFonts w:ascii="Arial" w:cs="Arial" w:eastAsia="Arial" w:hAnsi="Arial"/>
          <w:sz w:val="20"/>
          <w:szCs w:val="20"/>
        </w:rPr>
        <w:t xml:space="preserve">DevOps Engineer primary focus: delivery velocity, pipeline automation, infrastructure provisioning, environment management.</w:t>
      </w:r>
    </w:p>
    <w:p>
      <w:pPr>
        <w:pStyle w:val="ListParagraph"/>
        <w:numPr>
          <w:ilvl w:val="0"/>
          <w:numId w:val="2"/>
        </w:numPr>
        <w:spacing w:after="80"/>
      </w:pPr>
      <w:r>
        <w:rPr>
          <w:rFonts w:ascii="Arial" w:cs="Arial" w:eastAsia="Arial" w:hAnsi="Arial"/>
          <w:sz w:val="20"/>
          <w:szCs w:val="20"/>
        </w:rPr>
        <w:t xml:space="preserve">SRE primary focus: production reliability, SLO ownership, incident management, capacity planning.</w:t>
      </w:r>
    </w:p>
    <w:p>
      <w:pPr>
        <w:pStyle w:val="ListParagraph"/>
        <w:numPr>
          <w:ilvl w:val="0"/>
          <w:numId w:val="2"/>
        </w:numPr>
        <w:spacing w:after="80"/>
      </w:pPr>
      <w:r>
        <w:rPr>
          <w:rFonts w:ascii="Arial" w:cs="Arial" w:eastAsia="Arial" w:hAnsi="Arial"/>
          <w:sz w:val="20"/>
          <w:szCs w:val="20"/>
        </w:rPr>
        <w:t xml:space="preserve">Shared domain: monitoring setup, change management, post-mortem participation, security practices.</w:t>
      </w:r>
    </w:p>
    <w:p>
      <w:pPr>
        <w:pStyle w:val="ListParagraph"/>
        <w:numPr>
          <w:ilvl w:val="0"/>
          <w:numId w:val="2"/>
        </w:numPr>
        <w:spacing w:after="80"/>
      </w:pPr>
      <w:r>
        <w:rPr>
          <w:rFonts w:ascii="Arial" w:cs="Arial" w:eastAsia="Arial" w:hAnsi="Arial"/>
          <w:sz w:val="20"/>
          <w:szCs w:val="20"/>
        </w:rPr>
        <w:t xml:space="preserve">In organisations without a separate SRE team, DevOps Engineers absorb SRE responsibilities; the documents should be read together.</w:t>
      </w:r>
    </w:p>
    <w:p>
      <w:pPr>
        <w:pStyle w:val="ListParagraph"/>
        <w:numPr>
          <w:ilvl w:val="0"/>
          <w:numId w:val="2"/>
        </w:numPr>
        <w:spacing w:after="80"/>
      </w:pPr>
      <w:r>
        <w:rPr>
          <w:rFonts w:ascii="Arial" w:cs="Arial" w:eastAsia="Arial" w:hAnsi="Arial"/>
          <w:sz w:val="20"/>
          <w:szCs w:val="20"/>
        </w:rPr>
        <w:t xml:space="preserve">For the BGL/HDFS RAG system: DevOps Engineers own the log ingestion pipeline, model deployment, and RAG system infrastructure; SREs own the reliability of those pipelines in production.</w:t>
      </w:r>
    </w:p>
    <w:p>
      <w:pPr>
        <w:spacing w:after="200"/>
      </w:pPr>
      <w:r>
        <w:t xml:space="preserve"/>
      </w:r>
    </w:p>
    <w:p>
      <w:pPr>
        <w:pStyle w:val="Heading1"/>
        <w:pageBreakBefore/>
      </w:pPr>
      <w:r>
        <w:rPr>
          <w:rFonts w:ascii="Arial" w:cs="Arial" w:eastAsia="Arial" w:hAnsi="Arial"/>
          <w:b/>
          <w:bCs/>
          <w:color w:val="0D3B47"/>
          <w:sz w:val="34"/>
          <w:szCs w:val="34"/>
        </w:rPr>
        <w:t xml:space="preserve">2. CI/CD Pipeline Design &amp; Ownership</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Continuous Integration (CI) and Continuous Delivery/Deployment (CD) are the engineering backbone of DevOps practice. CI ensures that code is always in a releasable state; CD ensures that every releasable artefact can be deployed to production safely and automatically. The DORA research programme (now a decade of longitudinal data across 32,000+ professionals) has consistently found that CI/CD maturity is the strongest predictor of both software delivery performance and organisational outcomes.</w:t>
      </w:r>
    </w:p>
    <w:p>
      <w:pPr>
        <w:spacing w:after="120"/>
      </w:pPr>
      <w:r>
        <w:t xml:space="preserve"/>
      </w:r>
    </w:p>
    <w:p>
      <w:pPr>
        <w:pStyle w:val="Heading2"/>
      </w:pPr>
      <w:r>
        <w:rPr>
          <w:rFonts w:ascii="Arial" w:cs="Arial" w:eastAsia="Arial" w:hAnsi="Arial"/>
          <w:b/>
          <w:bCs/>
          <w:color w:val="1A7E8F"/>
          <w:sz w:val="27"/>
          <w:szCs w:val="27"/>
        </w:rPr>
        <w:t xml:space="preserve">2.1  Standard CI/CD Pipeline Phases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800"/>
        <w:gridCol w:w="2400"/>
        <w:gridCol w:w="1960"/>
      </w:tblGrid>
      <w:tr>
        <w:trPr>
          <w:tblHeader/>
        </w:trPr>
        <w:tc>
          <w:tcPr>
            <w:tcW w:type="dxa" w:w="6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6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8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Automated Actions</w:t>
            </w:r>
          </w:p>
        </w:tc>
        <w:tc>
          <w:tcPr>
            <w:tcW w:type="dxa" w:w="24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Quality Gates / Exit Criteria</w:t>
            </w:r>
          </w:p>
        </w:tc>
        <w:tc>
          <w:tcPr>
            <w:tcW w:type="dxa" w:w="196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Tools (Common)</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1</w:t>
            </w:r>
          </w:p>
        </w:tc>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Source &amp; Trigger</w:t>
            </w:r>
          </w:p>
        </w:tc>
        <w:tc>
          <w:tcPr>
            <w:tcW w:type="dxa" w:w="2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Code commit webhook; branch strategy enforcement; PR validation; pre-commit hooks</w:t>
            </w:r>
          </w:p>
        </w:tc>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Branch protection rules pass; commit signature verified</w:t>
            </w:r>
          </w:p>
        </w:tc>
        <w:tc>
          <w:tcPr>
            <w:tcW w:type="dxa" w:w="19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GitHub / GitLab / Bitbucket</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2</w:t>
            </w:r>
          </w:p>
        </w:tc>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Build</w:t>
            </w:r>
          </w:p>
        </w:tc>
        <w:tc>
          <w:tcPr>
            <w:tcW w:type="dxa" w:w="2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Compile source; resolve dependencies; build container image; tag with commit SHA</w:t>
            </w:r>
          </w:p>
        </w:tc>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Build succeeds; no compilation errors; image built &lt; timeout</w:t>
            </w:r>
          </w:p>
        </w:tc>
        <w:tc>
          <w:tcPr>
            <w:tcW w:type="dxa" w:w="19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Maven / Gradle / Docker / Bazel</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3</w:t>
            </w:r>
          </w:p>
        </w:tc>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Unit &amp; Static Test</w:t>
            </w:r>
          </w:p>
        </w:tc>
        <w:tc>
          <w:tcPr>
            <w:tcW w:type="dxa" w:w="2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Run unit tests; execute SAST; lint; code coverage check</w:t>
            </w:r>
          </w:p>
        </w:tc>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Coverage ≥ threshold (e.g. 80%); zero high-severity SAST findings</w:t>
            </w:r>
          </w:p>
        </w:tc>
        <w:tc>
          <w:tcPr>
            <w:tcW w:type="dxa" w:w="19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JUnit / pytest / SonarQube / Checkmarx</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4</w:t>
            </w:r>
          </w:p>
        </w:tc>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Artifact Publish</w:t>
            </w:r>
          </w:p>
        </w:tc>
        <w:tc>
          <w:tcPr>
            <w:tcW w:type="dxa" w:w="2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Push versioned artifact to registry; sign image; generate SBOM</w:t>
            </w:r>
          </w:p>
        </w:tc>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Artifact signed; SBOM generated; registry push confirmed</w:t>
            </w:r>
          </w:p>
        </w:tc>
        <w:tc>
          <w:tcPr>
            <w:tcW w:type="dxa" w:w="19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JFrog Artifactory / ECR / GCR / Harbor</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5</w:t>
            </w:r>
          </w:p>
        </w:tc>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Integration Test</w:t>
            </w:r>
          </w:p>
        </w:tc>
        <w:tc>
          <w:tcPr>
            <w:tcW w:type="dxa" w:w="2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Deploy to ephemeral environment; run integration/contract tests; API compatibility checks</w:t>
            </w:r>
          </w:p>
        </w:tc>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All integration tests pass; no contract violations</w:t>
            </w:r>
          </w:p>
        </w:tc>
        <w:tc>
          <w:tcPr>
            <w:tcW w:type="dxa" w:w="19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Postman / Pact / Testcontainers</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6</w:t>
            </w:r>
          </w:p>
        </w:tc>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Security Scan</w:t>
            </w:r>
          </w:p>
        </w:tc>
        <w:tc>
          <w:tcPr>
            <w:tcW w:type="dxa" w:w="2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Container image vulnerability scan; dependency CVE scan; DAST against staging</w:t>
            </w:r>
          </w:p>
        </w:tc>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 critical CVEs in image; no high DAST findings</w:t>
            </w:r>
          </w:p>
        </w:tc>
        <w:tc>
          <w:tcPr>
            <w:tcW w:type="dxa" w:w="19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Trivy / Snyk / OWASP ZAP</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7</w:t>
            </w:r>
          </w:p>
        </w:tc>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Staging Deploy</w:t>
            </w:r>
          </w:p>
        </w:tc>
        <w:tc>
          <w:tcPr>
            <w:tcW w:type="dxa" w:w="2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Deploy to staging via IaC; run smoke tests; performance baseline comparison</w:t>
            </w:r>
          </w:p>
        </w:tc>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Smoke tests pass; P95 latency within 10% of baseline</w:t>
            </w:r>
          </w:p>
        </w:tc>
        <w:tc>
          <w:tcPr>
            <w:tcW w:type="dxa" w:w="19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Terraform / Argo CD / Helm</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8</w:t>
            </w:r>
          </w:p>
        </w:tc>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Approval Gate</w:t>
            </w:r>
          </w:p>
        </w:tc>
        <w:tc>
          <w:tcPr>
            <w:tcW w:type="dxa" w:w="2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Manual or automated approval; change advisory board (CAB) for high-risk changes; SRE review for error budget</w:t>
            </w:r>
          </w:p>
        </w:tc>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Approval recorded with authoriser identity and timestamp</w:t>
            </w:r>
          </w:p>
        </w:tc>
        <w:tc>
          <w:tcPr>
            <w:tcW w:type="dxa" w:w="19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Jira / ServiceNow / GitHub PR</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9</w:t>
            </w:r>
          </w:p>
        </w:tc>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Production Deploy</w:t>
            </w:r>
          </w:p>
        </w:tc>
        <w:tc>
          <w:tcPr>
            <w:tcW w:type="dxa" w:w="2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Progressive rollout (canary / blue-green); health check validation; traffic shifting</w:t>
            </w:r>
          </w:p>
        </w:tc>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Health checks pass; error rate within SLO at each traffic increment</w:t>
            </w:r>
          </w:p>
        </w:tc>
        <w:tc>
          <w:tcPr>
            <w:tcW w:type="dxa" w:w="19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Argo Rollouts / Spinnaker / Flagger</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10</w:t>
            </w:r>
          </w:p>
        </w:tc>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Post-Deploy Monitor</w:t>
            </w:r>
          </w:p>
        </w:tc>
        <w:tc>
          <w:tcPr>
            <w:tcW w:type="dxa" w:w="2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Automated smoke tests in production; synthetic monitoring; real-user monitoring; rollback trigger evaluation</w:t>
            </w:r>
          </w:p>
        </w:tc>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 SLO regression within 30-min bake window; alert silence</w:t>
            </w:r>
          </w:p>
        </w:tc>
        <w:tc>
          <w:tcPr>
            <w:tcW w:type="dxa" w:w="19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Datadog / Prometheus / Grafana / PagerDuty</w:t>
            </w:r>
          </w:p>
        </w:tc>
      </w:tr>
    </w:tbl>
    <w:p>
      <w:pPr>
        <w:spacing w:after="200"/>
      </w:pPr>
      <w:r>
        <w:t xml:space="preserve"/>
      </w:r>
    </w:p>
    <w:p>
      <w:pPr>
        <w:pStyle w:val="Heading2"/>
      </w:pPr>
      <w:r>
        <w:rPr>
          <w:rFonts w:ascii="Arial" w:cs="Arial" w:eastAsia="Arial" w:hAnsi="Arial"/>
          <w:b/>
          <w:bCs/>
          <w:color w:val="1A7E8F"/>
          <w:sz w:val="27"/>
          <w:szCs w:val="27"/>
        </w:rPr>
        <w:t xml:space="preserve">2.2  Pipeline Design Principles</w:t>
      </w:r>
    </w:p>
    <w:p>
      <w:pPr>
        <w:pStyle w:val="Heading3"/>
      </w:pPr>
      <w:r>
        <w:rPr>
          <w:rFonts w:ascii="Arial" w:cs="Arial" w:eastAsia="Arial" w:hAnsi="Arial"/>
          <w:b/>
          <w:bCs/>
          <w:color w:val="0D3B47"/>
          <w:sz w:val="22"/>
          <w:szCs w:val="22"/>
        </w:rPr>
        <w:t xml:space="preserve">Fail Fast</w:t>
      </w:r>
    </w:p>
    <w:p>
      <w:pPr>
        <w:spacing w:after="120"/>
      </w:pPr>
      <w:r>
        <w:rPr>
          <w:rFonts w:ascii="Arial" w:cs="Arial" w:eastAsia="Arial" w:hAnsi="Arial"/>
          <w:color w:val="111111"/>
          <w:sz w:val="20"/>
          <w:szCs w:val="20"/>
        </w:rPr>
        <w:t xml:space="preserve">Structure pipeline stages so that cheapest-to-run, highest-signal tests run first. Compilation and unit tests (seconds) before integration tests (minutes) before staging deploy (tens of minutes). This minimises wasted compute and gives developers rapid feedback.</w:t>
      </w:r>
    </w:p>
    <w:p>
      <w:pPr>
        <w:spacing w:after="80"/>
      </w:pPr>
      <w:r>
        <w:t xml:space="preserve"/>
      </w:r>
    </w:p>
    <w:p>
      <w:pPr>
        <w:pStyle w:val="Heading3"/>
      </w:pPr>
      <w:r>
        <w:rPr>
          <w:rFonts w:ascii="Arial" w:cs="Arial" w:eastAsia="Arial" w:hAnsi="Arial"/>
          <w:b/>
          <w:bCs/>
          <w:color w:val="0D3B47"/>
          <w:sz w:val="22"/>
          <w:szCs w:val="22"/>
        </w:rPr>
        <w:t xml:space="preserve">Pipeline as Code</w:t>
      </w:r>
    </w:p>
    <w:p>
      <w:pPr>
        <w:spacing w:after="120"/>
      </w:pPr>
      <w:r>
        <w:rPr>
          <w:rFonts w:ascii="Arial" w:cs="Arial" w:eastAsia="Arial" w:hAnsi="Arial"/>
          <w:color w:val="111111"/>
          <w:sz w:val="20"/>
          <w:szCs w:val="20"/>
        </w:rPr>
        <w:t xml:space="preserve">All pipeline definitions are version-controlled alongside application code (e.g., Jenkinsfile, .github/workflows/*.yml, .gitlab-ci.yml). Pipeline changes go through the same PR review process as application changes. No ad-hoc pipeline modifications in the CI tool UI.</w:t>
      </w:r>
    </w:p>
    <w:p>
      <w:pPr>
        <w:spacing w:after="80"/>
      </w:pPr>
      <w:r>
        <w:t xml:space="preserve"/>
      </w:r>
    </w:p>
    <w:p>
      <w:pPr>
        <w:pStyle w:val="Heading3"/>
      </w:pPr>
      <w:r>
        <w:rPr>
          <w:rFonts w:ascii="Arial" w:cs="Arial" w:eastAsia="Arial" w:hAnsi="Arial"/>
          <w:b/>
          <w:bCs/>
          <w:color w:val="0D3B47"/>
          <w:sz w:val="22"/>
          <w:szCs w:val="22"/>
        </w:rPr>
        <w:t xml:space="preserve">Artefact Immutability</w:t>
      </w:r>
    </w:p>
    <w:p>
      <w:pPr>
        <w:spacing w:after="120"/>
      </w:pPr>
      <w:r>
        <w:rPr>
          <w:rFonts w:ascii="Arial" w:cs="Arial" w:eastAsia="Arial" w:hAnsi="Arial"/>
          <w:color w:val="111111"/>
          <w:sz w:val="20"/>
          <w:szCs w:val="20"/>
        </w:rPr>
        <w:t xml:space="preserve">Build once, deploy many. The same artefact (container image, JAR, wheel) that passes CI is promoted through staging to production — never rebuilt per environment. Artefacts are tagged with the Git commit SHA and stored in a versioned registry.</w:t>
      </w:r>
    </w:p>
    <w:p>
      <w:pPr>
        <w:spacing w:after="80"/>
      </w:pPr>
      <w:r>
        <w:t xml:space="preserve"/>
      </w:r>
    </w:p>
    <w:p>
      <w:pPr>
        <w:pStyle w:val="Heading3"/>
      </w:pPr>
      <w:r>
        <w:rPr>
          <w:rFonts w:ascii="Arial" w:cs="Arial" w:eastAsia="Arial" w:hAnsi="Arial"/>
          <w:b/>
          <w:bCs/>
          <w:color w:val="0D3B47"/>
          <w:sz w:val="22"/>
          <w:szCs w:val="22"/>
        </w:rPr>
        <w:t xml:space="preserve">Environment Parity</w:t>
      </w:r>
    </w:p>
    <w:p>
      <w:pPr>
        <w:spacing w:after="120"/>
      </w:pPr>
      <w:r>
        <w:rPr>
          <w:rFonts w:ascii="Arial" w:cs="Arial" w:eastAsia="Arial" w:hAnsi="Arial"/>
          <w:color w:val="111111"/>
          <w:sz w:val="20"/>
          <w:szCs w:val="20"/>
        </w:rPr>
        <w:t xml:space="preserve">Staging and production environments are as identical as possible. IaC ensures same networking, compute profiles, and configuration structure. Only environment-specific variable values (endpoints, credential references) differ, managed through a secrets layer.</w:t>
      </w:r>
    </w:p>
    <w:p>
      <w:pPr>
        <w:spacing w:after="200"/>
      </w:pPr>
      <w:r>
        <w:t xml:space="preserve"/>
      </w:r>
    </w:p>
    <w:p>
      <w:pPr>
        <w:pStyle w:val="Heading1"/>
        <w:pageBreakBefore/>
      </w:pPr>
      <w:r>
        <w:rPr>
          <w:rFonts w:ascii="Arial" w:cs="Arial" w:eastAsia="Arial" w:hAnsi="Arial"/>
          <w:b/>
          <w:bCs/>
          <w:color w:val="0D3B47"/>
          <w:sz w:val="34"/>
          <w:szCs w:val="34"/>
        </w:rPr>
        <w:t xml:space="preserve">3. Deployment Strategies &amp; Progressive Delivery</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Deployment strategy selection is a core DevOps engineering decision that balances release velocity, risk exposure, rollback speed, and infrastructure cost. The DORA research programme found that elite teams deploy on demand — frequently and with low failure rates — using progressive delivery techniques that shift risk from binary releases to gradual, monitored rollouts.</w:t>
      </w:r>
    </w:p>
    <w:p>
      <w:pPr>
        <w:spacing w:after="120"/>
      </w:pPr>
      <w:r>
        <w:t xml:space="preserve"/>
      </w:r>
    </w:p>
    <w:p>
      <w:pPr>
        <w:pStyle w:val="Heading2"/>
      </w:pPr>
      <w:r>
        <w:rPr>
          <w:rFonts w:ascii="Arial" w:cs="Arial" w:eastAsia="Arial" w:hAnsi="Arial"/>
          <w:b/>
          <w:bCs/>
          <w:color w:val="1A7E8F"/>
          <w:sz w:val="27"/>
          <w:szCs w:val="27"/>
        </w:rPr>
        <w:t xml:space="preserve">3.1  Deployment Strategy Comparison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1800"/>
        <w:gridCol w:w="1760"/>
      </w:tblGrid>
      <w:tr>
        <w:trPr>
          <w:tblHeader/>
        </w:trPr>
        <w:tc>
          <w:tcPr>
            <w:tcW w:type="dxa" w:w="16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c>
          <w:tcPr>
            <w:tcW w:type="dxa" w:w="24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Mechanism</w:t>
            </w:r>
          </w:p>
        </w:tc>
        <w:tc>
          <w:tcPr>
            <w:tcW w:type="dxa" w:w="18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Rollback Speed</w:t>
            </w:r>
          </w:p>
        </w:tc>
        <w:tc>
          <w:tcPr>
            <w:tcW w:type="dxa" w:w="18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Infrastructure Cost</w:t>
            </w:r>
          </w:p>
        </w:tc>
        <w:tc>
          <w:tcPr>
            <w:tcW w:type="dxa" w:w="176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r>
      <w:tr>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1A7E8F"/>
                <w:sz w:val="18"/>
                <w:szCs w:val="18"/>
              </w:rPr>
              <w:t xml:space="preserve">Rolling Update</w:t>
            </w:r>
          </w:p>
        </w:tc>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Replace instances one-at-a-time or in batches; old and new versions coexist during rollout</w:t>
            </w:r>
          </w:p>
        </w:tc>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Slow (re-deploy old version)</w:t>
            </w:r>
          </w:p>
        </w:tc>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Low (reuse existing nodes)</w:t>
            </w:r>
          </w:p>
        </w:tc>
        <w:tc>
          <w:tcPr>
            <w:tcW w:type="dxa" w:w="1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Stateless services; small risk tolerance; Kubernetes default</w:t>
            </w:r>
          </w:p>
        </w:tc>
      </w:tr>
      <w:tr>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1A7E8F"/>
                <w:sz w:val="18"/>
                <w:szCs w:val="18"/>
              </w:rPr>
              <w:t xml:space="preserve">Blue-Green</w:t>
            </w:r>
          </w:p>
        </w:tc>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Two identical environments; load balancer switch directs all traffic from blue (live) to green (new); blue kept on standby</w:t>
            </w:r>
          </w:p>
        </w:tc>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Instant (flip load balancer back)</w:t>
            </w:r>
          </w:p>
        </w:tc>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High (2× production environment)</w:t>
            </w:r>
          </w:p>
        </w:tc>
        <w:tc>
          <w:tcPr>
            <w:tcW w:type="dxa" w:w="1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Zero-downtime requirements; databases with schema changes; regulated workloads</w:t>
            </w:r>
          </w:p>
        </w:tc>
      </w:tr>
      <w:tr>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1A7E8F"/>
                <w:sz w:val="18"/>
                <w:szCs w:val="18"/>
              </w:rPr>
              <w:t xml:space="preserve">Canary</w:t>
            </w:r>
          </w:p>
        </w:tc>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Route small % of traffic (1–10%) to new version; monitor SLIs; increment traffic on success; rollback on regression</w:t>
            </w:r>
          </w:p>
        </w:tc>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Fast (route 100% back to stable)</w:t>
            </w:r>
          </w:p>
        </w:tc>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Low (few canary nodes)</w:t>
            </w:r>
          </w:p>
        </w:tc>
        <w:tc>
          <w:tcPr>
            <w:tcW w:type="dxa" w:w="1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High-traffic services; risk-sensitive features; ML model updates</w:t>
            </w:r>
          </w:p>
        </w:tc>
      </w:tr>
      <w:tr>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1A7E8F"/>
                <w:sz w:val="18"/>
                <w:szCs w:val="18"/>
              </w:rPr>
              <w:t xml:space="preserve">Feature Flags</w:t>
            </w:r>
          </w:p>
        </w:tc>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Deploy code dark; toggle features per user/segment without redeployment; decouple release from deploy</w:t>
            </w:r>
          </w:p>
        </w:tc>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Instant (toggle flag off)</w:t>
            </w:r>
          </w:p>
        </w:tc>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None additional</w:t>
            </w:r>
          </w:p>
        </w:tc>
        <w:tc>
          <w:tcPr>
            <w:tcW w:type="dxa" w:w="1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A/B testing; gradual user rollouts; emergency kill switches</w:t>
            </w:r>
          </w:p>
        </w:tc>
      </w:tr>
      <w:tr>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1A7E8F"/>
                <w:sz w:val="18"/>
                <w:szCs w:val="18"/>
              </w:rPr>
              <w:t xml:space="preserve">Recreate</w:t>
            </w:r>
          </w:p>
        </w:tc>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Stop all instances; deploy new version; restart; downtime window required</w:t>
            </w:r>
          </w:p>
        </w:tc>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Medium (re-deploy old version)</w:t>
            </w:r>
          </w:p>
        </w:tc>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Low</w:t>
            </w:r>
          </w:p>
        </w:tc>
        <w:tc>
          <w:tcPr>
            <w:tcW w:type="dxa" w:w="1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Dev/test environments; stateful services requiring schema migration; scheduled maintenance</w:t>
            </w:r>
          </w:p>
        </w:tc>
      </w:tr>
    </w:tbl>
    <w:p>
      <w:pPr>
        <w:spacing w:after="200"/>
      </w:pPr>
      <w:r>
        <w:t xml:space="preserve"/>
      </w:r>
    </w:p>
    <w:p>
      <w:pPr>
        <w:pStyle w:val="Heading2"/>
      </w:pPr>
      <w:r>
        <w:rPr>
          <w:rFonts w:ascii="Arial" w:cs="Arial" w:eastAsia="Arial" w:hAnsi="Arial"/>
          <w:b/>
          <w:bCs/>
          <w:color w:val="1A7E8F"/>
          <w:sz w:val="27"/>
          <w:szCs w:val="27"/>
        </w:rPr>
        <w:t xml:space="preserve">3.2  Canary Deployment in Detail</w:t>
      </w:r>
    </w:p>
    <w:p>
      <w:pPr>
        <w:spacing w:after="120"/>
      </w:pPr>
      <w:r>
        <w:rPr>
          <w:rFonts w:ascii="Arial" w:cs="Arial" w:eastAsia="Arial" w:hAnsi="Arial"/>
          <w:color w:val="111111"/>
          <w:sz w:val="20"/>
          <w:szCs w:val="20"/>
        </w:rPr>
        <w:t xml:space="preserve">Canary deployments are the recommended strategy for high-traffic services or changes with meaningful user impact risk. The process follows a traffic-increment model:</w:t>
      </w:r>
    </w:p>
    <w:p>
      <w:pPr>
        <w:pStyle w:val="ListParagraph"/>
        <w:numPr>
          <w:ilvl w:val="0"/>
          <w:numId w:val="3"/>
        </w:numPr>
        <w:spacing w:after="80"/>
      </w:pPr>
      <w:r>
        <w:rPr>
          <w:rFonts w:ascii="Arial" w:cs="Arial" w:eastAsia="Arial" w:hAnsi="Arial"/>
          <w:sz w:val="20"/>
          <w:szCs w:val="20"/>
        </w:rPr>
        <w:t xml:space="preserve">Deploy new version to 1–5% of nodes or users; monitor SLIs (error rate, latency, saturation) for a defined bake window (typically 15–30 minutes).</w:t>
      </w:r>
    </w:p>
    <w:p>
      <w:pPr>
        <w:pStyle w:val="ListParagraph"/>
        <w:numPr>
          <w:ilvl w:val="0"/>
          <w:numId w:val="3"/>
        </w:numPr>
        <w:spacing w:after="80"/>
      </w:pPr>
      <w:r>
        <w:rPr>
          <w:rFonts w:ascii="Arial" w:cs="Arial" w:eastAsia="Arial" w:hAnsi="Arial"/>
          <w:sz w:val="20"/>
          <w:szCs w:val="20"/>
        </w:rPr>
        <w:t xml:space="preserve">If SLIs remain within threshold, increment traffic to 25%; monitor for another bake window.</w:t>
      </w:r>
    </w:p>
    <w:p>
      <w:pPr>
        <w:pStyle w:val="ListParagraph"/>
        <w:numPr>
          <w:ilvl w:val="0"/>
          <w:numId w:val="3"/>
        </w:numPr>
        <w:spacing w:after="80"/>
      </w:pPr>
      <w:r>
        <w:rPr>
          <w:rFonts w:ascii="Arial" w:cs="Arial" w:eastAsia="Arial" w:hAnsi="Arial"/>
          <w:sz w:val="20"/>
          <w:szCs w:val="20"/>
        </w:rPr>
        <w:t xml:space="preserve">Continue incrementing: 50% → 100%; at each stage, automated analysis (Argo Rollouts / Flagger) compares canary vs stable metrics.</w:t>
      </w:r>
    </w:p>
    <w:p>
      <w:pPr>
        <w:pStyle w:val="ListParagraph"/>
        <w:numPr>
          <w:ilvl w:val="0"/>
          <w:numId w:val="3"/>
        </w:numPr>
        <w:spacing w:after="80"/>
      </w:pPr>
      <w:r>
        <w:rPr>
          <w:rFonts w:ascii="Arial" w:cs="Arial" w:eastAsia="Arial" w:hAnsi="Arial"/>
          <w:sz w:val="20"/>
          <w:szCs w:val="20"/>
        </w:rPr>
        <w:t xml:space="preserve">If SLI regression detected at any stage: automatic rollback to 0% canary; incident created; root cause analysis performed before retry.</w:t>
      </w:r>
    </w:p>
    <w:p>
      <w:pPr>
        <w:spacing w:after="120"/>
      </w:pPr>
      <w:r>
        <w:t xml:space="preserve"/>
      </w:r>
    </w:p>
    <w:p>
      <w:pPr>
        <w:spacing w:after="120"/>
      </w:pPr>
      <w:r>
        <w:rPr>
          <w:rFonts w:ascii="Arial" w:cs="Arial" w:eastAsia="Arial" w:hAnsi="Arial"/>
          <w:color w:val="111111"/>
          <w:sz w:val="20"/>
          <w:szCs w:val="20"/>
        </w:rPr>
        <w:t xml:space="preserve">For HDFS DataNode configuration changes: deploy new config to 5% of DataNodes; monitor E3 exception rate, E5 re-replication events, and E6 block report frequency for 30 minutes before proceeding. For BGL firmware: canary to 1 rack before full cluster update.</w:t>
      </w:r>
    </w:p>
    <w:p>
      <w:pPr>
        <w:spacing w:after="200"/>
      </w:pPr>
      <w:r>
        <w:t xml:space="preserve"/>
      </w:r>
    </w:p>
    <w:p>
      <w:pPr>
        <w:pStyle w:val="Heading2"/>
      </w:pPr>
      <w:r>
        <w:rPr>
          <w:rFonts w:ascii="Arial" w:cs="Arial" w:eastAsia="Arial" w:hAnsi="Arial"/>
          <w:b/>
          <w:bCs/>
          <w:color w:val="1A7E8F"/>
          <w:sz w:val="27"/>
          <w:szCs w:val="27"/>
        </w:rPr>
        <w:t xml:space="preserve">3.3  Blue-Green Deployment in Detail</w:t>
      </w:r>
    </w:p>
    <w:p>
      <w:pPr>
        <w:spacing w:after="120"/>
      </w:pPr>
      <w:r>
        <w:rPr>
          <w:rFonts w:ascii="Arial" w:cs="Arial" w:eastAsia="Arial" w:hAnsi="Arial"/>
          <w:color w:val="111111"/>
          <w:sz w:val="20"/>
          <w:szCs w:val="20"/>
        </w:rPr>
        <w:t xml:space="preserve">Blue-green deployments provide instant rollback capability at the cost of doubled infrastructure. The strategy is particularly valuable when: (a) schema migrations make in-place rollback impractical, (b) zero-downtime is a contractual requirement, or (c) the change carries high-consequence risk.</w:t>
      </w:r>
    </w:p>
    <w:p>
      <w:pPr>
        <w:pStyle w:val="ListParagraph"/>
        <w:numPr>
          <w:ilvl w:val="0"/>
          <w:numId w:val="2"/>
        </w:numPr>
        <w:spacing w:after="80"/>
      </w:pPr>
      <w:r>
        <w:rPr>
          <w:rFonts w:ascii="Arial" w:cs="Arial" w:eastAsia="Arial" w:hAnsi="Arial"/>
          <w:sz w:val="20"/>
          <w:szCs w:val="20"/>
        </w:rPr>
        <w:t xml:space="preserve">Blue (live environment): serves 100% of production traffic during deployment preparation.</w:t>
      </w:r>
    </w:p>
    <w:p>
      <w:pPr>
        <w:pStyle w:val="ListParagraph"/>
        <w:numPr>
          <w:ilvl w:val="0"/>
          <w:numId w:val="2"/>
        </w:numPr>
        <w:spacing w:after="80"/>
      </w:pPr>
      <w:r>
        <w:rPr>
          <w:rFonts w:ascii="Arial" w:cs="Arial" w:eastAsia="Arial" w:hAnsi="Arial"/>
          <w:sz w:val="20"/>
          <w:szCs w:val="20"/>
        </w:rPr>
        <w:t xml:space="preserve">Green (staging environment): receives the new deployment; undergoes full test validation and smoke tests while blue continues serving.</w:t>
      </w:r>
    </w:p>
    <w:p>
      <w:pPr>
        <w:pStyle w:val="ListParagraph"/>
        <w:numPr>
          <w:ilvl w:val="0"/>
          <w:numId w:val="2"/>
        </w:numPr>
        <w:spacing w:after="80"/>
      </w:pPr>
      <w:r>
        <w:rPr>
          <w:rFonts w:ascii="Arial" w:cs="Arial" w:eastAsia="Arial" w:hAnsi="Arial"/>
          <w:sz w:val="20"/>
          <w:szCs w:val="20"/>
        </w:rPr>
        <w:t xml:space="preserve">Cutover: load balancer switch; typically &lt; 1 second traffic transfer; blue remains warm for rapid fallback.</w:t>
      </w:r>
    </w:p>
    <w:p>
      <w:pPr>
        <w:pStyle w:val="ListParagraph"/>
        <w:numPr>
          <w:ilvl w:val="0"/>
          <w:numId w:val="2"/>
        </w:numPr>
        <w:spacing w:after="80"/>
      </w:pPr>
      <w:r>
        <w:rPr>
          <w:rFonts w:ascii="Arial" w:cs="Arial" w:eastAsia="Arial" w:hAnsi="Arial"/>
          <w:sz w:val="20"/>
          <w:szCs w:val="20"/>
        </w:rPr>
        <w:t xml:space="preserve">Rollback: if issues detected post-cutover, switch load balancer back to blue; RTO typically &lt; 60 seconds.</w:t>
      </w:r>
    </w:p>
    <w:p>
      <w:pPr>
        <w:pStyle w:val="ListParagraph"/>
        <w:numPr>
          <w:ilvl w:val="0"/>
          <w:numId w:val="2"/>
        </w:numPr>
        <w:spacing w:after="80"/>
      </w:pPr>
      <w:r>
        <w:rPr>
          <w:rFonts w:ascii="Arial" w:cs="Arial" w:eastAsia="Arial" w:hAnsi="Arial"/>
          <w:sz w:val="20"/>
          <w:szCs w:val="20"/>
        </w:rPr>
        <w:t xml:space="preserve">IaC requirement: both environments must be managed via identical Terraform/Ansible modules to prevent configuration divergence.</w:t>
      </w:r>
    </w:p>
    <w:p>
      <w:pPr>
        <w:spacing w:after="200"/>
      </w:pPr>
      <w:r>
        <w:t xml:space="preserve"/>
      </w:r>
    </w:p>
    <w:p>
      <w:pPr>
        <w:pStyle w:val="Heading1"/>
        <w:pageBreakBefore/>
      </w:pPr>
      <w:r>
        <w:rPr>
          <w:rFonts w:ascii="Arial" w:cs="Arial" w:eastAsia="Arial" w:hAnsi="Arial"/>
          <w:b/>
          <w:bCs/>
          <w:color w:val="0D3B47"/>
          <w:sz w:val="34"/>
          <w:szCs w:val="34"/>
        </w:rPr>
        <w:t xml:space="preserve">4. DORA Metrics &amp; Delivery Performance</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The DORA (DevOps Research and Assessment) metrics were established by the DORA research team at Google through a decade of longitudinal research across 32,000+ technology professionals. First formalised in the Accelerate book (Forsgren, Humble &amp; Kim, 2018), the four key metrics provide an objective, evidence-backed framework for measuring software delivery performance. A fifth metric — Reliability — was added in 2021 to capture operational performance.</w:t>
      </w:r>
    </w:p>
    <w:p>
      <w:pPr>
        <w:spacing w:after="120"/>
      </w:pPr>
      <w:r>
        <w:t xml:space="preserve"/>
      </w:r>
    </w:p>
    <w:p>
      <w:pPr>
        <w:pStyle w:val="Heading2"/>
      </w:pPr>
      <w:r>
        <w:rPr>
          <w:rFonts w:ascii="Arial" w:cs="Arial" w:eastAsia="Arial" w:hAnsi="Arial"/>
          <w:b/>
          <w:bCs/>
          <w:color w:val="1A7E8F"/>
          <w:sz w:val="27"/>
          <w:szCs w:val="27"/>
        </w:rPr>
        <w:t xml:space="preserve">4.1  DORA Metrics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200"/>
        <w:gridCol w:w="1200"/>
        <w:gridCol w:w="1960"/>
      </w:tblGrid>
      <w:tr>
        <w:trPr>
          <w:tblHeader/>
        </w:trPr>
        <w:tc>
          <w:tcPr>
            <w:tcW w:type="dxa" w:w="18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12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Low</w:t>
            </w:r>
          </w:p>
        </w:tc>
        <w:tc>
          <w:tcPr>
            <w:tcW w:type="dxa" w:w="12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Medium</w:t>
            </w:r>
          </w:p>
        </w:tc>
        <w:tc>
          <w:tcPr>
            <w:tcW w:type="dxa" w:w="12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w:t>
            </w:r>
          </w:p>
        </w:tc>
        <w:tc>
          <w:tcPr>
            <w:tcW w:type="dxa" w:w="196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Elite (Top 25%)</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Deployment Frequency</w:t>
            </w:r>
          </w:p>
        </w:tc>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How often code is deployed to production</w:t>
            </w:r>
          </w:p>
        </w:tc>
        <w:tc>
          <w:tcPr>
            <w:tcW w:type="dxa" w:w="1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9B1C1C"/>
                <w:sz w:val="18"/>
                <w:szCs w:val="18"/>
              </w:rPr>
              <w:t xml:space="preserve">&lt; monthly</w:t>
            </w:r>
          </w:p>
        </w:tc>
        <w:tc>
          <w:tcPr>
            <w:tcW w:type="dxa" w:w="1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7A4F00"/>
                <w:sz w:val="18"/>
                <w:szCs w:val="18"/>
              </w:rPr>
              <w:t xml:space="preserve">Monthly–weekly</w:t>
            </w:r>
          </w:p>
        </w:tc>
        <w:tc>
          <w:tcPr>
            <w:tcW w:type="dxa" w:w="1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Weekly–daily</w:t>
            </w:r>
          </w:p>
        </w:tc>
        <w:tc>
          <w:tcPr>
            <w:tcW w:type="dxa" w:w="19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1E5C2E"/>
                <w:sz w:val="18"/>
                <w:szCs w:val="18"/>
              </w:rPr>
              <w:t xml:space="preserve">&gt; 1×/day</w:t>
            </w:r>
          </w:p>
        </w:tc>
      </w:tr>
      <w:tr>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Lead Time for Changes</w:t>
            </w:r>
          </w:p>
        </w:tc>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Code commit → production deploy time</w:t>
            </w:r>
          </w:p>
        </w:tc>
        <w:tc>
          <w:tcPr>
            <w:tcW w:type="dxa" w:w="1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9B1C1C"/>
                <w:sz w:val="18"/>
                <w:szCs w:val="18"/>
              </w:rPr>
              <w:t xml:space="preserve">&gt; 6 months</w:t>
            </w:r>
          </w:p>
        </w:tc>
        <w:tc>
          <w:tcPr>
            <w:tcW w:type="dxa" w:w="1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7A4F00"/>
                <w:sz w:val="18"/>
                <w:szCs w:val="18"/>
              </w:rPr>
              <w:t xml:space="preserve">1–6 months</w:t>
            </w:r>
          </w:p>
        </w:tc>
        <w:tc>
          <w:tcPr>
            <w:tcW w:type="dxa" w:w="1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week–1 month</w:t>
            </w:r>
          </w:p>
        </w:tc>
        <w:tc>
          <w:tcPr>
            <w:tcW w:type="dxa" w:w="19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1E5C2E"/>
                <w:sz w:val="18"/>
                <w:szCs w:val="18"/>
              </w:rPr>
              <w:t xml:space="preserve">&lt; 1 hour</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Change Failure Rate</w:t>
            </w:r>
          </w:p>
        </w:tc>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 of deployments causing production failure</w:t>
            </w:r>
          </w:p>
        </w:tc>
        <w:tc>
          <w:tcPr>
            <w:tcW w:type="dxa" w:w="1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9B1C1C"/>
                <w:sz w:val="18"/>
                <w:szCs w:val="18"/>
              </w:rPr>
              <w:t xml:space="preserve">&gt; 15%</w:t>
            </w:r>
          </w:p>
        </w:tc>
        <w:tc>
          <w:tcPr>
            <w:tcW w:type="dxa" w:w="1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7A4F00"/>
                <w:sz w:val="18"/>
                <w:szCs w:val="18"/>
              </w:rPr>
              <w:t xml:space="preserve">10–15%</w:t>
            </w:r>
          </w:p>
        </w:tc>
        <w:tc>
          <w:tcPr>
            <w:tcW w:type="dxa" w:w="1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&lt; 10%</w:t>
            </w:r>
          </w:p>
        </w:tc>
        <w:tc>
          <w:tcPr>
            <w:tcW w:type="dxa" w:w="19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1E5C2E"/>
                <w:sz w:val="18"/>
                <w:szCs w:val="18"/>
              </w:rPr>
              <w:t xml:space="preserve">0–5%</w:t>
            </w:r>
          </w:p>
        </w:tc>
      </w:tr>
      <w:tr>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Failed Deploy Recovery Time</w:t>
            </w:r>
          </w:p>
        </w:tc>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Time to restore service after failed deployment</w:t>
            </w:r>
          </w:p>
        </w:tc>
        <w:tc>
          <w:tcPr>
            <w:tcW w:type="dxa" w:w="1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9B1C1C"/>
                <w:sz w:val="18"/>
                <w:szCs w:val="18"/>
              </w:rPr>
              <w:t xml:space="preserve">&gt; 6 months</w:t>
            </w:r>
          </w:p>
        </w:tc>
        <w:tc>
          <w:tcPr>
            <w:tcW w:type="dxa" w:w="1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7A4F00"/>
                <w:sz w:val="18"/>
                <w:szCs w:val="18"/>
              </w:rPr>
              <w:t xml:space="preserve">1 week–6 months</w:t>
            </w:r>
          </w:p>
        </w:tc>
        <w:tc>
          <w:tcPr>
            <w:tcW w:type="dxa" w:w="1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&lt; 1 day</w:t>
            </w:r>
          </w:p>
        </w:tc>
        <w:tc>
          <w:tcPr>
            <w:tcW w:type="dxa" w:w="19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1E5C2E"/>
                <w:sz w:val="18"/>
                <w:szCs w:val="18"/>
              </w:rPr>
              <w:t xml:space="preserve">&lt; 1 hour</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Reliability (5th metric)</w:t>
            </w:r>
          </w:p>
        </w:tc>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Meeting or exceeding defined SLO targets</w:t>
            </w:r>
          </w:p>
        </w:tc>
        <w:tc>
          <w:tcPr>
            <w:tcW w:type="dxa" w:w="1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9B1C1C"/>
                <w:sz w:val="18"/>
                <w:szCs w:val="18"/>
              </w:rPr>
              <w:t xml:space="preserve">&lt; 99%</w:t>
            </w:r>
          </w:p>
        </w:tc>
        <w:tc>
          <w:tcPr>
            <w:tcW w:type="dxa" w:w="1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7A4F00"/>
                <w:sz w:val="18"/>
                <w:szCs w:val="18"/>
              </w:rPr>
              <w:t xml:space="preserve">99–99.5%</w:t>
            </w:r>
          </w:p>
        </w:tc>
        <w:tc>
          <w:tcPr>
            <w:tcW w:type="dxa" w:w="1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99.5–99.9%</w:t>
            </w:r>
          </w:p>
        </w:tc>
        <w:tc>
          <w:tcPr>
            <w:tcW w:type="dxa" w:w="19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1E5C2E"/>
                <w:sz w:val="18"/>
                <w:szCs w:val="18"/>
              </w:rPr>
              <w:t xml:space="preserve">&gt; 99.9%</w:t>
            </w:r>
          </w:p>
        </w:tc>
      </w:tr>
    </w:tbl>
    <w:p>
      <w:pPr>
        <w:spacing w:after="200"/>
      </w:pPr>
      <w:r>
        <w:t xml:space="preserve"/>
      </w:r>
    </w:p>
    <w:p>
      <w:pPr>
        <w:pStyle w:val="Heading2"/>
      </w:pPr>
      <w:r>
        <w:rPr>
          <w:rFonts w:ascii="Arial" w:cs="Arial" w:eastAsia="Arial" w:hAnsi="Arial"/>
          <w:b/>
          <w:bCs/>
          <w:color w:val="1A7E8F"/>
          <w:sz w:val="27"/>
          <w:szCs w:val="27"/>
        </w:rPr>
        <w:t xml:space="preserve">4.2  Using DORA Metrics for the BGL / HDFS RAG System</w:t>
      </w:r>
    </w:p>
    <w:p>
      <w:pPr>
        <w:pStyle w:val="ListParagraph"/>
        <w:numPr>
          <w:ilvl w:val="0"/>
          <w:numId w:val="2"/>
        </w:numPr>
        <w:spacing w:after="80"/>
      </w:pPr>
      <w:r>
        <w:rPr>
          <w:rFonts w:ascii="Arial" w:cs="Arial" w:eastAsia="Arial" w:hAnsi="Arial"/>
          <w:sz w:val="20"/>
          <w:szCs w:val="20"/>
        </w:rPr>
        <w:t xml:space="preserve">Deployment Frequency: track how often the log analysis model, RAG index, and pipeline components are deployed; target weekly or more frequently.</w:t>
      </w:r>
    </w:p>
    <w:p>
      <w:pPr>
        <w:pStyle w:val="ListParagraph"/>
        <w:numPr>
          <w:ilvl w:val="0"/>
          <w:numId w:val="2"/>
        </w:numPr>
        <w:spacing w:after="80"/>
      </w:pPr>
      <w:r>
        <w:rPr>
          <w:rFonts w:ascii="Arial" w:cs="Arial" w:eastAsia="Arial" w:hAnsi="Arial"/>
          <w:sz w:val="20"/>
          <w:szCs w:val="20"/>
        </w:rPr>
        <w:t xml:space="preserve">Lead Time: measure from ML model code commit to production inference availability; identify bottlenecks in training, evaluation, and deployment stages.</w:t>
      </w:r>
    </w:p>
    <w:p>
      <w:pPr>
        <w:pStyle w:val="ListParagraph"/>
        <w:numPr>
          <w:ilvl w:val="0"/>
          <w:numId w:val="2"/>
        </w:numPr>
        <w:spacing w:after="80"/>
      </w:pPr>
      <w:r>
        <w:rPr>
          <w:rFonts w:ascii="Arial" w:cs="Arial" w:eastAsia="Arial" w:hAnsi="Arial"/>
          <w:sz w:val="20"/>
          <w:szCs w:val="20"/>
        </w:rPr>
        <w:t xml:space="preserve">Change Failure Rate: track what percentage of model or pipeline updates cause degraded anomaly detection accuracy or increased false-positive rates.</w:t>
      </w:r>
    </w:p>
    <w:p>
      <w:pPr>
        <w:pStyle w:val="ListParagraph"/>
        <w:numPr>
          <w:ilvl w:val="0"/>
          <w:numId w:val="2"/>
        </w:numPr>
        <w:spacing w:after="80"/>
      </w:pPr>
      <w:r>
        <w:rPr>
          <w:rFonts w:ascii="Arial" w:cs="Arial" w:eastAsia="Arial" w:hAnsi="Arial"/>
          <w:sz w:val="20"/>
          <w:szCs w:val="20"/>
        </w:rPr>
        <w:t xml:space="preserve">Recovery Time: measure how quickly the team can restore anomaly detection capability after a model deployment failure or pipeline outage.</w:t>
      </w:r>
    </w:p>
    <w:p>
      <w:pPr>
        <w:pStyle w:val="ListParagraph"/>
        <w:numPr>
          <w:ilvl w:val="0"/>
          <w:numId w:val="2"/>
        </w:numPr>
        <w:spacing w:after="80"/>
      </w:pPr>
      <w:r>
        <w:rPr>
          <w:rFonts w:ascii="Arial" w:cs="Arial" w:eastAsia="Arial" w:hAnsi="Arial"/>
          <w:sz w:val="20"/>
          <w:szCs w:val="20"/>
        </w:rPr>
        <w:t xml:space="preserve">Reliability: track uptime of the RAG inference endpoint and log ingestion pipeline against defined SLOs.</w:t>
      </w:r>
    </w:p>
    <w:p>
      <w:pPr>
        <w:spacing w:after="120"/>
      </w:pPr>
      <w:r>
        <w:t xml:space="preserve"/>
      </w:r>
    </w:p>
    <w:p>
      <w:pPr>
        <w:spacing w:after="120"/>
      </w:pPr>
      <w:r>
        <w:rPr>
          <w:rFonts w:ascii="Arial" w:cs="Arial" w:eastAsia="Arial" w:hAnsi="Arial"/>
          <w:color w:val="111111"/>
          <w:sz w:val="20"/>
          <w:szCs w:val="20"/>
        </w:rPr>
        <w:t xml:space="preserve">The 2024 DORA State of DevOps Report found that AI adoption correlates with improved documentation quality (+7.5%) and code quality (+3.4%) but may initially reduce delivery stability. DevOps Engineers on AI-augmented systems like this RAG anomaly detection platform should monitor CFR carefully during the maturation phase.</w:t>
      </w:r>
    </w:p>
    <w:p>
      <w:pPr>
        <w:spacing w:after="200"/>
      </w:pPr>
      <w:r>
        <w:t xml:space="preserve"/>
      </w:r>
    </w:p>
    <w:p>
      <w:pPr>
        <w:pStyle w:val="Heading1"/>
        <w:pageBreakBefore/>
      </w:pPr>
      <w:r>
        <w:rPr>
          <w:rFonts w:ascii="Arial" w:cs="Arial" w:eastAsia="Arial" w:hAnsi="Arial"/>
          <w:b/>
          <w:bCs/>
          <w:color w:val="0D3B47"/>
          <w:sz w:val="34"/>
          <w:szCs w:val="34"/>
        </w:rPr>
        <w:t xml:space="preserve">5. Infrastructure as Code &amp; Environment Management</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Infrastructure as Code (IaC) is the practice of managing and provisioning infrastructure through machine-readable configuration files rather than manual processes. IaC is foundational to DevOps because it enables reproducibility, version control, peer review, automated testing, and drift detection — all of which reduce the operational risk associated with environment changes.</w:t>
      </w:r>
    </w:p>
    <w:p>
      <w:pPr>
        <w:spacing w:after="120"/>
      </w:pPr>
      <w:r>
        <w:t xml:space="preserve"/>
      </w:r>
    </w:p>
    <w:p>
      <w:pPr>
        <w:pStyle w:val="Heading2"/>
      </w:pPr>
      <w:r>
        <w:rPr>
          <w:rFonts w:ascii="Arial" w:cs="Arial" w:eastAsia="Arial" w:hAnsi="Arial"/>
          <w:b/>
          <w:bCs/>
          <w:color w:val="1A7E8F"/>
          <w:sz w:val="27"/>
          <w:szCs w:val="27"/>
        </w:rPr>
        <w:t xml:space="preserve">5.1  IaC Best Practices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tblHeader/>
        </w:trPr>
        <w:tc>
          <w:tcPr>
            <w:tcW w:type="dxa" w:w="20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Practice</w:t>
            </w:r>
          </w:p>
        </w:tc>
        <w:tc>
          <w:tcPr>
            <w:tcW w:type="dxa" w:w="348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88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 to BGL / HDFS Research System</w:t>
            </w:r>
          </w:p>
        </w:tc>
      </w:tr>
      <w:tr>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Declarative Configuration</w:t>
            </w:r>
          </w:p>
        </w:tc>
        <w:tc>
          <w:tcPr>
            <w:tcW w:type="dxa" w:w="348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Define desired state (not imperatives); let IaC engine reconcile to target state</w:t>
            </w:r>
          </w:p>
        </w:tc>
        <w:tc>
          <w:tcPr>
            <w:tcW w:type="dxa" w:w="388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Terraform modules for HDFS cluster sizing, DataNode count, replication factor; BGL partition layout</w:t>
            </w:r>
          </w:p>
        </w:tc>
      </w:tr>
      <w:tr>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Version Control</w:t>
            </w:r>
          </w:p>
        </w:tc>
        <w:tc>
          <w:tcPr>
            <w:tcW w:type="dxa" w:w="348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All IaC in Git; no manual production changes; every change reviewed via PR; full audit trail</w:t>
            </w:r>
          </w:p>
        </w:tc>
        <w:tc>
          <w:tcPr>
            <w:tcW w:type="dxa" w:w="388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cluster config alongside log analysis code in same repo; BGL experiment configs versioned</w:t>
            </w:r>
          </w:p>
        </w:tc>
      </w:tr>
      <w:tr>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Immutable Infrastructure</w:t>
            </w:r>
          </w:p>
        </w:tc>
        <w:tc>
          <w:tcPr>
            <w:tcW w:type="dxa" w:w="348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Replace servers rather than patching in-place; identical images from the same build artefact</w:t>
            </w:r>
          </w:p>
        </w:tc>
        <w:tc>
          <w:tcPr>
            <w:tcW w:type="dxa" w:w="388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DataNode replacement on failure rather than manual repair; BGL compute node images versioned</w:t>
            </w:r>
          </w:p>
        </w:tc>
      </w:tr>
      <w:tr>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Drift Detection</w:t>
            </w:r>
          </w:p>
        </w:tc>
        <w:tc>
          <w:tcPr>
            <w:tcW w:type="dxa" w:w="348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Automated comparison of actual vs declared state; alert on unexpected drift; auto-remediation options</w:t>
            </w:r>
          </w:p>
        </w:tc>
        <w:tc>
          <w:tcPr>
            <w:tcW w:type="dxa" w:w="388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Alert if HDFS DataNode count deviates from Terraform state; BGL node inventory reconciliation</w:t>
            </w:r>
          </w:p>
        </w:tc>
      </w:tr>
      <w:tr>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Secrets Management</w:t>
            </w:r>
          </w:p>
        </w:tc>
        <w:tc>
          <w:tcPr>
            <w:tcW w:type="dxa" w:w="348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 secrets in IaC code or CI/CD config; use Vault / AWS Secrets Manager / Azure Key Vault; rotation automation</w:t>
            </w:r>
          </w:p>
        </w:tc>
        <w:tc>
          <w:tcPr>
            <w:tcW w:type="dxa" w:w="388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NameNode authentication keys; BGL MMCS credentials managed via Vault with automatic rotation</w:t>
            </w:r>
          </w:p>
        </w:tc>
      </w:tr>
      <w:tr>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Environment Parity</w:t>
            </w:r>
          </w:p>
        </w:tc>
        <w:tc>
          <w:tcPr>
            <w:tcW w:type="dxa" w:w="348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Staging and production use identical IaC modules; only variable values differ; prevents 'works in staging' failures</w:t>
            </w:r>
          </w:p>
        </w:tc>
        <w:tc>
          <w:tcPr>
            <w:tcW w:type="dxa" w:w="388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Same HDFS cluster IaC for research and production; BGL job scheduler config consistent across nodes</w:t>
            </w:r>
          </w:p>
        </w:tc>
      </w:tr>
    </w:tbl>
    <w:p>
      <w:pPr>
        <w:spacing w:after="200"/>
      </w:pPr>
      <w:r>
        <w:t xml:space="preserve"/>
      </w:r>
    </w:p>
    <w:p>
      <w:pPr>
        <w:pStyle w:val="Heading2"/>
      </w:pPr>
      <w:r>
        <w:rPr>
          <w:rFonts w:ascii="Arial" w:cs="Arial" w:eastAsia="Arial" w:hAnsi="Arial"/>
          <w:b/>
          <w:bCs/>
          <w:color w:val="1A7E8F"/>
          <w:sz w:val="27"/>
          <w:szCs w:val="27"/>
        </w:rPr>
        <w:t xml:space="preserve">5.2  GitOps: IaC with Continuous Delivery</w:t>
      </w:r>
    </w:p>
    <w:p>
      <w:pPr>
        <w:spacing w:after="120"/>
      </w:pPr>
      <w:r>
        <w:rPr>
          <w:rFonts w:ascii="Arial" w:cs="Arial" w:eastAsia="Arial" w:hAnsi="Arial"/>
          <w:color w:val="111111"/>
          <w:sz w:val="20"/>
          <w:szCs w:val="20"/>
        </w:rPr>
        <w:t xml:space="preserve">GitOps extends IaC by using Git as the single source of truth for both application and infrastructure state. A GitOps operator (Argo CD, Flux) continuously reconciles the live cluster state against the declared state in Git. Any deviation triggers automatic remediation.</w:t>
      </w:r>
    </w:p>
    <w:p>
      <w:pPr>
        <w:spacing w:after="80"/>
      </w:pPr>
      <w:r>
        <w:t xml:space="preserve"/>
      </w:r>
    </w:p>
    <w:p>
      <w:pPr>
        <w:pStyle w:val="ListParagraph"/>
        <w:numPr>
          <w:ilvl w:val="0"/>
          <w:numId w:val="2"/>
        </w:numPr>
        <w:spacing w:after="80"/>
      </w:pPr>
      <w:r>
        <w:rPr>
          <w:rFonts w:ascii="Arial" w:cs="Arial" w:eastAsia="Arial" w:hAnsi="Arial"/>
          <w:sz w:val="20"/>
          <w:szCs w:val="20"/>
        </w:rPr>
        <w:t xml:space="preserve">All changes to HDFS cluster configuration (node count, replication factor, NameNode heap) are committed to Git as Terraform/Ansible code.</w:t>
      </w:r>
    </w:p>
    <w:p>
      <w:pPr>
        <w:pStyle w:val="ListParagraph"/>
        <w:numPr>
          <w:ilvl w:val="0"/>
          <w:numId w:val="2"/>
        </w:numPr>
        <w:spacing w:after="80"/>
      </w:pPr>
      <w:r>
        <w:rPr>
          <w:rFonts w:ascii="Arial" w:cs="Arial" w:eastAsia="Arial" w:hAnsi="Arial"/>
          <w:sz w:val="20"/>
          <w:szCs w:val="20"/>
        </w:rPr>
        <w:t xml:space="preserve">BGL partition layout and MMCS configuration changes follow the same Git-reviewed path as application code.</w:t>
      </w:r>
    </w:p>
    <w:p>
      <w:pPr>
        <w:pStyle w:val="ListParagraph"/>
        <w:numPr>
          <w:ilvl w:val="0"/>
          <w:numId w:val="2"/>
        </w:numPr>
        <w:spacing w:after="80"/>
      </w:pPr>
      <w:r>
        <w:rPr>
          <w:rFonts w:ascii="Arial" w:cs="Arial" w:eastAsia="Arial" w:hAnsi="Arial"/>
          <w:sz w:val="20"/>
          <w:szCs w:val="20"/>
        </w:rPr>
        <w:t xml:space="preserve">The GitOps operator detects configuration drift on DataNodes and automatically re-applies the declared configuration, preventing silent drift from accumulating.</w:t>
      </w:r>
    </w:p>
    <w:p>
      <w:pPr>
        <w:pStyle w:val="ListParagraph"/>
        <w:numPr>
          <w:ilvl w:val="0"/>
          <w:numId w:val="2"/>
        </w:numPr>
        <w:spacing w:after="80"/>
      </w:pPr>
      <w:r>
        <w:rPr>
          <w:rFonts w:ascii="Arial" w:cs="Arial" w:eastAsia="Arial" w:hAnsi="Arial"/>
          <w:sz w:val="20"/>
          <w:szCs w:val="20"/>
        </w:rPr>
        <w:t xml:space="preserve">Audit trail: every production change is traceable to a Git commit, PR, and approver — essential for incident post-mortems.</w:t>
      </w:r>
    </w:p>
    <w:p>
      <w:pPr>
        <w:spacing w:after="200"/>
      </w:pPr>
      <w:r>
        <w:t xml:space="preserve"/>
      </w:r>
    </w:p>
    <w:p>
      <w:pPr>
        <w:pStyle w:val="Heading1"/>
        <w:pageBreakBefore/>
      </w:pPr>
      <w:r>
        <w:rPr>
          <w:rFonts w:ascii="Arial" w:cs="Arial" w:eastAsia="Arial" w:hAnsi="Arial"/>
          <w:b/>
          <w:bCs/>
          <w:color w:val="0D3B47"/>
          <w:sz w:val="34"/>
          <w:szCs w:val="34"/>
        </w:rPr>
        <w:t xml:space="preserve">6. Incident Response (Change-Induced Failures)</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DevOps Engineers are primarily involved in incidents that are caused or exacerbated by deployment or infrastructure changes. The DORA research programme established that high-performing teams detect and recover from deployment failures significantly faster than low performers — elite teams restore service after a failed deploy in under 1 hour; low performers may take weeks.</w:t>
      </w:r>
    </w:p>
    <w:p>
      <w:pPr>
        <w:spacing w:after="120"/>
      </w:pPr>
      <w:r>
        <w:t xml:space="preserve"/>
      </w:r>
    </w:p>
    <w:p>
      <w:pPr>
        <w:pStyle w:val="Heading2"/>
      </w:pPr>
      <w:r>
        <w:rPr>
          <w:rFonts w:ascii="Arial" w:cs="Arial" w:eastAsia="Arial" w:hAnsi="Arial"/>
          <w:b/>
          <w:bCs/>
          <w:color w:val="1A7E8F"/>
          <w:sz w:val="27"/>
          <w:szCs w:val="27"/>
        </w:rPr>
        <w:t xml:space="preserve">6.1  Deployment-Induced Incident Response Process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360"/>
        <w:gridCol w:w="3400"/>
      </w:tblGrid>
      <w:tr>
        <w:trPr>
          <w:tblHeader/>
        </w:trPr>
        <w:tc>
          <w:tcPr>
            <w:tcW w:type="dxa" w:w="6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0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36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DevOps Engineer Steps</w:t>
            </w:r>
          </w:p>
        </w:tc>
        <w:tc>
          <w:tcPr>
            <w:tcW w:type="dxa" w:w="34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BGL / HDFS Deployment Context</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1</w:t>
            </w:r>
          </w:p>
        </w:tc>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Detect Change Regression</w:t>
            </w:r>
          </w:p>
        </w:tc>
        <w:tc>
          <w:tcPr>
            <w:tcW w:type="dxa" w:w="33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Automated post-deploy monitoring fires; compare SLIs pre/post deployment; check deployment window correlation</w:t>
            </w:r>
          </w:p>
        </w:tc>
        <w:tc>
          <w:tcPr>
            <w:tcW w:type="dxa" w:w="3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E3 WARN rate increase within 30 min of DataNode config push; BGL job failure rate up after firmware update</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2</w:t>
            </w:r>
          </w:p>
        </w:tc>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Assess &amp; Classify</w:t>
            </w:r>
          </w:p>
        </w:tc>
        <w:tc>
          <w:tcPr>
            <w:tcW w:type="dxa" w:w="33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Determine if failure is change-induced; check deployment timeline; retrieve change diff; assess scope of impact</w:t>
            </w:r>
          </w:p>
        </w:tc>
        <w:tc>
          <w:tcPr>
            <w:tcW w:type="dxa" w:w="3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Check git blame on HDFS hdfs-site.xml change; correlate BGL firmware version with KERNTERM timing</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3</w:t>
            </w:r>
          </w:p>
        </w:tc>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Execute Rollback</w:t>
            </w:r>
          </w:p>
        </w:tc>
        <w:tc>
          <w:tcPr>
            <w:tcW w:type="dxa" w:w="33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Trigger automated rollback via CD pipeline; restore previous image tag / config; verify deployment health checks pass</w:t>
            </w:r>
          </w:p>
        </w:tc>
        <w:tc>
          <w:tcPr>
            <w:tcW w:type="dxa" w:w="3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Argo CD rollback to previous HDFS DataNode image; revert BGL MMCS configuration to last known-good</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4</w:t>
            </w:r>
          </w:p>
        </w:tc>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Verify Restoration</w:t>
            </w:r>
          </w:p>
        </w:tc>
        <w:tc>
          <w:tcPr>
            <w:tcW w:type="dxa" w:w="33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Confirm SLIs return to baseline; check error rates, latency, and saturation; validate rollback completeness</w:t>
            </w:r>
          </w:p>
        </w:tc>
        <w:tc>
          <w:tcPr>
            <w:tcW w:type="dxa" w:w="3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E6 blockMap updates resume; E3 rate returns to baseline. BGL: job success rate recovers</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5</w:t>
            </w:r>
          </w:p>
        </w:tc>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Communicate &amp; Document</w:t>
            </w:r>
          </w:p>
        </w:tc>
        <w:tc>
          <w:tcPr>
            <w:tcW w:type="dxa" w:w="33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Update status page; notify impacted teams; create incident ticket; attach deployment timeline to ticket</w:t>
            </w:r>
          </w:p>
        </w:tc>
        <w:tc>
          <w:tcPr>
            <w:tcW w:type="dxa" w:w="3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Notify HDFS cluster users of DataNode config rollback; log BGL firmware rollback with node inventory</w:t>
            </w:r>
          </w:p>
        </w:tc>
      </w:tr>
      <w:tr>
        <w:tc>
          <w:tcPr>
            <w:tcW w:type="dxa" w:w="600"/>
            <w:tcBorders>
              <w:top w:val="single" w:color="B0C9CE" w:sz="1"/>
              <w:left w:val="single" w:color="B0C9CE" w:sz="1"/>
              <w:bottom w:val="single" w:color="B0C9CE" w:sz="1"/>
              <w:right w:val="single" w:color="B0C9CE" w:sz="1"/>
            </w:tcBorders>
            <w:shd w:fill="1A7E8F"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6</w:t>
            </w:r>
          </w:p>
        </w:tc>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Root-Cause &amp; Fix Forward</w:t>
            </w:r>
          </w:p>
        </w:tc>
        <w:tc>
          <w:tcPr>
            <w:tcW w:type="dxa" w:w="33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Identify what caused the failure in the change; fix in code; re-run pipeline with new quality gates; re-deploy with approval</w:t>
            </w:r>
          </w:p>
        </w:tc>
        <w:tc>
          <w:tcPr>
            <w:tcW w:type="dxa" w:w="3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Fix HDFS DataNode config parameter; add validation test for BGL firmware compatibility check in pipeline</w:t>
            </w:r>
          </w:p>
        </w:tc>
      </w:tr>
    </w:tbl>
    <w:p>
      <w:pPr>
        <w:spacing w:after="200"/>
      </w:pPr>
      <w:r>
        <w:t xml:space="preserve"/>
      </w:r>
    </w:p>
    <w:p>
      <w:pPr>
        <w:pStyle w:val="Heading2"/>
      </w:pPr>
      <w:r>
        <w:rPr>
          <w:rFonts w:ascii="Arial" w:cs="Arial" w:eastAsia="Arial" w:hAnsi="Arial"/>
          <w:b/>
          <w:bCs/>
          <w:color w:val="1A7E8F"/>
          <w:sz w:val="27"/>
          <w:szCs w:val="27"/>
        </w:rPr>
        <w:t xml:space="preserve">6.2  Rollback Decision Criteria</w:t>
      </w:r>
    </w:p>
    <w:p>
      <w:pPr>
        <w:spacing w:after="120"/>
      </w:pPr>
      <w:r>
        <w:rPr>
          <w:rFonts w:ascii="Arial" w:cs="Arial" w:eastAsia="Arial" w:hAnsi="Arial"/>
          <w:color w:val="111111"/>
          <w:sz w:val="20"/>
          <w:szCs w:val="20"/>
        </w:rPr>
        <w:t xml:space="preserve">The rollback decision should be pre-defined in the deployment runbook to avoid paralysis under pressure. The following criteria trigger automatic or semi-automatic rollback:</w:t>
      </w:r>
    </w:p>
    <w:p>
      <w:pPr>
        <w:pStyle w:val="ListParagraph"/>
        <w:numPr>
          <w:ilvl w:val="0"/>
          <w:numId w:val="2"/>
        </w:numPr>
        <w:spacing w:after="80"/>
      </w:pPr>
      <w:r>
        <w:rPr>
          <w:rFonts w:ascii="Arial" w:cs="Arial" w:eastAsia="Arial" w:hAnsi="Arial"/>
          <w:sz w:val="20"/>
          <w:szCs w:val="20"/>
        </w:rPr>
        <w:t xml:space="preserve">Error rate increases &gt; 10% from pre-deployment baseline within 30 minutes of deployment.</w:t>
      </w:r>
    </w:p>
    <w:p>
      <w:pPr>
        <w:pStyle w:val="ListParagraph"/>
        <w:numPr>
          <w:ilvl w:val="0"/>
          <w:numId w:val="2"/>
        </w:numPr>
        <w:spacing w:after="80"/>
      </w:pPr>
      <w:r>
        <w:rPr>
          <w:rFonts w:ascii="Arial" w:cs="Arial" w:eastAsia="Arial" w:hAnsi="Arial"/>
          <w:sz w:val="20"/>
          <w:szCs w:val="20"/>
        </w:rPr>
        <w:t xml:space="preserve">P99 latency increases &gt; 20% from baseline sustained for &gt; 5 minutes post-deployment.</w:t>
      </w:r>
    </w:p>
    <w:p>
      <w:pPr>
        <w:pStyle w:val="ListParagraph"/>
        <w:numPr>
          <w:ilvl w:val="0"/>
          <w:numId w:val="2"/>
        </w:numPr>
        <w:spacing w:after="80"/>
      </w:pPr>
      <w:r>
        <w:rPr>
          <w:rFonts w:ascii="Arial" w:cs="Arial" w:eastAsia="Arial" w:hAnsi="Arial"/>
          <w:sz w:val="20"/>
          <w:szCs w:val="20"/>
        </w:rPr>
        <w:t xml:space="preserve">Health check endpoint fails on more than 1 instance in the deployment set.</w:t>
      </w:r>
    </w:p>
    <w:p>
      <w:pPr>
        <w:pStyle w:val="ListParagraph"/>
        <w:numPr>
          <w:ilvl w:val="0"/>
          <w:numId w:val="2"/>
        </w:numPr>
        <w:spacing w:after="80"/>
      </w:pPr>
      <w:r>
        <w:rPr>
          <w:rFonts w:ascii="Arial" w:cs="Arial" w:eastAsia="Arial" w:hAnsi="Arial"/>
          <w:sz w:val="20"/>
          <w:szCs w:val="20"/>
        </w:rPr>
        <w:t xml:space="preserve">Any SEV 1 or SEV 2 incident created within 60 minutes of a production deployment.</w:t>
      </w:r>
    </w:p>
    <w:p>
      <w:pPr>
        <w:pStyle w:val="ListParagraph"/>
        <w:numPr>
          <w:ilvl w:val="0"/>
          <w:numId w:val="2"/>
        </w:numPr>
        <w:spacing w:after="80"/>
      </w:pPr>
      <w:r>
        <w:rPr>
          <w:rFonts w:ascii="Arial" w:cs="Arial" w:eastAsia="Arial" w:hAnsi="Arial"/>
          <w:sz w:val="20"/>
          <w:szCs w:val="20"/>
        </w:rPr>
        <w:t xml:space="preserve">Error budget burn rate exceeds 5× post-deployment (automatic pipeline trigger).</w:t>
      </w:r>
    </w:p>
    <w:p>
      <w:pPr>
        <w:spacing w:after="120"/>
      </w:pPr>
      <w:r>
        <w:t xml:space="preserve"/>
      </w:r>
    </w:p>
    <w:p>
      <w:pPr>
        <w:spacing w:after="120"/>
      </w:pPr>
      <w:r>
        <w:rPr>
          <w:rFonts w:ascii="Arial" w:cs="Arial" w:eastAsia="Arial" w:hAnsi="Arial"/>
          <w:color w:val="111111"/>
          <w:sz w:val="20"/>
          <w:szCs w:val="20"/>
        </w:rPr>
        <w:t xml:space="preserve">Rollback must be faster than a forward fix. If rollback takes longer than 15 minutes, the deployment strategy (e.g., blue-green rather than rolling) should be reconsidered for that service.</w:t>
      </w:r>
    </w:p>
    <w:p>
      <w:pPr>
        <w:spacing w:after="200"/>
      </w:pPr>
      <w:r>
        <w:t xml:space="preserve"/>
      </w:r>
    </w:p>
    <w:p>
      <w:pPr>
        <w:pStyle w:val="Heading1"/>
        <w:pageBreakBefore/>
      </w:pPr>
      <w:r>
        <w:rPr>
          <w:rFonts w:ascii="Arial" w:cs="Arial" w:eastAsia="Arial" w:hAnsi="Arial"/>
          <w:b/>
          <w:bCs/>
          <w:color w:val="0D3B47"/>
          <w:sz w:val="34"/>
          <w:szCs w:val="34"/>
        </w:rPr>
        <w:t xml:space="preserve">7. SLA, Impact, Risk &amp; Delivery Governance</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DevOps Engineers operate within an SLA and risk management framework that bridges delivery velocity and operational stability. The DORA research programme established that high-performing teams do not trade off speed for stability: they achieve both by investing in automation, quality gates, and progressive delivery.</w:t>
      </w:r>
    </w:p>
    <w:p>
      <w:pPr>
        <w:spacing w:after="120"/>
      </w:pPr>
      <w:r>
        <w:t xml:space="preserve"/>
      </w:r>
    </w:p>
    <w:p>
      <w:pPr>
        <w:pStyle w:val="Heading2"/>
      </w:pPr>
      <w:r>
        <w:rPr>
          <w:rFonts w:ascii="Arial" w:cs="Arial" w:eastAsia="Arial" w:hAnsi="Arial"/>
          <w:b/>
          <w:bCs/>
          <w:color w:val="1A7E8F"/>
          <w:sz w:val="27"/>
          <w:szCs w:val="27"/>
        </w:rPr>
        <w:t xml:space="preserve">7.1  SLA &amp; SLO Management (DevOps Perspective)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w:t>
            </w:r>
          </w:p>
        </w:tc>
        <w:tc>
          <w:tcPr>
            <w:tcW w:type="dxa" w:w="30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DevOps Engineer Role</w:t>
            </w:r>
          </w:p>
        </w:tc>
        <w:tc>
          <w:tcPr>
            <w:tcW w:type="dxa" w:w="456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 &amp; Tooling</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Deployment Availability SLO</w:t>
            </w:r>
          </w:p>
        </w:tc>
        <w:tc>
          <w:tcPr>
            <w:tcW w:type="dxa" w:w="3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Ensure deployments complete within defined time windows without service disruption; track deployment success rate vs SLO</w:t>
            </w:r>
          </w:p>
        </w:tc>
        <w:tc>
          <w:tcPr>
            <w:tcW w:type="dxa" w:w="45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Argo CD / Spinnaker SLO integration; deployment duration alerting; success rate dashboard per service</w:t>
            </w:r>
          </w:p>
        </w:tc>
      </w:tr>
      <w:tr>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Change Failure Rate SLO</w:t>
            </w:r>
          </w:p>
        </w:tc>
        <w:tc>
          <w:tcPr>
            <w:tcW w:type="dxa" w:w="3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Track and improve the percentage of deployments that require rollback or cause incidents; target &lt; 5%</w:t>
            </w:r>
          </w:p>
        </w:tc>
        <w:tc>
          <w:tcPr>
            <w:tcW w:type="dxa" w:w="45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DORA metrics dashboard (Datadog / LinearB / Sleuth); post-deploy health check pass rate; automatic rollback triggers</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Lead Time SLO</w:t>
            </w:r>
          </w:p>
        </w:tc>
        <w:tc>
          <w:tcPr>
            <w:tcW w:type="dxa" w:w="3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Pipeline duration from commit to production; elite target &lt; 1 hour for standard changes</w:t>
            </w:r>
          </w:p>
        </w:tc>
        <w:tc>
          <w:tcPr>
            <w:tcW w:type="dxa" w:w="45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Pipeline duration tracking per stage; bottleneck identification via DORA dashboards; cache and parallelism optimisation</w:t>
            </w:r>
          </w:p>
        </w:tc>
      </w:tr>
      <w:tr>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MTTR for Deploy Failures</w:t>
            </w:r>
          </w:p>
        </w:tc>
        <w:tc>
          <w:tcPr>
            <w:tcW w:type="dxa" w:w="3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Mean time from failed deployment detection to restored service; separate from general MTTR</w:t>
            </w:r>
          </w:p>
        </w:tc>
        <w:tc>
          <w:tcPr>
            <w:tcW w:type="dxa" w:w="45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Runbook-driven rollback automation; pre-warmed blue environment for instant cutover; playbook execution time tracking</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Error Budget Impact Tracking</w:t>
            </w:r>
          </w:p>
        </w:tc>
        <w:tc>
          <w:tcPr>
            <w:tcW w:type="dxa" w:w="3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Track how deployments consume the shared SLO error budget; gate deployments when budget is low</w:t>
            </w:r>
          </w:p>
        </w:tc>
        <w:tc>
          <w:tcPr>
            <w:tcW w:type="dxa" w:w="45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Error budget integration in CD pipeline (pre-deploy budget check); block deploy if budget &lt; 10%; SRE approval required</w:t>
            </w:r>
          </w:p>
        </w:tc>
      </w:tr>
    </w:tbl>
    <w:p>
      <w:pPr>
        <w:spacing w:after="200"/>
      </w:pPr>
      <w:r>
        <w:t xml:space="preserve"/>
      </w:r>
    </w:p>
    <w:p>
      <w:pPr>
        <w:pStyle w:val="Heading2"/>
      </w:pPr>
      <w:r>
        <w:rPr>
          <w:rFonts w:ascii="Arial" w:cs="Arial" w:eastAsia="Arial" w:hAnsi="Arial"/>
          <w:b/>
          <w:bCs/>
          <w:color w:val="1A7E8F"/>
          <w:sz w:val="27"/>
          <w:szCs w:val="27"/>
        </w:rPr>
        <w:t xml:space="preserve">7.2  Deployment Risk Register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rPr>
          <w:tblHeader/>
        </w:trPr>
        <w:tc>
          <w:tcPr>
            <w:tcW w:type="dxa" w:w="20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6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22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56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DevOps Mitigation</w:t>
            </w:r>
          </w:p>
        </w:tc>
      </w:tr>
      <w:tr>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Config drift between environments</w:t>
            </w:r>
          </w:p>
        </w:tc>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A51C30"/>
                <w:sz w:val="18"/>
                <w:szCs w:val="18"/>
              </w:rPr>
              <w:t xml:space="preserve">High</w:t>
            </w:r>
          </w:p>
        </w:tc>
        <w:tc>
          <w:tcPr>
            <w:tcW w:type="dxa" w:w="2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Moderate — staging tests pass but prod fails</w:t>
            </w:r>
          </w:p>
        </w:tc>
        <w:tc>
          <w:tcPr>
            <w:tcW w:type="dxa" w:w="35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IaC for all environments; drift detection alerts; PR-driven changes only; no manual SSH changes</w:t>
            </w:r>
          </w:p>
        </w:tc>
      </w:tr>
      <w:tr>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Pipeline secret exposure</w:t>
            </w:r>
          </w:p>
        </w:tc>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9B6A00"/>
                <w:sz w:val="18"/>
                <w:szCs w:val="18"/>
              </w:rPr>
              <w:t xml:space="preserve">Medium</w:t>
            </w:r>
          </w:p>
        </w:tc>
        <w:tc>
          <w:tcPr>
            <w:tcW w:type="dxa" w:w="2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High — credentials compromised; data breach</w:t>
            </w:r>
          </w:p>
        </w:tc>
        <w:tc>
          <w:tcPr>
            <w:tcW w:type="dxa" w:w="35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Vault / Secrets Manager integration; OIDC auth instead of static keys; secret scanning in CI (GitGuardian)</w:t>
            </w:r>
          </w:p>
        </w:tc>
      </w:tr>
      <w:tr>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Cascading deployment failure (HDFS)</w:t>
            </w:r>
          </w:p>
        </w:tc>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9B6A00"/>
                <w:sz w:val="18"/>
                <w:szCs w:val="18"/>
              </w:rPr>
              <w:t xml:space="preserve">Medium</w:t>
            </w:r>
          </w:p>
        </w:tc>
        <w:tc>
          <w:tcPr>
            <w:tcW w:type="dxa" w:w="2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High — mass DataNode config error affects all blocks</w:t>
            </w:r>
          </w:p>
        </w:tc>
        <w:tc>
          <w:tcPr>
            <w:tcW w:type="dxa" w:w="35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Canary DataNode deployment (5% first); E3/E5 rate monitoring post-deploy; automated rollback on deviation</w:t>
            </w:r>
          </w:p>
        </w:tc>
      </w:tr>
      <w:tr>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BGL firmware compatibility failure</w:t>
            </w:r>
          </w:p>
        </w:tc>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1E5C2E"/>
                <w:sz w:val="18"/>
                <w:szCs w:val="18"/>
              </w:rPr>
              <w:t xml:space="preserve">Low</w:t>
            </w:r>
          </w:p>
        </w:tc>
        <w:tc>
          <w:tcPr>
            <w:tcW w:type="dxa" w:w="2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Critical — cluster-wide KERNTERM events; job loss</w:t>
            </w:r>
          </w:p>
        </w:tc>
        <w:tc>
          <w:tcPr>
            <w:tcW w:type="dxa" w:w="35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Firmware compatibility matrix maintained in repo; always canary 1 rack; 30-min bake before full rollout</w:t>
            </w:r>
          </w:p>
        </w:tc>
      </w:tr>
      <w:tr>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Change freeze violation</w:t>
            </w:r>
          </w:p>
        </w:tc>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1E5C2E"/>
                <w:sz w:val="18"/>
                <w:szCs w:val="18"/>
              </w:rPr>
              <w:t xml:space="preserve">Low</w:t>
            </w:r>
          </w:p>
        </w:tc>
        <w:tc>
          <w:tcPr>
            <w:tcW w:type="dxa" w:w="2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High — deployment during peak or SLO at risk</w:t>
            </w:r>
          </w:p>
        </w:tc>
        <w:tc>
          <w:tcPr>
            <w:tcW w:type="dxa" w:w="35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Automated freeze enforcement in CD pipeline; SRE approval required when error budget &lt; 10%</w:t>
            </w:r>
          </w:p>
        </w:tc>
      </w:tr>
      <w:tr>
        <w:tc>
          <w:tcPr>
            <w:tcW w:type="dxa" w:w="20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Undetected regression in canary window</w:t>
            </w:r>
          </w:p>
        </w:tc>
        <w:tc>
          <w:tcPr>
            <w:tcW w:type="dxa" w:w="1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9B6A00"/>
                <w:sz w:val="18"/>
                <w:szCs w:val="18"/>
              </w:rPr>
              <w:t xml:space="preserve">Medium</w:t>
            </w:r>
          </w:p>
        </w:tc>
        <w:tc>
          <w:tcPr>
            <w:tcW w:type="dxa" w:w="2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Moderate — degraded service reaches 100% of users</w:t>
            </w:r>
          </w:p>
        </w:tc>
        <w:tc>
          <w:tcPr>
            <w:tcW w:type="dxa" w:w="35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Multi-signal canary analysis (errors + latency + saturation); minimum bake time enforced; synthetic traffic in canary</w:t>
            </w:r>
          </w:p>
        </w:tc>
      </w:tr>
      <w:tr>
        <w:tc>
          <w:tcPr>
            <w:tcW w:type="dxa" w:w="20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Rollback failure (DB schema mismatch)</w:t>
            </w:r>
          </w:p>
        </w:tc>
        <w:tc>
          <w:tcPr>
            <w:tcW w:type="dxa" w:w="1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1E5C2E"/>
                <w:sz w:val="18"/>
                <w:szCs w:val="18"/>
              </w:rPr>
              <w:t xml:space="preserve">Low</w:t>
            </w:r>
          </w:p>
        </w:tc>
        <w:tc>
          <w:tcPr>
            <w:tcW w:type="dxa" w:w="2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Critical — rollback impossible; service down</w:t>
            </w:r>
          </w:p>
        </w:tc>
        <w:tc>
          <w:tcPr>
            <w:tcW w:type="dxa" w:w="35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Blue-green for DB migrations; backward-compatible schema changes only; migration testing in staging</w:t>
            </w:r>
          </w:p>
        </w:tc>
      </w:tr>
    </w:tbl>
    <w:p>
      <w:pPr>
        <w:spacing w:after="200"/>
      </w:pPr>
      <w:r>
        <w:t xml:space="preserve"/>
      </w:r>
    </w:p>
    <w:p>
      <w:pPr>
        <w:pStyle w:val="Heading2"/>
      </w:pPr>
      <w:r>
        <w:rPr>
          <w:rFonts w:ascii="Arial" w:cs="Arial" w:eastAsia="Arial" w:hAnsi="Arial"/>
          <w:b/>
          <w:bCs/>
          <w:color w:val="1A7E8F"/>
          <w:sz w:val="27"/>
          <w:szCs w:val="27"/>
        </w:rPr>
        <w:t xml:space="preserve">7.3  Change Advisory Board (CAB) &amp; Approval Workflow</w:t>
      </w:r>
    </w:p>
    <w:p>
      <w:pPr>
        <w:spacing w:after="120"/>
      </w:pPr>
      <w:r>
        <w:rPr>
          <w:rFonts w:ascii="Arial" w:cs="Arial" w:eastAsia="Arial" w:hAnsi="Arial"/>
          <w:color w:val="111111"/>
          <w:sz w:val="20"/>
          <w:szCs w:val="20"/>
        </w:rPr>
        <w:t xml:space="preserve">High-risk changes (classified as Significant in the change management framework) require formal approval before production deployment:</w:t>
      </w:r>
    </w:p>
    <w:p>
      <w:pPr>
        <w:pStyle w:val="ListParagraph"/>
        <w:numPr>
          <w:ilvl w:val="0"/>
          <w:numId w:val="3"/>
        </w:numPr>
        <w:spacing w:after="80"/>
      </w:pPr>
      <w:r>
        <w:rPr>
          <w:rFonts w:ascii="Arial" w:cs="Arial" w:eastAsia="Arial" w:hAnsi="Arial"/>
          <w:sz w:val="20"/>
          <w:szCs w:val="20"/>
        </w:rPr>
        <w:t xml:space="preserve">Change request submitted: description, risk assessment, rollback plan, test evidence, SRE sign-off on error budget.</w:t>
      </w:r>
    </w:p>
    <w:p>
      <w:pPr>
        <w:pStyle w:val="ListParagraph"/>
        <w:numPr>
          <w:ilvl w:val="0"/>
          <w:numId w:val="3"/>
        </w:numPr>
        <w:spacing w:after="80"/>
      </w:pPr>
      <w:r>
        <w:rPr>
          <w:rFonts w:ascii="Arial" w:cs="Arial" w:eastAsia="Arial" w:hAnsi="Arial"/>
          <w:sz w:val="20"/>
          <w:szCs w:val="20"/>
        </w:rPr>
        <w:t xml:space="preserve">Peer review: at least one senior DevOps Engineer reviews the IaC diff and pipeline configuration.</w:t>
      </w:r>
    </w:p>
    <w:p>
      <w:pPr>
        <w:pStyle w:val="ListParagraph"/>
        <w:numPr>
          <w:ilvl w:val="0"/>
          <w:numId w:val="3"/>
        </w:numPr>
        <w:spacing w:after="80"/>
      </w:pPr>
      <w:r>
        <w:rPr>
          <w:rFonts w:ascii="Arial" w:cs="Arial" w:eastAsia="Arial" w:hAnsi="Arial"/>
          <w:sz w:val="20"/>
          <w:szCs w:val="20"/>
        </w:rPr>
        <w:t xml:space="preserve">SRE review: SRE confirms error budget headroom and that PRR criteria are met.</w:t>
      </w:r>
    </w:p>
    <w:p>
      <w:pPr>
        <w:pStyle w:val="ListParagraph"/>
        <w:numPr>
          <w:ilvl w:val="0"/>
          <w:numId w:val="3"/>
        </w:numPr>
        <w:spacing w:after="80"/>
      </w:pPr>
      <w:r>
        <w:rPr>
          <w:rFonts w:ascii="Arial" w:cs="Arial" w:eastAsia="Arial" w:hAnsi="Arial"/>
          <w:sz w:val="20"/>
          <w:szCs w:val="20"/>
        </w:rPr>
        <w:t xml:space="preserve">CAB review (for highest-risk changes): cross-functional review of business impact, timing, and communications plan.</w:t>
      </w:r>
    </w:p>
    <w:p>
      <w:pPr>
        <w:pStyle w:val="ListParagraph"/>
        <w:numPr>
          <w:ilvl w:val="0"/>
          <w:numId w:val="3"/>
        </w:numPr>
        <w:spacing w:after="80"/>
      </w:pPr>
      <w:r>
        <w:rPr>
          <w:rFonts w:ascii="Arial" w:cs="Arial" w:eastAsia="Arial" w:hAnsi="Arial"/>
          <w:sz w:val="20"/>
          <w:szCs w:val="20"/>
        </w:rPr>
        <w:t xml:space="preserve">Scheduled deployment window: changes deployed during low-traffic periods with on-call coverage confirmed.</w:t>
      </w:r>
    </w:p>
    <w:p>
      <w:pPr>
        <w:pStyle w:val="ListParagraph"/>
        <w:numPr>
          <w:ilvl w:val="0"/>
          <w:numId w:val="3"/>
        </w:numPr>
        <w:spacing w:after="80"/>
      </w:pPr>
      <w:r>
        <w:rPr>
          <w:rFonts w:ascii="Arial" w:cs="Arial" w:eastAsia="Arial" w:hAnsi="Arial"/>
          <w:sz w:val="20"/>
          <w:szCs w:val="20"/>
        </w:rPr>
        <w:t xml:space="preserve">Post-deployment review: outcomes recorded against the change request; post-mortem created if issues encountered.</w:t>
      </w:r>
    </w:p>
    <w:p>
      <w:pPr>
        <w:spacing w:after="200"/>
      </w:pPr>
      <w:r>
        <w:t xml:space="preserve"/>
      </w:r>
    </w:p>
    <w:p>
      <w:pPr>
        <w:pStyle w:val="Heading1"/>
        <w:pageBreakBefore/>
      </w:pPr>
      <w:r>
        <w:rPr>
          <w:rFonts w:ascii="Arial" w:cs="Arial" w:eastAsia="Arial" w:hAnsi="Arial"/>
          <w:b/>
          <w:bCs/>
          <w:color w:val="0D3B47"/>
          <w:sz w:val="34"/>
          <w:szCs w:val="34"/>
        </w:rPr>
        <w:t xml:space="preserve">8. Runbooks &amp; Troubleshooting Guides</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DevOps runbooks document the response to deployment pipeline failures, infrastructure incidents, and change-induced service degradations. They are distinct from SRE operational runbooks (which focus on production service behaviour) in that they focus on the delivery pipeline and infrastructure provisioning system.</w:t>
      </w:r>
    </w:p>
    <w:p>
      <w:pPr>
        <w:spacing w:after="120"/>
      </w:pPr>
      <w:r>
        <w:t xml:space="preserve"/>
      </w:r>
    </w:p>
    <w:p>
      <w:pPr>
        <w:pStyle w:val="Heading2"/>
      </w:pPr>
      <w:r>
        <w:rPr>
          <w:rFonts w:ascii="Arial" w:cs="Arial" w:eastAsia="Arial" w:hAnsi="Arial"/>
          <w:b/>
          <w:bCs/>
          <w:color w:val="1A7E8F"/>
          <w:sz w:val="27"/>
          <w:szCs w:val="27"/>
        </w:rPr>
        <w:t xml:space="preserve">8.1  CI/CD and Deployment Runbook Procedures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w:t>
            </w:r>
          </w:p>
        </w:tc>
        <w:tc>
          <w:tcPr>
            <w:tcW w:type="dxa" w:w="32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Diagnosis Steps</w:t>
            </w:r>
          </w:p>
        </w:tc>
        <w:tc>
          <w:tcPr>
            <w:tcW w:type="dxa" w:w="376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Resolution &amp; Prevention</w:t>
            </w:r>
          </w:p>
        </w:tc>
      </w:tr>
      <w:tr>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Pipeline build failure</w:t>
            </w:r>
          </w:p>
        </w:tc>
        <w:tc>
          <w:tcPr>
            <w:tcW w:type="dxa" w:w="3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Check build logs for compilation / dependency error
2. Identify changed files (git diff vs last passing build)
3. Reproduce locally; inspect dependency tree
4. Check for upstream registry / artifact outage</w:t>
            </w:r>
          </w:p>
        </w:tc>
        <w:tc>
          <w:tcPr>
            <w:tcW w:type="dxa" w:w="3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Fix compilation error or pin dependency version
2. Unblock pipeline; notify developer
3. Add regression test to prevent recurrence
4. If registry outage: fail fast alert to Slack/PagerDuty</w:t>
            </w:r>
          </w:p>
        </w:tc>
      </w:tr>
      <w:tr>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Failed integration test in staging</w:t>
            </w:r>
          </w:p>
        </w:tc>
        <w:tc>
          <w:tcPr>
            <w:tcW w:type="dxa" w:w="3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Inspect test failure log; identify failing assertion
2. Check if staging environment matches production config
3. Inspect API contract changes in the diff
4. Check staging DataNode / service availability</w:t>
            </w:r>
          </w:p>
        </w:tc>
        <w:tc>
          <w:tcPr>
            <w:tcW w:type="dxa" w:w="3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Fix failing test or fix application bug
2. If environment issue: remediate IaC drift (terraform apply)
3. Add contract test to CI to catch earlier
4. Update environment parity check in pipeline</w:t>
            </w:r>
          </w:p>
        </w:tc>
      </w:tr>
      <w:tr>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HDFS DataNode config push causing E3 burst</w:t>
            </w:r>
          </w:p>
        </w:tc>
        <w:tc>
          <w:tcPr>
            <w:tcW w:type="dxa" w:w="3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Correlate deployment timestamp with E3 spike
2. Diff new vs old hdfs-site.xml configuration
3. Identify which DataNodes received new config
4. Check DataNode logs for config-related exceptions</w:t>
            </w:r>
          </w:p>
        </w:tc>
        <w:tc>
          <w:tcPr>
            <w:tcW w:type="dxa" w:w="3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Immediate: rollback config via Ansible / Puppet
2. Identify misconfigured parameter (e.g. dfs.blocksize)
3. Add config validation step to pipeline (hdfs dfsadmin -safemode check)
4. Test config change in canary DataNode first</w:t>
            </w:r>
          </w:p>
        </w:tc>
      </w:tr>
      <w:tr>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BGL firmware update causing KERNTERM surge</w:t>
            </w:r>
          </w:p>
        </w:tc>
        <w:tc>
          <w:tcPr>
            <w:tcW w:type="dxa" w:w="3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Correlate KERNTERM events with firmware update window
2. Identify affected node range (rack / row)
3. Check firmware compatibility matrix for RTS version
4. Review MMCS update log for errors</w:t>
            </w:r>
          </w:p>
        </w:tc>
        <w:tc>
          <w:tcPr>
            <w:tcW w:type="dxa" w:w="3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Rollback firmware via MMCS to previous stable version
2. Quarantine affected nodes pending investigation
3. Add firmware compatibility test to BGL update pipeline
4. Update change procedure: always canary 1 rack before full rollout</w:t>
            </w:r>
          </w:p>
        </w:tc>
      </w:tr>
      <w:tr>
        <w:tc>
          <w:tcPr>
            <w:tcW w:type="dxa" w:w="24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Blue-Green cutover failure (traffic not shifting)</w:t>
            </w:r>
          </w:p>
        </w:tc>
        <w:tc>
          <w:tcPr>
            <w:tcW w:type="dxa" w:w="3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Check load balancer health-check status for green env
2. Verify green application health endpoint response
3. Check DNS / Ingress controller configuration
4. Inspect container startup logs on green deployment</w:t>
            </w:r>
          </w:p>
        </w:tc>
        <w:tc>
          <w:tcPr>
            <w:tcW w:type="dxa" w:w="3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If green unhealthy: keep traffic on blue; roll back green deploy
2. Fix health endpoint or startup issue
3. If LB misconfigured: apply IaC fix and re-apply
4. Add automated health-check validation before cutover step in pipeline</w:t>
            </w:r>
          </w:p>
        </w:tc>
      </w:tr>
      <w:tr>
        <w:tc>
          <w:tcPr>
            <w:tcW w:type="dxa" w:w="24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Canary rollout: error rate above threshold</w:t>
            </w:r>
          </w:p>
        </w:tc>
        <w:tc>
          <w:tcPr>
            <w:tcW w:type="dxa" w:w="3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Check canary vs stable error rates in Prometheus/Grafana
2. Identify which endpoints / operations are failing
3. Inspect canary pod logs for exceptions
4. Check if error is correlated with specific user cohort</w:t>
            </w:r>
          </w:p>
        </w:tc>
        <w:tc>
          <w:tcPr>
            <w:tcW w:type="dxa" w:w="3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1. Trigger automated rollback (Argo Rollouts abort)
2. Analyse root cause from canary logs
3. Fix application code; re-run full pipeline
4. Tighten canary success criteria threshold if needed</w:t>
            </w:r>
          </w:p>
        </w:tc>
      </w:tr>
    </w:tbl>
    <w:p>
      <w:pPr>
        <w:spacing w:after="200"/>
      </w:pPr>
      <w:r>
        <w:t xml:space="preserve"/>
      </w:r>
    </w:p>
    <w:p>
      <w:pPr>
        <w:pStyle w:val="Heading2"/>
      </w:pPr>
      <w:r>
        <w:rPr>
          <w:rFonts w:ascii="Arial" w:cs="Arial" w:eastAsia="Arial" w:hAnsi="Arial"/>
          <w:b/>
          <w:bCs/>
          <w:color w:val="1A7E8F"/>
          <w:sz w:val="27"/>
          <w:szCs w:val="27"/>
        </w:rPr>
        <w:t xml:space="preserve">8.2  DevOps Runbook Maintenance Policy</w:t>
      </w:r>
    </w:p>
    <w:p>
      <w:pPr>
        <w:pStyle w:val="ListParagraph"/>
        <w:numPr>
          <w:ilvl w:val="0"/>
          <w:numId w:val="2"/>
        </w:numPr>
        <w:spacing w:after="80"/>
      </w:pPr>
      <w:r>
        <w:rPr>
          <w:rFonts w:ascii="Arial" w:cs="Arial" w:eastAsia="Arial" w:hAnsi="Arial"/>
          <w:sz w:val="20"/>
          <w:szCs w:val="20"/>
        </w:rPr>
        <w:t xml:space="preserve">Review all runbooks as part of post-incident retrospectives; update within 48 hours of any incident where a runbook gap was identified.</w:t>
      </w:r>
    </w:p>
    <w:p>
      <w:pPr>
        <w:pStyle w:val="ListParagraph"/>
        <w:numPr>
          <w:ilvl w:val="0"/>
          <w:numId w:val="2"/>
        </w:numPr>
        <w:spacing w:after="80"/>
      </w:pPr>
      <w:r>
        <w:rPr>
          <w:rFonts w:ascii="Arial" w:cs="Arial" w:eastAsia="Arial" w:hAnsi="Arial"/>
          <w:sz w:val="20"/>
          <w:szCs w:val="20"/>
        </w:rPr>
        <w:t xml:space="preserve">Game days: quarterly simulated pipeline failure exercises; validate rollback automation works end-to-end without manual steps.</w:t>
      </w:r>
    </w:p>
    <w:p>
      <w:pPr>
        <w:pStyle w:val="ListParagraph"/>
        <w:numPr>
          <w:ilvl w:val="0"/>
          <w:numId w:val="2"/>
        </w:numPr>
        <w:spacing w:after="80"/>
      </w:pPr>
      <w:r>
        <w:rPr>
          <w:rFonts w:ascii="Arial" w:cs="Arial" w:eastAsia="Arial" w:hAnsi="Arial"/>
          <w:sz w:val="20"/>
          <w:szCs w:val="20"/>
        </w:rPr>
        <w:t xml:space="preserve">Version runbooks alongside IaC code: runbook changes that reference specific tool versions are updated when tool versions change.</w:t>
      </w:r>
    </w:p>
    <w:p>
      <w:pPr>
        <w:pStyle w:val="ListParagraph"/>
        <w:numPr>
          <w:ilvl w:val="0"/>
          <w:numId w:val="2"/>
        </w:numPr>
        <w:spacing w:after="80"/>
      </w:pPr>
      <w:r>
        <w:rPr>
          <w:rFonts w:ascii="Arial" w:cs="Arial" w:eastAsia="Arial" w:hAnsi="Arial"/>
          <w:sz w:val="20"/>
          <w:szCs w:val="20"/>
        </w:rPr>
        <w:t xml:space="preserve">Effectiveness metrics: measure mean time to execute rollback from runbook; target &lt; 10 minutes for standard rollback procedures.</w:t>
      </w:r>
    </w:p>
    <w:p>
      <w:pPr>
        <w:spacing w:after="200"/>
      </w:pPr>
      <w:r>
        <w:t xml:space="preserve"/>
      </w:r>
    </w:p>
    <w:p>
      <w:pPr>
        <w:pStyle w:val="Heading1"/>
        <w:pageBreakBefore/>
      </w:pPr>
      <w:r>
        <w:rPr>
          <w:rFonts w:ascii="Arial" w:cs="Arial" w:eastAsia="Arial" w:hAnsi="Arial"/>
          <w:b/>
          <w:bCs/>
          <w:color w:val="0D3B47"/>
          <w:sz w:val="34"/>
          <w:szCs w:val="34"/>
        </w:rPr>
        <w:t xml:space="preserve">9. DevOps Tool Ecosystem</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The DevOps tool landscape is broad. The following reference covers the principal tool categories relevant to the BGL/HDFS log analysis and RAG system context. Tool selection should follow the principle of using the right tool for the job — not maximising tool count — and every tool in the chain should have a clear owner and be version-controlled.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2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Leading Tools</w:t>
            </w:r>
          </w:p>
        </w:tc>
        <w:tc>
          <w:tcPr>
            <w:tcW w:type="dxa" w:w="260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Capability</w:t>
            </w:r>
          </w:p>
        </w:tc>
        <w:tc>
          <w:tcPr>
            <w:tcW w:type="dxa" w:w="2760"/>
            <w:gridSpan w:val="1"/>
            <w:tcBorders>
              <w:top w:val="single" w:color="B0C9CE" w:sz="1"/>
              <w:left w:val="single" w:color="B0C9CE" w:sz="1"/>
              <w:bottom w:val="single" w:color="B0C9CE" w:sz="1"/>
              <w:right w:val="single" w:color="B0C9CE" w:sz="1"/>
            </w:tcBorders>
            <w:shd w:fill="1A7E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Relevance to BGL / HDFS System</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CI Platform</w:t>
            </w:r>
          </w:p>
        </w:tc>
        <w:tc>
          <w:tcPr>
            <w:tcW w:type="dxa" w:w="2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Jenkins, GitHub Actions, GitLab CI, CircleCI</w:t>
            </w:r>
          </w:p>
        </w:tc>
        <w:tc>
          <w:tcPr>
            <w:tcW w:type="dxa" w:w="2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Pipeline orchestration; webhook triggers; parallel stages</w:t>
            </w:r>
          </w:p>
        </w:tc>
        <w:tc>
          <w:tcPr>
            <w:tcW w:type="dxa" w:w="2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Trigger log analysis pipeline on new log dataset commit</w:t>
            </w:r>
          </w:p>
        </w:tc>
      </w:tr>
      <w:tr>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CD / Release</w:t>
            </w:r>
          </w:p>
        </w:tc>
        <w:tc>
          <w:tcPr>
            <w:tcW w:type="dxa" w:w="2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Argo CD, Spinnaker, Flux, Harness</w:t>
            </w:r>
          </w:p>
        </w:tc>
        <w:tc>
          <w:tcPr>
            <w:tcW w:type="dxa" w:w="2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GitOps-based progressive delivery; rollback automation</w:t>
            </w:r>
          </w:p>
        </w:tc>
        <w:tc>
          <w:tcPr>
            <w:tcW w:type="dxa" w:w="2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Manage HDFS cluster config deployments; BGL analysis module rollouts</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IaC</w:t>
            </w:r>
          </w:p>
        </w:tc>
        <w:tc>
          <w:tcPr>
            <w:tcW w:type="dxa" w:w="2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Terraform, Pulumi, Ansible, CloudFormation</w:t>
            </w:r>
          </w:p>
        </w:tc>
        <w:tc>
          <w:tcPr>
            <w:tcW w:type="dxa" w:w="2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Declarative infra provisioning; drift detection</w:t>
            </w:r>
          </w:p>
        </w:tc>
        <w:tc>
          <w:tcPr>
            <w:tcW w:type="dxa" w:w="2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DataNode fleet management; BGL partition layout definition</w:t>
            </w:r>
          </w:p>
        </w:tc>
      </w:tr>
      <w:tr>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Container Orchestration</w:t>
            </w:r>
          </w:p>
        </w:tc>
        <w:tc>
          <w:tcPr>
            <w:tcW w:type="dxa" w:w="2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Kubernetes, Nomad, Docker Swarm</w:t>
            </w:r>
          </w:p>
        </w:tc>
        <w:tc>
          <w:tcPr>
            <w:tcW w:type="dxa" w:w="2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Workload scheduling; auto-scaling; health management</w:t>
            </w:r>
          </w:p>
        </w:tc>
        <w:tc>
          <w:tcPr>
            <w:tcW w:type="dxa" w:w="2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Log analysis microservices; RAG system containers</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Secrets Management</w:t>
            </w:r>
          </w:p>
        </w:tc>
        <w:tc>
          <w:tcPr>
            <w:tcW w:type="dxa" w:w="2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HashiCorp Vault, AWS SM, Azure Key Vault</w:t>
            </w:r>
          </w:p>
        </w:tc>
        <w:tc>
          <w:tcPr>
            <w:tcW w:type="dxa" w:w="2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Dynamic secrets; rotation; audit logging</w:t>
            </w:r>
          </w:p>
        </w:tc>
        <w:tc>
          <w:tcPr>
            <w:tcW w:type="dxa" w:w="2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HDFS NameNode credentials; BGL MMCS auth tokens</w:t>
            </w:r>
          </w:p>
        </w:tc>
      </w:tr>
      <w:tr>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Observability (DevOps)</w:t>
            </w:r>
          </w:p>
        </w:tc>
        <w:tc>
          <w:tcPr>
            <w:tcW w:type="dxa" w:w="2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Prometheus, Grafana, Datadog, Splunk</w:t>
            </w:r>
          </w:p>
        </w:tc>
        <w:tc>
          <w:tcPr>
            <w:tcW w:type="dxa" w:w="2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Pipeline metrics; deployment health; DORA metrics</w:t>
            </w:r>
          </w:p>
        </w:tc>
        <w:tc>
          <w:tcPr>
            <w:tcW w:type="dxa" w:w="2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Track E3/E5 anomaly rates post-deploy; deployment frequency dashboards</w:t>
            </w:r>
          </w:p>
        </w:tc>
      </w:tr>
      <w:tr>
        <w:tc>
          <w:tcPr>
            <w:tcW w:type="dxa" w:w="18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Security / DevSecOps</w:t>
            </w:r>
          </w:p>
        </w:tc>
        <w:tc>
          <w:tcPr>
            <w:tcW w:type="dxa" w:w="22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Trivy, Snyk, SonarQube, OWASP ZAP</w:t>
            </w:r>
          </w:p>
        </w:tc>
        <w:tc>
          <w:tcPr>
            <w:tcW w:type="dxa" w:w="260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CVE scanning; SAST; dependency auditing</w:t>
            </w:r>
          </w:p>
        </w:tc>
        <w:tc>
          <w:tcPr>
            <w:tcW w:type="dxa" w:w="2760"/>
            <w:tcBorders>
              <w:top w:val="single" w:color="B0C9CE" w:sz="1"/>
              <w:left w:val="single" w:color="B0C9CE" w:sz="1"/>
              <w:bottom w:val="single" w:color="B0C9CE" w:sz="1"/>
              <w:right w:val="single" w:color="B0C9CE" w:sz="1"/>
            </w:tcBorders>
            <w:shd w:fill="D0EEF3"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Scan log analysis container images; audit Python ML dependencies</w:t>
            </w:r>
          </w:p>
        </w:tc>
      </w:tr>
      <w:tr>
        <w:tc>
          <w:tcPr>
            <w:tcW w:type="dxa" w:w="18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bCs/>
                <w:color w:val="0D3B47"/>
                <w:sz w:val="18"/>
                <w:szCs w:val="18"/>
              </w:rPr>
              <w:t xml:space="preserve">DORA Metrics</w:t>
            </w:r>
          </w:p>
        </w:tc>
        <w:tc>
          <w:tcPr>
            <w:tcW w:type="dxa" w:w="22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Sleuth, LinearB, Datadog DORA, GitHub Insights</w:t>
            </w:r>
          </w:p>
        </w:tc>
        <w:tc>
          <w:tcPr>
            <w:tcW w:type="dxa" w:w="260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Deployment freq; lead time; CFR; MTTR tracking</w:t>
            </w:r>
          </w:p>
        </w:tc>
        <w:tc>
          <w:tcPr>
            <w:tcW w:type="dxa" w:w="2760"/>
            <w:tcBorders>
              <w:top w:val="single" w:color="B0C9CE" w:sz="1"/>
              <w:left w:val="single" w:color="B0C9CE" w:sz="1"/>
              <w:bottom w:val="single" w:color="B0C9CE" w:sz="1"/>
              <w:right w:val="single" w:color="B0C9CE" w:sz="1"/>
            </w:tcBorders>
            <w:shd w:fill="F3F7F9" w:val="clear"/>
            <w:tcMar>
              <w:top w:type="dxa" w:w="60"/>
              <w:left w:type="dxa" w:w="120"/>
              <w:bottom w:type="dxa" w:w="60"/>
              <w:right w:type="dxa" w:w="120"/>
            </w:tcMar>
            <w:vAlign w:val="top"/>
          </w:tcPr>
          <w:p>
            <w:pPr>
              <w:jc w:val="left"/>
            </w:pPr>
            <w:r>
              <w:rPr>
                <w:rFonts w:ascii="Arial" w:cs="Arial" w:eastAsia="Arial" w:hAnsi="Arial"/>
                <w:b w:val="false"/>
                <w:bCs w:val="false"/>
                <w:color w:val="111111"/>
                <w:sz w:val="18"/>
                <w:szCs w:val="18"/>
              </w:rPr>
              <w:t xml:space="preserve">Track deployment reliability for experimental system releases</w:t>
            </w:r>
          </w:p>
        </w:tc>
      </w:tr>
    </w:tbl>
    <w:p>
      <w:pPr>
        <w:spacing w:after="200"/>
      </w:pPr>
      <w:r>
        <w:t xml:space="preserve"/>
      </w:r>
    </w:p>
    <w:p>
      <w:pPr>
        <w:pStyle w:val="Heading1"/>
        <w:pageBreakBefore/>
      </w:pPr>
      <w:r>
        <w:rPr>
          <w:rFonts w:ascii="Arial" w:cs="Arial" w:eastAsia="Arial" w:hAnsi="Arial"/>
          <w:b/>
          <w:bCs/>
          <w:color w:val="0D3B47"/>
          <w:sz w:val="34"/>
          <w:szCs w:val="34"/>
        </w:rPr>
        <w:t xml:space="preserve">10. Sources</w:t>
      </w:r>
    </w:p>
    <w:p>
      <w:pPr>
        <w:pBdr>
          <w:bottom w:val="single" w:color="1A7E8F" w:sz="6" w:space="1"/>
        </w:pBdr>
        <w:spacing w:after="160"/>
      </w:pPr>
      <w:r>
        <w:t xml:space="preserve"/>
      </w:r>
    </w:p>
    <w:p>
      <w:pPr>
        <w:spacing w:after="120"/>
      </w:pPr>
      <w:r>
        <w:rPr>
          <w:rFonts w:ascii="Arial" w:cs="Arial" w:eastAsia="Arial" w:hAnsi="Arial"/>
          <w:color w:val="111111"/>
          <w:sz w:val="20"/>
          <w:szCs w:val="20"/>
        </w:rPr>
        <w:t xml:space="preserve">[1] Forsgren, N., Humble, J., &amp; Kim, G. Accelerate: The Science of Lean Software and DevOps. IT Revolution Press, 2018 — Primary source for DORA metrics definitions, performance bands (low/medium/high/elite), evidence that speed and stability are not mutually exclusive, and cultural practices of high-performing DevOps teams.</w:t>
      </w:r>
    </w:p>
    <w:p>
      <w:pPr>
        <w:spacing w:after="60"/>
      </w:pPr>
      <w:r>
        <w:t xml:space="preserve"/>
      </w:r>
    </w:p>
    <w:p>
      <w:pPr>
        <w:spacing w:after="120"/>
      </w:pPr>
      <w:r>
        <w:rPr>
          <w:rFonts w:ascii="Arial" w:cs="Arial" w:eastAsia="Arial" w:hAnsi="Arial"/>
          <w:color w:val="111111"/>
          <w:sz w:val="20"/>
          <w:szCs w:val="20"/>
        </w:rPr>
        <w:t xml:space="preserve">[2] DORA (Google). 2024 Accelerate State of DevOps Report. https://cloud.google.com/blog/products/devops-sre/announcing-the-2024-dora-report — 2024 DORA performance benchmarks; AI adoption impact on DORA metrics; platform engineering findings; developer experience as performance driver.</w:t>
      </w:r>
    </w:p>
    <w:p>
      <w:pPr>
        <w:spacing w:after="60"/>
      </w:pPr>
      <w:r>
        <w:t xml:space="preserve"/>
      </w:r>
    </w:p>
    <w:p>
      <w:pPr>
        <w:spacing w:after="120"/>
      </w:pPr>
      <w:r>
        <w:rPr>
          <w:rFonts w:ascii="Arial" w:cs="Arial" w:eastAsia="Arial" w:hAnsi="Arial"/>
          <w:color w:val="111111"/>
          <w:sz w:val="20"/>
          <w:szCs w:val="20"/>
        </w:rPr>
        <w:t xml:space="preserve">[3] Humble, J. &amp; Farley, D. Continuous Delivery: Reliable Software Releases through Build, Test, and Deployment Automation. Addison-Wesley, 2010 — Foundational text for CI/CD pipeline design, deployment strategies (rolling, blue-green, canary), pipeline-as-code, artefact immutability, and environment parity principles.</w:t>
      </w:r>
    </w:p>
    <w:p>
      <w:pPr>
        <w:spacing w:after="60"/>
      </w:pPr>
      <w:r>
        <w:t xml:space="preserve"/>
      </w:r>
    </w:p>
    <w:p>
      <w:pPr>
        <w:spacing w:after="120"/>
      </w:pPr>
      <w:r>
        <w:rPr>
          <w:rFonts w:ascii="Arial" w:cs="Arial" w:eastAsia="Arial" w:hAnsi="Arial"/>
          <w:color w:val="111111"/>
          <w:sz w:val="20"/>
          <w:szCs w:val="20"/>
        </w:rPr>
        <w:t xml:space="preserve">[4] Splunk. Common DevOps Roles and Responsibilities. https://www.splunk.com/en_us/blog/learn/devops-roles-responsibilities.html — Industry reference for DevOps team structure, role definitions, platform engineering team model, and 2024 State of DevOps themes (efficiency, speed, security).</w:t>
      </w:r>
    </w:p>
    <w:p>
      <w:pPr>
        <w:spacing w:after="60"/>
      </w:pPr>
      <w:r>
        <w:t xml:space="preserve"/>
      </w:r>
    </w:p>
    <w:p>
      <w:pPr>
        <w:spacing w:after="120"/>
      </w:pPr>
      <w:r>
        <w:rPr>
          <w:rFonts w:ascii="Arial" w:cs="Arial" w:eastAsia="Arial" w:hAnsi="Arial"/>
          <w:color w:val="111111"/>
          <w:sz w:val="20"/>
          <w:szCs w:val="20"/>
        </w:rPr>
        <w:t xml:space="preserve">[5] Datadog. What Are DORA Metrics? https://www.datadoghq.com/knowledge-center/dora-metrics/ — Practical implementation guidance for DORA metrics collection across SDLC toolchain; use cases for SRE, DevOps, and engineering leadership; aggregation strategies.</w:t>
      </w:r>
    </w:p>
    <w:p>
      <w:pPr>
        <w:spacing w:after="60"/>
      </w:pPr>
      <w:r>
        <w:t xml:space="preserve"/>
      </w:r>
    </w:p>
    <w:p>
      <w:pPr>
        <w:spacing w:after="120"/>
      </w:pPr>
      <w:r>
        <w:rPr>
          <w:rFonts w:ascii="Arial" w:cs="Arial" w:eastAsia="Arial" w:hAnsi="Arial"/>
          <w:color w:val="111111"/>
          <w:sz w:val="20"/>
          <w:szCs w:val="20"/>
        </w:rPr>
        <w:t xml:space="preserve">[6] Octopus Deploy. Understanding the 4 DORA Metrics. https://octopus.com/devops/metrics/dora-metrics/ — DORA metric formulas, performance level definitions, scatter plot guidance for non-normal distributions, and lead time calculation methodology.</w:t>
      </w:r>
    </w:p>
    <w:p>
      <w:pPr>
        <w:spacing w:after="60"/>
      </w:pPr>
      <w:r>
        <w:t xml:space="preserve"/>
      </w:r>
    </w:p>
    <w:p>
      <w:pPr>
        <w:spacing w:after="120"/>
      </w:pPr>
      <w:r>
        <w:rPr>
          <w:rFonts w:ascii="Arial" w:cs="Arial" w:eastAsia="Arial" w:hAnsi="Arial"/>
          <w:color w:val="111111"/>
          <w:sz w:val="20"/>
          <w:szCs w:val="20"/>
        </w:rPr>
        <w:t xml:space="preserve">[7] Atlassian. DORA Metrics: How to Measure DevOps Success. https://www.atlassian.com/devops/frameworks/dora-metrics — DORA metrics implementation in Jira Service Management; value stream management integration; team goal-setting guidance.</w:t>
      </w:r>
    </w:p>
    <w:p>
      <w:pPr>
        <w:spacing w:after="60"/>
      </w:pPr>
      <w:r>
        <w:t xml:space="preserve"/>
      </w:r>
    </w:p>
    <w:p>
      <w:pPr>
        <w:spacing w:after="120"/>
      </w:pPr>
      <w:r>
        <w:rPr>
          <w:rFonts w:ascii="Arial" w:cs="Arial" w:eastAsia="Arial" w:hAnsi="Arial"/>
          <w:color w:val="111111"/>
          <w:sz w:val="20"/>
          <w:szCs w:val="20"/>
        </w:rPr>
        <w:t xml:space="preserve">[8] CircleCI. Canary vs Blue-Green Deployment to Reduce Downtime. https://circleci.com/blog/canary-vs-blue-green-downtime/ — Comparative analysis of canary vs blue-green deployment strategies; load balancer-based cutover; rollback mechanics; CI/CD integration considerations.</w:t>
      </w:r>
    </w:p>
    <w:p>
      <w:pPr>
        <w:spacing w:after="60"/>
      </w:pPr>
      <w:r>
        <w:t xml:space="preserve"/>
      </w:r>
    </w:p>
    <w:p>
      <w:pPr>
        <w:spacing w:after="120"/>
      </w:pPr>
      <w:r>
        <w:rPr>
          <w:rFonts w:ascii="Arial" w:cs="Arial" w:eastAsia="Arial" w:hAnsi="Arial"/>
          <w:color w:val="111111"/>
          <w:sz w:val="20"/>
          <w:szCs w:val="20"/>
        </w:rPr>
        <w:t xml:space="preserve">[9] Octopus Deploy. CI/CD Tools for Blue-Green Deployment. https://octopus.com/devops/ci-cd/ci-cd-tools-for-blue-green/ — IaC requirements for blue-green deployments; traffic management strategies; rollback automation; tool comparison (Jenkins, GitHub Actions, Argo CD, AWS CodeDeploy, Codefresh).</w:t>
      </w:r>
    </w:p>
    <w:p>
      <w:pPr>
        <w:spacing w:after="60"/>
      </w:pPr>
      <w:r>
        <w:t xml:space="preserve"/>
      </w:r>
    </w:p>
    <w:p>
      <w:pPr>
        <w:spacing w:after="120"/>
      </w:pPr>
      <w:r>
        <w:rPr>
          <w:rFonts w:ascii="Arial" w:cs="Arial" w:eastAsia="Arial" w:hAnsi="Arial"/>
          <w:color w:val="111111"/>
          <w:sz w:val="20"/>
          <w:szCs w:val="20"/>
        </w:rPr>
        <w:t xml:space="preserve">[10] GitLab. How to Keep Up with CI/CD Best Practices. https://about.gitlab.com/blog/how-to-keep-up-with-ci-cd-best-practices/ — CI/CD best practices: fail fast, shift-left security, artefact caching, zero-downtime deployments; AI-driven pipeline troubleshooting; progressive delivery techniques.</w:t>
      </w:r>
    </w:p>
    <w:p>
      <w:pPr>
        <w:spacing w:after="60"/>
      </w:pPr>
      <w:r>
        <w:t xml:space="preserve"/>
      </w:r>
    </w:p>
    <w:p>
      <w:pPr>
        <w:spacing w:after="120"/>
      </w:pPr>
      <w:r>
        <w:rPr>
          <w:rFonts w:ascii="Arial" w:cs="Arial" w:eastAsia="Arial" w:hAnsi="Arial"/>
          <w:color w:val="111111"/>
          <w:sz w:val="20"/>
          <w:szCs w:val="20"/>
        </w:rPr>
        <w:t xml:space="preserve">[11] Splunk. CI/CD and DevOps Pipelines: An Introduction. https://www.splunk.com/en_us/blog/learn/ci-cd-devops-pipeline.html — Distinction between CI/CD pipeline and DevOps pipeline; automation layers; shared dashboards; IaC tools (Terraform, Ansible); monitoring stack (Prometheus, Grafana).</w:t>
      </w:r>
    </w:p>
    <w:p>
      <w:pPr>
        <w:spacing w:after="60"/>
      </w:pPr>
      <w:r>
        <w:t xml:space="preserve"/>
      </w:r>
    </w:p>
    <w:p>
      <w:pPr>
        <w:spacing w:after="120"/>
      </w:pPr>
      <w:r>
        <w:rPr>
          <w:rFonts w:ascii="Arial" w:cs="Arial" w:eastAsia="Arial" w:hAnsi="Arial"/>
          <w:color w:val="111111"/>
          <w:sz w:val="20"/>
          <w:szCs w:val="20"/>
        </w:rPr>
        <w:t xml:space="preserve">[12] Xu, W. et al. Detecting Large-Scale System Problems by Mining Console Logs. SOSP 2009 — HDFS-specific runbook diagnosis commands derived from Table 7 anomaly types and DataNode failure analysis; technical basis for deployment-correlated anomaly detection in HDFS.</w:t>
      </w:r>
    </w:p>
    <w:p>
      <w:pPr>
        <w:spacing w:after="60"/>
      </w:pPr>
      <w:r>
        <w:t xml:space="preserve"/>
      </w:r>
    </w:p>
    <w:p>
      <w:pPr>
        <w:spacing w:after="120"/>
      </w:pPr>
      <w:r>
        <w:rPr>
          <w:rFonts w:ascii="Arial" w:cs="Arial" w:eastAsia="Arial" w:hAnsi="Arial"/>
          <w:color w:val="111111"/>
          <w:sz w:val="20"/>
          <w:szCs w:val="20"/>
        </w:rPr>
        <w:t xml:space="preserve">[13] Zhu, J. et al. Loghub: A Large Collection of System Log Datasets. arXiv:2008.06448v3, 2023 — BGL and HDFS dataset context for runbook scenario calibration; BGL RAS log structure for firmware update runbook procedures.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E8F" w:sz="6" w:space="1"/>
      </w:pBdr>
      <w:tabs>
        <w:tab w:val="right" w:pos="9360"/>
      </w:tabs>
    </w:pPr>
    <w:r>
      <w:rPr>
        <w:rFonts w:ascii="Arial" w:cs="Arial" w:eastAsia="Arial" w:hAnsi="Arial"/>
        <w:color w:val="5D6E7A"/>
        <w:sz w:val="16"/>
        <w:szCs w:val="16"/>
      </w:rPr>
      <w:t xml:space="preserve">DevOps Engineering Reference  |  For RAG-assisted DevOps workflows on BGL &amp; HDFS log anomaly systems</w:t>
    </w:r>
    <w:r>
      <w:rPr>
        <w:rFonts w:ascii="Arial" w:cs="Arial" w:eastAsia="Arial" w:hAnsi="Arial"/>
        <w:color w:val="5D6E7A"/>
        <w:sz w:val="16"/>
        <w:szCs w:val="16"/>
      </w:rPr>
      <w:t xml:space="preserve">	Page </w:t>
    </w:r>
    <w:r>
      <w:rPr>
        <w:rFonts w:ascii="Arial" w:cs="Arial" w:eastAsia="Arial" w:hAnsi="Arial"/>
        <w:color w:val="5D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E8F" w:sz="6" w:space="1"/>
      </w:pBdr>
      <w:tabs>
        <w:tab w:val="right" w:pos="9360"/>
      </w:tabs>
    </w:pPr>
    <w:r>
      <w:rPr>
        <w:rFonts w:ascii="Arial" w:cs="Arial" w:eastAsia="Arial" w:hAnsi="Arial"/>
        <w:b/>
        <w:bCs/>
        <w:color w:val="0D3B47"/>
        <w:sz w:val="18"/>
        <w:szCs w:val="18"/>
      </w:rPr>
      <w:t xml:space="preserve">DevOps Engineer Reference Guide — RAG Knowledge Base</w:t>
    </w:r>
    <w:r>
      <w:rPr>
        <w:rFonts w:ascii="Arial" w:cs="Arial" w:eastAsia="Arial" w:hAnsi="Arial"/>
        <w:color w:val="5D6E7A"/>
        <w:sz w:val="18"/>
        <w:szCs w:val="18"/>
      </w:rPr>
      <w:t xml:space="preserve">	BGL / HDFS Anomaly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3B47"/>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A7E8F"/>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0D3B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2026-04-12T05:53:12.416Z</dcterms:created>
  <dcterms:modified xsi:type="dcterms:W3CDTF">2026-04-12T05:53:12.417Z</dcterms:modified>
</cp:coreProperties>
</file>

<file path=docProps/custom.xml><?xml version="1.0" encoding="utf-8"?>
<Properties xmlns="http://schemas.openxmlformats.org/officeDocument/2006/custom-properties" xmlns:vt="http://schemas.openxmlformats.org/officeDocument/2006/docPropsVTypes"/>
</file>