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5C"/>
          <w:sz w:val="56"/>
          <w:szCs w:val="56"/>
        </w:rPr>
        <w:t xml:space="preserve">Site Reliability Engineering</w:t>
      </w:r>
    </w:p>
    <w:p>
      <w:pPr>
        <w:spacing w:after="100"/>
        <w:jc w:val="center"/>
      </w:pPr>
      <w:r>
        <w:rPr>
          <w:rFonts w:ascii="Arial" w:cs="Arial" w:eastAsia="Arial" w:hAnsi="Arial"/>
          <w:color w:val="2E6DA4"/>
          <w:sz w:val="30"/>
          <w:szCs w:val="30"/>
        </w:rPr>
        <w:t xml:space="preserve">Reference Guide for RAG-Assisted Anomaly Resolution</w:t>
      </w:r>
    </w:p>
    <w:p>
      <w:pPr>
        <w:spacing w:after="80"/>
        <w:jc w:val="center"/>
      </w:pPr>
      <w:r>
        <w:rPr>
          <w:rFonts w:ascii="Arial" w:cs="Arial" w:eastAsia="Arial" w:hAnsi="Arial"/>
          <w:color w:val="6C7A8D"/>
          <w:sz w:val="22"/>
          <w:szCs w:val="22"/>
        </w:rPr>
        <w:t xml:space="preserve">BGL Supercomputer Logs  ·  HDFS Distributed File System Logs</w:t>
      </w:r>
    </w:p>
    <w:p>
      <w:pPr>
        <w:spacing w:after="480"/>
        <w:jc w:val="center"/>
      </w:pPr>
      <w:r>
        <w:rPr>
          <w:rFonts w:ascii="Arial" w:cs="Arial" w:eastAsia="Arial" w:hAnsi="Arial"/>
          <w:color w:val="6C7A8D"/>
          <w:sz w:val="20"/>
          <w:szCs w:val="20"/>
        </w:rPr>
        <w:t xml:space="preserve">Roles &amp; Responsibilities  ·  Runbooks  ·  SLA / SLO / Incident Management  ·  Change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5C" w:val="clear"/>
            <w:tcMar>
              <w:top w:type="dxa" w:w="180"/>
              <w:left w:type="dxa" w:w="160"/>
              <w:bottom w:type="dxa" w:w="180"/>
              <w:right w:type="dxa" w:w="160"/>
            </w:tcMar>
          </w:tcPr>
          <w:p>
            <w:pPr>
              <w:jc w:val="center"/>
            </w:pPr>
            <w:r>
              <w:rPr>
                <w:rFonts w:ascii="Arial" w:cs="Arial" w:eastAsia="Arial" w:hAnsi="Arial"/>
                <w:b/>
                <w:bCs/>
                <w:color w:val="FFFFFF"/>
                <w:sz w:val="52"/>
                <w:szCs w:val="52"/>
              </w:rPr>
              <w:t xml:space="preserve">≤50%</w:t>
            </w:r>
          </w:p>
          <w:p>
            <w:pPr>
              <w:jc w:val="center"/>
            </w:pPr>
            <w:r>
              <w:rPr>
                <w:rFonts w:ascii="Arial" w:cs="Arial" w:eastAsia="Arial" w:hAnsi="Arial"/>
                <w:color w:val="D0E4F5"/>
                <w:sz w:val="18"/>
                <w:szCs w:val="18"/>
              </w:rPr>
              <w:t xml:space="preserve">Max toil budget</w:t>
            </w:r>
          </w:p>
        </w:tc>
        <w:tc>
          <w:tcPr>
            <w:tcW w:type="dxa" w:w="2340"/>
            <w:tcBorders>
              <w:top w:val="none" w:color="FFFFFF" w:sz="0"/>
              <w:left w:val="none" w:color="FFFFFF" w:sz="0"/>
              <w:bottom w:val="none" w:color="FFFFFF" w:sz="0"/>
              <w:right w:val="none" w:color="FFFFFF" w:sz="0"/>
            </w:tcBorders>
            <w:shd w:fill="2E6DA4" w:val="clear"/>
            <w:tcMar>
              <w:top w:type="dxa" w:w="180"/>
              <w:left w:type="dxa" w:w="160"/>
              <w:bottom w:type="dxa" w:w="180"/>
              <w:right w:type="dxa" w:w="160"/>
            </w:tcMa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D0E4F5"/>
                <w:sz w:val="18"/>
                <w:szCs w:val="18"/>
              </w:rPr>
              <w:t xml:space="preserve">Golden signals monitored</w:t>
            </w:r>
          </w:p>
        </w:tc>
        <w:tc>
          <w:tcPr>
            <w:tcW w:type="dxa" w:w="2340"/>
            <w:tcBorders>
              <w:top w:val="none" w:color="FFFFFF" w:sz="0"/>
              <w:left w:val="none" w:color="FFFFFF" w:sz="0"/>
              <w:bottom w:val="none" w:color="FFFFFF" w:sz="0"/>
              <w:right w:val="none" w:color="FFFFFF" w:sz="0"/>
            </w:tcBorders>
            <w:shd w:fill="1B3A5C" w:val="clear"/>
            <w:tcMar>
              <w:top w:type="dxa" w:w="180"/>
              <w:left w:type="dxa" w:w="160"/>
              <w:bottom w:type="dxa" w:w="180"/>
              <w:right w:type="dxa" w:w="160"/>
            </w:tcMar>
          </w:tcPr>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D0E4F5"/>
                <w:sz w:val="18"/>
                <w:szCs w:val="18"/>
              </w:rPr>
              <w:t xml:space="preserve">Incident severity levels</w:t>
            </w:r>
          </w:p>
        </w:tc>
        <w:tc>
          <w:tcPr>
            <w:tcW w:type="dxa" w:w="2340"/>
            <w:tcBorders>
              <w:top w:val="none" w:color="FFFFFF" w:sz="0"/>
              <w:left w:val="none" w:color="FFFFFF" w:sz="0"/>
              <w:bottom w:val="none" w:color="FFFFFF" w:sz="0"/>
              <w:right w:val="none" w:color="FFFFFF" w:sz="0"/>
            </w:tcBorders>
            <w:shd w:fill="2E6DA4" w:val="clear"/>
            <w:tcMar>
              <w:top w:type="dxa" w:w="180"/>
              <w:left w:type="dxa" w:w="160"/>
              <w:bottom w:type="dxa" w:w="180"/>
              <w:right w:type="dxa" w:w="160"/>
            </w:tcMar>
          </w:tcPr>
          <w:p>
            <w:pPr>
              <w:jc w:val="center"/>
            </w:pPr>
            <w:r>
              <w:rPr>
                <w:rFonts w:ascii="Arial" w:cs="Arial" w:eastAsia="Arial" w:hAnsi="Arial"/>
                <w:b/>
                <w:bCs/>
                <w:color w:val="FFFFFF"/>
                <w:sz w:val="52"/>
                <w:szCs w:val="52"/>
              </w:rPr>
              <w:t xml:space="preserve">99.9%</w:t>
            </w:r>
          </w:p>
          <w:p>
            <w:pPr>
              <w:jc w:val="center"/>
            </w:pPr>
            <w:r>
              <w:rPr>
                <w:rFonts w:ascii="Arial" w:cs="Arial" w:eastAsia="Arial" w:hAnsi="Arial"/>
                <w:color w:val="D0E4F5"/>
                <w:sz w:val="18"/>
                <w:szCs w:val="18"/>
              </w:rPr>
              <w:t xml:space="preserve">Typical distributed SLO</w:t>
            </w:r>
          </w:p>
        </w:tc>
      </w:tr>
    </w:tbl>
    <w:p>
      <w:pPr>
        <w:spacing w:after="3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B3A5C"/>
          <w:sz w:val="34"/>
          <w:szCs w:val="34"/>
        </w:rPr>
        <w:t xml:space="preserve">1. Role Definition &amp; Core Responsibilities</w:t>
      </w:r>
    </w:p>
    <w:p>
      <w:pPr>
        <w:pBdr>
          <w:bottom w:val="single" w:color="2E6DA4" w:sz="6" w:space="1"/>
        </w:pBdr>
        <w:spacing w:after="160"/>
      </w:pPr>
      <w:r>
        <w:t xml:space="preserve"/>
      </w:r>
    </w:p>
    <w:p>
      <w:pPr>
        <w:spacing w:after="120"/>
      </w:pPr>
      <w:r>
        <w:rPr>
          <w:rFonts w:ascii="Arial" w:cs="Arial" w:eastAsia="Arial" w:hAnsi="Arial"/>
          <w:color w:val="111111"/>
          <w:sz w:val="20"/>
          <w:szCs w:val="20"/>
        </w:rPr>
        <w:t xml:space="preserve">Site Reliability Engineering (SRE) is an engineering discipline originated at Google in 2003 by Ben Treynor Sloss that applies software engineering principles to operations and infrastructure management. The SRE model treats reliability as a software problem: automation, measurement, and engineering rigour replace manual, reactive operations.</w:t>
      </w:r>
    </w:p>
    <w:p>
      <w:pPr>
        <w:spacing w:after="80"/>
      </w:pPr>
      <w:r>
        <w:t xml:space="preserve"/>
      </w:r>
    </w:p>
    <w:p>
      <w:pPr>
        <w:spacing w:after="120"/>
      </w:pPr>
      <w:r>
        <w:rPr>
          <w:rFonts w:ascii="Arial" w:cs="Arial" w:eastAsia="Arial" w:hAnsi="Arial"/>
          <w:color w:val="111111"/>
          <w:sz w:val="20"/>
          <w:szCs w:val="20"/>
        </w:rPr>
        <w:t xml:space="preserve">SRE teams are responsible for the availability, latency, performance, efficiency, change management, monitoring, emergency response, and capacity planning of the services they support. A defining principle is the toil budget: SREs should spend no more than 50% of their time on operational (toil) work, with the remainder dedicated to engineering that reduces future toil and improves reliability.</w:t>
      </w:r>
    </w:p>
    <w:p>
      <w:pPr>
        <w:spacing w:after="120"/>
      </w:pPr>
      <w:r>
        <w:t xml:space="preserve"/>
      </w:r>
    </w:p>
    <w:p>
      <w:pPr>
        <w:pStyle w:val="Heading2"/>
      </w:pPr>
      <w:r>
        <w:rPr>
          <w:rFonts w:ascii="Arial" w:cs="Arial" w:eastAsia="Arial" w:hAnsi="Arial"/>
          <w:b/>
          <w:bCs/>
          <w:color w:val="2E6DA4"/>
          <w:sz w:val="27"/>
          <w:szCs w:val="27"/>
        </w:rPr>
        <w:t xml:space="preserve">1.1  Core Responsibility Domains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 Domain</w:t>
            </w:r>
          </w:p>
        </w:tc>
        <w:tc>
          <w:tcPr>
            <w:tcW w:type="dxa" w:w="656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 &amp; Deliverables</w:t>
            </w:r>
          </w:p>
        </w:tc>
      </w:tr>
      <w:tr>
        <w:tc>
          <w:tcPr>
            <w:tcW w:type="dxa" w:w="2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Availability &amp; Reliability</w:t>
            </w:r>
          </w:p>
        </w:tc>
        <w:tc>
          <w:tcPr>
            <w:tcW w:type="dxa" w:w="65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Maintain defined SLOs; monitor SLIs against error budgets; own on-call rotation; ensure 99.9%–99.99% uptime targets are met; implement redundancy and fault-tolerance patterns.</w:t>
            </w:r>
          </w:p>
        </w:tc>
      </w:tr>
      <w:tr>
        <w:tc>
          <w:tcPr>
            <w:tcW w:type="dxa" w:w="2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Monitoring &amp; Observability</w:t>
            </w:r>
          </w:p>
        </w:tc>
        <w:tc>
          <w:tcPr>
            <w:tcW w:type="dxa" w:w="65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Build and maintain dashboards (four golden signals: latency, traffic, errors, saturation); set up alerting policies; implement distributed tracing, structured logging, and metrics pipelines.</w:t>
            </w:r>
          </w:p>
        </w:tc>
      </w:tr>
      <w:tr>
        <w:tc>
          <w:tcPr>
            <w:tcW w:type="dxa" w:w="2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Incident Management</w:t>
            </w:r>
          </w:p>
        </w:tc>
        <w:tc>
          <w:tcPr>
            <w:tcW w:type="dxa" w:w="65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Lead incident response as Incident Commander; co-ordinate triage, mitigation, and communication; conduct blameless post-mortems; track action items to closure.</w:t>
            </w:r>
          </w:p>
        </w:tc>
      </w:tr>
      <w:tr>
        <w:tc>
          <w:tcPr>
            <w:tcW w:type="dxa" w:w="2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Capacity Planning</w:t>
            </w:r>
          </w:p>
        </w:tc>
        <w:tc>
          <w:tcPr>
            <w:tcW w:type="dxa" w:w="65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Forecast load growth; plan and execute provisioning; maintain appropriate headroom; perform demand modelling and rightsizing.</w:t>
            </w:r>
          </w:p>
        </w:tc>
      </w:tr>
      <w:tr>
        <w:tc>
          <w:tcPr>
            <w:tcW w:type="dxa" w:w="2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Change Management</w:t>
            </w:r>
          </w:p>
        </w:tc>
        <w:tc>
          <w:tcPr>
            <w:tcW w:type="dxa" w:w="65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Review and approve production changes; manage launch readiness; enforce error budget policies; gate risky deployments when budgets are exhausted.</w:t>
            </w:r>
          </w:p>
        </w:tc>
      </w:tr>
      <w:tr>
        <w:tc>
          <w:tcPr>
            <w:tcW w:type="dxa" w:w="2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Toil Reduction &amp; Automation</w:t>
            </w:r>
          </w:p>
        </w:tc>
        <w:tc>
          <w:tcPr>
            <w:tcW w:type="dxa" w:w="65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Identify repetitive operational tasks (toil); engineer automation to eliminate them; cap toil at ≤50% of working time (Google SRE principle).</w:t>
            </w:r>
          </w:p>
        </w:tc>
      </w:tr>
      <w:tr>
        <w:tc>
          <w:tcPr>
            <w:tcW w:type="dxa" w:w="2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Performance &amp; Efficiency</w:t>
            </w:r>
          </w:p>
        </w:tc>
        <w:tc>
          <w:tcPr>
            <w:tcW w:type="dxa" w:w="65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Profile service latency and throughput; drive improvements to tail latency; optimise resource utilisation; eliminate unnecessary overhead.</w:t>
            </w:r>
          </w:p>
        </w:tc>
      </w:tr>
      <w:tr>
        <w:tc>
          <w:tcPr>
            <w:tcW w:type="dxa" w:w="2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Production Readiness Review</w:t>
            </w:r>
          </w:p>
        </w:tc>
        <w:tc>
          <w:tcPr>
            <w:tcW w:type="dxa" w:w="65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Conduct PRRs before new services or features go to production; assess alerting, runbooks, scaling, rollback procedures, and SLO definitions.</w:t>
            </w:r>
          </w:p>
        </w:tc>
      </w:tr>
    </w:tbl>
    <w:p>
      <w:pPr>
        <w:spacing w:after="200"/>
      </w:pPr>
      <w:r>
        <w:t xml:space="preserve"/>
      </w:r>
    </w:p>
    <w:p>
      <w:pPr>
        <w:pStyle w:val="Heading2"/>
      </w:pPr>
      <w:r>
        <w:rPr>
          <w:rFonts w:ascii="Arial" w:cs="Arial" w:eastAsia="Arial" w:hAnsi="Arial"/>
          <w:b/>
          <w:bCs/>
          <w:color w:val="2E6DA4"/>
          <w:sz w:val="27"/>
          <w:szCs w:val="27"/>
        </w:rPr>
        <w:t xml:space="preserve">1.2  SRE vs. Traditional Operations: Key Distinctions</w:t>
      </w:r>
    </w:p>
    <w:p>
      <w:pPr>
        <w:pStyle w:val="ListParagraph"/>
        <w:numPr>
          <w:ilvl w:val="0"/>
          <w:numId w:val="2"/>
        </w:numPr>
        <w:spacing w:after="80"/>
      </w:pPr>
      <w:r>
        <w:rPr>
          <w:rFonts w:ascii="Arial" w:cs="Arial" w:eastAsia="Arial" w:hAnsi="Arial"/>
          <w:sz w:val="20"/>
          <w:szCs w:val="20"/>
        </w:rPr>
        <w:t xml:space="preserve">SRE engineers automation to eliminate repetitive tasks; traditional ops teams perform tasks manually.</w:t>
      </w:r>
    </w:p>
    <w:p>
      <w:pPr>
        <w:pStyle w:val="ListParagraph"/>
        <w:numPr>
          <w:ilvl w:val="0"/>
          <w:numId w:val="2"/>
        </w:numPr>
        <w:spacing w:after="80"/>
      </w:pPr>
      <w:r>
        <w:rPr>
          <w:rFonts w:ascii="Arial" w:cs="Arial" w:eastAsia="Arial" w:hAnsi="Arial"/>
          <w:sz w:val="20"/>
          <w:szCs w:val="20"/>
        </w:rPr>
        <w:t xml:space="preserve">SRE uses error budgets to adjudicate the speed-vs-stability tradeoff; operations teams typically lack a formal mechanism.</w:t>
      </w:r>
    </w:p>
    <w:p>
      <w:pPr>
        <w:pStyle w:val="ListParagraph"/>
        <w:numPr>
          <w:ilvl w:val="0"/>
          <w:numId w:val="2"/>
        </w:numPr>
        <w:spacing w:after="80"/>
      </w:pPr>
      <w:r>
        <w:rPr>
          <w:rFonts w:ascii="Arial" w:cs="Arial" w:eastAsia="Arial" w:hAnsi="Arial"/>
          <w:sz w:val="20"/>
          <w:szCs w:val="20"/>
        </w:rPr>
        <w:t xml:space="preserve">SRE defines and owns SLOs in partnership with product teams; traditional ops teams respond to SLA breaches after the fact.</w:t>
      </w:r>
    </w:p>
    <w:p>
      <w:pPr>
        <w:pStyle w:val="ListParagraph"/>
        <w:numPr>
          <w:ilvl w:val="0"/>
          <w:numId w:val="2"/>
        </w:numPr>
        <w:spacing w:after="80"/>
      </w:pPr>
      <w:r>
        <w:rPr>
          <w:rFonts w:ascii="Arial" w:cs="Arial" w:eastAsia="Arial" w:hAnsi="Arial"/>
          <w:sz w:val="20"/>
          <w:szCs w:val="20"/>
        </w:rPr>
        <w:t xml:space="preserve">SRE's role scope is time-bounded — when error budgets are exhausted, SREs can halt feature development; this authority is uncommon in traditional ops.</w:t>
      </w:r>
    </w:p>
    <w:p>
      <w:pPr>
        <w:pStyle w:val="ListParagraph"/>
        <w:numPr>
          <w:ilvl w:val="0"/>
          <w:numId w:val="2"/>
        </w:numPr>
        <w:spacing w:after="80"/>
      </w:pPr>
      <w:r>
        <w:rPr>
          <w:rFonts w:ascii="Arial" w:cs="Arial" w:eastAsia="Arial" w:hAnsi="Arial"/>
          <w:sz w:val="20"/>
          <w:szCs w:val="20"/>
        </w:rPr>
        <w:t xml:space="preserve">SRE conducts blameless post-mortems focused on systemic causes; traditional ops post-incident reviews can focus on individual fault.</w:t>
      </w:r>
    </w:p>
    <w:p>
      <w:pPr>
        <w:spacing w:after="200"/>
      </w:pPr>
      <w:r>
        <w:t xml:space="preserve"/>
      </w:r>
    </w:p>
    <w:p>
      <w:pPr>
        <w:pStyle w:val="Heading1"/>
        <w:pageBreakBefore/>
      </w:pPr>
      <w:r>
        <w:rPr>
          <w:rFonts w:ascii="Arial" w:cs="Arial" w:eastAsia="Arial" w:hAnsi="Arial"/>
          <w:b/>
          <w:bCs/>
          <w:color w:val="1B3A5C"/>
          <w:sz w:val="34"/>
          <w:szCs w:val="34"/>
        </w:rPr>
        <w:t xml:space="preserve">2. Monitoring &amp; Observability</w:t>
      </w:r>
    </w:p>
    <w:p>
      <w:pPr>
        <w:pBdr>
          <w:bottom w:val="single" w:color="2E6DA4" w:sz="6" w:space="1"/>
        </w:pBdr>
        <w:spacing w:after="160"/>
      </w:pPr>
      <w:r>
        <w:t xml:space="preserve"/>
      </w:r>
    </w:p>
    <w:p>
      <w:pPr>
        <w:spacing w:after="120"/>
      </w:pPr>
      <w:r>
        <w:rPr>
          <w:rFonts w:ascii="Arial" w:cs="Arial" w:eastAsia="Arial" w:hAnsi="Arial"/>
          <w:color w:val="111111"/>
          <w:sz w:val="20"/>
          <w:szCs w:val="20"/>
        </w:rPr>
        <w:t xml:space="preserve">Effective observability is the foundation of SRE practice. Google's SRE book formalised the Four Golden Signals as the minimum set of metrics to instrument on any service. Observability goes beyond monitoring by enabling SREs to ask arbitrary questions about system state using logs, metrics, and traces — the three pillars of observability.</w:t>
      </w:r>
    </w:p>
    <w:p>
      <w:pPr>
        <w:spacing w:after="120"/>
      </w:pPr>
      <w:r>
        <w:t xml:space="preserve"/>
      </w:r>
    </w:p>
    <w:p>
      <w:pPr>
        <w:pStyle w:val="Heading2"/>
      </w:pPr>
      <w:r>
        <w:rPr>
          <w:rFonts w:ascii="Arial" w:cs="Arial" w:eastAsia="Arial" w:hAnsi="Arial"/>
          <w:b/>
          <w:bCs/>
          <w:color w:val="2E6DA4"/>
          <w:sz w:val="27"/>
          <w:szCs w:val="27"/>
        </w:rPr>
        <w:t xml:space="preserve">2.1  The Four Golden Signals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20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32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SLI Measurement</w:t>
            </w:r>
          </w:p>
        </w:tc>
        <w:tc>
          <w:tcPr>
            <w:tcW w:type="dxa" w:w="276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Alert Threshold Guidance</w:t>
            </w:r>
          </w:p>
        </w:tc>
      </w:tr>
      <w:tr>
        <w:tc>
          <w:tcPr>
            <w:tcW w:type="dxa" w:w="1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Latency</w:t>
            </w:r>
          </w:p>
        </w:tc>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Time to serve a request</w:t>
            </w:r>
          </w:p>
        </w:tc>
        <w:tc>
          <w:tcPr>
            <w:tcW w:type="dxa" w:w="3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P50 / P95 / P99 response time; distinguish successful from error latency</w:t>
            </w:r>
          </w:p>
        </w:tc>
        <w:tc>
          <w:tcPr>
            <w:tcW w:type="dxa" w:w="27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Alert on P99 &gt; SLO threshold × 1.5; burn-rate alert if sustained</w:t>
            </w:r>
          </w:p>
        </w:tc>
      </w:tr>
      <w:tr>
        <w:tc>
          <w:tcPr>
            <w:tcW w:type="dxa" w:w="1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Traffic</w:t>
            </w:r>
          </w:p>
        </w:tc>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Demand on the system</w:t>
            </w:r>
          </w:p>
        </w:tc>
        <w:tc>
          <w:tcPr>
            <w:tcW w:type="dxa" w:w="3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Requests per second (RPS); queries per second (QPS); bytes/sec</w:t>
            </w:r>
          </w:p>
        </w:tc>
        <w:tc>
          <w:tcPr>
            <w:tcW w:type="dxa" w:w="27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Alert on sudden drops (failure) or extreme spikes (capacity risk)</w:t>
            </w:r>
          </w:p>
        </w:tc>
      </w:tr>
      <w:tr>
        <w:tc>
          <w:tcPr>
            <w:tcW w:type="dxa" w:w="1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Errors</w:t>
            </w:r>
          </w:p>
        </w:tc>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Rate of failed requests</w:t>
            </w:r>
          </w:p>
        </w:tc>
        <w:tc>
          <w:tcPr>
            <w:tcW w:type="dxa" w:w="3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HTTP 5xx rate / total requests; failed RPC proportion</w:t>
            </w:r>
          </w:p>
        </w:tc>
        <w:tc>
          <w:tcPr>
            <w:tcW w:type="dxa" w:w="27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Alert if error rate &gt; 0.1% sustained for &gt; 5 min; SLO burn alert</w:t>
            </w:r>
          </w:p>
        </w:tc>
      </w:tr>
      <w:tr>
        <w:tc>
          <w:tcPr>
            <w:tcW w:type="dxa" w:w="1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Saturation</w:t>
            </w:r>
          </w:p>
        </w:tc>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Utilisation of constrained resources</w:t>
            </w:r>
          </w:p>
        </w:tc>
        <w:tc>
          <w:tcPr>
            <w:tcW w:type="dxa" w:w="3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CPU %, memory %, disk I/O %, connection pool usage, queue depth</w:t>
            </w:r>
          </w:p>
        </w:tc>
        <w:tc>
          <w:tcPr>
            <w:tcW w:type="dxa" w:w="27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Alert at 80% saturation on any constrained resource</w:t>
            </w:r>
          </w:p>
        </w:tc>
      </w:tr>
    </w:tbl>
    <w:p>
      <w:pPr>
        <w:spacing w:after="200"/>
      </w:pPr>
      <w:r>
        <w:t xml:space="preserve"/>
      </w:r>
    </w:p>
    <w:p>
      <w:pPr>
        <w:pStyle w:val="Heading2"/>
      </w:pPr>
      <w:r>
        <w:rPr>
          <w:rFonts w:ascii="Arial" w:cs="Arial" w:eastAsia="Arial" w:hAnsi="Arial"/>
          <w:b/>
          <w:bCs/>
          <w:color w:val="2E6DA4"/>
          <w:sz w:val="27"/>
          <w:szCs w:val="27"/>
        </w:rPr>
        <w:t xml:space="preserve">2.2  Three Pillars of Observability</w:t>
      </w:r>
    </w:p>
    <w:p>
      <w:pPr>
        <w:pStyle w:val="Heading3"/>
      </w:pPr>
      <w:r>
        <w:rPr>
          <w:rFonts w:ascii="Arial" w:cs="Arial" w:eastAsia="Arial" w:hAnsi="Arial"/>
          <w:b/>
          <w:bCs/>
          <w:color w:val="1B3A5C"/>
          <w:sz w:val="22"/>
          <w:szCs w:val="22"/>
        </w:rPr>
        <w:t xml:space="preserve">Logs</w:t>
      </w:r>
    </w:p>
    <w:p>
      <w:pPr>
        <w:spacing w:after="120"/>
      </w:pPr>
      <w:r>
        <w:rPr>
          <w:rFonts w:ascii="Arial" w:cs="Arial" w:eastAsia="Arial" w:hAnsi="Arial"/>
          <w:color w:val="111111"/>
          <w:sz w:val="20"/>
          <w:szCs w:val="20"/>
        </w:rPr>
        <w:t xml:space="preserve">Time-stamped records of discrete events. In BGL and HDFS contexts, logs are the primary signal source. SREs structure log pipelines to support: (a) real-time alerting on log patterns (KERNMNTF, mass E8+E9), (b) correlation across distributed nodes, and (c) ML / RAG-driven anomaly detection as in this experimental system.</w:t>
      </w:r>
    </w:p>
    <w:p>
      <w:pPr>
        <w:spacing w:after="80"/>
      </w:pPr>
      <w:r>
        <w:t xml:space="preserve"/>
      </w:r>
    </w:p>
    <w:p>
      <w:pPr>
        <w:pStyle w:val="Heading3"/>
      </w:pPr>
      <w:r>
        <w:rPr>
          <w:rFonts w:ascii="Arial" w:cs="Arial" w:eastAsia="Arial" w:hAnsi="Arial"/>
          <w:b/>
          <w:bCs/>
          <w:color w:val="1B3A5C"/>
          <w:sz w:val="22"/>
          <w:szCs w:val="22"/>
        </w:rPr>
        <w:t xml:space="preserve">Metrics</w:t>
      </w:r>
    </w:p>
    <w:p>
      <w:pPr>
        <w:spacing w:after="120"/>
      </w:pPr>
      <w:r>
        <w:rPr>
          <w:rFonts w:ascii="Arial" w:cs="Arial" w:eastAsia="Arial" w:hAnsi="Arial"/>
          <w:color w:val="111111"/>
          <w:sz w:val="20"/>
          <w:szCs w:val="20"/>
        </w:rPr>
        <w:t xml:space="preserve">Aggregated numerical time-series. Prometheus + Grafana is the dominant open-source stack. SREs define recording rules for SLIs (e.g., hdfs_block_missing_replicas_total / hdfs_blocks_total) and alert on burn rates rather than raw thresholds to reduce alert fatigue.</w:t>
      </w:r>
    </w:p>
    <w:p>
      <w:pPr>
        <w:spacing w:after="80"/>
      </w:pPr>
      <w:r>
        <w:t xml:space="preserve"/>
      </w:r>
    </w:p>
    <w:p>
      <w:pPr>
        <w:pStyle w:val="Heading3"/>
      </w:pPr>
      <w:r>
        <w:rPr>
          <w:rFonts w:ascii="Arial" w:cs="Arial" w:eastAsia="Arial" w:hAnsi="Arial"/>
          <w:b/>
          <w:bCs/>
          <w:color w:val="1B3A5C"/>
          <w:sz w:val="22"/>
          <w:szCs w:val="22"/>
        </w:rPr>
        <w:t xml:space="preserve">Traces</w:t>
      </w:r>
    </w:p>
    <w:p>
      <w:pPr>
        <w:spacing w:after="120"/>
      </w:pPr>
      <w:r>
        <w:rPr>
          <w:rFonts w:ascii="Arial" w:cs="Arial" w:eastAsia="Arial" w:hAnsi="Arial"/>
          <w:color w:val="111111"/>
          <w:sz w:val="20"/>
          <w:szCs w:val="20"/>
        </w:rPr>
        <w:t xml:space="preserve">Distributed request traces linking log events across service boundaries. In HDFS, a block write trace spans NameNode allocation → DataNode pipeline → receipt confirmation events (E7→E10→E11→E6). Tracing enables SREs to pinpoint where latency is introduced across the distributed execution path.</w:t>
      </w:r>
    </w:p>
    <w:p>
      <w:pPr>
        <w:spacing w:after="200"/>
      </w:pPr>
      <w:r>
        <w:t xml:space="preserve"/>
      </w:r>
    </w:p>
    <w:p>
      <w:pPr>
        <w:pStyle w:val="Heading2"/>
      </w:pPr>
      <w:r>
        <w:rPr>
          <w:rFonts w:ascii="Arial" w:cs="Arial" w:eastAsia="Arial" w:hAnsi="Arial"/>
          <w:b/>
          <w:bCs/>
          <w:color w:val="2E6DA4"/>
          <w:sz w:val="27"/>
          <w:szCs w:val="27"/>
        </w:rPr>
        <w:t xml:space="preserve">2.3  Alerting Philosophy</w:t>
      </w:r>
    </w:p>
    <w:p>
      <w:pPr>
        <w:pStyle w:val="ListParagraph"/>
        <w:numPr>
          <w:ilvl w:val="0"/>
          <w:numId w:val="2"/>
        </w:numPr>
        <w:spacing w:after="80"/>
      </w:pPr>
      <w:r>
        <w:rPr>
          <w:rFonts w:ascii="Arial" w:cs="Arial" w:eastAsia="Arial" w:hAnsi="Arial"/>
          <w:sz w:val="20"/>
          <w:szCs w:val="20"/>
        </w:rPr>
        <w:t xml:space="preserve">Alert on symptoms (user-facing SLI degradation), not causes (CPU 80%). The latter produces alert fatigue.</w:t>
      </w:r>
    </w:p>
    <w:p>
      <w:pPr>
        <w:pStyle w:val="ListParagraph"/>
        <w:numPr>
          <w:ilvl w:val="0"/>
          <w:numId w:val="2"/>
        </w:numPr>
        <w:spacing w:after="80"/>
      </w:pPr>
      <w:r>
        <w:rPr>
          <w:rFonts w:ascii="Arial" w:cs="Arial" w:eastAsia="Arial" w:hAnsi="Arial"/>
          <w:sz w:val="20"/>
          <w:szCs w:val="20"/>
        </w:rPr>
        <w:t xml:space="preserve">Use multi-window multi-burn-rate alerting (Google SRE Workbook): fast burn (page immediately) and slow burn (create a ticket).</w:t>
      </w:r>
    </w:p>
    <w:p>
      <w:pPr>
        <w:pStyle w:val="ListParagraph"/>
        <w:numPr>
          <w:ilvl w:val="0"/>
          <w:numId w:val="2"/>
        </w:numPr>
        <w:spacing w:after="80"/>
      </w:pPr>
      <w:r>
        <w:rPr>
          <w:rFonts w:ascii="Arial" w:cs="Arial" w:eastAsia="Arial" w:hAnsi="Arial"/>
          <w:sz w:val="20"/>
          <w:szCs w:val="20"/>
        </w:rPr>
        <w:t xml:space="preserve">Every alert must have a runbook — alerts without runbooks are noise.</w:t>
      </w:r>
    </w:p>
    <w:p>
      <w:pPr>
        <w:pStyle w:val="ListParagraph"/>
        <w:numPr>
          <w:ilvl w:val="0"/>
          <w:numId w:val="2"/>
        </w:numPr>
        <w:spacing w:after="80"/>
      </w:pPr>
      <w:r>
        <w:rPr>
          <w:rFonts w:ascii="Arial" w:cs="Arial" w:eastAsia="Arial" w:hAnsi="Arial"/>
          <w:sz w:val="20"/>
          <w:szCs w:val="20"/>
        </w:rPr>
        <w:t xml:space="preserve">Review and prune alerts quarterly: classify as actionable, noisy, or obsolete.</w:t>
      </w:r>
    </w:p>
    <w:p>
      <w:pPr>
        <w:pStyle w:val="ListParagraph"/>
        <w:numPr>
          <w:ilvl w:val="0"/>
          <w:numId w:val="2"/>
        </w:numPr>
        <w:spacing w:after="80"/>
      </w:pPr>
      <w:r>
        <w:rPr>
          <w:rFonts w:ascii="Arial" w:cs="Arial" w:eastAsia="Arial" w:hAnsi="Arial"/>
          <w:sz w:val="20"/>
          <w:szCs w:val="20"/>
        </w:rPr>
        <w:t xml:space="preserve">Target alert-to-page ratio &lt; 3:1 (no more than 3 pages per on-call shift for high-severity issues).</w:t>
      </w:r>
    </w:p>
    <w:p>
      <w:pPr>
        <w:spacing w:after="200"/>
      </w:pPr>
      <w:r>
        <w:t xml:space="preserve"/>
      </w:r>
    </w:p>
    <w:p>
      <w:pPr>
        <w:pStyle w:val="Heading1"/>
        <w:pageBreakBefore/>
      </w:pPr>
      <w:r>
        <w:rPr>
          <w:rFonts w:ascii="Arial" w:cs="Arial" w:eastAsia="Arial" w:hAnsi="Arial"/>
          <w:b/>
          <w:bCs/>
          <w:color w:val="1B3A5C"/>
          <w:sz w:val="34"/>
          <w:szCs w:val="34"/>
        </w:rPr>
        <w:t xml:space="preserve">3. SLI, SLO, SLA &amp; Error Budget Management</w:t>
      </w:r>
    </w:p>
    <w:p>
      <w:pPr>
        <w:pBdr>
          <w:bottom w:val="single" w:color="2E6DA4" w:sz="6" w:space="1"/>
        </w:pBdr>
        <w:spacing w:after="160"/>
      </w:pPr>
      <w:r>
        <w:t xml:space="preserve"/>
      </w:r>
    </w:p>
    <w:p>
      <w:pPr>
        <w:spacing w:after="120"/>
      </w:pPr>
      <w:r>
        <w:rPr>
          <w:rFonts w:ascii="Arial" w:cs="Arial" w:eastAsia="Arial" w:hAnsi="Arial"/>
          <w:color w:val="111111"/>
          <w:sz w:val="20"/>
          <w:szCs w:val="20"/>
        </w:rPr>
        <w:t xml:space="preserve">The SLI → SLO → SLA hierarchy is the central reliability management framework in SRE. Error budgets translate abstract reliability targets into operational decision-making authority: when budgets are spent, reliability work takes priority over feature development.</w:t>
      </w:r>
    </w:p>
    <w:p>
      <w:pPr>
        <w:spacing w:after="120"/>
      </w:pPr>
      <w:r>
        <w:t xml:space="preserve"/>
      </w:r>
    </w:p>
    <w:p>
      <w:pPr>
        <w:pStyle w:val="Heading2"/>
      </w:pPr>
      <w:r>
        <w:rPr>
          <w:rFonts w:ascii="Arial" w:cs="Arial" w:eastAsia="Arial" w:hAnsi="Arial"/>
          <w:b/>
          <w:bCs/>
          <w:color w:val="2E6DA4"/>
          <w:sz w:val="27"/>
          <w:szCs w:val="27"/>
        </w:rPr>
        <w:t xml:space="preserve">3.1  Concept Definitions &amp; Action Triggers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rPr>
          <w:tblHeader/>
        </w:trPr>
        <w:tc>
          <w:tcPr>
            <w:tcW w:type="dxa" w:w="12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24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288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Values / Examples</w:t>
            </w:r>
          </w:p>
        </w:tc>
        <w:tc>
          <w:tcPr>
            <w:tcW w:type="dxa" w:w="288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SRE Action Trigger</w:t>
            </w:r>
          </w:p>
        </w:tc>
      </w:tr>
      <w:tr>
        <w:tc>
          <w:tcPr>
            <w:tcW w:type="dxa" w:w="1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SLI</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Service Level Indicator — the actual quantitative measure of a service property (e.g. availability)</w:t>
            </w:r>
          </w:p>
        </w:tc>
        <w:tc>
          <w:tcPr>
            <w:tcW w:type="dxa" w:w="2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Success rate = good requests / total; P99 latency; MTTR</w:t>
            </w:r>
          </w:p>
        </w:tc>
        <w:tc>
          <w:tcPr>
            <w:tcW w:type="dxa" w:w="2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Used to compute SLO compliance and error budget burn</w:t>
            </w:r>
          </w:p>
        </w:tc>
      </w:tr>
      <w:tr>
        <w:tc>
          <w:tcPr>
            <w:tcW w:type="dxa" w:w="1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SLO</w:t>
            </w:r>
          </w:p>
        </w:tc>
        <w:tc>
          <w:tcPr>
            <w:tcW w:type="dxa" w:w="2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Service Level Objective — the internal target for an SLI over a rolling window</w:t>
            </w:r>
          </w:p>
        </w:tc>
        <w:tc>
          <w:tcPr>
            <w:tcW w:type="dxa" w:w="28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99.9% availability / 28-day window; P99 latency &lt; 300 ms</w:t>
            </w:r>
          </w:p>
        </w:tc>
        <w:tc>
          <w:tcPr>
            <w:tcW w:type="dxa" w:w="28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Breach triggers reliability work freeze; halts risky deploys</w:t>
            </w:r>
          </w:p>
        </w:tc>
      </w:tr>
      <w:tr>
        <w:tc>
          <w:tcPr>
            <w:tcW w:type="dxa" w:w="1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SLA</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Service Level Agreement — contractual commitment to customers; SLO minus a safety margin</w:t>
            </w:r>
          </w:p>
        </w:tc>
        <w:tc>
          <w:tcPr>
            <w:tcW w:type="dxa" w:w="2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99.5% contractual uptime (while SLO is 99.9%)</w:t>
            </w:r>
          </w:p>
        </w:tc>
        <w:tc>
          <w:tcPr>
            <w:tcW w:type="dxa" w:w="2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Breach triggers financial penalties; escalation to leadership</w:t>
            </w:r>
          </w:p>
        </w:tc>
      </w:tr>
      <w:tr>
        <w:tc>
          <w:tcPr>
            <w:tcW w:type="dxa" w:w="1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Error Budget</w:t>
            </w:r>
          </w:p>
        </w:tc>
        <w:tc>
          <w:tcPr>
            <w:tcW w:type="dxa" w:w="2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Permissible unreliability = 100% − SLO target over the window</w:t>
            </w:r>
          </w:p>
        </w:tc>
        <w:tc>
          <w:tcPr>
            <w:tcW w:type="dxa" w:w="28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0.1% of 28 days = 43.2 min downtime allowed</w:t>
            </w:r>
          </w:p>
        </w:tc>
        <w:tc>
          <w:tcPr>
            <w:tcW w:type="dxa" w:w="28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10% remaining: freeze features; 0%: halt all non-critical changes</w:t>
            </w:r>
          </w:p>
        </w:tc>
      </w:tr>
      <w:tr>
        <w:tc>
          <w:tcPr>
            <w:tcW w:type="dxa" w:w="1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Burn Rate</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Speed at which error budget is consumed relative to plan</w:t>
            </w:r>
          </w:p>
        </w:tc>
        <w:tc>
          <w:tcPr>
            <w:tcW w:type="dxa" w:w="2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Burn rate 1 = on-track; Burn rate 10 = budget exhausted in 3 days</w:t>
            </w:r>
          </w:p>
        </w:tc>
        <w:tc>
          <w:tcPr>
            <w:tcW w:type="dxa" w:w="2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Fast burn (&gt; 14.4×/1 hr): page on-call immediately</w:t>
            </w:r>
          </w:p>
        </w:tc>
      </w:tr>
    </w:tbl>
    <w:p>
      <w:pPr>
        <w:spacing w:after="200"/>
      </w:pPr>
      <w:r>
        <w:t xml:space="preserve"/>
      </w:r>
    </w:p>
    <w:p>
      <w:pPr>
        <w:pStyle w:val="Heading2"/>
      </w:pPr>
      <w:r>
        <w:rPr>
          <w:rFonts w:ascii="Arial" w:cs="Arial" w:eastAsia="Arial" w:hAnsi="Arial"/>
          <w:b/>
          <w:bCs/>
          <w:color w:val="2E6DA4"/>
          <w:sz w:val="27"/>
          <w:szCs w:val="27"/>
        </w:rPr>
        <w:t xml:space="preserve">3.2  Availability Targets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200"/>
        <w:gridCol w:w="2160"/>
      </w:tblGrid>
      <w:tr>
        <w:trPr>
          <w:tblHeader/>
        </w:trPr>
        <w:tc>
          <w:tcPr>
            <w:tcW w:type="dxa" w:w="14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 Target</w:t>
            </w:r>
          </w:p>
        </w:tc>
        <w:tc>
          <w:tcPr>
            <w:tcW w:type="dxa" w:w="14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Nines</w:t>
            </w:r>
          </w:p>
        </w:tc>
        <w:tc>
          <w:tcPr>
            <w:tcW w:type="dxa" w:w="22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Downtime / Month</w:t>
            </w:r>
          </w:p>
        </w:tc>
        <w:tc>
          <w:tcPr>
            <w:tcW w:type="dxa" w:w="22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Downtime / Year</w:t>
            </w:r>
          </w:p>
        </w:tc>
        <w:tc>
          <w:tcPr>
            <w:tcW w:type="dxa" w:w="216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Use Case</w:t>
            </w:r>
          </w:p>
        </w:tc>
      </w:tr>
      <w:tr>
        <w:tc>
          <w:tcPr>
            <w:tcW w:type="dxa" w:w="1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99.0%</w:t>
            </w:r>
          </w:p>
        </w:tc>
        <w:tc>
          <w:tcPr>
            <w:tcW w:type="dxa" w:w="1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2 nines</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7.3 hours</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3.65 days</w:t>
            </w:r>
          </w:p>
        </w:tc>
        <w:tc>
          <w:tcPr>
            <w:tcW w:type="dxa" w:w="2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Internal tools, dev environments</w:t>
            </w:r>
          </w:p>
        </w:tc>
      </w:tr>
      <w:tr>
        <w:tc>
          <w:tcPr>
            <w:tcW w:type="dxa" w:w="1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99.5%</w:t>
            </w:r>
          </w:p>
        </w:tc>
        <w:tc>
          <w:tcPr>
            <w:tcW w:type="dxa" w:w="1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3.65 hours</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1.83 days</w:t>
            </w:r>
          </w:p>
        </w:tc>
        <w:tc>
          <w:tcPr>
            <w:tcW w:type="dxa" w:w="2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Non-critical customer-facing services</w:t>
            </w:r>
          </w:p>
        </w:tc>
      </w:tr>
      <w:tr>
        <w:tc>
          <w:tcPr>
            <w:tcW w:type="dxa" w:w="1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99.9%</w:t>
            </w:r>
          </w:p>
        </w:tc>
        <w:tc>
          <w:tcPr>
            <w:tcW w:type="dxa" w:w="1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3 nines</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43.8 minutes</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8.77 hours</w:t>
            </w:r>
          </w:p>
        </w:tc>
        <w:tc>
          <w:tcPr>
            <w:tcW w:type="dxa" w:w="2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Standard SaaS, distributed storage (HDFS)</w:t>
            </w:r>
          </w:p>
        </w:tc>
      </w:tr>
      <w:tr>
        <w:tc>
          <w:tcPr>
            <w:tcW w:type="dxa" w:w="1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99.95%</w:t>
            </w:r>
          </w:p>
        </w:tc>
        <w:tc>
          <w:tcPr>
            <w:tcW w:type="dxa" w:w="1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21.9 minutes</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4.38 hours</w:t>
            </w:r>
          </w:p>
        </w:tc>
        <w:tc>
          <w:tcPr>
            <w:tcW w:type="dxa" w:w="2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Enterprise APIs, financial systems</w:t>
            </w:r>
          </w:p>
        </w:tc>
      </w:tr>
      <w:tr>
        <w:tc>
          <w:tcPr>
            <w:tcW w:type="dxa" w:w="1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99.99%</w:t>
            </w:r>
          </w:p>
        </w:tc>
        <w:tc>
          <w:tcPr>
            <w:tcW w:type="dxa" w:w="1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4 nines</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4.38 minutes</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52.6 minutes</w:t>
            </w:r>
          </w:p>
        </w:tc>
        <w:tc>
          <w:tcPr>
            <w:tcW w:type="dxa" w:w="2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Payment systems, real-time infrastructure</w:t>
            </w:r>
          </w:p>
        </w:tc>
      </w:tr>
      <w:tr>
        <w:tc>
          <w:tcPr>
            <w:tcW w:type="dxa" w:w="1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2E6DA4"/>
                <w:sz w:val="18"/>
                <w:szCs w:val="18"/>
              </w:rPr>
              <w:t xml:space="preserve">99.999%</w:t>
            </w:r>
          </w:p>
        </w:tc>
        <w:tc>
          <w:tcPr>
            <w:tcW w:type="dxa" w:w="1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5 nines</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26.3 seconds</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5.26 minutes</w:t>
            </w:r>
          </w:p>
        </w:tc>
        <w:tc>
          <w:tcPr>
            <w:tcW w:type="dxa" w:w="2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Telecommunications, safety-critical systems</w:t>
            </w:r>
          </w:p>
        </w:tc>
      </w:tr>
    </w:tbl>
    <w:p>
      <w:pPr>
        <w:spacing w:after="200"/>
      </w:pPr>
      <w:r>
        <w:t xml:space="preserve"/>
      </w:r>
    </w:p>
    <w:p>
      <w:pPr>
        <w:pStyle w:val="Heading2"/>
      </w:pPr>
      <w:r>
        <w:rPr>
          <w:rFonts w:ascii="Arial" w:cs="Arial" w:eastAsia="Arial" w:hAnsi="Arial"/>
          <w:b/>
          <w:bCs/>
          <w:color w:val="2E6DA4"/>
          <w:sz w:val="27"/>
          <w:szCs w:val="27"/>
        </w:rPr>
        <w:t xml:space="preserve">3.3  Error Budget Policy</w:t>
      </w:r>
    </w:p>
    <w:p>
      <w:pPr>
        <w:spacing w:after="120"/>
      </w:pPr>
      <w:r>
        <w:rPr>
          <w:rFonts w:ascii="Arial" w:cs="Arial" w:eastAsia="Arial" w:hAnsi="Arial"/>
          <w:color w:val="111111"/>
          <w:sz w:val="20"/>
          <w:szCs w:val="20"/>
        </w:rPr>
        <w:t xml:space="preserve">An error budget policy codifies what SRE teams must do at different levels of budget consumption. The Google SRE Workbook recommends the following policy structure:</w:t>
      </w:r>
    </w:p>
    <w:p>
      <w:pPr>
        <w:spacing w:after="80"/>
      </w:pPr>
      <w:r>
        <w:t xml:space="preserve"/>
      </w:r>
    </w:p>
    <w:p>
      <w:pPr>
        <w:pStyle w:val="ListParagraph"/>
        <w:numPr>
          <w:ilvl w:val="0"/>
          <w:numId w:val="2"/>
        </w:numPr>
        <w:spacing w:after="80"/>
      </w:pPr>
      <w:r>
        <w:rPr>
          <w:rFonts w:ascii="Arial" w:cs="Arial" w:eastAsia="Arial" w:hAnsi="Arial"/>
          <w:sz w:val="20"/>
          <w:szCs w:val="20"/>
        </w:rPr>
        <w:t xml:space="preserve">Error budget &gt; 50% remaining: team proceeds with normal feature velocity and change management.</w:t>
      </w:r>
    </w:p>
    <w:p>
      <w:pPr>
        <w:pStyle w:val="ListParagraph"/>
        <w:numPr>
          <w:ilvl w:val="0"/>
          <w:numId w:val="2"/>
        </w:numPr>
        <w:spacing w:after="80"/>
      </w:pPr>
      <w:r>
        <w:rPr>
          <w:rFonts w:ascii="Arial" w:cs="Arial" w:eastAsia="Arial" w:hAnsi="Arial"/>
          <w:sz w:val="20"/>
          <w:szCs w:val="20"/>
        </w:rPr>
        <w:t xml:space="preserve">Error budget 10–50% remaining: increase monitoring cadence; tighten change review; no risky experiments.</w:t>
      </w:r>
    </w:p>
    <w:p>
      <w:pPr>
        <w:pStyle w:val="ListParagraph"/>
        <w:numPr>
          <w:ilvl w:val="0"/>
          <w:numId w:val="2"/>
        </w:numPr>
        <w:spacing w:after="80"/>
      </w:pPr>
      <w:r>
        <w:rPr>
          <w:rFonts w:ascii="Arial" w:cs="Arial" w:eastAsia="Arial" w:hAnsi="Arial"/>
          <w:sz w:val="20"/>
          <w:szCs w:val="20"/>
        </w:rPr>
        <w:t xml:space="preserve">Error budget &lt; 10% remaining: freeze all non-critical deployments; allocate engineering capacity to reliability work.</w:t>
      </w:r>
    </w:p>
    <w:p>
      <w:pPr>
        <w:pStyle w:val="ListParagraph"/>
        <w:numPr>
          <w:ilvl w:val="0"/>
          <w:numId w:val="2"/>
        </w:numPr>
        <w:spacing w:after="80"/>
      </w:pPr>
      <w:r>
        <w:rPr>
          <w:rFonts w:ascii="Arial" w:cs="Arial" w:eastAsia="Arial" w:hAnsi="Arial"/>
          <w:sz w:val="20"/>
          <w:szCs w:val="20"/>
        </w:rPr>
        <w:t xml:space="preserve">Error budget exhausted (0%): halt all changes; post-mortem required before any deployments resume; leadership notified.</w:t>
      </w:r>
    </w:p>
    <w:p>
      <w:pPr>
        <w:spacing w:after="120"/>
      </w:pPr>
      <w:r>
        <w:t xml:space="preserve"/>
      </w:r>
    </w:p>
    <w:p>
      <w:pPr>
        <w:spacing w:after="120"/>
      </w:pPr>
      <w:r>
        <w:rPr>
          <w:rFonts w:ascii="Arial" w:cs="Arial" w:eastAsia="Arial" w:hAnsi="Arial"/>
          <w:color w:val="111111"/>
          <w:sz w:val="20"/>
          <w:szCs w:val="20"/>
        </w:rPr>
        <w:t xml:space="preserve">In the context of BGL and HDFS anomaly detection: the RAG system's SLO for anomaly detection coverage (proportion of true anomalies surfaced within 2 minutes of log ingestion) has its own error budget. Sustained false-negative rates consume this budget and trigger engineering focus on model improvement over feature addition.</w:t>
      </w:r>
    </w:p>
    <w:p>
      <w:pPr>
        <w:spacing w:after="200"/>
      </w:pPr>
      <w:r>
        <w:t xml:space="preserve"/>
      </w:r>
    </w:p>
    <w:p>
      <w:pPr>
        <w:pStyle w:val="Heading1"/>
        <w:pageBreakBefore/>
      </w:pPr>
      <w:r>
        <w:rPr>
          <w:rFonts w:ascii="Arial" w:cs="Arial" w:eastAsia="Arial" w:hAnsi="Arial"/>
          <w:b/>
          <w:bCs/>
          <w:color w:val="1B3A5C"/>
          <w:sz w:val="34"/>
          <w:szCs w:val="34"/>
        </w:rPr>
        <w:t xml:space="preserve">4. Incident Management</w:t>
      </w:r>
    </w:p>
    <w:p>
      <w:pPr>
        <w:pBdr>
          <w:bottom w:val="single" w:color="2E6DA4" w:sz="6" w:space="1"/>
        </w:pBdr>
        <w:spacing w:after="160"/>
      </w:pPr>
      <w:r>
        <w:t xml:space="preserve"/>
      </w:r>
    </w:p>
    <w:p>
      <w:pPr>
        <w:spacing w:after="120"/>
      </w:pPr>
      <w:r>
        <w:rPr>
          <w:rFonts w:ascii="Arial" w:cs="Arial" w:eastAsia="Arial" w:hAnsi="Arial"/>
          <w:color w:val="111111"/>
          <w:sz w:val="20"/>
          <w:szCs w:val="20"/>
        </w:rPr>
        <w:t xml:space="preserve">Incident management is the structured process for detecting, responding to, mitigating, and learning from service disruptions. Google's SRE model defines a clear command structure and emphasises that the Incident Commander (IC) manages the response process — distinct from the engineers performing technical diagnosis — to prevent the chaos of unmanaged incidents.</w:t>
      </w:r>
    </w:p>
    <w:p>
      <w:pPr>
        <w:spacing w:after="120"/>
      </w:pPr>
      <w:r>
        <w:t xml:space="preserve"/>
      </w:r>
    </w:p>
    <w:p>
      <w:pPr>
        <w:pStyle w:val="Heading2"/>
      </w:pPr>
      <w:r>
        <w:rPr>
          <w:rFonts w:ascii="Arial" w:cs="Arial" w:eastAsia="Arial" w:hAnsi="Arial"/>
          <w:b/>
          <w:bCs/>
          <w:color w:val="2E6DA4"/>
          <w:sz w:val="27"/>
          <w:szCs w:val="27"/>
        </w:rPr>
        <w:t xml:space="preserve">4.1  Incident Severity Levels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1700"/>
        <w:gridCol w:w="1860"/>
        <w:gridCol w:w="2000"/>
      </w:tblGrid>
      <w:tr>
        <w:trPr>
          <w:tblHeader/>
        </w:trPr>
        <w:tc>
          <w:tcPr>
            <w:tcW w:type="dxa" w:w="8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w:t>
            </w:r>
          </w:p>
        </w:tc>
        <w:tc>
          <w:tcPr>
            <w:tcW w:type="dxa" w:w="12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18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Impact</w:t>
            </w:r>
          </w:p>
        </w:tc>
        <w:tc>
          <w:tcPr>
            <w:tcW w:type="dxa" w:w="17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 / Budget Impact</w:t>
            </w:r>
          </w:p>
        </w:tc>
        <w:tc>
          <w:tcPr>
            <w:tcW w:type="dxa" w:w="186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 Time</w:t>
            </w:r>
          </w:p>
        </w:tc>
        <w:tc>
          <w:tcPr>
            <w:tcW w:type="dxa" w:w="20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Examples (BGL / HDFS)</w:t>
            </w:r>
          </w:p>
        </w:tc>
      </w:tr>
      <w:tr>
        <w:tc>
          <w:tcPr>
            <w:tcW w:type="dxa" w:w="800"/>
            <w:tcBorders>
              <w:top w:val="single" w:color="C9D6E3" w:sz="1"/>
              <w:left w:val="single" w:color="C9D6E3" w:sz="1"/>
              <w:bottom w:val="single" w:color="C9D6E3" w:sz="1"/>
              <w:right w:val="single" w:color="C9D6E3" w:sz="1"/>
            </w:tcBorders>
            <w:shd w:fill="A51C3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SEV 1</w:t>
            </w:r>
          </w:p>
        </w:tc>
        <w:tc>
          <w:tcPr>
            <w:tcW w:type="dxa" w:w="1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11111"/>
                <w:sz w:val="18"/>
                <w:szCs w:val="18"/>
              </w:rPr>
              <w:t xml:space="preserve">Critical</w:t>
            </w:r>
          </w:p>
        </w:tc>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Total service outage; all users affected</w:t>
            </w:r>
          </w:p>
        </w:tc>
        <w:tc>
          <w:tcPr>
            <w:tcW w:type="dxa" w:w="17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Error budget exhausted; SLA at risk</w:t>
            </w:r>
          </w:p>
        </w:tc>
        <w:tc>
          <w:tcPr>
            <w:tcW w:type="dxa" w:w="18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5 min page; all hands</w:t>
            </w:r>
          </w:p>
        </w:tc>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NameNode / BGLMASTER down; HDFS NameNode unavailable</w:t>
            </w:r>
          </w:p>
        </w:tc>
      </w:tr>
      <w:tr>
        <w:tc>
          <w:tcPr>
            <w:tcW w:type="dxa" w:w="800"/>
            <w:tcBorders>
              <w:top w:val="single" w:color="C9D6E3" w:sz="1"/>
              <w:left w:val="single" w:color="C9D6E3" w:sz="1"/>
              <w:bottom w:val="single" w:color="C9D6E3" w:sz="1"/>
              <w:right w:val="single" w:color="C9D6E3" w:sz="1"/>
            </w:tcBorders>
            <w:shd w:fill="C4522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SEV 2</w:t>
            </w:r>
          </w:p>
        </w:tc>
        <w:tc>
          <w:tcPr>
            <w:tcW w:type="dxa" w:w="1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11111"/>
                <w:sz w:val="18"/>
                <w:szCs w:val="18"/>
              </w:rPr>
              <w:t xml:space="preserve">Major</w:t>
            </w:r>
          </w:p>
        </w:tc>
        <w:tc>
          <w:tcPr>
            <w:tcW w:type="dxa" w:w="1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Significant feature outage; large user segment</w:t>
            </w:r>
          </w:p>
        </w:tc>
        <w:tc>
          <w:tcPr>
            <w:tcW w:type="dxa" w:w="17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Rapid budget burn (&gt;10×)</w:t>
            </w:r>
          </w:p>
        </w:tc>
        <w:tc>
          <w:tcPr>
            <w:tcW w:type="dxa" w:w="18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15 min page; on-call + lead</w:t>
            </w:r>
          </w:p>
        </w:tc>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KERNMNTF Lustre failure; HDFS: DataNode mass failure</w:t>
            </w:r>
          </w:p>
        </w:tc>
      </w:tr>
      <w:tr>
        <w:tc>
          <w:tcPr>
            <w:tcW w:type="dxa" w:w="800"/>
            <w:tcBorders>
              <w:top w:val="single" w:color="C9D6E3" w:sz="1"/>
              <w:left w:val="single" w:color="C9D6E3" w:sz="1"/>
              <w:bottom w:val="single" w:color="C9D6E3" w:sz="1"/>
              <w:right w:val="single" w:color="C9D6E3" w:sz="1"/>
            </w:tcBorders>
            <w:shd w:fill="D483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SEV 3</w:t>
            </w:r>
          </w:p>
        </w:tc>
        <w:tc>
          <w:tcPr>
            <w:tcW w:type="dxa" w:w="1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11111"/>
                <w:sz w:val="18"/>
                <w:szCs w:val="18"/>
              </w:rPr>
              <w:t xml:space="preserve">Moderate</w:t>
            </w:r>
          </w:p>
        </w:tc>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Degraded performance; some users affected</w:t>
            </w:r>
          </w:p>
        </w:tc>
        <w:tc>
          <w:tcPr>
            <w:tcW w:type="dxa" w:w="17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Elevated burn rate (2–10×)</w:t>
            </w:r>
          </w:p>
        </w:tc>
        <w:tc>
          <w:tcPr>
            <w:tcW w:type="dxa" w:w="18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30 min; on-call responds</w:t>
            </w:r>
          </w:p>
        </w:tc>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KERNTERM repeated; HDFS: E3 burst single DataNode</w:t>
            </w:r>
          </w:p>
        </w:tc>
      </w:tr>
      <w:tr>
        <w:tc>
          <w:tcPr>
            <w:tcW w:type="dxa" w:w="800"/>
            <w:tcBorders>
              <w:top w:val="single" w:color="C9D6E3" w:sz="1"/>
              <w:left w:val="single" w:color="C9D6E3" w:sz="1"/>
              <w:bottom w:val="single" w:color="C9D6E3" w:sz="1"/>
              <w:right w:val="single" w:color="C9D6E3" w:sz="1"/>
            </w:tcBorders>
            <w:shd w:fill="1E7E4E"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SEV 4</w:t>
            </w:r>
          </w:p>
        </w:tc>
        <w:tc>
          <w:tcPr>
            <w:tcW w:type="dxa" w:w="1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11111"/>
                <w:sz w:val="18"/>
                <w:szCs w:val="18"/>
              </w:rPr>
              <w:t xml:space="preserve">Minor</w:t>
            </w:r>
          </w:p>
        </w:tc>
        <w:tc>
          <w:tcPr>
            <w:tcW w:type="dxa" w:w="1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Small subset; workaround available</w:t>
            </w:r>
          </w:p>
        </w:tc>
        <w:tc>
          <w:tcPr>
            <w:tcW w:type="dxa" w:w="17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Within normal budget consumption</w:t>
            </w:r>
          </w:p>
        </w:tc>
        <w:tc>
          <w:tcPr>
            <w:tcW w:type="dxa" w:w="18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Next business day</w:t>
            </w:r>
          </w:p>
        </w:tc>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KERNDTLB single node; HDFS: isolated E3, E5</w:t>
            </w:r>
          </w:p>
        </w:tc>
      </w:tr>
      <w:tr>
        <w:tc>
          <w:tcPr>
            <w:tcW w:type="dxa" w:w="800"/>
            <w:tcBorders>
              <w:top w:val="single" w:color="C9D6E3" w:sz="1"/>
              <w:left w:val="single" w:color="C9D6E3" w:sz="1"/>
              <w:bottom w:val="single" w:color="C9D6E3" w:sz="1"/>
              <w:right w:val="single" w:color="C9D6E3" w:sz="1"/>
            </w:tcBorders>
            <w:shd w:fill="2E6DA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SEV 5</w:t>
            </w:r>
          </w:p>
        </w:tc>
        <w:tc>
          <w:tcPr>
            <w:tcW w:type="dxa" w:w="1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11111"/>
                <w:sz w:val="18"/>
                <w:szCs w:val="18"/>
              </w:rPr>
              <w:t xml:space="preserve">Informational</w:t>
            </w:r>
          </w:p>
        </w:tc>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 user impact; logged for observability only</w:t>
            </w:r>
          </w:p>
        </w:tc>
        <w:tc>
          <w:tcPr>
            <w:tcW w:type="dxa" w:w="17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 budget consumption</w:t>
            </w:r>
          </w:p>
        </w:tc>
        <w:tc>
          <w:tcPr>
            <w:tcW w:type="dxa" w:w="18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Async review</w:t>
            </w:r>
          </w:p>
        </w:tc>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corrected ECC; HDFS: E14 verification pass</w:t>
            </w:r>
          </w:p>
        </w:tc>
      </w:tr>
    </w:tbl>
    <w:p>
      <w:pPr>
        <w:spacing w:after="200"/>
      </w:pPr>
      <w:r>
        <w:t xml:space="preserve"/>
      </w:r>
    </w:p>
    <w:p>
      <w:pPr>
        <w:pStyle w:val="Heading2"/>
      </w:pPr>
      <w:r>
        <w:rPr>
          <w:rFonts w:ascii="Arial" w:cs="Arial" w:eastAsia="Arial" w:hAnsi="Arial"/>
          <w:b/>
          <w:bCs/>
          <w:color w:val="2E6DA4"/>
          <w:sz w:val="27"/>
          <w:szCs w:val="27"/>
        </w:rPr>
        <w:t xml:space="preserve">4.2  Incident Response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160"/>
        <w:gridCol w:w="2400"/>
      </w:tblGrid>
      <w:tr>
        <w:trPr>
          <w:tblHeader/>
        </w:trPr>
        <w:tc>
          <w:tcPr>
            <w:tcW w:type="dxa" w:w="6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416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SRE Actions</w:t>
            </w:r>
          </w:p>
        </w:tc>
        <w:tc>
          <w:tcPr>
            <w:tcW w:type="dxa" w:w="24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BGL / HDFS Specific</w:t>
            </w:r>
          </w:p>
        </w:tc>
      </w:tr>
      <w:tr>
        <w:tc>
          <w:tcPr>
            <w:tcW w:type="dxa" w:w="600"/>
            <w:tcBorders>
              <w:top w:val="single" w:color="C9D6E3" w:sz="1"/>
              <w:left w:val="single" w:color="C9D6E3" w:sz="1"/>
              <w:bottom w:val="single" w:color="C9D6E3" w:sz="1"/>
              <w:right w:val="single" w:color="C9D6E3" w:sz="1"/>
            </w:tcBorders>
            <w:shd w:fill="2E6DA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1</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Detect &amp; Alert</w:t>
            </w:r>
          </w:p>
        </w:tc>
        <w:tc>
          <w:tcPr>
            <w:tcW w:type="dxa" w:w="4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Alerting fires on SLO burn rate or four golden signals; on-call SRE paged via PagerDuty / OpsGenie</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KERNREC / KERNMNTF alert; HDFS: NameNode silence / mass E5 alert</w:t>
            </w:r>
          </w:p>
        </w:tc>
      </w:tr>
      <w:tr>
        <w:tc>
          <w:tcPr>
            <w:tcW w:type="dxa" w:w="600"/>
            <w:tcBorders>
              <w:top w:val="single" w:color="C9D6E3" w:sz="1"/>
              <w:left w:val="single" w:color="C9D6E3" w:sz="1"/>
              <w:bottom w:val="single" w:color="C9D6E3" w:sz="1"/>
              <w:right w:val="single" w:color="C9D6E3" w:sz="1"/>
            </w:tcBorders>
            <w:shd w:fill="2E6DA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2</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Acknowledge &amp; Triage</w:t>
            </w:r>
          </w:p>
        </w:tc>
        <w:tc>
          <w:tcPr>
            <w:tcW w:type="dxa" w:w="4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Acknowledge alert within SLA; classify severity; assign Incident Commander (IC); open incident channel</w:t>
            </w:r>
          </w:p>
        </w:tc>
        <w:tc>
          <w:tcPr>
            <w:tcW w:type="dxa" w:w="2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Check BGL RAS alert tag; check HDFS block map update silence (E6 stop)</w:t>
            </w:r>
          </w:p>
        </w:tc>
      </w:tr>
      <w:tr>
        <w:tc>
          <w:tcPr>
            <w:tcW w:type="dxa" w:w="600"/>
            <w:tcBorders>
              <w:top w:val="single" w:color="C9D6E3" w:sz="1"/>
              <w:left w:val="single" w:color="C9D6E3" w:sz="1"/>
              <w:bottom w:val="single" w:color="C9D6E3" w:sz="1"/>
              <w:right w:val="single" w:color="C9D6E3" w:sz="1"/>
            </w:tcBorders>
            <w:shd w:fill="2E6DA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3</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Diagnose</w:t>
            </w:r>
          </w:p>
        </w:tc>
        <w:tc>
          <w:tcPr>
            <w:tcW w:type="dxa" w:w="4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Consult runbook; inspect dashboards (four golden signals); review recent deployments; correlate logs and traces</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grep KERNMNTF / APPSEV correlated nodes; HDFS: query NameNode web UI + blockmap</w:t>
            </w:r>
          </w:p>
        </w:tc>
      </w:tr>
      <w:tr>
        <w:tc>
          <w:tcPr>
            <w:tcW w:type="dxa" w:w="600"/>
            <w:tcBorders>
              <w:top w:val="single" w:color="C9D6E3" w:sz="1"/>
              <w:left w:val="single" w:color="C9D6E3" w:sz="1"/>
              <w:bottom w:val="single" w:color="C9D6E3" w:sz="1"/>
              <w:right w:val="single" w:color="C9D6E3" w:sz="1"/>
            </w:tcBorders>
            <w:shd w:fill="2E6DA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4</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Mitigate</w:t>
            </w:r>
          </w:p>
        </w:tc>
        <w:tc>
          <w:tcPr>
            <w:tcW w:type="dxa" w:w="4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Apply known fix (runbook step); rollback if change-induced; isolate failing component; restore minimum viable service</w:t>
            </w:r>
          </w:p>
        </w:tc>
        <w:tc>
          <w:tcPr>
            <w:tcW w:type="dxa" w:w="2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MMCS reboot affected node; HDFS: decommission DataNode, trigger re-replication</w:t>
            </w:r>
          </w:p>
        </w:tc>
      </w:tr>
      <w:tr>
        <w:tc>
          <w:tcPr>
            <w:tcW w:type="dxa" w:w="600"/>
            <w:tcBorders>
              <w:top w:val="single" w:color="C9D6E3" w:sz="1"/>
              <w:left w:val="single" w:color="C9D6E3" w:sz="1"/>
              <w:bottom w:val="single" w:color="C9D6E3" w:sz="1"/>
              <w:right w:val="single" w:color="C9D6E3" w:sz="1"/>
            </w:tcBorders>
            <w:shd w:fill="2E6DA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5</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Communicate</w:t>
            </w:r>
          </w:p>
        </w:tc>
        <w:tc>
          <w:tcPr>
            <w:tcW w:type="dxa" w:w="4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Post status-page update within 10 min; send stakeholder comms every 30 min; log timeline in incident doc</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Notify cluster users of reduced capacity; ETA for HDFS block restoration</w:t>
            </w:r>
          </w:p>
        </w:tc>
      </w:tr>
      <w:tr>
        <w:tc>
          <w:tcPr>
            <w:tcW w:type="dxa" w:w="600"/>
            <w:tcBorders>
              <w:top w:val="single" w:color="C9D6E3" w:sz="1"/>
              <w:left w:val="single" w:color="C9D6E3" w:sz="1"/>
              <w:bottom w:val="single" w:color="C9D6E3" w:sz="1"/>
              <w:right w:val="single" w:color="C9D6E3" w:sz="1"/>
            </w:tcBorders>
            <w:shd w:fill="2E6DA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6</w:t>
            </w:r>
          </w:p>
        </w:tc>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Resolve</w:t>
            </w:r>
          </w:p>
        </w:tc>
        <w:tc>
          <w:tcPr>
            <w:tcW w:type="dxa" w:w="4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Verify SLIs return to normal; close incident; transition to monitoring phase</w:t>
            </w:r>
          </w:p>
        </w:tc>
        <w:tc>
          <w:tcPr>
            <w:tcW w:type="dxa" w:w="2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Confirm HDFS re-replication complete; BGL job queue restored</w:t>
            </w:r>
          </w:p>
        </w:tc>
      </w:tr>
      <w:tr>
        <w:tc>
          <w:tcPr>
            <w:tcW w:type="dxa" w:w="600"/>
            <w:tcBorders>
              <w:top w:val="single" w:color="C9D6E3" w:sz="1"/>
              <w:left w:val="single" w:color="C9D6E3" w:sz="1"/>
              <w:bottom w:val="single" w:color="C9D6E3" w:sz="1"/>
              <w:right w:val="single" w:color="C9D6E3" w:sz="1"/>
            </w:tcBorders>
            <w:shd w:fill="2E6DA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7</w:t>
            </w:r>
          </w:p>
        </w:tc>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Post-Mortem</w:t>
            </w:r>
          </w:p>
        </w:tc>
        <w:tc>
          <w:tcPr>
            <w:tcW w:type="dxa" w:w="4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Draft blameless post-mortem within 24–48 h; identify contributing factors; document action items; share with engineering organisation</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Root cause: Lustre MGS SPOF / HDFS NameNode GC pause / BGL torus packet corruption</w:t>
            </w:r>
          </w:p>
        </w:tc>
      </w:tr>
    </w:tbl>
    <w:p>
      <w:pPr>
        <w:spacing w:after="200"/>
      </w:pPr>
      <w:r>
        <w:t xml:space="preserve"/>
      </w:r>
    </w:p>
    <w:p>
      <w:pPr>
        <w:pStyle w:val="Heading2"/>
      </w:pPr>
      <w:r>
        <w:rPr>
          <w:rFonts w:ascii="Arial" w:cs="Arial" w:eastAsia="Arial" w:hAnsi="Arial"/>
          <w:b/>
          <w:bCs/>
          <w:color w:val="2E6DA4"/>
          <w:sz w:val="27"/>
          <w:szCs w:val="27"/>
        </w:rPr>
        <w:t xml:space="preserve">4.3  Incident Command Structure</w:t>
      </w:r>
    </w:p>
    <w:p>
      <w:pPr>
        <w:pStyle w:val="ListParagraph"/>
        <w:numPr>
          <w:ilvl w:val="0"/>
          <w:numId w:val="2"/>
        </w:numPr>
        <w:spacing w:after="80"/>
      </w:pPr>
      <w:r>
        <w:rPr>
          <w:rFonts w:ascii="Arial" w:cs="Arial" w:eastAsia="Arial" w:hAnsi="Arial"/>
          <w:sz w:val="20"/>
          <w:szCs w:val="20"/>
        </w:rPr>
        <w:t xml:space="preserve">Incident Commander (IC): owns the response process; co-ordinates all responders; makes decisions on escalation, communication, and mitigation approach. Does NOT diagnose — delegates technical work.</w:t>
      </w:r>
    </w:p>
    <w:p>
      <w:pPr>
        <w:pStyle w:val="ListParagraph"/>
        <w:numPr>
          <w:ilvl w:val="0"/>
          <w:numId w:val="2"/>
        </w:numPr>
        <w:spacing w:after="80"/>
      </w:pPr>
      <w:r>
        <w:rPr>
          <w:rFonts w:ascii="Arial" w:cs="Arial" w:eastAsia="Arial" w:hAnsi="Arial"/>
          <w:sz w:val="20"/>
          <w:szCs w:val="20"/>
        </w:rPr>
        <w:t xml:space="preserve">Operations Lead (OL): leads technical diagnosis and mitigation execution; reports findings to IC.</w:t>
      </w:r>
    </w:p>
    <w:p>
      <w:pPr>
        <w:pStyle w:val="ListParagraph"/>
        <w:numPr>
          <w:ilvl w:val="0"/>
          <w:numId w:val="2"/>
        </w:numPr>
        <w:spacing w:after="80"/>
      </w:pPr>
      <w:r>
        <w:rPr>
          <w:rFonts w:ascii="Arial" w:cs="Arial" w:eastAsia="Arial" w:hAnsi="Arial"/>
          <w:sz w:val="20"/>
          <w:szCs w:val="20"/>
        </w:rPr>
        <w:t xml:space="preserve">Communications Lead (CL): manages stakeholder updates, status-page posts, and executive escalations.</w:t>
      </w:r>
    </w:p>
    <w:p>
      <w:pPr>
        <w:pStyle w:val="ListParagraph"/>
        <w:numPr>
          <w:ilvl w:val="0"/>
          <w:numId w:val="2"/>
        </w:numPr>
        <w:spacing w:after="80"/>
      </w:pPr>
      <w:r>
        <w:rPr>
          <w:rFonts w:ascii="Arial" w:cs="Arial" w:eastAsia="Arial" w:hAnsi="Arial"/>
          <w:sz w:val="20"/>
          <w:szCs w:val="20"/>
        </w:rPr>
        <w:t xml:space="preserve">Scribe: documents the live incident timeline, decisions, and action items in the incident document.</w:t>
      </w:r>
    </w:p>
    <w:p>
      <w:pPr>
        <w:spacing w:after="120"/>
      </w:pPr>
      <w:r>
        <w:t xml:space="preserve"/>
      </w:r>
    </w:p>
    <w:p>
      <w:pPr>
        <w:spacing w:after="120"/>
      </w:pPr>
      <w:r>
        <w:rPr>
          <w:rFonts w:ascii="Arial" w:cs="Arial" w:eastAsia="Arial" w:hAnsi="Arial"/>
          <w:color w:val="111111"/>
          <w:sz w:val="20"/>
          <w:szCs w:val="20"/>
        </w:rPr>
        <w:t xml:space="preserve">For small incidents (SEV 3–5), the on-call SRE serves all roles. SEV 1–2 incidents require explicit IC assignment within 10 minutes of declaration.</w:t>
      </w:r>
    </w:p>
    <w:p>
      <w:pPr>
        <w:spacing w:after="200"/>
      </w:pPr>
      <w:r>
        <w:t xml:space="preserve"/>
      </w:r>
    </w:p>
    <w:p>
      <w:pPr>
        <w:pStyle w:val="Heading2"/>
      </w:pPr>
      <w:r>
        <w:rPr>
          <w:rFonts w:ascii="Arial" w:cs="Arial" w:eastAsia="Arial" w:hAnsi="Arial"/>
          <w:b/>
          <w:bCs/>
          <w:color w:val="2E6DA4"/>
          <w:sz w:val="27"/>
          <w:szCs w:val="27"/>
        </w:rPr>
        <w:t xml:space="preserve">4.4  Blameless Post-Mortem</w:t>
      </w:r>
    </w:p>
    <w:p>
      <w:pPr>
        <w:spacing w:after="120"/>
      </w:pPr>
      <w:r>
        <w:rPr>
          <w:rFonts w:ascii="Arial" w:cs="Arial" w:eastAsia="Arial" w:hAnsi="Arial"/>
          <w:color w:val="111111"/>
          <w:sz w:val="20"/>
          <w:szCs w:val="20"/>
        </w:rPr>
        <w:t xml:space="preserve">Post-mortems (or 'incident reviews') are conducted after every SEV 1 and SEV 2 incident, and after any SEV 3 that consumed &gt; 5% of error budget. The blameless principle, articulated in the Google SRE Book, holds that system and process failures — not individuals — are the unit of analysis. Punitive post-mortems discourage transparency and suppress near-miss reporting.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736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Content</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Date / Duration</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Incident start, end, total duration; SEV level declared</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Summary</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One-paragraph plain-language description of what happened and impact on users</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Impact</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Quantified: % of users affected; error budget consumed; SLA compliance status; revenue impact estimate if applicable</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Timeline</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Chronological log of detection, diagnosis, mitigation, and resolution events with timestamps (UTC)</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Root Cause</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Technical root cause(s); contributing factors; why existing defences failed</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Contributing Factors</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Not 'who caused it' but 'what system conditions allowed this'; process gaps; monitoring blind spots</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Action Items</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Specific, assigned, time-bounded improvements: monitoring, runbook updates, code fixes, architectural changes</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Lessons Learned</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What went well; what could be improved; patterns to watch for in future</w:t>
            </w:r>
          </w:p>
        </w:tc>
      </w:tr>
    </w:tbl>
    <w:p>
      <w:pPr>
        <w:spacing w:after="200"/>
      </w:pPr>
      <w:r>
        <w:t xml:space="preserve"/>
      </w:r>
    </w:p>
    <w:p>
      <w:pPr>
        <w:pStyle w:val="Heading1"/>
        <w:pageBreakBefore/>
      </w:pPr>
      <w:r>
        <w:rPr>
          <w:rFonts w:ascii="Arial" w:cs="Arial" w:eastAsia="Arial" w:hAnsi="Arial"/>
          <w:b/>
          <w:bCs/>
          <w:color w:val="1B3A5C"/>
          <w:sz w:val="34"/>
          <w:szCs w:val="34"/>
        </w:rPr>
        <w:t xml:space="preserve">5. Runbooks &amp; Troubleshooting Guides</w:t>
      </w:r>
    </w:p>
    <w:p>
      <w:pPr>
        <w:pBdr>
          <w:bottom w:val="single" w:color="2E6DA4" w:sz="6" w:space="1"/>
        </w:pBdr>
        <w:spacing w:after="160"/>
      </w:pPr>
      <w:r>
        <w:t xml:space="preserve"/>
      </w:r>
    </w:p>
    <w:p>
      <w:pPr>
        <w:spacing w:after="120"/>
      </w:pPr>
      <w:r>
        <w:rPr>
          <w:rFonts w:ascii="Arial" w:cs="Arial" w:eastAsia="Arial" w:hAnsi="Arial"/>
          <w:color w:val="111111"/>
          <w:sz w:val="20"/>
          <w:szCs w:val="20"/>
        </w:rPr>
        <w:t xml:space="preserve">A runbook is a structured, executable procedure that an on-call SRE follows when an alert fires. Effective runbooks reduce mean time to mitigate (MTTM) by 40–70% by eliminating the need for responders to rediscover diagnosis steps under pressure. Every alert in the monitoring system must have a corresponding runbook entry.</w:t>
      </w:r>
    </w:p>
    <w:p>
      <w:pPr>
        <w:spacing w:after="120"/>
      </w:pPr>
      <w:r>
        <w:t xml:space="preserve"/>
      </w:r>
    </w:p>
    <w:p>
      <w:pPr>
        <w:pStyle w:val="Heading2"/>
      </w:pPr>
      <w:r>
        <w:rPr>
          <w:rFonts w:ascii="Arial" w:cs="Arial" w:eastAsia="Arial" w:hAnsi="Arial"/>
          <w:b/>
          <w:bCs/>
          <w:color w:val="2E6DA4"/>
          <w:sz w:val="27"/>
          <w:szCs w:val="27"/>
        </w:rPr>
        <w:t xml:space="preserve">5.1  Standard Runbook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736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Alert Name</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Canonical alert identifier (e.g., HDFS_NameNode_Silent, BGL_KERNMNTF_Burst)</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SLO Impact</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Which SLO / error budget is affected; burn rate at trigger; expected budget consumption per hour if unresolved</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Severity</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Default SEV level; conditions that escalate to a higher SEV</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On-Call Actions</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Step-by-step diagnosis commands; first-responder mitigation steps; time-boxed escalation triggers</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Diagnosis Commands</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Exact CLI / API commands to inspect system state (e.g., hdfs dfsadmin -report; bgmon list KERNMNTF)</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Mitigation Steps</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Ordered remediation actions; expected outcomes per step; rollback procedure if mitigation fails</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Escalation Path</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When to escalate; who to page next; cross-team contacts (storage, networking, hardware)</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Communication Script</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Template for status-page update and stakeholder notification (pre-filled with service name, SEV, ETA)</w:t>
            </w:r>
          </w:p>
        </w:tc>
      </w:tr>
      <w:tr>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Resolution Criteria</w:t>
            </w:r>
          </w:p>
        </w:tc>
        <w:tc>
          <w:tcPr>
            <w:tcW w:type="dxa" w:w="73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Observable conditions confirming the incident is resolved (e.g., HDFS block reports resuming, BGL job queue clearing)</w:t>
            </w:r>
          </w:p>
        </w:tc>
      </w:tr>
      <w:tr>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Post-Mortem Link</w:t>
            </w:r>
          </w:p>
        </w:tc>
        <w:tc>
          <w:tcPr>
            <w:tcW w:type="dxa" w:w="73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Link to post-mortem template; owner of post-mortem; deadline</w:t>
            </w:r>
          </w:p>
        </w:tc>
      </w:tr>
    </w:tbl>
    <w:p>
      <w:pPr>
        <w:spacing w:after="200"/>
      </w:pPr>
      <w:r>
        <w:t xml:space="preserve"/>
      </w:r>
    </w:p>
    <w:p>
      <w:pPr>
        <w:pStyle w:val="Heading2"/>
      </w:pPr>
      <w:r>
        <w:rPr>
          <w:rFonts w:ascii="Arial" w:cs="Arial" w:eastAsia="Arial" w:hAnsi="Arial"/>
          <w:b/>
          <w:bCs/>
          <w:color w:val="2E6DA4"/>
          <w:sz w:val="27"/>
          <w:szCs w:val="27"/>
        </w:rPr>
        <w:t xml:space="preserve">5.2  BGL and HDFS Specific Runbook Procedures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(Log Pattern)</w:t>
            </w:r>
          </w:p>
        </w:tc>
        <w:tc>
          <w:tcPr>
            <w:tcW w:type="dxa" w:w="328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Diagnosis Steps</w:t>
            </w:r>
          </w:p>
        </w:tc>
        <w:tc>
          <w:tcPr>
            <w:tcW w:type="dxa" w:w="388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 Resolution</w:t>
            </w:r>
          </w:p>
        </w:tc>
      </w:tr>
      <w:tr>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HDFS NameNode unavailable (E6/E7/E8 silence)</w:t>
            </w:r>
          </w:p>
        </w:tc>
        <w:tc>
          <w:tcPr>
            <w:tcW w:type="dxa" w:w="32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Check NameNode JVM heap / GC logs
2. Verify NameNode process (jps -l)
3. Check namenode-debug.log for exceptions
4. Verify network reachability from DataNodes</w:t>
            </w:r>
          </w:p>
        </w:tc>
        <w:tc>
          <w:tcPr>
            <w:tcW w:type="dxa" w:w="3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If GC: increase heap (-Xmx), restart NameNode
2. If crash: failover to Standby NameNode (HA mode)
3. If no HA: restore from latest checkpoint + editlogs
4. Verify block map integrity post-restart (E6 resume)</w:t>
            </w:r>
          </w:p>
        </w:tc>
      </w:tr>
      <w:tr>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HDFS DataNode failure (mass E8+E9, E5 storm)</w:t>
            </w:r>
          </w:p>
        </w:tc>
        <w:tc>
          <w:tcPr>
            <w:tcW w:type="dxa" w:w="32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hdfs dfsadmin -report: identify dead DataNode
2. Check DataNode logs for FATAL/ERROR
3. Verify disk health (smartctl, iostat)
4. Check network reachability of DataNode IP</w:t>
            </w:r>
          </w:p>
        </w:tc>
        <w:tc>
          <w:tcPr>
            <w:tcW w:type="dxa" w:w="38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If disk fault: replace disk, re-format DataNode
2. hdfs dfsadmin -refreshNodes to decommission
3. Monitor re-replication queue (under-replicated blocks)
4. Re-commission DataNode after hardware fix</w:t>
            </w:r>
          </w:p>
        </w:tc>
      </w:tr>
      <w:tr>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HDFS Read Exception burst (E3 burst pattern)</w:t>
            </w:r>
          </w:p>
        </w:tc>
        <w:tc>
          <w:tcPr>
            <w:tcW w:type="dxa" w:w="32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Identify source DataNode(s) from E3 log IPs
2. Check error rate per DataNode in Prometheus
3. Check network latency to affected DataNodes
4. Distinguish client-side vs DataNode-side origin</w:t>
            </w:r>
          </w:p>
        </w:tc>
        <w:tc>
          <w:tcPr>
            <w:tcW w:type="dxa" w:w="3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If client-side: investigate client network, no action
2. If DataNode-side: decommission DataNode
3. If network: escalate to network team
4. Validate normal E3 rate returns within 5 min</w:t>
            </w:r>
          </w:p>
        </w:tc>
      </w:tr>
      <w:tr>
        <w:tc>
          <w:tcPr>
            <w:tcW w:type="dxa" w:w="22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BGL KERNMNTF (Lustre mount failure)</w:t>
            </w:r>
          </w:p>
        </w:tc>
        <w:tc>
          <w:tcPr>
            <w:tcW w:type="dxa" w:w="32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Identify affected I/O nodes from log
2. Check Lustre MGS / MDS availability
3. Ping service node hosting Lustre MGS
4. Check /p/gb1 mount point on I/O nodes</w:t>
            </w:r>
          </w:p>
        </w:tc>
        <w:tc>
          <w:tcPr>
            <w:tcW w:type="dxa" w:w="38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Restart Lustre MGS if service node alive
2. If service node dead: failover MGS (if HA configured)
3. Remount Lustre on I/O nodes: mount -a
4. Restart affected jobs; confirm mount via df -h</w:t>
            </w:r>
          </w:p>
        </w:tc>
      </w:tr>
      <w:tr>
        <w:tc>
          <w:tcPr>
            <w:tcW w:type="dxa" w:w="22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BGL KERNREC (global combining tree error)</w:t>
            </w:r>
          </w:p>
        </w:tc>
        <w:tc>
          <w:tcPr>
            <w:tcW w:type="dxa" w:w="32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Identify affected MPI partition from log
2. Check if multiple nodes in same rack/row
3. Review packet type from KERNREC message
4. Check for prior KERNTERM/KERNRTSP on same nodes</w:t>
            </w:r>
          </w:p>
        </w:tc>
        <w:tc>
          <w:tcPr>
            <w:tcW w:type="dxa" w:w="38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Kill affected MPI job; free partition
2. MMCS reboot all nodes in affected partition
3. Run hardware diagnostics on torus cables
4. If recurrent: quarantine rack; notify HW team</w:t>
            </w:r>
          </w:p>
        </w:tc>
      </w:tr>
    </w:tbl>
    <w:p>
      <w:pPr>
        <w:spacing w:after="200"/>
      </w:pPr>
      <w:r>
        <w:t xml:space="preserve"/>
      </w:r>
    </w:p>
    <w:p>
      <w:pPr>
        <w:pStyle w:val="Heading2"/>
      </w:pPr>
      <w:r>
        <w:rPr>
          <w:rFonts w:ascii="Arial" w:cs="Arial" w:eastAsia="Arial" w:hAnsi="Arial"/>
          <w:b/>
          <w:bCs/>
          <w:color w:val="2E6DA4"/>
          <w:sz w:val="27"/>
          <w:szCs w:val="27"/>
        </w:rPr>
        <w:t xml:space="preserve">5.3  Runbook Maintenance Policy</w:t>
      </w:r>
    </w:p>
    <w:p>
      <w:pPr>
        <w:pStyle w:val="ListParagraph"/>
        <w:numPr>
          <w:ilvl w:val="0"/>
          <w:numId w:val="2"/>
        </w:numPr>
        <w:spacing w:after="80"/>
      </w:pPr>
      <w:r>
        <w:rPr>
          <w:rFonts w:ascii="Arial" w:cs="Arial" w:eastAsia="Arial" w:hAnsi="Arial"/>
          <w:sz w:val="20"/>
          <w:szCs w:val="20"/>
        </w:rPr>
        <w:t xml:space="preserve">Review all runbooks quarterly; verify commands still work against current system versions.</w:t>
      </w:r>
    </w:p>
    <w:p>
      <w:pPr>
        <w:pStyle w:val="ListParagraph"/>
        <w:numPr>
          <w:ilvl w:val="0"/>
          <w:numId w:val="2"/>
        </w:numPr>
        <w:spacing w:after="80"/>
      </w:pPr>
      <w:r>
        <w:rPr>
          <w:rFonts w:ascii="Arial" w:cs="Arial" w:eastAsia="Arial" w:hAnsi="Arial"/>
          <w:sz w:val="20"/>
          <w:szCs w:val="20"/>
        </w:rPr>
        <w:t xml:space="preserve">Update runbook as part of every post-mortem action item when a gap is identified.</w:t>
      </w:r>
    </w:p>
    <w:p>
      <w:pPr>
        <w:pStyle w:val="ListParagraph"/>
        <w:numPr>
          <w:ilvl w:val="0"/>
          <w:numId w:val="2"/>
        </w:numPr>
        <w:spacing w:after="80"/>
      </w:pPr>
      <w:r>
        <w:rPr>
          <w:rFonts w:ascii="Arial" w:cs="Arial" w:eastAsia="Arial" w:hAnsi="Arial"/>
          <w:sz w:val="20"/>
          <w:szCs w:val="20"/>
        </w:rPr>
        <w:t xml:space="preserve">Test runbooks via game day exercises: simulate failure conditions in staging and execute runbook steps.</w:t>
      </w:r>
    </w:p>
    <w:p>
      <w:pPr>
        <w:pStyle w:val="ListParagraph"/>
        <w:numPr>
          <w:ilvl w:val="0"/>
          <w:numId w:val="2"/>
        </w:numPr>
        <w:spacing w:after="80"/>
      </w:pPr>
      <w:r>
        <w:rPr>
          <w:rFonts w:ascii="Arial" w:cs="Arial" w:eastAsia="Arial" w:hAnsi="Arial"/>
          <w:sz w:val="20"/>
          <w:szCs w:val="20"/>
        </w:rPr>
        <w:t xml:space="preserve">Measure runbook effectiveness: time-to-mitigate with vs without runbook; target &lt; 15 min for SEV 2.</w:t>
      </w:r>
    </w:p>
    <w:p>
      <w:pPr>
        <w:spacing w:after="200"/>
      </w:pPr>
      <w:r>
        <w:t xml:space="preserve"/>
      </w:r>
    </w:p>
    <w:p>
      <w:pPr>
        <w:pStyle w:val="Heading1"/>
        <w:pageBreakBefore/>
      </w:pPr>
      <w:r>
        <w:rPr>
          <w:rFonts w:ascii="Arial" w:cs="Arial" w:eastAsia="Arial" w:hAnsi="Arial"/>
          <w:b/>
          <w:bCs/>
          <w:color w:val="1B3A5C"/>
          <w:sz w:val="34"/>
          <w:szCs w:val="34"/>
        </w:rPr>
        <w:t xml:space="preserve">6. Change Management &amp; Production Readiness</w:t>
      </w:r>
    </w:p>
    <w:p>
      <w:pPr>
        <w:pBdr>
          <w:bottom w:val="single" w:color="2E6DA4" w:sz="6" w:space="1"/>
        </w:pBdr>
        <w:spacing w:after="160"/>
      </w:pPr>
      <w:r>
        <w:t xml:space="preserve"/>
      </w:r>
    </w:p>
    <w:p>
      <w:pPr>
        <w:spacing w:after="120"/>
      </w:pPr>
      <w:r>
        <w:rPr>
          <w:rFonts w:ascii="Arial" w:cs="Arial" w:eastAsia="Arial" w:hAnsi="Arial"/>
          <w:color w:val="111111"/>
          <w:sz w:val="20"/>
          <w:szCs w:val="20"/>
        </w:rPr>
        <w:t xml:space="preserve">SRE research (and DORA data) consistently shows that the majority of outages are caused by changes to production systems. SRE change management gates deployments behind reliability criteria, uses progressive rollout strategies, and ties change velocity to error budget health.</w:t>
      </w:r>
    </w:p>
    <w:p>
      <w:pPr>
        <w:spacing w:after="120"/>
      </w:pPr>
      <w:r>
        <w:t xml:space="preserve"/>
      </w:r>
    </w:p>
    <w:p>
      <w:pPr>
        <w:pStyle w:val="Heading2"/>
      </w:pPr>
      <w:r>
        <w:rPr>
          <w:rFonts w:ascii="Arial" w:cs="Arial" w:eastAsia="Arial" w:hAnsi="Arial"/>
          <w:b/>
          <w:bCs/>
          <w:color w:val="2E6DA4"/>
          <w:sz w:val="27"/>
          <w:szCs w:val="27"/>
        </w:rPr>
        <w:t xml:space="preserve">6.1  Change Management Gates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w:t>
            </w:r>
          </w:p>
        </w:tc>
        <w:tc>
          <w:tcPr>
            <w:tcW w:type="dxa" w:w="348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Criteria / Questions</w:t>
            </w:r>
          </w:p>
        </w:tc>
        <w:tc>
          <w:tcPr>
            <w:tcW w:type="dxa" w:w="408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BGL / HDFS Application</w:t>
            </w:r>
          </w:p>
        </w:tc>
      </w:tr>
      <w:tr>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Production Readiness Review (PRR)</w:t>
            </w:r>
          </w:p>
        </w:tc>
        <w:tc>
          <w:tcPr>
            <w:tcW w:type="dxa" w:w="34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Is there an SLO? Are alerts in place? Is there a runbook? Is rollback tested? Is capacity adequate?</w:t>
            </w:r>
          </w:p>
        </w:tc>
        <w:tc>
          <w:tcPr>
            <w:tcW w:type="dxa" w:w="40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cluster expansion: verify DataNode commissioning runbook; BGL firmware: verify MMCS rollback procedure</w:t>
            </w:r>
          </w:p>
        </w:tc>
      </w:tr>
      <w:tr>
        <w:tc>
          <w:tcPr>
            <w:tcW w:type="dxa" w:w="1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Error Budget Policy Gate</w:t>
            </w:r>
          </w:p>
        </w:tc>
        <w:tc>
          <w:tcPr>
            <w:tcW w:type="dxa" w:w="34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Is error budget &gt; 10% remaining? Are all SEV 1/2 incidents resolved and post-mortemed?</w:t>
            </w:r>
          </w:p>
        </w:tc>
        <w:tc>
          <w:tcPr>
            <w:tcW w:type="dxa" w:w="40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Freeze HDFS NameNode upgrades if budget &lt; 10%; block BGL rack addition if recent KERNMNTF unresolved</w:t>
            </w:r>
          </w:p>
        </w:tc>
      </w:tr>
      <w:tr>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Canary / Progressive Rollout</w:t>
            </w:r>
          </w:p>
        </w:tc>
        <w:tc>
          <w:tcPr>
            <w:tcW w:type="dxa" w:w="34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Deploy to 1–5% of nodes first; monitor SLIs for defined bake time; auto-rollback on regression</w:t>
            </w:r>
          </w:p>
        </w:tc>
        <w:tc>
          <w:tcPr>
            <w:tcW w:type="dxa" w:w="40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config change: apply to 5% of DataNodes; monitor E3/E5 rate for 30 min before full rollout</w:t>
            </w:r>
          </w:p>
        </w:tc>
      </w:tr>
      <w:tr>
        <w:tc>
          <w:tcPr>
            <w:tcW w:type="dxa" w:w="1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Change Freeze Window</w:t>
            </w:r>
          </w:p>
        </w:tc>
        <w:tc>
          <w:tcPr>
            <w:tcW w:type="dxa" w:w="34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 changes during peak load, SLO at risk, or &lt; 72 h after major incident</w:t>
            </w:r>
          </w:p>
        </w:tc>
        <w:tc>
          <w:tcPr>
            <w:tcW w:type="dxa" w:w="408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no firmware updates during active large-scale jobs; HDFS: no NameNode restarts during peak ETL</w:t>
            </w:r>
          </w:p>
        </w:tc>
      </w:tr>
      <w:tr>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Rollback Trigger</w:t>
            </w:r>
          </w:p>
        </w:tc>
        <w:tc>
          <w:tcPr>
            <w:tcW w:type="dxa" w:w="34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SLI degrades &gt; 10% from baseline within 30 min of change; burn rate &gt; 5×</w:t>
            </w:r>
          </w:p>
        </w:tc>
        <w:tc>
          <w:tcPr>
            <w:tcW w:type="dxa" w:w="408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Revert HDFS configuration; redeploy previous DataNode image; MMCS restore prior BGL image</w:t>
            </w:r>
          </w:p>
        </w:tc>
      </w:tr>
    </w:tbl>
    <w:p>
      <w:pPr>
        <w:spacing w:after="200"/>
      </w:pPr>
      <w:r>
        <w:t xml:space="preserve"/>
      </w:r>
    </w:p>
    <w:p>
      <w:pPr>
        <w:pStyle w:val="Heading2"/>
      </w:pPr>
      <w:r>
        <w:rPr>
          <w:rFonts w:ascii="Arial" w:cs="Arial" w:eastAsia="Arial" w:hAnsi="Arial"/>
          <w:b/>
          <w:bCs/>
          <w:color w:val="2E6DA4"/>
          <w:sz w:val="27"/>
          <w:szCs w:val="27"/>
        </w:rPr>
        <w:t xml:space="preserve">6.2  Reliability Metrics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240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(Elite Teams)</w:t>
            </w:r>
          </w:p>
        </w:tc>
        <w:tc>
          <w:tcPr>
            <w:tcW w:type="dxa" w:w="3160"/>
            <w:gridSpan w:val="1"/>
            <w:tcBorders>
              <w:top w:val="single" w:color="C9D6E3" w:sz="1"/>
              <w:left w:val="single" w:color="C9D6E3" w:sz="1"/>
              <w:bottom w:val="single" w:color="C9D6E3" w:sz="1"/>
              <w:right w:val="single" w:color="C9D6E3"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Relevance to BGL / HDFS</w:t>
            </w:r>
          </w:p>
        </w:tc>
      </w:tr>
      <w:tr>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MTTD (Mean Time to Detect)</w:t>
            </w:r>
          </w:p>
        </w:tc>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Alert time − fault start time</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5 min</w:t>
            </w:r>
          </w:p>
        </w:tc>
        <w:tc>
          <w:tcPr>
            <w:tcW w:type="dxa" w:w="3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alert on KERNMNTF within 1 scan cycle; HDFS: E6 silence alert &lt; 2 min</w:t>
            </w:r>
          </w:p>
        </w:tc>
      </w:tr>
      <w:tr>
        <w:tc>
          <w:tcPr>
            <w:tcW w:type="dxa" w:w="1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MTTR (Mean Time to Recover)</w:t>
            </w:r>
          </w:p>
        </w:tc>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Service restored − incident declared</w:t>
            </w:r>
          </w:p>
        </w:tc>
        <w:tc>
          <w:tcPr>
            <w:tcW w:type="dxa" w:w="2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1 hour (SEV 2)</w:t>
            </w:r>
          </w:p>
        </w:tc>
        <w:tc>
          <w:tcPr>
            <w:tcW w:type="dxa" w:w="3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DataNode re-replication; BGL job-partition restart time</w:t>
            </w:r>
          </w:p>
        </w:tc>
      </w:tr>
      <w:tr>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MTBF (Mean Time Between Failures)</w:t>
            </w:r>
          </w:p>
        </w:tc>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Total uptime / number of failures</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Maximise: &gt; 30 days</w:t>
            </w:r>
          </w:p>
        </w:tc>
        <w:tc>
          <w:tcPr>
            <w:tcW w:type="dxa" w:w="3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BGL node MTBF drives quarantine decisions; HDFS DataNode MTBF triggers HW review</w:t>
            </w:r>
          </w:p>
        </w:tc>
      </w:tr>
      <w:tr>
        <w:tc>
          <w:tcPr>
            <w:tcW w:type="dxa" w:w="1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Error Budget Burn Rate</w:t>
            </w:r>
          </w:p>
        </w:tc>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 SLI) / (1 − SLO)</w:t>
            </w:r>
          </w:p>
        </w:tc>
        <w:tc>
          <w:tcPr>
            <w:tcW w:type="dxa" w:w="2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 1.0 (on-plan)</w:t>
            </w:r>
          </w:p>
        </w:tc>
        <w:tc>
          <w:tcPr>
            <w:tcW w:type="dxa" w:w="3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anomaly rate vs 99.9% SLO; BGL job failure rate vs availability budget</w:t>
            </w:r>
          </w:p>
        </w:tc>
      </w:tr>
      <w:tr>
        <w:tc>
          <w:tcPr>
            <w:tcW w:type="dxa" w:w="18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Toil Ratio</w:t>
            </w:r>
          </w:p>
        </w:tc>
        <w:tc>
          <w:tcPr>
            <w:tcW w:type="dxa" w:w="20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Toil hours / total SRE hours</w:t>
            </w:r>
          </w:p>
        </w:tc>
        <w:tc>
          <w:tcPr>
            <w:tcW w:type="dxa" w:w="240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 50%</w:t>
            </w:r>
          </w:p>
        </w:tc>
        <w:tc>
          <w:tcPr>
            <w:tcW w:type="dxa" w:w="3160"/>
            <w:tcBorders>
              <w:top w:val="single" w:color="C9D6E3" w:sz="1"/>
              <w:left w:val="single" w:color="C9D6E3" w:sz="1"/>
              <w:bottom w:val="single" w:color="C9D6E3" w:sz="1"/>
              <w:right w:val="single" w:color="C9D6E3" w:sz="1"/>
            </w:tcBorders>
            <w:shd w:fill="D0E4F5"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Runbook automation for repetitive BGL MMCS reboots; HDFS re-replication scripts</w:t>
            </w:r>
          </w:p>
        </w:tc>
      </w:tr>
      <w:tr>
        <w:tc>
          <w:tcPr>
            <w:tcW w:type="dxa" w:w="18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bCs/>
                <w:color w:val="1B3A5C"/>
                <w:sz w:val="18"/>
                <w:szCs w:val="18"/>
              </w:rPr>
              <w:t xml:space="preserve">Change Failure Rate</w:t>
            </w:r>
          </w:p>
        </w:tc>
        <w:tc>
          <w:tcPr>
            <w:tcW w:type="dxa" w:w="20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Failed changes / total changes</w:t>
            </w:r>
          </w:p>
        </w:tc>
        <w:tc>
          <w:tcPr>
            <w:tcW w:type="dxa" w:w="240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5%</w:t>
            </w:r>
          </w:p>
        </w:tc>
        <w:tc>
          <w:tcPr>
            <w:tcW w:type="dxa" w:w="3160"/>
            <w:tcBorders>
              <w:top w:val="single" w:color="C9D6E3" w:sz="1"/>
              <w:left w:val="single" w:color="C9D6E3" w:sz="1"/>
              <w:bottom w:val="single" w:color="C9D6E3" w:sz="1"/>
              <w:right w:val="single" w:color="C9D6E3" w:sz="1"/>
            </w:tcBorders>
            <w:shd w:fill="F4F7FA"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Tracks whether HDFS config pushes or BGL firmware updates cause incidents</w:t>
            </w:r>
          </w:p>
        </w:tc>
      </w:tr>
    </w:tbl>
    <w:p>
      <w:pPr>
        <w:spacing w:after="200"/>
      </w:pPr>
      <w:r>
        <w:t xml:space="preserve"/>
      </w:r>
    </w:p>
    <w:p>
      <w:pPr>
        <w:pStyle w:val="Heading2"/>
      </w:pPr>
      <w:r>
        <w:rPr>
          <w:rFonts w:ascii="Arial" w:cs="Arial" w:eastAsia="Arial" w:hAnsi="Arial"/>
          <w:b/>
          <w:bCs/>
          <w:color w:val="2E6DA4"/>
          <w:sz w:val="27"/>
          <w:szCs w:val="27"/>
        </w:rPr>
        <w:t xml:space="preserve">6.3  Production Change Classification</w:t>
      </w:r>
    </w:p>
    <w:p>
      <w:pPr>
        <w:pStyle w:val="ListParagraph"/>
        <w:numPr>
          <w:ilvl w:val="0"/>
          <w:numId w:val="2"/>
        </w:numPr>
        <w:spacing w:after="80"/>
      </w:pPr>
      <w:r>
        <w:rPr>
          <w:rFonts w:ascii="Arial" w:cs="Arial" w:eastAsia="Arial" w:hAnsi="Arial"/>
          <w:sz w:val="20"/>
          <w:szCs w:val="20"/>
        </w:rPr>
        <w:t xml:space="preserve">Routine (Low Risk): configuration value changes, dependency version bumps with full test coverage, documentation updates. Require: peer review + automated test pass.</w:t>
      </w:r>
    </w:p>
    <w:p>
      <w:pPr>
        <w:pStyle w:val="ListParagraph"/>
        <w:numPr>
          <w:ilvl w:val="0"/>
          <w:numId w:val="2"/>
        </w:numPr>
        <w:spacing w:after="80"/>
      </w:pPr>
      <w:r>
        <w:rPr>
          <w:rFonts w:ascii="Arial" w:cs="Arial" w:eastAsia="Arial" w:hAnsi="Arial"/>
          <w:sz w:val="20"/>
          <w:szCs w:val="20"/>
        </w:rPr>
        <w:t xml:space="preserve">Standard (Medium Risk): new service feature deployments, infrastructure scaling changes. Require: PRR checklist, canary deployment, 30-min bake.</w:t>
      </w:r>
    </w:p>
    <w:p>
      <w:pPr>
        <w:pStyle w:val="ListParagraph"/>
        <w:numPr>
          <w:ilvl w:val="0"/>
          <w:numId w:val="2"/>
        </w:numPr>
        <w:spacing w:after="80"/>
      </w:pPr>
      <w:r>
        <w:rPr>
          <w:rFonts w:ascii="Arial" w:cs="Arial" w:eastAsia="Arial" w:hAnsi="Arial"/>
          <w:sz w:val="20"/>
          <w:szCs w:val="20"/>
        </w:rPr>
        <w:t xml:space="preserve">Significant (High Risk): NameNode upgrades, BGL firmware changes, schema migrations, network topology changes. Require: full PRR, staged rollout, explicit SRE approval, documented rollback.</w:t>
      </w:r>
    </w:p>
    <w:p>
      <w:pPr>
        <w:pStyle w:val="ListParagraph"/>
        <w:numPr>
          <w:ilvl w:val="0"/>
          <w:numId w:val="2"/>
        </w:numPr>
        <w:spacing w:after="80"/>
      </w:pPr>
      <w:r>
        <w:rPr>
          <w:rFonts w:ascii="Arial" w:cs="Arial" w:eastAsia="Arial" w:hAnsi="Arial"/>
          <w:sz w:val="20"/>
          <w:szCs w:val="20"/>
        </w:rPr>
        <w:t xml:space="preserve">Emergency (Break-Glass): hot fix for active SEV 1 incident. Require: IC approval; post-mortem mandatory; reviewed within 24 h.</w:t>
      </w:r>
    </w:p>
    <w:p>
      <w:pPr>
        <w:spacing w:after="200"/>
      </w:pPr>
      <w:r>
        <w:t xml:space="preserve"/>
      </w:r>
    </w:p>
    <w:p>
      <w:pPr>
        <w:pStyle w:val="Heading1"/>
        <w:pageBreakBefore/>
      </w:pPr>
      <w:r>
        <w:rPr>
          <w:rFonts w:ascii="Arial" w:cs="Arial" w:eastAsia="Arial" w:hAnsi="Arial"/>
          <w:b/>
          <w:bCs/>
          <w:color w:val="1B3A5C"/>
          <w:sz w:val="34"/>
          <w:szCs w:val="34"/>
        </w:rPr>
        <w:t xml:space="preserve">7. Capacity Planning &amp; Performance Engineering</w:t>
      </w:r>
    </w:p>
    <w:p>
      <w:pPr>
        <w:pBdr>
          <w:bottom w:val="single" w:color="2E6DA4" w:sz="6" w:space="1"/>
        </w:pBdr>
        <w:spacing w:after="160"/>
      </w:pPr>
      <w:r>
        <w:t xml:space="preserve"/>
      </w:r>
    </w:p>
    <w:p>
      <w:pPr>
        <w:spacing w:after="120"/>
      </w:pPr>
      <w:r>
        <w:rPr>
          <w:rFonts w:ascii="Arial" w:cs="Arial" w:eastAsia="Arial" w:hAnsi="Arial"/>
          <w:color w:val="111111"/>
          <w:sz w:val="20"/>
          <w:szCs w:val="20"/>
        </w:rPr>
        <w:t xml:space="preserve">Capacity planning ensures that the system has sufficient resources to serve expected load while maintaining SLOs. SREs use load forecasting, load testing, and provisioning targets to stay ahead of demand growth.</w:t>
      </w:r>
    </w:p>
    <w:p>
      <w:pPr>
        <w:spacing w:after="120"/>
      </w:pPr>
      <w:r>
        <w:t xml:space="preserve"/>
      </w:r>
    </w:p>
    <w:p>
      <w:pPr>
        <w:pStyle w:val="Heading2"/>
      </w:pPr>
      <w:r>
        <w:rPr>
          <w:rFonts w:ascii="Arial" w:cs="Arial" w:eastAsia="Arial" w:hAnsi="Arial"/>
          <w:b/>
          <w:bCs/>
          <w:color w:val="2E6DA4"/>
          <w:sz w:val="27"/>
          <w:szCs w:val="27"/>
        </w:rPr>
        <w:t xml:space="preserve">7.1  Capacity Planning Process</w:t>
      </w:r>
    </w:p>
    <w:p>
      <w:pPr>
        <w:pStyle w:val="ListParagraph"/>
        <w:numPr>
          <w:ilvl w:val="0"/>
          <w:numId w:val="3"/>
        </w:numPr>
        <w:spacing w:after="80"/>
      </w:pPr>
      <w:r>
        <w:rPr>
          <w:rFonts w:ascii="Arial" w:cs="Arial" w:eastAsia="Arial" w:hAnsi="Arial"/>
          <w:sz w:val="20"/>
          <w:szCs w:val="20"/>
        </w:rPr>
        <w:t xml:space="preserve">Demand Forecasting: project load growth from historical trends (traffic, storage, block counts) × 1.5× safety margin.</w:t>
      </w:r>
    </w:p>
    <w:p>
      <w:pPr>
        <w:pStyle w:val="ListParagraph"/>
        <w:numPr>
          <w:ilvl w:val="0"/>
          <w:numId w:val="3"/>
        </w:numPr>
        <w:spacing w:after="80"/>
      </w:pPr>
      <w:r>
        <w:rPr>
          <w:rFonts w:ascii="Arial" w:cs="Arial" w:eastAsia="Arial" w:hAnsi="Arial"/>
          <w:sz w:val="20"/>
          <w:szCs w:val="20"/>
        </w:rPr>
        <w:t xml:space="preserve">Baseline Measurement: establish current resource utilisation at P95 load; identify bottlenecks (CPU, memory, network, disk I/O).</w:t>
      </w:r>
    </w:p>
    <w:p>
      <w:pPr>
        <w:pStyle w:val="ListParagraph"/>
        <w:numPr>
          <w:ilvl w:val="0"/>
          <w:numId w:val="3"/>
        </w:numPr>
        <w:spacing w:after="80"/>
      </w:pPr>
      <w:r>
        <w:rPr>
          <w:rFonts w:ascii="Arial" w:cs="Arial" w:eastAsia="Arial" w:hAnsi="Arial"/>
          <w:sz w:val="20"/>
          <w:szCs w:val="20"/>
        </w:rPr>
        <w:t xml:space="preserve">Headroom Planning: maintain ≥ 30% resource headroom at projected peak; for HDFS, maintain ≥ 20% free disk space per DataNode.</w:t>
      </w:r>
    </w:p>
    <w:p>
      <w:pPr>
        <w:pStyle w:val="ListParagraph"/>
        <w:numPr>
          <w:ilvl w:val="0"/>
          <w:numId w:val="3"/>
        </w:numPr>
        <w:spacing w:after="80"/>
      </w:pPr>
      <w:r>
        <w:rPr>
          <w:rFonts w:ascii="Arial" w:cs="Arial" w:eastAsia="Arial" w:hAnsi="Arial"/>
          <w:sz w:val="20"/>
          <w:szCs w:val="20"/>
        </w:rPr>
        <w:t xml:space="preserve">Load Testing: validate capacity headroom under synthetic load in staging; verify SLOs hold at 2× expected peak.</w:t>
      </w:r>
    </w:p>
    <w:p>
      <w:pPr>
        <w:pStyle w:val="ListParagraph"/>
        <w:numPr>
          <w:ilvl w:val="0"/>
          <w:numId w:val="3"/>
        </w:numPr>
        <w:spacing w:after="80"/>
      </w:pPr>
      <w:r>
        <w:rPr>
          <w:rFonts w:ascii="Arial" w:cs="Arial" w:eastAsia="Arial" w:hAnsi="Arial"/>
          <w:sz w:val="20"/>
          <w:szCs w:val="20"/>
        </w:rPr>
        <w:t xml:space="preserve">Provisioning Execution: automate provisioning via IaC (Terraform, Ansible); avoid manual node additions that introduce configuration drift.</w:t>
      </w:r>
    </w:p>
    <w:p>
      <w:pPr>
        <w:pStyle w:val="ListParagraph"/>
        <w:numPr>
          <w:ilvl w:val="0"/>
          <w:numId w:val="3"/>
        </w:numPr>
        <w:spacing w:after="80"/>
      </w:pPr>
      <w:r>
        <w:rPr>
          <w:rFonts w:ascii="Arial" w:cs="Arial" w:eastAsia="Arial" w:hAnsi="Arial"/>
          <w:sz w:val="20"/>
          <w:szCs w:val="20"/>
        </w:rPr>
        <w:t xml:space="preserve">Review Cycle: repeat quarterly or after any 20% traffic growth event.</w:t>
      </w:r>
    </w:p>
    <w:p>
      <w:pPr>
        <w:spacing w:after="120"/>
      </w:pPr>
      <w:r>
        <w:t xml:space="preserve"/>
      </w:r>
    </w:p>
    <w:p>
      <w:pPr>
        <w:pStyle w:val="Heading2"/>
      </w:pPr>
      <w:r>
        <w:rPr>
          <w:rFonts w:ascii="Arial" w:cs="Arial" w:eastAsia="Arial" w:hAnsi="Arial"/>
          <w:b/>
          <w:bCs/>
          <w:color w:val="2E6DA4"/>
          <w:sz w:val="27"/>
          <w:szCs w:val="27"/>
        </w:rPr>
        <w:t xml:space="preserve">7.2  HDFS &amp; BGL Specific Capacity Signals</w:t>
      </w:r>
    </w:p>
    <w:p>
      <w:pPr>
        <w:pStyle w:val="ListParagraph"/>
        <w:numPr>
          <w:ilvl w:val="0"/>
          <w:numId w:val="2"/>
        </w:numPr>
        <w:spacing w:after="80"/>
      </w:pPr>
      <w:r>
        <w:rPr>
          <w:rFonts w:ascii="Arial" w:cs="Arial" w:eastAsia="Arial" w:hAnsi="Arial"/>
          <w:sz w:val="20"/>
          <w:szCs w:val="20"/>
        </w:rPr>
        <w:t xml:space="preserve">HDFS: monitor under-replicated block count (&gt;0 sustained indicates capacity stress), DataNode disk fill rate, NameNode heap utilisation, and block report processing latency.</w:t>
      </w:r>
    </w:p>
    <w:p>
      <w:pPr>
        <w:pStyle w:val="ListParagraph"/>
        <w:numPr>
          <w:ilvl w:val="0"/>
          <w:numId w:val="2"/>
        </w:numPr>
        <w:spacing w:after="80"/>
      </w:pPr>
      <w:r>
        <w:rPr>
          <w:rFonts w:ascii="Arial" w:cs="Arial" w:eastAsia="Arial" w:hAnsi="Arial"/>
          <w:sz w:val="20"/>
          <w:szCs w:val="20"/>
        </w:rPr>
        <w:t xml:space="preserve">BGL: monitor job queue depth, node failure rate (increasing trend indicates approaching hardware lifecycle end), and MMCS partition reboot frequency.</w:t>
      </w:r>
    </w:p>
    <w:p>
      <w:pPr>
        <w:spacing w:after="200"/>
      </w:pPr>
      <w:r>
        <w:t xml:space="preserve"/>
      </w:r>
    </w:p>
    <w:p>
      <w:pPr>
        <w:pStyle w:val="Heading1"/>
        <w:pageBreakBefore/>
      </w:pPr>
      <w:r>
        <w:rPr>
          <w:rFonts w:ascii="Arial" w:cs="Arial" w:eastAsia="Arial" w:hAnsi="Arial"/>
          <w:b/>
          <w:bCs/>
          <w:color w:val="1B3A5C"/>
          <w:sz w:val="34"/>
          <w:szCs w:val="34"/>
        </w:rPr>
        <w:t xml:space="preserve">8. Sources</w:t>
      </w:r>
    </w:p>
    <w:p>
      <w:pPr>
        <w:pBdr>
          <w:bottom w:val="single" w:color="2E6DA4" w:sz="6" w:space="1"/>
        </w:pBdr>
        <w:spacing w:after="160"/>
      </w:pPr>
      <w:r>
        <w:t xml:space="preserve"/>
      </w:r>
    </w:p>
    <w:p>
      <w:pPr>
        <w:spacing w:after="120"/>
      </w:pPr>
      <w:r>
        <w:rPr>
          <w:rFonts w:ascii="Arial" w:cs="Arial" w:eastAsia="Arial" w:hAnsi="Arial"/>
          <w:color w:val="111111"/>
          <w:sz w:val="20"/>
          <w:szCs w:val="20"/>
        </w:rPr>
        <w:t xml:space="preserve">[1] Beyer, B., Jones, C., Petoff, J., &amp; Murphy, N.R. (Eds.). Site Reliability Engineering: How Google Runs Production Systems. O'Reilly Media, 2016. Available online: https://sre.google/sre-book/table-of-contents/ — Primary source for SRE role definition, toil budget, four golden signals, error budgets, incident management, and post-mortem philosophy.</w:t>
      </w:r>
    </w:p>
    <w:p>
      <w:pPr>
        <w:spacing w:after="60"/>
      </w:pPr>
      <w:r>
        <w:t xml:space="preserve"/>
      </w:r>
    </w:p>
    <w:p>
      <w:pPr>
        <w:spacing w:after="120"/>
      </w:pPr>
      <w:r>
        <w:rPr>
          <w:rFonts w:ascii="Arial" w:cs="Arial" w:eastAsia="Arial" w:hAnsi="Arial"/>
          <w:color w:val="111111"/>
          <w:sz w:val="20"/>
          <w:szCs w:val="20"/>
        </w:rPr>
        <w:t xml:space="preserve">[2] Beyer, B., Murphy, N.R., Rensin, D., Kawahara, K., &amp; Thorne, S. (Eds.). The Site Reliability Workbook: Practical Ways to Implement SRE. O'Reilly Media, 2018. Available online: https://sre.google/workbook/table-of-contents/ — Primary source for SLI/SLO/error budget implementation, implementing SLOs chapter, multi-window burn-rate alerting, production readiness reviews, and error budget policies.</w:t>
      </w:r>
    </w:p>
    <w:p>
      <w:pPr>
        <w:spacing w:after="60"/>
      </w:pPr>
      <w:r>
        <w:t xml:space="preserve"/>
      </w:r>
    </w:p>
    <w:p>
      <w:pPr>
        <w:spacing w:after="120"/>
      </w:pPr>
      <w:r>
        <w:rPr>
          <w:rFonts w:ascii="Arial" w:cs="Arial" w:eastAsia="Arial" w:hAnsi="Arial"/>
          <w:color w:val="111111"/>
          <w:sz w:val="20"/>
          <w:szCs w:val="20"/>
        </w:rPr>
        <w:t xml:space="preserve">[3] Wikipedia. Site Reliability Engineering. https://en.wikipedia.org/wiki/Site_reliability_engineering — Overview of SRE origins, team models, and distinctions from DevOps; references USENIX SREcon as annual standards forum.</w:t>
      </w:r>
    </w:p>
    <w:p>
      <w:pPr>
        <w:spacing w:after="60"/>
      </w:pPr>
      <w:r>
        <w:t xml:space="preserve"/>
      </w:r>
    </w:p>
    <w:p>
      <w:pPr>
        <w:spacing w:after="120"/>
      </w:pPr>
      <w:r>
        <w:rPr>
          <w:rFonts w:ascii="Arial" w:cs="Arial" w:eastAsia="Arial" w:hAnsi="Arial"/>
          <w:color w:val="111111"/>
          <w:sz w:val="20"/>
          <w:szCs w:val="20"/>
        </w:rPr>
        <w:t xml:space="preserve">[4] Atlassian. What is SLO? SLO vs SLA vs SLI. https://www.atlassian.com/incident-management/kpis/sla-vs-slo-vs-sli — Industry-standard definitions and relationships between SLI, SLO, and SLA with practical examples.</w:t>
      </w:r>
    </w:p>
    <w:p>
      <w:pPr>
        <w:spacing w:after="60"/>
      </w:pPr>
      <w:r>
        <w:t xml:space="preserve"/>
      </w:r>
    </w:p>
    <w:p>
      <w:pPr>
        <w:spacing w:after="120"/>
      </w:pPr>
      <w:r>
        <w:rPr>
          <w:rFonts w:ascii="Arial" w:cs="Arial" w:eastAsia="Arial" w:hAnsi="Arial"/>
          <w:color w:val="111111"/>
          <w:sz w:val="20"/>
          <w:szCs w:val="20"/>
        </w:rPr>
        <w:t xml:space="preserve">[5] Google SRE. Implementing SLOs (SRE Workbook Chapter 2). https://sre.google/workbook/implementing-slos/ — Detailed guidance on error budget calculation, burn rate alerting, and SLO dashboards; source for burn-rate formula and 95%-variance threshold.</w:t>
      </w:r>
    </w:p>
    <w:p>
      <w:pPr>
        <w:spacing w:after="60"/>
      </w:pPr>
      <w:r>
        <w:t xml:space="preserve"/>
      </w:r>
    </w:p>
    <w:p>
      <w:pPr>
        <w:spacing w:after="120"/>
      </w:pPr>
      <w:r>
        <w:rPr>
          <w:rFonts w:ascii="Arial" w:cs="Arial" w:eastAsia="Arial" w:hAnsi="Arial"/>
          <w:color w:val="111111"/>
          <w:sz w:val="20"/>
          <w:szCs w:val="20"/>
        </w:rPr>
        <w:t xml:space="preserve">[6] incident.io. SLOs, SLAs, and SLIs: A Complete Guide. https://incident.io/blog/slo-sla-sli — 2024 industry data on SLA breach costs, SLO benchmarks, error budget ROI statistics, and SRE best practices.</w:t>
      </w:r>
    </w:p>
    <w:p>
      <w:pPr>
        <w:spacing w:after="60"/>
      </w:pPr>
      <w:r>
        <w:t xml:space="preserve"/>
      </w:r>
    </w:p>
    <w:p>
      <w:pPr>
        <w:spacing w:after="120"/>
      </w:pPr>
      <w:r>
        <w:rPr>
          <w:rFonts w:ascii="Arial" w:cs="Arial" w:eastAsia="Arial" w:hAnsi="Arial"/>
          <w:color w:val="111111"/>
          <w:sz w:val="20"/>
          <w:szCs w:val="20"/>
        </w:rPr>
        <w:t xml:space="preserve">[7] nobl9. A Complete Guide to Error Budgets. https://www.nobl9.com/resources/a-complete-guide-to-error-budgets — Detailed treatment of error budget policy, stakeholder roles, and SLI/SLO/SLA integration for DevOps/SRE teams.</w:t>
      </w:r>
    </w:p>
    <w:p>
      <w:pPr>
        <w:spacing w:after="60"/>
      </w:pPr>
      <w:r>
        <w:t xml:space="preserve"/>
      </w:r>
    </w:p>
    <w:p>
      <w:pPr>
        <w:spacing w:after="120"/>
      </w:pPr>
      <w:r>
        <w:rPr>
          <w:rFonts w:ascii="Arial" w:cs="Arial" w:eastAsia="Arial" w:hAnsi="Arial"/>
          <w:color w:val="111111"/>
          <w:sz w:val="20"/>
          <w:szCs w:val="20"/>
        </w:rPr>
        <w:t xml:space="preserve">[8] Xu, W. et al. Detecting Large-Scale System Problems by Mining Console Logs. SOSP 2009 — Technical basis for HDFS block-level anomaly detection, message count vector methodology, and specific runbook diagnosis steps derived from Table 7 anomaly types.</w:t>
      </w:r>
    </w:p>
    <w:p>
      <w:pPr>
        <w:spacing w:after="60"/>
      </w:pPr>
      <w:r>
        <w:t xml:space="preserve"/>
      </w:r>
    </w:p>
    <w:p>
      <w:pPr>
        <w:spacing w:after="120"/>
      </w:pPr>
      <w:r>
        <w:rPr>
          <w:rFonts w:ascii="Arial" w:cs="Arial" w:eastAsia="Arial" w:hAnsi="Arial"/>
          <w:color w:val="111111"/>
          <w:sz w:val="20"/>
          <w:szCs w:val="20"/>
        </w:rPr>
        <w:t xml:space="preserve">[9] Zhu, J. et al. Loghub: A Large Collection of System Log Datasets for AI-driven Log Analytics. arXiv:2008.06448v3, 2023 — Source for HDFS and BGL dataset characteristics used in runbook scenario calibration.</w:t>
      </w:r>
    </w:p>
    <w:p>
      <w:pPr>
        <w:spacing w:after="60"/>
      </w:pPr>
      <w:r>
        <w:t xml:space="preserve"/>
      </w:r>
    </w:p>
    <w:p>
      <w:pPr>
        <w:spacing w:after="120"/>
      </w:pPr>
      <w:r>
        <w:rPr>
          <w:rFonts w:ascii="Arial" w:cs="Arial" w:eastAsia="Arial" w:hAnsi="Arial"/>
          <w:color w:val="111111"/>
          <w:sz w:val="20"/>
          <w:szCs w:val="20"/>
        </w:rPr>
        <w:t xml:space="preserve">[10] Oliner, A. &amp; Stearley, J. What Supercomputers Say: A Study of Five System Logs. DSN 2007 — BGL alert category definitions, RAS log structure, and severity context for BGL-specific runbook procedures.</w:t>
      </w:r>
    </w:p>
    <w:p>
      <w:pPr>
        <w:spacing w:after="60"/>
      </w:pPr>
      <w:r>
        <w:t xml:space="preserve"/>
      </w:r>
    </w:p>
    <w:p>
      <w:pPr>
        <w:spacing w:after="120"/>
      </w:pPr>
      <w:r>
        <w:rPr>
          <w:rFonts w:ascii="Arial" w:cs="Arial" w:eastAsia="Arial" w:hAnsi="Arial"/>
          <w:color w:val="111111"/>
          <w:sz w:val="20"/>
          <w:szCs w:val="20"/>
        </w:rPr>
        <w:t xml:space="preserve">[11] New Relic. Error Budget and Service Levels Best Practices. https://newrelic.com/blog/observability/alerts-service-levels-error-budgets — Multi-burn-rate alerting implementation guidance; alert design for SLO-based notification policies.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1"/>
      </w:pBdr>
      <w:tabs>
        <w:tab w:val="right" w:pos="9360"/>
      </w:tabs>
    </w:pPr>
    <w:r>
      <w:rPr>
        <w:rFonts w:ascii="Arial" w:cs="Arial" w:eastAsia="Arial" w:hAnsi="Arial"/>
        <w:color w:val="6C7A8D"/>
        <w:sz w:val="16"/>
        <w:szCs w:val="16"/>
      </w:rPr>
      <w:t xml:space="preserve">Site Reliability Engineering Reference  |  For RAG-assisted SRE workflows on BGL &amp; HDFS log anomaly systems</w:t>
    </w:r>
    <w:r>
      <w:rPr>
        <w:rFonts w:ascii="Arial" w:cs="Arial" w:eastAsia="Arial" w:hAnsi="Arial"/>
        <w:color w:val="6C7A8D"/>
        <w:sz w:val="16"/>
        <w:szCs w:val="16"/>
      </w:rPr>
      <w:t xml:space="preserve">	Page </w:t>
    </w:r>
    <w:r>
      <w:rPr>
        <w:rFonts w:ascii="Arial" w:cs="Arial" w:eastAsia="Arial" w:hAnsi="Arial"/>
        <w:color w:val="6C7A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tabs>
        <w:tab w:val="right" w:pos="9360"/>
      </w:tabs>
    </w:pPr>
    <w:r>
      <w:rPr>
        <w:rFonts w:ascii="Arial" w:cs="Arial" w:eastAsia="Arial" w:hAnsi="Arial"/>
        <w:b/>
        <w:bCs/>
        <w:color w:val="1B3A5C"/>
        <w:sz w:val="18"/>
        <w:szCs w:val="18"/>
      </w:rPr>
      <w:t xml:space="preserve">SRE Reference Guide — RAG Knowledge Base</w:t>
    </w:r>
    <w:r>
      <w:rPr>
        <w:rFonts w:ascii="Arial" w:cs="Arial" w:eastAsia="Arial" w:hAnsi="Arial"/>
        <w:color w:val="6C7A8D"/>
        <w:sz w:val="18"/>
        <w:szCs w:val="18"/>
      </w:rPr>
      <w:t xml:space="preserve">	BGL / HDFS Anomaly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6DA4"/>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2026-04-12T05:48:35.314Z</dcterms:created>
  <dcterms:modified xsi:type="dcterms:W3CDTF">2026-04-12T05:48:35.315Z</dcterms:modified>
</cp:coreProperties>
</file>

<file path=docProps/custom.xml><?xml version="1.0" encoding="utf-8"?>
<Properties xmlns="http://schemas.openxmlformats.org/officeDocument/2006/custom-properties" xmlns:vt="http://schemas.openxmlformats.org/officeDocument/2006/docPropsVTypes"/>
</file>