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rFonts w:ascii="Calibri" w:cs="Calibri" w:eastAsia="Calibri" w:hAnsi="Calibri"/>
          <w:b/>
          <w:bCs/>
          <w:color w:val="1F3864"/>
          <w:sz w:val="24"/>
          <w:szCs w:val="24"/>
        </w:rPr>
        <w:t xml:space="preserve">BIRLA INSTITUTE OF TECHNOLOGY &amp; SCIENCE, PILANI</w:t>
      </w:r>
    </w:p>
    <w:p>
      <w:pPr>
        <w:spacing w:after="60"/>
        <w:jc w:val="center"/>
      </w:pPr>
      <w:r>
        <w:rPr>
          <w:rFonts w:ascii="Calibri" w:cs="Calibri" w:eastAsia="Calibri" w:hAnsi="Calibri"/>
          <w:b w:val="false"/>
          <w:bCs w:val="false"/>
          <w:color w:val="2E5FA3"/>
          <w:sz w:val="22"/>
          <w:szCs w:val="22"/>
        </w:rPr>
        <w:t xml:space="preserve">Work-Integrated Learning Programmes (WILP) Division</w:t>
      </w:r>
    </w:p>
    <w:p>
      <w:pPr>
        <w:spacing w:after="260"/>
        <w:jc w:val="center"/>
      </w:pPr>
      <w:r>
        <w:rPr>
          <w:rFonts w:ascii="Calibri" w:cs="Calibri" w:eastAsia="Calibri" w:hAnsi="Calibri"/>
          <w:b w:val="false"/>
          <w:bCs w:val="false"/>
          <w:color w:val="2E5FA3"/>
          <w:sz w:val="22"/>
          <w:szCs w:val="22"/>
        </w:rPr>
        <w:t xml:space="preserve">Second Semester of Academic Year 2025–2026</w:t>
      </w:r>
    </w:p>
    <w:p>
      <w:pPr>
        <w:pBdr>
          <w:bottom w:val="single" w:color="2E5FA3" w:sz="6" w:space="4"/>
        </w:pBdr>
        <w:spacing w:after="80"/>
        <w:jc w:val="center"/>
      </w:pPr>
      <w:r>
        <w:rPr>
          <w:rFonts w:ascii="Calibri" w:cs="Calibri" w:eastAsia="Calibri" w:hAnsi="Calibri"/>
          <w:b/>
          <w:bCs/>
          <w:color w:val="1F3864"/>
          <w:sz w:val="26"/>
          <w:szCs w:val="26"/>
        </w:rPr>
        <w:t xml:space="preserve">AIMLC ZG628T: Dissertation</w:t>
      </w:r>
    </w:p>
    <w:p>
      <w:pPr>
        <w:spacing w:after="60"/>
      </w:pPr>
    </w:p>
    <w:p>
      <w:pPr>
        <w:spacing w:after="320"/>
        <w:jc w:val="center"/>
      </w:pPr>
      <w:r>
        <w:rPr>
          <w:rFonts w:ascii="Calibri" w:cs="Calibri" w:eastAsia="Calibri" w:hAnsi="Calibri"/>
          <w:b/>
          <w:bCs/>
          <w:color w:val="1F7FC4"/>
          <w:sz w:val="28"/>
          <w:szCs w:val="28"/>
        </w:rPr>
        <w:t xml:space="preserve">Mid-Semester Progress Report</w:t>
      </w:r>
    </w:p>
    <w:p>
      <w:pPr>
        <w:spacing w:after="60"/>
        <w:jc w:val="center"/>
      </w:pPr>
      <w:r>
        <w:rPr>
          <w:rFonts w:ascii="Calibri" w:cs="Calibri" w:eastAsia="Calibri" w:hAnsi="Calibri"/>
          <w:b/>
          <w:bCs/>
          <w:color w:val="1A1A1A"/>
          <w:sz w:val="32"/>
          <w:szCs w:val="32"/>
        </w:rPr>
        <w:t xml:space="preserve">Comparative Analysis of Vector-Free Retrieval</w:t>
      </w:r>
    </w:p>
    <w:p>
      <w:pPr>
        <w:spacing w:after="60"/>
        <w:jc w:val="center"/>
      </w:pPr>
      <w:r>
        <w:rPr>
          <w:rFonts w:ascii="Calibri" w:cs="Calibri" w:eastAsia="Calibri" w:hAnsi="Calibri"/>
          <w:b/>
          <w:bCs/>
          <w:color w:val="1A1A1A"/>
          <w:sz w:val="32"/>
          <w:szCs w:val="32"/>
        </w:rPr>
        <w:t xml:space="preserve">Strategies for RAG: Hybrid Search and</w:t>
      </w:r>
    </w:p>
    <w:p>
      <w:pPr>
        <w:spacing w:after="320"/>
        <w:jc w:val="center"/>
      </w:pPr>
      <w:r>
        <w:rPr>
          <w:rFonts w:ascii="Calibri" w:cs="Calibri" w:eastAsia="Calibri" w:hAnsi="Calibri"/>
          <w:b/>
          <w:bCs/>
          <w:color w:val="1A1A1A"/>
          <w:sz w:val="32"/>
          <w:szCs w:val="32"/>
        </w:rPr>
        <w:t xml:space="preserve">Graph-Based Approaches</w:t>
      </w:r>
    </w:p>
    <w:p>
      <w:pPr>
        <w:spacing w:after="200"/>
      </w:pPr>
    </w:p>
    <w:p>
      <w:pPr>
        <w:spacing w:after="80"/>
        <w:jc w:val="center"/>
      </w:pPr>
      <w:r>
        <w:rPr>
          <w:rFonts w:ascii="Calibri" w:cs="Calibri" w:eastAsia="Calibri" w:hAnsi="Calibri"/>
          <w:b w:val="false"/>
          <w:bCs w:val="false"/>
          <w:color w:val="555555"/>
          <w:sz w:val="22"/>
          <w:szCs w:val="22"/>
        </w:rPr>
        <w:t xml:space="preserve">Submitted by</w:t>
      </w:r>
    </w:p>
    <w:p>
      <w:pPr>
        <w:spacing w:after="60"/>
        <w:jc w:val="center"/>
      </w:pPr>
      <w:r>
        <w:rPr>
          <w:rFonts w:ascii="Calibri" w:cs="Calibri" w:eastAsia="Calibri" w:hAnsi="Calibri"/>
          <w:b/>
          <w:bCs/>
          <w:color w:val="1F3864"/>
          <w:sz w:val="30"/>
          <w:szCs w:val="30"/>
        </w:rPr>
        <w:t xml:space="preserve">AMULYA GUPTA</w:t>
      </w:r>
    </w:p>
    <w:p>
      <w:pPr>
        <w:spacing w:after="60"/>
        <w:jc w:val="center"/>
      </w:pPr>
      <w:r>
        <w:rPr>
          <w:rFonts w:ascii="Calibri" w:cs="Calibri" w:eastAsia="Calibri" w:hAnsi="Calibri"/>
          <w:b/>
          <w:bCs/>
          <w:color w:val="1A1A1A"/>
          <w:sz w:val="22"/>
          <w:szCs w:val="22"/>
        </w:rPr>
        <w:t xml:space="preserve">BITS ID: 2024AB05200</w:t>
      </w:r>
    </w:p>
    <w:p>
      <w:pPr>
        <w:spacing w:after="60"/>
        <w:jc w:val="center"/>
      </w:pPr>
      <w:r>
        <w:rPr>
          <w:rFonts w:ascii="Calibri" w:cs="Calibri" w:eastAsia="Calibri" w:hAnsi="Calibri"/>
          <w:b w:val="false"/>
          <w:bCs w:val="false"/>
          <w:color w:val="1A1A1A"/>
          <w:sz w:val="22"/>
          <w:szCs w:val="22"/>
        </w:rPr>
        <w:t xml:space="preserve">M.Tech. Artificial Intelligence and Machine Learning</w:t>
      </w:r>
    </w:p>
    <w:p>
      <w:pPr>
        <w:spacing w:after="200"/>
        <w:jc w:val="center"/>
      </w:pPr>
      <w:r>
        <w:rPr>
          <w:rFonts w:ascii="Calibri" w:cs="Calibri" w:eastAsia="Calibri" w:hAnsi="Calibri"/>
          <w:b w:val="false"/>
          <w:bCs w:val="false"/>
          <w:color w:val="555555"/>
          <w:sz w:val="22"/>
          <w:szCs w:val="22"/>
        </w:rPr>
        <w:t xml:space="preserve">Research Area: Information Retrieval</w:t>
      </w:r>
    </w:p>
    <w:p>
      <w:pPr>
        <w:spacing w:after="140"/>
        <w:jc w:val="center"/>
      </w:pPr>
      <w:r>
        <w:rPr>
          <w:rFonts w:ascii="Calibri" w:cs="Calibri" w:eastAsia="Calibri" w:hAnsi="Calibri"/>
          <w:b w:val="false"/>
          <w:bCs w:val="false"/>
          <w:color w:val="1A1A1A"/>
          <w:sz w:val="22"/>
          <w:szCs w:val="22"/>
        </w:rPr>
        <w:t xml:space="preserve">Dissertation Carried Out at: HCLTech, Noida</w:t>
      </w:r>
    </w:p>
    <w:p>
      <w:pPr>
        <w:spacing w:after="60"/>
        <w:jc w:val="center"/>
      </w:pPr>
      <w:r>
        <w:rPr>
          <w:rFonts w:ascii="Calibri" w:cs="Calibri" w:eastAsia="Calibri" w:hAnsi="Calibri"/>
          <w:b w:val="false"/>
          <w:bCs w:val="false"/>
          <w:color w:val="555555"/>
          <w:sz w:val="20"/>
          <w:szCs w:val="20"/>
        </w:rPr>
        <w:t xml:space="preserve">Supervisor: Anushka Gupta — Technical Lead, TCS, Gurugram</w:t>
      </w:r>
    </w:p>
    <w:p>
      <w:pPr>
        <w:spacing w:after="280"/>
        <w:jc w:val="center"/>
      </w:pPr>
      <w:r>
        <w:rPr>
          <w:rFonts w:ascii="Calibri" w:cs="Calibri" w:eastAsia="Calibri" w:hAnsi="Calibri"/>
          <w:b w:val="false"/>
          <w:bCs w:val="false"/>
          <w:color w:val="555555"/>
          <w:sz w:val="20"/>
          <w:szCs w:val="20"/>
        </w:rPr>
        <w:t xml:space="preserve">Additional Examiner: Davendra Gupta — HOD CS, Birla Public School, Pilani</w:t>
      </w:r>
    </w:p>
    <w:p>
      <w:pPr>
        <w:spacing w:after="80"/>
        <w:jc w:val="center"/>
      </w:pPr>
      <w:r>
        <w:rPr>
          <w:rFonts w:ascii="Calibri" w:cs="Calibri" w:eastAsia="Calibri" w:hAnsi="Calibri"/>
          <w:b/>
          <w:bCs/>
          <w:color w:val="1A1A1A"/>
          <w:sz w:val="22"/>
          <w:szCs w:val="22"/>
        </w:rPr>
        <w:t xml:space="preserve">June 2026</w:t>
      </w:r>
    </w:p>
    <w:p>
      <w:r>
        <w:br w:type="page"/>
      </w:r>
    </w:p>
    <w:p>
      <w:pPr>
        <w:pStyle w:val="Heading1"/>
        <w:pBdr>
          <w:bottom w:val="single" w:color="2E5FA3" w:sz="6" w:space="4"/>
        </w:pBdr>
        <w:spacing w:after="160" w:before="400"/>
      </w:pPr>
      <w:r>
        <w:rPr>
          <w:rFonts w:ascii="Calibri" w:cs="Calibri" w:eastAsia="Calibri" w:hAnsi="Calibri"/>
          <w:b/>
          <w:bCs/>
          <w:color w:val="1F3864"/>
          <w:sz w:val="32"/>
          <w:szCs w:val="32"/>
        </w:rPr>
        <w:t xml:space="preserve">Abstract</w:t>
      </w:r>
    </w:p>
    <w:p>
      <w:pPr>
        <w:spacing w:after="160" w:before="0"/>
        <w:jc w:val="both"/>
      </w:pPr>
      <w:r>
        <w:rPr>
          <w:rFonts w:ascii="Calibri" w:cs="Calibri" w:eastAsia="Calibri" w:hAnsi="Calibri"/>
          <w:b w:val="false"/>
          <w:bCs w:val="false"/>
          <w:color w:val="1A1A1A"/>
          <w:sz w:val="22"/>
          <w:szCs w:val="22"/>
        </w:rPr>
        <w:t xml:space="preserve">Retrieval-Augmented Generation (RAG) has become the practical standard for reducing hallucinations in large language models by grounding generated responses in retrieved source documents. Most deployed RAG systems rely on dense vector retrieval — encoding documents into high-dimensional embedding spaces and matching queries through approximate nearest-neighbour search. While effective on general-domain tasks with high paraphrase variance, dense retrieval carries infrastructure costs that are frequently underacknowledged: embedding models require GPU compute, index builds take minutes, and vocabulary drift between the embedding model's training distribution and the target domain can silently reduce retrieval quality.</w:t>
      </w:r>
    </w:p>
    <w:p>
      <w:pPr>
        <w:spacing w:after="160" w:before="0"/>
        <w:jc w:val="both"/>
      </w:pPr>
      <w:r>
        <w:rPr>
          <w:rFonts w:ascii="Calibri" w:cs="Calibri" w:eastAsia="Calibri" w:hAnsi="Calibri"/>
          <w:b w:val="false"/>
          <w:bCs w:val="false"/>
          <w:color w:val="1A1A1A"/>
          <w:sz w:val="22"/>
          <w:szCs w:val="22"/>
        </w:rPr>
        <w:t xml:space="preserve">This dissertation investigates whether vector-free and graph-based retrieval approaches can match or outperform FAISS-based dense retrieval under honest, controlled comparison. Five systems share a common ingestion layer, a common generator, and a common evaluation harness. Only the retrieval mechanism varies. The corpus is publicly available Indian government welfare scheme documents — a domain where entities have structured relational dependencies, terminology is precise and consistent, and the cost of hallucination is practically significant.</w:t>
      </w:r>
    </w:p>
    <w:p>
      <w:pPr>
        <w:spacing w:after="160" w:before="0"/>
        <w:jc w:val="both"/>
      </w:pPr>
      <w:r>
        <w:rPr>
          <w:rFonts w:ascii="Calibri" w:cs="Calibri" w:eastAsia="Calibri" w:hAnsi="Calibri"/>
          <w:b w:val="false"/>
          <w:bCs w:val="false"/>
          <w:color w:val="1A1A1A"/>
          <w:sz w:val="22"/>
          <w:szCs w:val="22"/>
        </w:rPr>
        <w:t xml:space="preserve">The evaluation framework separates retrieval quality from generation quality and measures both alongside practical system metrics. The QA benchmark is stratified into six query categories — exact lookup, terminology-sensitive, paraphrase-semantic, entity-relation, multi-hop, and synthesis — enabling per-category analysis. The study produces a Retrieval Strategy Selection Framework mapping query type distribution, corpus structure, infrastructure constraints, and explainability requirements to retrieval strategy recommendations.</w:t>
      </w:r>
    </w:p>
    <w:p>
      <w:pPr>
        <w:spacing w:after="160" w:before="0"/>
        <w:jc w:val="both"/>
      </w:pPr>
      <w:r>
        <w:rPr>
          <w:rFonts w:ascii="Calibri" w:cs="Calibri" w:eastAsia="Calibri" w:hAnsi="Calibri"/>
          <w:b w:val="false"/>
          <w:bCs w:val="false"/>
          <w:color w:val="1A1A1A"/>
          <w:sz w:val="22"/>
          <w:szCs w:val="22"/>
        </w:rPr>
        <w:t xml:space="preserve">At the time of this mid-semester report, the ingestion pipeline and evaluation harness are fully implemented and unit-tested (31/31 tests pass). The BM25 retriever is functional; FAISS and GraphRAG retrievers are coded to specification, pending library installation on the production corpus environment. The 50-item ground-truth QA dataset is under construction. Phase 2 — BM25 on real corpus, FAISS, GraphRAG, Hybrid, and the comparative dashboard — begins 25 June 2026. Final submission is targeted for 2 August 2026.</w:t>
      </w:r>
    </w:p>
    <w:p>
      <w:pPr>
        <w:spacing w:after="120"/>
      </w:pPr>
    </w:p>
    <w:p>
      <w:pPr>
        <w:spacing w:after="300" w:before="0"/>
        <w:jc w:val="both"/>
      </w:pPr>
      <w:r>
        <w:rPr>
          <w:rFonts w:ascii="Calibri" w:cs="Calibri" w:eastAsia="Calibri" w:hAnsi="Calibri"/>
          <w:b/>
          <w:bCs/>
          <w:color w:val="1A1A1A"/>
          <w:sz w:val="22"/>
          <w:szCs w:val="22"/>
        </w:rPr>
        <w:t xml:space="preserve">Keywords: </w:t>
      </w:r>
      <w:r>
        <w:rPr>
          <w:rFonts w:ascii="Calibri" w:cs="Calibri" w:eastAsia="Calibri" w:hAnsi="Calibri"/>
          <w:color w:val="1A1A1A"/>
          <w:sz w:val="22"/>
          <w:szCs w:val="22"/>
        </w:rPr>
        <w:t xml:space="preserve">Retrieval-Augmented Generation, BM25, Graph RAG, Dense Retrieval, Hybrid Retrieval, FAISS, Hallucination, Information Retrieval, MRR, Reciprocal Rank Fusion, Indian Government Schemes</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left w:val="none"/>
              <w:bottom w:val="none"/>
              <w:right w:val="none"/>
            </w:tcBorders>
            <w:tcMar>
              <w:top w:type="dxa" w:w="80"/>
              <w:left w:type="dxa" w:w="120"/>
              <w:bottom w:type="dxa" w:w="80"/>
              <w:right w:type="dxa" w:w="120"/>
            </w:tcMar>
          </w:tcPr>
          <w:p>
            <w:pPr>
              <w:spacing w:after="60" w:before="600"/>
            </w:pPr>
            <w:r>
              <w:rPr>
                <w:rFonts w:ascii="Calibri" w:cs="Calibri" w:eastAsia="Calibri" w:hAnsi="Calibri"/>
                <w:b/>
                <w:bCs/>
                <w:sz w:val="20"/>
                <w:szCs w:val="20"/>
              </w:rPr>
              <w:t xml:space="preserve">Signature of Student</w:t>
            </w:r>
          </w:p>
          <w:p>
            <w:pPr>
              <w:spacing w:after="40"/>
            </w:pPr>
            <w:r>
              <w:rPr>
                <w:rFonts w:ascii="Calibri" w:cs="Calibri" w:eastAsia="Calibri" w:hAnsi="Calibri"/>
                <w:sz w:val="20"/>
                <w:szCs w:val="20"/>
              </w:rPr>
              <w:t xml:space="preserve">Name: Amulya Gupta</w:t>
            </w:r>
          </w:p>
          <w:p>
            <w:pPr>
              <w:spacing w:after="40"/>
            </w:pPr>
            <w:r>
              <w:rPr>
                <w:rFonts w:ascii="Calibri" w:cs="Calibri" w:eastAsia="Calibri" w:hAnsi="Calibri"/>
                <w:sz w:val="20"/>
                <w:szCs w:val="20"/>
              </w:rPr>
              <w:t xml:space="preserve">Date:</w:t>
            </w:r>
          </w:p>
          <w:p>
            <w:pPr>
              <w:spacing w:after="40"/>
            </w:pPr>
            <w:r>
              <w:rPr>
                <w:rFonts w:ascii="Calibri" w:cs="Calibri" w:eastAsia="Calibri" w:hAnsi="Calibri"/>
                <w:sz w:val="20"/>
                <w:szCs w:val="20"/>
              </w:rPr>
              <w:t xml:space="preserve">Place: Noida</w:t>
            </w:r>
          </w:p>
        </w:tc>
        <w:tc>
          <w:tcPr>
            <w:tcW w:type="dxa" w:w="4819"/>
            <w:tcBorders>
              <w:top w:val="none"/>
              <w:left w:val="none"/>
              <w:bottom w:val="none"/>
              <w:right w:val="none"/>
            </w:tcBorders>
            <w:tcMar>
              <w:top w:type="dxa" w:w="80"/>
              <w:left w:type="dxa" w:w="120"/>
              <w:bottom w:type="dxa" w:w="80"/>
              <w:right w:type="dxa" w:w="120"/>
            </w:tcMar>
          </w:tcPr>
          <w:p>
            <w:pPr>
              <w:spacing w:after="60" w:before="600"/>
            </w:pPr>
            <w:r>
              <w:rPr>
                <w:rFonts w:ascii="Calibri" w:cs="Calibri" w:eastAsia="Calibri" w:hAnsi="Calibri"/>
                <w:b/>
                <w:bCs/>
                <w:sz w:val="20"/>
                <w:szCs w:val="20"/>
              </w:rPr>
              <w:t xml:space="preserve">Signature of Supervisor</w:t>
            </w:r>
          </w:p>
          <w:p>
            <w:pPr>
              <w:spacing w:after="40"/>
            </w:pPr>
            <w:r>
              <w:rPr>
                <w:rFonts w:ascii="Calibri" w:cs="Calibri" w:eastAsia="Calibri" w:hAnsi="Calibri"/>
                <w:sz w:val="20"/>
                <w:szCs w:val="20"/>
              </w:rPr>
              <w:t xml:space="preserve">Name: Anushka Gupta</w:t>
            </w:r>
          </w:p>
          <w:p>
            <w:pPr>
              <w:spacing w:after="40"/>
            </w:pPr>
            <w:r>
              <w:rPr>
                <w:rFonts w:ascii="Calibri" w:cs="Calibri" w:eastAsia="Calibri" w:hAnsi="Calibri"/>
                <w:sz w:val="20"/>
                <w:szCs w:val="20"/>
              </w:rPr>
              <w:t xml:space="preserve">Date:</w:t>
            </w:r>
          </w:p>
          <w:p>
            <w:pPr>
              <w:spacing w:after="40"/>
            </w:pPr>
            <w:r>
              <w:rPr>
                <w:rFonts w:ascii="Calibri" w:cs="Calibri" w:eastAsia="Calibri" w:hAnsi="Calibri"/>
                <w:sz w:val="20"/>
                <w:szCs w:val="20"/>
              </w:rPr>
              <w:t xml:space="preserve">Place: Gurugram</w:t>
            </w:r>
          </w:p>
        </w:tc>
      </w:tr>
    </w:tbl>
    <w:p>
      <w:r>
        <w:br w:type="page"/>
      </w:r>
    </w:p>
    <w:p>
      <w:pPr>
        <w:pStyle w:val="Heading1"/>
        <w:pBdr>
          <w:bottom w:val="single" w:color="2E5FA3" w:sz="6" w:space="4"/>
        </w:pBdr>
        <w:spacing w:after="160" w:before="400"/>
      </w:pPr>
      <w:r>
        <w:rPr>
          <w:rFonts w:ascii="Calibri" w:cs="Calibri" w:eastAsia="Calibri" w:hAnsi="Calibri"/>
          <w:b/>
          <w:bCs/>
          <w:color w:val="1F3864"/>
          <w:sz w:val="32"/>
          <w:szCs w:val="32"/>
        </w:rPr>
        <w:t xml:space="preserve">Table of Contents</w:t>
      </w:r>
    </w:p>
    <w:p>
      <w:pPr>
        <w:spacing w:after="60"/>
      </w:pPr>
      <w:r>
        <w:rPr>
          <w:rFonts w:ascii="Calibri" w:cs="Calibri" w:eastAsia="Calibri" w:hAnsi="Calibri"/>
          <w:sz w:val="22"/>
          <w:szCs w:val="22"/>
        </w:rPr>
        <w:t xml:space="preserve">Abstract</w:t>
      </w:r>
      <w:r>
        <w:rPr>
          <w:rFonts w:ascii="Calibri" w:cs="Calibri" w:eastAsia="Calibri" w:hAnsi="Calibri"/>
          <w:sz w:val="22"/>
          <w:szCs w:val="22"/>
        </w:rPr>
        <w:ptab w:alignment="right" w:relativeTo="margin" w:leader="dot"/>
        <w:t xml:space="preserve">ii</w:t>
      </w:r>
    </w:p>
    <w:p>
      <w:pPr>
        <w:spacing w:after="60"/>
      </w:pPr>
      <w:r>
        <w:rPr>
          <w:rFonts w:ascii="Calibri" w:cs="Calibri" w:eastAsia="Calibri" w:hAnsi="Calibri"/>
          <w:sz w:val="22"/>
          <w:szCs w:val="22"/>
        </w:rPr>
        <w:t xml:space="preserve">Table of Contents</w:t>
      </w:r>
      <w:r>
        <w:rPr>
          <w:rFonts w:ascii="Calibri" w:cs="Calibri" w:eastAsia="Calibri" w:hAnsi="Calibri"/>
          <w:sz w:val="22"/>
          <w:szCs w:val="22"/>
        </w:rPr>
        <w:ptab w:alignment="right" w:relativeTo="margin" w:leader="dot"/>
        <w:t xml:space="preserve">iii</w:t>
      </w:r>
    </w:p>
    <w:p>
      <w:pPr>
        <w:spacing w:after="60"/>
      </w:pPr>
      <w:r>
        <w:rPr>
          <w:rFonts w:ascii="Calibri" w:cs="Calibri" w:eastAsia="Calibri" w:hAnsi="Calibri"/>
          <w:sz w:val="22"/>
          <w:szCs w:val="22"/>
        </w:rPr>
        <w:t xml:space="preserve">List of Figures</w:t>
      </w:r>
      <w:r>
        <w:rPr>
          <w:rFonts w:ascii="Calibri" w:cs="Calibri" w:eastAsia="Calibri" w:hAnsi="Calibri"/>
          <w:sz w:val="22"/>
          <w:szCs w:val="22"/>
        </w:rPr>
        <w:ptab w:alignment="right" w:relativeTo="margin" w:leader="dot"/>
        <w:t xml:space="preserve">iv</w:t>
      </w:r>
    </w:p>
    <w:p>
      <w:pPr>
        <w:spacing w:after="60"/>
      </w:pPr>
      <w:r>
        <w:rPr>
          <w:rFonts w:ascii="Calibri" w:cs="Calibri" w:eastAsia="Calibri" w:hAnsi="Calibri"/>
          <w:sz w:val="22"/>
          <w:szCs w:val="22"/>
        </w:rPr>
        <w:t xml:space="preserve">List of Tables</w:t>
      </w:r>
      <w:r>
        <w:rPr>
          <w:rFonts w:ascii="Calibri" w:cs="Calibri" w:eastAsia="Calibri" w:hAnsi="Calibri"/>
          <w:sz w:val="22"/>
          <w:szCs w:val="22"/>
        </w:rPr>
        <w:ptab w:alignment="right" w:relativeTo="margin" w:leader="dot"/>
        <w:t xml:space="preserve">iv</w:t>
      </w:r>
    </w:p>
    <w:p>
      <w:pPr>
        <w:spacing w:after="60"/>
      </w:pPr>
    </w:p>
    <w:p>
      <w:pPr>
        <w:spacing w:after="60"/>
      </w:pPr>
      <w:r>
        <w:rPr>
          <w:rFonts w:ascii="Calibri" w:cs="Calibri" w:eastAsia="Calibri" w:hAnsi="Calibri"/>
          <w:sz w:val="22"/>
          <w:szCs w:val="22"/>
        </w:rPr>
        <w:t xml:space="preserve">1.  Introduction</w:t>
      </w:r>
      <w:r>
        <w:rPr>
          <w:rFonts w:ascii="Calibri" w:cs="Calibri" w:eastAsia="Calibri" w:hAnsi="Calibri"/>
          <w:sz w:val="22"/>
          <w:szCs w:val="22"/>
        </w:rPr>
        <w:ptab w:alignment="right" w:relativeTo="margin" w:leader="dot"/>
        <w:t xml:space="preserve">1</w:t>
      </w:r>
    </w:p>
    <w:p>
      <w:pPr>
        <w:spacing w:after="60"/>
        <w:ind w:left="440"/>
      </w:pPr>
      <w:r>
        <w:rPr>
          <w:rFonts w:ascii="Calibri" w:cs="Calibri" w:eastAsia="Calibri" w:hAnsi="Calibri"/>
          <w:sz w:val="20"/>
          <w:szCs w:val="20"/>
        </w:rPr>
        <w:t xml:space="preserve">1.1  The Problem With the Default</w:t>
      </w:r>
      <w:r>
        <w:rPr>
          <w:rFonts w:ascii="Calibri" w:cs="Calibri" w:eastAsia="Calibri" w:hAnsi="Calibri"/>
          <w:sz w:val="20"/>
          <w:szCs w:val="20"/>
        </w:rPr>
        <w:ptab w:alignment="right" w:relativeTo="margin" w:leader="dot"/>
        <w:t xml:space="preserve">1</w:t>
      </w:r>
    </w:p>
    <w:p>
      <w:pPr>
        <w:spacing w:after="60"/>
        <w:ind w:left="440"/>
      </w:pPr>
      <w:r>
        <w:rPr>
          <w:rFonts w:ascii="Calibri" w:cs="Calibri" w:eastAsia="Calibri" w:hAnsi="Calibri"/>
          <w:sz w:val="20"/>
          <w:szCs w:val="20"/>
        </w:rPr>
        <w:t xml:space="preserve">1.2  Why This Question Has Practical Consequences</w:t>
      </w:r>
      <w:r>
        <w:rPr>
          <w:rFonts w:ascii="Calibri" w:cs="Calibri" w:eastAsia="Calibri" w:hAnsi="Calibri"/>
          <w:sz w:val="20"/>
          <w:szCs w:val="20"/>
        </w:rPr>
        <w:ptab w:alignment="right" w:relativeTo="margin" w:leader="dot"/>
        <w:t xml:space="preserve">2</w:t>
      </w:r>
    </w:p>
    <w:p>
      <w:pPr>
        <w:spacing w:after="60"/>
        <w:ind w:left="440"/>
      </w:pPr>
      <w:r>
        <w:rPr>
          <w:rFonts w:ascii="Calibri" w:cs="Calibri" w:eastAsia="Calibri" w:hAnsi="Calibri"/>
          <w:sz w:val="20"/>
          <w:szCs w:val="20"/>
        </w:rPr>
        <w:t xml:space="preserve">1.3  The Research Gap</w:t>
      </w:r>
      <w:r>
        <w:rPr>
          <w:rFonts w:ascii="Calibri" w:cs="Calibri" w:eastAsia="Calibri" w:hAnsi="Calibri"/>
          <w:sz w:val="20"/>
          <w:szCs w:val="20"/>
        </w:rPr>
        <w:ptab w:alignment="right" w:relativeTo="margin" w:leader="dot"/>
        <w:t xml:space="preserve">2</w:t>
      </w:r>
    </w:p>
    <w:p>
      <w:pPr>
        <w:spacing w:after="60"/>
        <w:ind w:left="440"/>
      </w:pPr>
      <w:r>
        <w:rPr>
          <w:rFonts w:ascii="Calibri" w:cs="Calibri" w:eastAsia="Calibri" w:hAnsi="Calibri"/>
          <w:sz w:val="20"/>
          <w:szCs w:val="20"/>
        </w:rPr>
        <w:t xml:space="preserve">1.4  The Novel Contribution</w:t>
      </w:r>
      <w:r>
        <w:rPr>
          <w:rFonts w:ascii="Calibri" w:cs="Calibri" w:eastAsia="Calibri" w:hAnsi="Calibri"/>
          <w:sz w:val="20"/>
          <w:szCs w:val="20"/>
        </w:rPr>
        <w:ptab w:alignment="right" w:relativeTo="margin" w:leader="dot"/>
        <w:t xml:space="preserve">3</w:t>
      </w:r>
    </w:p>
    <w:p>
      <w:pPr>
        <w:spacing w:after="60"/>
        <w:ind w:left="440"/>
      </w:pPr>
      <w:r>
        <w:rPr>
          <w:rFonts w:ascii="Calibri" w:cs="Calibri" w:eastAsia="Calibri" w:hAnsi="Calibri"/>
          <w:sz w:val="20"/>
          <w:szCs w:val="20"/>
        </w:rPr>
        <w:t xml:space="preserve">1.5  Research Questions</w:t>
      </w:r>
      <w:r>
        <w:rPr>
          <w:rFonts w:ascii="Calibri" w:cs="Calibri" w:eastAsia="Calibri" w:hAnsi="Calibri"/>
          <w:sz w:val="20"/>
          <w:szCs w:val="20"/>
        </w:rPr>
        <w:ptab w:alignment="right" w:relativeTo="margin" w:leader="dot"/>
        <w:t xml:space="preserve">3</w:t>
      </w:r>
    </w:p>
    <w:p>
      <w:pPr>
        <w:spacing w:after="60"/>
        <w:ind w:left="440"/>
      </w:pPr>
      <w:r>
        <w:rPr>
          <w:rFonts w:ascii="Calibri" w:cs="Calibri" w:eastAsia="Calibri" w:hAnsi="Calibri"/>
          <w:sz w:val="20"/>
          <w:szCs w:val="20"/>
        </w:rPr>
        <w:t xml:space="preserve">1.6  Working Hypotheses</w:t>
      </w:r>
      <w:r>
        <w:rPr>
          <w:rFonts w:ascii="Calibri" w:cs="Calibri" w:eastAsia="Calibri" w:hAnsi="Calibri"/>
          <w:sz w:val="20"/>
          <w:szCs w:val="20"/>
        </w:rPr>
        <w:ptab w:alignment="right" w:relativeTo="margin" w:leader="dot"/>
        <w:t xml:space="preserve">4</w:t>
      </w:r>
    </w:p>
    <w:p>
      <w:pPr>
        <w:spacing w:after="60"/>
        <w:ind w:left="440"/>
      </w:pPr>
      <w:r>
        <w:rPr>
          <w:rFonts w:ascii="Calibri" w:cs="Calibri" w:eastAsia="Calibri" w:hAnsi="Calibri"/>
          <w:sz w:val="20"/>
          <w:szCs w:val="20"/>
        </w:rPr>
        <w:t xml:space="preserve">1.7  Scope and Boundaries</w:t>
      </w:r>
      <w:r>
        <w:rPr>
          <w:rFonts w:ascii="Calibri" w:cs="Calibri" w:eastAsia="Calibri" w:hAnsi="Calibri"/>
          <w:sz w:val="20"/>
          <w:szCs w:val="20"/>
        </w:rPr>
        <w:ptab w:alignment="right" w:relativeTo="margin" w:leader="dot"/>
        <w:t xml:space="preserve">4</w:t>
      </w:r>
    </w:p>
    <w:p>
      <w:pPr>
        <w:spacing w:after="60"/>
        <w:ind w:left="440"/>
      </w:pPr>
      <w:r>
        <w:rPr>
          <w:rFonts w:ascii="Calibri" w:cs="Calibri" w:eastAsia="Calibri" w:hAnsi="Calibri"/>
          <w:sz w:val="20"/>
          <w:szCs w:val="20"/>
        </w:rPr>
        <w:t xml:space="preserve">1.8  Report Structure</w:t>
      </w:r>
      <w:r>
        <w:rPr>
          <w:rFonts w:ascii="Calibri" w:cs="Calibri" w:eastAsia="Calibri" w:hAnsi="Calibri"/>
          <w:sz w:val="20"/>
          <w:szCs w:val="20"/>
        </w:rPr>
        <w:ptab w:alignment="right" w:relativeTo="margin" w:leader="dot"/>
        <w:t xml:space="preserve">5</w:t>
      </w:r>
    </w:p>
    <w:p>
      <w:pPr>
        <w:spacing w:after="40"/>
      </w:pPr>
    </w:p>
    <w:p>
      <w:pPr>
        <w:spacing w:after="60"/>
      </w:pPr>
      <w:r>
        <w:rPr>
          <w:rFonts w:ascii="Calibri" w:cs="Calibri" w:eastAsia="Calibri" w:hAnsi="Calibri"/>
          <w:sz w:val="22"/>
          <w:szCs w:val="22"/>
        </w:rPr>
        <w:t xml:space="preserve">2.  Background and Literature Review</w:t>
      </w:r>
      <w:r>
        <w:rPr>
          <w:rFonts w:ascii="Calibri" w:cs="Calibri" w:eastAsia="Calibri" w:hAnsi="Calibri"/>
          <w:sz w:val="22"/>
          <w:szCs w:val="22"/>
        </w:rPr>
        <w:ptab w:alignment="right" w:relativeTo="margin" w:leader="dot"/>
        <w:t xml:space="preserve">5</w:t>
      </w:r>
    </w:p>
    <w:p>
      <w:pPr>
        <w:spacing w:after="60"/>
        <w:ind w:left="440"/>
      </w:pPr>
      <w:r>
        <w:rPr>
          <w:rFonts w:ascii="Calibri" w:cs="Calibri" w:eastAsia="Calibri" w:hAnsi="Calibri"/>
          <w:sz w:val="20"/>
          <w:szCs w:val="20"/>
        </w:rPr>
        <w:t xml:space="preserve">2.1  RAG: Origins and Architecture</w:t>
      </w:r>
      <w:r>
        <w:rPr>
          <w:rFonts w:ascii="Calibri" w:cs="Calibri" w:eastAsia="Calibri" w:hAnsi="Calibri"/>
          <w:sz w:val="20"/>
          <w:szCs w:val="20"/>
        </w:rPr>
        <w:ptab w:alignment="right" w:relativeTo="margin" w:leader="dot"/>
        <w:t xml:space="preserve">5</w:t>
      </w:r>
    </w:p>
    <w:p>
      <w:pPr>
        <w:spacing w:after="60"/>
        <w:ind w:left="440"/>
      </w:pPr>
      <w:r>
        <w:rPr>
          <w:rFonts w:ascii="Calibri" w:cs="Calibri" w:eastAsia="Calibri" w:hAnsi="Calibri"/>
          <w:sz w:val="20"/>
          <w:szCs w:val="20"/>
        </w:rPr>
        <w:t xml:space="preserve">2.2  Dense Vector Retrieval</w:t>
      </w:r>
      <w:r>
        <w:rPr>
          <w:rFonts w:ascii="Calibri" w:cs="Calibri" w:eastAsia="Calibri" w:hAnsi="Calibri"/>
          <w:sz w:val="20"/>
          <w:szCs w:val="20"/>
        </w:rPr>
        <w:ptab w:alignment="right" w:relativeTo="margin" w:leader="dot"/>
        <w:t xml:space="preserve">6</w:t>
      </w:r>
    </w:p>
    <w:p>
      <w:pPr>
        <w:spacing w:after="60"/>
        <w:ind w:left="440"/>
      </w:pPr>
      <w:r>
        <w:rPr>
          <w:rFonts w:ascii="Calibri" w:cs="Calibri" w:eastAsia="Calibri" w:hAnsi="Calibri"/>
          <w:sz w:val="20"/>
          <w:szCs w:val="20"/>
        </w:rPr>
        <w:t xml:space="preserve">2.3  BM25 and Its Modern Rehabilitation</w:t>
      </w:r>
      <w:r>
        <w:rPr>
          <w:rFonts w:ascii="Calibri" w:cs="Calibri" w:eastAsia="Calibri" w:hAnsi="Calibri"/>
          <w:sz w:val="20"/>
          <w:szCs w:val="20"/>
        </w:rPr>
        <w:ptab w:alignment="right" w:relativeTo="margin" w:leader="dot"/>
        <w:t xml:space="preserve">6</w:t>
      </w:r>
    </w:p>
    <w:p>
      <w:pPr>
        <w:spacing w:after="60"/>
        <w:ind w:left="440"/>
      </w:pPr>
      <w:r>
        <w:rPr>
          <w:rFonts w:ascii="Calibri" w:cs="Calibri" w:eastAsia="Calibri" w:hAnsi="Calibri"/>
          <w:sz w:val="20"/>
          <w:szCs w:val="20"/>
        </w:rPr>
        <w:t xml:space="preserve">2.4  Graph-Based Retrieval</w:t>
      </w:r>
      <w:r>
        <w:rPr>
          <w:rFonts w:ascii="Calibri" w:cs="Calibri" w:eastAsia="Calibri" w:hAnsi="Calibri"/>
          <w:sz w:val="20"/>
          <w:szCs w:val="20"/>
        </w:rPr>
        <w:ptab w:alignment="right" w:relativeTo="margin" w:leader="dot"/>
        <w:t xml:space="preserve">7</w:t>
      </w:r>
    </w:p>
    <w:p>
      <w:pPr>
        <w:spacing w:after="60"/>
        <w:ind w:left="440"/>
      </w:pPr>
      <w:r>
        <w:rPr>
          <w:rFonts w:ascii="Calibri" w:cs="Calibri" w:eastAsia="Calibri" w:hAnsi="Calibri"/>
          <w:sz w:val="20"/>
          <w:szCs w:val="20"/>
        </w:rPr>
        <w:t xml:space="preserve">2.5  Hybrid Retrieval</w:t>
      </w:r>
      <w:r>
        <w:rPr>
          <w:rFonts w:ascii="Calibri" w:cs="Calibri" w:eastAsia="Calibri" w:hAnsi="Calibri"/>
          <w:sz w:val="20"/>
          <w:szCs w:val="20"/>
        </w:rPr>
        <w:ptab w:alignment="right" w:relativeTo="margin" w:leader="dot"/>
        <w:t xml:space="preserve">8</w:t>
      </w:r>
    </w:p>
    <w:p>
      <w:pPr>
        <w:spacing w:after="60"/>
        <w:ind w:left="440"/>
      </w:pPr>
      <w:r>
        <w:rPr>
          <w:rFonts w:ascii="Calibri" w:cs="Calibri" w:eastAsia="Calibri" w:hAnsi="Calibri"/>
          <w:sz w:val="20"/>
          <w:szCs w:val="20"/>
        </w:rPr>
        <w:t xml:space="preserve">2.6  Prompt-Based and LLM-Guided Retrieval</w:t>
      </w:r>
      <w:r>
        <w:rPr>
          <w:rFonts w:ascii="Calibri" w:cs="Calibri" w:eastAsia="Calibri" w:hAnsi="Calibri"/>
          <w:sz w:val="20"/>
          <w:szCs w:val="20"/>
        </w:rPr>
        <w:ptab w:alignment="right" w:relativeTo="margin" w:leader="dot"/>
        <w:t xml:space="preserve">8</w:t>
      </w:r>
    </w:p>
    <w:p>
      <w:pPr>
        <w:spacing w:after="60"/>
        <w:ind w:left="440"/>
      </w:pPr>
      <w:r>
        <w:rPr>
          <w:rFonts w:ascii="Calibri" w:cs="Calibri" w:eastAsia="Calibri" w:hAnsi="Calibri"/>
          <w:sz w:val="20"/>
          <w:szCs w:val="20"/>
        </w:rPr>
        <w:t xml:space="preserve">2.7  RAG Evaluation Frameworks</w:t>
      </w:r>
      <w:r>
        <w:rPr>
          <w:rFonts w:ascii="Calibri" w:cs="Calibri" w:eastAsia="Calibri" w:hAnsi="Calibri"/>
          <w:sz w:val="20"/>
          <w:szCs w:val="20"/>
        </w:rPr>
        <w:ptab w:alignment="right" w:relativeTo="margin" w:leader="dot"/>
        <w:t xml:space="preserve">9</w:t>
      </w:r>
    </w:p>
    <w:p>
      <w:pPr>
        <w:spacing w:after="60"/>
        <w:ind w:left="440"/>
      </w:pPr>
      <w:r>
        <w:rPr>
          <w:rFonts w:ascii="Calibri" w:cs="Calibri" w:eastAsia="Calibri" w:hAnsi="Calibri"/>
          <w:sz w:val="20"/>
          <w:szCs w:val="20"/>
        </w:rPr>
        <w:t xml:space="preserve">2.8  Domain-Specific and Policy RAG</w:t>
      </w:r>
      <w:r>
        <w:rPr>
          <w:rFonts w:ascii="Calibri" w:cs="Calibri" w:eastAsia="Calibri" w:hAnsi="Calibri"/>
          <w:sz w:val="20"/>
          <w:szCs w:val="20"/>
        </w:rPr>
        <w:ptab w:alignment="right" w:relativeTo="margin" w:leader="dot"/>
        <w:t xml:space="preserve">9</w:t>
      </w:r>
    </w:p>
    <w:p>
      <w:pPr>
        <w:spacing w:after="60"/>
        <w:ind w:left="440"/>
      </w:pPr>
      <w:r>
        <w:rPr>
          <w:rFonts w:ascii="Calibri" w:cs="Calibri" w:eastAsia="Calibri" w:hAnsi="Calibri"/>
          <w:sz w:val="20"/>
          <w:szCs w:val="20"/>
        </w:rPr>
        <w:t xml:space="preserve">2.9  Literature Synthesis and Research Gap</w:t>
      </w:r>
      <w:r>
        <w:rPr>
          <w:rFonts w:ascii="Calibri" w:cs="Calibri" w:eastAsia="Calibri" w:hAnsi="Calibri"/>
          <w:sz w:val="20"/>
          <w:szCs w:val="20"/>
        </w:rPr>
        <w:ptab w:alignment="right" w:relativeTo="margin" w:leader="dot"/>
        <w:t xml:space="preserve">10</w:t>
      </w:r>
    </w:p>
    <w:p>
      <w:pPr>
        <w:spacing w:after="40"/>
      </w:pPr>
    </w:p>
    <w:p>
      <w:pPr>
        <w:spacing w:after="60"/>
      </w:pPr>
      <w:r>
        <w:rPr>
          <w:rFonts w:ascii="Calibri" w:cs="Calibri" w:eastAsia="Calibri" w:hAnsi="Calibri"/>
          <w:sz w:val="22"/>
          <w:szCs w:val="22"/>
        </w:rPr>
        <w:t xml:space="preserve">3.  Problem Statement, Research Gap, and Framework</w:t>
      </w:r>
      <w:r>
        <w:rPr>
          <w:rFonts w:ascii="Calibri" w:cs="Calibri" w:eastAsia="Calibri" w:hAnsi="Calibri"/>
          <w:sz w:val="22"/>
          <w:szCs w:val="22"/>
        </w:rPr>
        <w:ptab w:alignment="right" w:relativeTo="margin" w:leader="dot"/>
        <w:t xml:space="preserve">11</w:t>
      </w:r>
    </w:p>
    <w:p>
      <w:pPr>
        <w:spacing w:after="60"/>
        <w:ind w:left="440"/>
      </w:pPr>
      <w:r>
        <w:rPr>
          <w:rFonts w:ascii="Calibri" w:cs="Calibri" w:eastAsia="Calibri" w:hAnsi="Calibri"/>
          <w:sz w:val="20"/>
          <w:szCs w:val="20"/>
        </w:rPr>
        <w:t xml:space="preserve">3.1  The Gap, Stated Precisely</w:t>
      </w:r>
      <w:r>
        <w:rPr>
          <w:rFonts w:ascii="Calibri" w:cs="Calibri" w:eastAsia="Calibri" w:hAnsi="Calibri"/>
          <w:sz w:val="20"/>
          <w:szCs w:val="20"/>
        </w:rPr>
        <w:ptab w:alignment="right" w:relativeTo="margin" w:leader="dot"/>
        <w:t xml:space="preserve">11</w:t>
      </w:r>
    </w:p>
    <w:p>
      <w:pPr>
        <w:spacing w:after="60"/>
        <w:ind w:left="440"/>
      </w:pPr>
      <w:r>
        <w:rPr>
          <w:rFonts w:ascii="Calibri" w:cs="Calibri" w:eastAsia="Calibri" w:hAnsi="Calibri"/>
          <w:sz w:val="20"/>
          <w:szCs w:val="20"/>
        </w:rPr>
        <w:t xml:space="preserve">3.2  The Research Problem</w:t>
      </w:r>
      <w:r>
        <w:rPr>
          <w:rFonts w:ascii="Calibri" w:cs="Calibri" w:eastAsia="Calibri" w:hAnsi="Calibri"/>
          <w:sz w:val="20"/>
          <w:szCs w:val="20"/>
        </w:rPr>
        <w:ptab w:alignment="right" w:relativeTo="margin" w:leader="dot"/>
        <w:t xml:space="preserve">11</w:t>
      </w:r>
    </w:p>
    <w:p>
      <w:pPr>
        <w:spacing w:after="60"/>
        <w:ind w:left="440"/>
      </w:pPr>
      <w:r>
        <w:rPr>
          <w:rFonts w:ascii="Calibri" w:cs="Calibri" w:eastAsia="Calibri" w:hAnsi="Calibri"/>
          <w:sz w:val="20"/>
          <w:szCs w:val="20"/>
        </w:rPr>
        <w:t xml:space="preserve">3.3  Query Categorisation Framework</w:t>
      </w:r>
      <w:r>
        <w:rPr>
          <w:rFonts w:ascii="Calibri" w:cs="Calibri" w:eastAsia="Calibri" w:hAnsi="Calibri"/>
          <w:sz w:val="20"/>
          <w:szCs w:val="20"/>
        </w:rPr>
        <w:ptab w:alignment="right" w:relativeTo="margin" w:leader="dot"/>
        <w:t xml:space="preserve">12</w:t>
      </w:r>
    </w:p>
    <w:p>
      <w:pPr>
        <w:spacing w:after="60"/>
        <w:ind w:left="440"/>
      </w:pPr>
      <w:r>
        <w:rPr>
          <w:rFonts w:ascii="Calibri" w:cs="Calibri" w:eastAsia="Calibri" w:hAnsi="Calibri"/>
          <w:sz w:val="20"/>
          <w:szCs w:val="20"/>
        </w:rPr>
        <w:t xml:space="preserve">3.4  Retrieval Strategy Selection Framework</w:t>
      </w:r>
      <w:r>
        <w:rPr>
          <w:rFonts w:ascii="Calibri" w:cs="Calibri" w:eastAsia="Calibri" w:hAnsi="Calibri"/>
          <w:sz w:val="20"/>
          <w:szCs w:val="20"/>
        </w:rPr>
        <w:ptab w:alignment="right" w:relativeTo="margin" w:leader="dot"/>
        <w:t xml:space="preserve">13</w:t>
      </w:r>
    </w:p>
    <w:p>
      <w:pPr>
        <w:spacing w:after="60"/>
        <w:ind w:left="440"/>
      </w:pPr>
      <w:r>
        <w:rPr>
          <w:rFonts w:ascii="Calibri" w:cs="Calibri" w:eastAsia="Calibri" w:hAnsi="Calibri"/>
          <w:sz w:val="20"/>
          <w:szCs w:val="20"/>
        </w:rPr>
        <w:t xml:space="preserve">3.5  Threats to Validity</w:t>
      </w:r>
      <w:r>
        <w:rPr>
          <w:rFonts w:ascii="Calibri" w:cs="Calibri" w:eastAsia="Calibri" w:hAnsi="Calibri"/>
          <w:sz w:val="20"/>
          <w:szCs w:val="20"/>
        </w:rPr>
        <w:ptab w:alignment="right" w:relativeTo="margin" w:leader="dot"/>
        <w:t xml:space="preserve">14</w:t>
      </w:r>
    </w:p>
    <w:p>
      <w:pPr>
        <w:spacing w:after="60"/>
        <w:ind w:left="440"/>
      </w:pPr>
      <w:r>
        <w:rPr>
          <w:rFonts w:ascii="Calibri" w:cs="Calibri" w:eastAsia="Calibri" w:hAnsi="Calibri"/>
          <w:sz w:val="20"/>
          <w:szCs w:val="20"/>
        </w:rPr>
        <w:t xml:space="preserve">3.6  Expected Failure Modes</w:t>
      </w:r>
      <w:r>
        <w:rPr>
          <w:rFonts w:ascii="Calibri" w:cs="Calibri" w:eastAsia="Calibri" w:hAnsi="Calibri"/>
          <w:sz w:val="20"/>
          <w:szCs w:val="20"/>
        </w:rPr>
        <w:ptab w:alignment="right" w:relativeTo="margin" w:leader="dot"/>
        <w:t xml:space="preserve">14</w:t>
      </w:r>
    </w:p>
    <w:p>
      <w:pPr>
        <w:spacing w:after="40"/>
      </w:pPr>
    </w:p>
    <w:p>
      <w:pPr>
        <w:spacing w:after="60"/>
      </w:pPr>
      <w:r>
        <w:rPr>
          <w:rFonts w:ascii="Calibri" w:cs="Calibri" w:eastAsia="Calibri" w:hAnsi="Calibri"/>
          <w:sz w:val="22"/>
          <w:szCs w:val="22"/>
        </w:rPr>
        <w:t xml:space="preserve">4.  System Architecture and Design</w:t>
      </w:r>
      <w:r>
        <w:rPr>
          <w:rFonts w:ascii="Calibri" w:cs="Calibri" w:eastAsia="Calibri" w:hAnsi="Calibri"/>
          <w:sz w:val="22"/>
          <w:szCs w:val="22"/>
        </w:rPr>
        <w:ptab w:alignment="right" w:relativeTo="margin" w:leader="dot"/>
        <w:t xml:space="preserve">16</w:t>
      </w:r>
    </w:p>
    <w:p>
      <w:pPr>
        <w:spacing w:after="60"/>
        <w:ind w:left="440"/>
      </w:pPr>
      <w:r>
        <w:rPr>
          <w:rFonts w:ascii="Calibri" w:cs="Calibri" w:eastAsia="Calibri" w:hAnsi="Calibri"/>
          <w:sz w:val="20"/>
          <w:szCs w:val="20"/>
        </w:rPr>
        <w:t xml:space="preserve">4.1  Design Philosophy</w:t>
      </w:r>
      <w:r>
        <w:rPr>
          <w:rFonts w:ascii="Calibri" w:cs="Calibri" w:eastAsia="Calibri" w:hAnsi="Calibri"/>
          <w:sz w:val="20"/>
          <w:szCs w:val="20"/>
        </w:rPr>
        <w:ptab w:alignment="right" w:relativeTo="margin" w:leader="dot"/>
        <w:t xml:space="preserve">16</w:t>
      </w:r>
    </w:p>
    <w:p>
      <w:pPr>
        <w:spacing w:after="60"/>
        <w:ind w:left="440"/>
      </w:pPr>
      <w:r>
        <w:rPr>
          <w:rFonts w:ascii="Calibri" w:cs="Calibri" w:eastAsia="Calibri" w:hAnsi="Calibri"/>
          <w:sz w:val="20"/>
          <w:szCs w:val="20"/>
        </w:rPr>
        <w:t xml:space="preserve">4.2  Shared Ingestion Layer</w:t>
      </w:r>
      <w:r>
        <w:rPr>
          <w:rFonts w:ascii="Calibri" w:cs="Calibri" w:eastAsia="Calibri" w:hAnsi="Calibri"/>
          <w:sz w:val="20"/>
          <w:szCs w:val="20"/>
        </w:rPr>
        <w:ptab w:alignment="right" w:relativeTo="margin" w:leader="dot"/>
        <w:t xml:space="preserve">16</w:t>
      </w:r>
    </w:p>
    <w:p>
      <w:pPr>
        <w:spacing w:after="60"/>
        <w:ind w:left="440"/>
      </w:pPr>
      <w:r>
        <w:rPr>
          <w:rFonts w:ascii="Calibri" w:cs="Calibri" w:eastAsia="Calibri" w:hAnsi="Calibri"/>
          <w:sz w:val="20"/>
          <w:szCs w:val="20"/>
        </w:rPr>
        <w:t xml:space="preserve">4.3  System 1 — FAISS Dense Retrieval (Baseline)</w:t>
      </w:r>
      <w:r>
        <w:rPr>
          <w:rFonts w:ascii="Calibri" w:cs="Calibri" w:eastAsia="Calibri" w:hAnsi="Calibri"/>
          <w:sz w:val="20"/>
          <w:szCs w:val="20"/>
        </w:rPr>
        <w:ptab w:alignment="right" w:relativeTo="margin" w:leader="dot"/>
        <w:t xml:space="preserve">17</w:t>
      </w:r>
    </w:p>
    <w:p>
      <w:pPr>
        <w:spacing w:after="60"/>
        <w:ind w:left="440"/>
      </w:pPr>
      <w:r>
        <w:rPr>
          <w:rFonts w:ascii="Calibri" w:cs="Calibri" w:eastAsia="Calibri" w:hAnsi="Calibri"/>
          <w:sz w:val="20"/>
          <w:szCs w:val="20"/>
        </w:rPr>
        <w:t xml:space="preserve">4.4  System 2 — BM25 Lexical Retrieval</w:t>
      </w:r>
      <w:r>
        <w:rPr>
          <w:rFonts w:ascii="Calibri" w:cs="Calibri" w:eastAsia="Calibri" w:hAnsi="Calibri"/>
          <w:sz w:val="20"/>
          <w:szCs w:val="20"/>
        </w:rPr>
        <w:ptab w:alignment="right" w:relativeTo="margin" w:leader="dot"/>
        <w:t xml:space="preserve">18</w:t>
      </w:r>
    </w:p>
    <w:p>
      <w:pPr>
        <w:spacing w:after="60"/>
        <w:ind w:left="440"/>
      </w:pPr>
      <w:r>
        <w:rPr>
          <w:rFonts w:ascii="Calibri" w:cs="Calibri" w:eastAsia="Calibri" w:hAnsi="Calibri"/>
          <w:sz w:val="20"/>
          <w:szCs w:val="20"/>
        </w:rPr>
        <w:t xml:space="preserve">4.5  System 3 — Graph RAG (NetworkX)</w:t>
      </w:r>
      <w:r>
        <w:rPr>
          <w:rFonts w:ascii="Calibri" w:cs="Calibri" w:eastAsia="Calibri" w:hAnsi="Calibri"/>
          <w:sz w:val="20"/>
          <w:szCs w:val="20"/>
        </w:rPr>
        <w:ptab w:alignment="right" w:relativeTo="margin" w:leader="dot"/>
        <w:t xml:space="preserve">19</w:t>
      </w:r>
    </w:p>
    <w:p>
      <w:pPr>
        <w:spacing w:after="60"/>
        <w:ind w:left="440"/>
      </w:pPr>
      <w:r>
        <w:rPr>
          <w:rFonts w:ascii="Calibri" w:cs="Calibri" w:eastAsia="Calibri" w:hAnsi="Calibri"/>
          <w:sz w:val="20"/>
          <w:szCs w:val="20"/>
        </w:rPr>
        <w:t xml:space="preserve">4.6  System 4 — Prompt-RAG</w:t>
      </w:r>
      <w:r>
        <w:rPr>
          <w:rFonts w:ascii="Calibri" w:cs="Calibri" w:eastAsia="Calibri" w:hAnsi="Calibri"/>
          <w:sz w:val="20"/>
          <w:szCs w:val="20"/>
        </w:rPr>
        <w:ptab w:alignment="right" w:relativeTo="margin" w:leader="dot"/>
        <w:t xml:space="preserve">21</w:t>
      </w:r>
    </w:p>
    <w:p>
      <w:pPr>
        <w:spacing w:after="60"/>
        <w:ind w:left="440"/>
      </w:pPr>
      <w:r>
        <w:rPr>
          <w:rFonts w:ascii="Calibri" w:cs="Calibri" w:eastAsia="Calibri" w:hAnsi="Calibri"/>
          <w:sz w:val="20"/>
          <w:szCs w:val="20"/>
        </w:rPr>
        <w:t xml:space="preserve">4.7  System 5 — Hybrid BM25 + GraphRAG (RRF)</w:t>
      </w:r>
      <w:r>
        <w:rPr>
          <w:rFonts w:ascii="Calibri" w:cs="Calibri" w:eastAsia="Calibri" w:hAnsi="Calibri"/>
          <w:sz w:val="20"/>
          <w:szCs w:val="20"/>
        </w:rPr>
        <w:ptab w:alignment="right" w:relativeTo="margin" w:leader="dot"/>
        <w:t xml:space="preserve">22</w:t>
      </w:r>
    </w:p>
    <w:p>
      <w:pPr>
        <w:spacing w:after="60"/>
        <w:ind w:left="440"/>
      </w:pPr>
      <w:r>
        <w:rPr>
          <w:rFonts w:ascii="Calibri" w:cs="Calibri" w:eastAsia="Calibri" w:hAnsi="Calibri"/>
          <w:sz w:val="20"/>
          <w:szCs w:val="20"/>
        </w:rPr>
        <w:t xml:space="preserve">4.8  System Comparison and Infrastructure Analysis</w:t>
      </w:r>
      <w:r>
        <w:rPr>
          <w:rFonts w:ascii="Calibri" w:cs="Calibri" w:eastAsia="Calibri" w:hAnsi="Calibri"/>
          <w:sz w:val="20"/>
          <w:szCs w:val="20"/>
        </w:rPr>
        <w:ptab w:alignment="right" w:relativeTo="margin" w:leader="dot"/>
        <w:t xml:space="preserve">23</w:t>
      </w:r>
    </w:p>
    <w:p>
      <w:pPr>
        <w:spacing w:after="60"/>
        <w:ind w:left="440"/>
      </w:pPr>
      <w:r>
        <w:rPr>
          <w:rFonts w:ascii="Calibri" w:cs="Calibri" w:eastAsia="Calibri" w:hAnsi="Calibri"/>
          <w:sz w:val="20"/>
          <w:szCs w:val="20"/>
        </w:rPr>
        <w:t xml:space="preserve">4.9  Comparative Dashboard</w:t>
      </w:r>
      <w:r>
        <w:rPr>
          <w:rFonts w:ascii="Calibri" w:cs="Calibri" w:eastAsia="Calibri" w:hAnsi="Calibri"/>
          <w:sz w:val="20"/>
          <w:szCs w:val="20"/>
        </w:rPr>
        <w:ptab w:alignment="right" w:relativeTo="margin" w:leader="dot"/>
        <w:t xml:space="preserve">24</w:t>
      </w:r>
    </w:p>
    <w:p>
      <w:pPr>
        <w:spacing w:after="100"/>
      </w:pPr>
    </w:p>
    <w:p>
      <w:pPr>
        <w:spacing w:after="60" w:before="0"/>
        <w:jc w:val="both"/>
      </w:pPr>
      <w:r>
        <w:rPr>
          <w:rFonts w:ascii="Calibri" w:cs="Calibri" w:eastAsia="Calibri" w:hAnsi="Calibri"/>
          <w:b/>
          <w:bCs/>
          <w:color w:val="1A1A1A"/>
          <w:sz w:val="22"/>
          <w:szCs w:val="22"/>
        </w:rPr>
        <w:t xml:space="preserve">List of Figures</w:t>
      </w:r>
    </w:p>
    <w:p>
      <w:pPr>
        <w:spacing w:after="60"/>
      </w:pPr>
      <w:r>
        <w:rPr>
          <w:rFonts w:ascii="Calibri" w:cs="Calibri" w:eastAsia="Calibri" w:hAnsi="Calibri"/>
          <w:sz w:val="22"/>
          <w:szCs w:val="22"/>
        </w:rPr>
        <w:t xml:space="preserve">Figure 1:  Five-System Experimental Architecture</w:t>
      </w:r>
      <w:r>
        <w:rPr>
          <w:rFonts w:ascii="Calibri" w:cs="Calibri" w:eastAsia="Calibri" w:hAnsi="Calibri"/>
          <w:sz w:val="22"/>
          <w:szCs w:val="22"/>
        </w:rPr>
        <w:ptab w:alignment="right" w:relativeTo="margin" w:leader="dot"/>
        <w:t xml:space="preserve">16</w:t>
      </w:r>
    </w:p>
    <w:p>
      <w:pPr>
        <w:spacing w:after="60"/>
      </w:pPr>
      <w:r>
        <w:rPr>
          <w:rFonts w:ascii="Calibri" w:cs="Calibri" w:eastAsia="Calibri" w:hAnsi="Calibri"/>
          <w:sz w:val="22"/>
          <w:szCs w:val="22"/>
        </w:rPr>
        <w:t xml:space="preserve">Figure 2:  Graph Structure for PM-KISAN Entity Neighbourhood</w:t>
      </w:r>
      <w:r>
        <w:rPr>
          <w:rFonts w:ascii="Calibri" w:cs="Calibri" w:eastAsia="Calibri" w:hAnsi="Calibri"/>
          <w:sz w:val="22"/>
          <w:szCs w:val="22"/>
        </w:rPr>
        <w:ptab w:alignment="right" w:relativeTo="margin" w:leader="dot"/>
        <w:t xml:space="preserve">20</w:t>
      </w:r>
    </w:p>
    <w:p>
      <w:pPr>
        <w:spacing w:after="60"/>
      </w:pPr>
      <w:r>
        <w:rPr>
          <w:rFonts w:ascii="Calibri" w:cs="Calibri" w:eastAsia="Calibri" w:hAnsi="Calibri"/>
          <w:sz w:val="22"/>
          <w:szCs w:val="22"/>
        </w:rPr>
        <w:t xml:space="preserve">Figure 3:  Hybrid RRF Fusion Mechanism</w:t>
      </w:r>
      <w:r>
        <w:rPr>
          <w:rFonts w:ascii="Calibri" w:cs="Calibri" w:eastAsia="Calibri" w:hAnsi="Calibri"/>
          <w:sz w:val="22"/>
          <w:szCs w:val="22"/>
        </w:rPr>
        <w:ptab w:alignment="right" w:relativeTo="margin" w:leader="dot"/>
        <w:t xml:space="preserve">22</w:t>
      </w:r>
    </w:p>
    <w:p>
      <w:pPr>
        <w:spacing w:after="60"/>
      </w:pPr>
      <w:r>
        <w:rPr>
          <w:rFonts w:ascii="Calibri" w:cs="Calibri" w:eastAsia="Calibri" w:hAnsi="Calibri"/>
          <w:sz w:val="22"/>
          <w:szCs w:val="22"/>
        </w:rPr>
        <w:t xml:space="preserve">Figure 4:  Comparative Dashboard Layout</w:t>
      </w:r>
      <w:r>
        <w:rPr>
          <w:rFonts w:ascii="Calibri" w:cs="Calibri" w:eastAsia="Calibri" w:hAnsi="Calibri"/>
          <w:sz w:val="22"/>
          <w:szCs w:val="22"/>
        </w:rPr>
        <w:ptab w:alignment="right" w:relativeTo="margin" w:leader="dot"/>
        <w:t xml:space="preserve">24</w:t>
      </w:r>
    </w:p>
    <w:p>
      <w:pPr>
        <w:spacing w:after="60"/>
      </w:pPr>
      <w:r>
        <w:rPr>
          <w:rFonts w:ascii="Calibri" w:cs="Calibri" w:eastAsia="Calibri" w:hAnsi="Calibri"/>
          <w:sz w:val="22"/>
          <w:szCs w:val="22"/>
        </w:rPr>
        <w:t xml:space="preserve">Figure 5:  Expected Performance Profile by Query Category</w:t>
      </w:r>
      <w:r>
        <w:rPr>
          <w:rFonts w:ascii="Calibri" w:cs="Calibri" w:eastAsia="Calibri" w:hAnsi="Calibri"/>
          <w:sz w:val="22"/>
          <w:szCs w:val="22"/>
        </w:rPr>
        <w:ptab w:alignment="right" w:relativeTo="margin" w:leader="dot"/>
        <w:t xml:space="preserve">12</w:t>
      </w:r>
    </w:p>
    <w:p>
      <w:pPr>
        <w:spacing w:after="60"/>
      </w:pPr>
      <w:r>
        <w:rPr>
          <w:rFonts w:ascii="Calibri" w:cs="Calibri" w:eastAsia="Calibri" w:hAnsi="Calibri"/>
          <w:sz w:val="22"/>
          <w:szCs w:val="22"/>
        </w:rPr>
        <w:t xml:space="preserve">Figure 6:  Retrieval Strategy Selection Framework</w:t>
      </w:r>
      <w:r>
        <w:rPr>
          <w:rFonts w:ascii="Calibri" w:cs="Calibri" w:eastAsia="Calibri" w:hAnsi="Calibri"/>
          <w:sz w:val="22"/>
          <w:szCs w:val="22"/>
        </w:rPr>
        <w:ptab w:alignment="right" w:relativeTo="margin" w:leader="dot"/>
        <w:t xml:space="preserve">13</w:t>
      </w:r>
    </w:p>
    <w:p>
      <w:pPr>
        <w:spacing w:after="60"/>
      </w:pPr>
    </w:p>
    <w:p>
      <w:pPr>
        <w:spacing w:after="60" w:before="0"/>
        <w:jc w:val="both"/>
      </w:pPr>
      <w:r>
        <w:rPr>
          <w:rFonts w:ascii="Calibri" w:cs="Calibri" w:eastAsia="Calibri" w:hAnsi="Calibri"/>
          <w:b/>
          <w:bCs/>
          <w:color w:val="1A1A1A"/>
          <w:sz w:val="22"/>
          <w:szCs w:val="22"/>
        </w:rPr>
        <w:t xml:space="preserve">List of Tables</w:t>
      </w:r>
    </w:p>
    <w:p>
      <w:pPr>
        <w:spacing w:after="60"/>
      </w:pPr>
      <w:r>
        <w:rPr>
          <w:rFonts w:ascii="Calibri" w:cs="Calibri" w:eastAsia="Calibri" w:hAnsi="Calibri"/>
          <w:sz w:val="22"/>
          <w:szCs w:val="22"/>
        </w:rPr>
        <w:t xml:space="preserve">Table 2.1:  Literature Synthesis — Coverage Across Research Dimensions</w:t>
      </w:r>
      <w:r>
        <w:rPr>
          <w:rFonts w:ascii="Calibri" w:cs="Calibri" w:eastAsia="Calibri" w:hAnsi="Calibri"/>
          <w:sz w:val="22"/>
          <w:szCs w:val="22"/>
        </w:rPr>
        <w:ptab w:alignment="right" w:relativeTo="margin" w:leader="dot"/>
        <w:t xml:space="preserve">10</w:t>
      </w:r>
    </w:p>
    <w:p>
      <w:pPr>
        <w:spacing w:after="60"/>
      </w:pPr>
      <w:r>
        <w:rPr>
          <w:rFonts w:ascii="Calibri" w:cs="Calibri" w:eastAsia="Calibri" w:hAnsi="Calibri"/>
          <w:sz w:val="22"/>
          <w:szCs w:val="22"/>
        </w:rPr>
        <w:t xml:space="preserve">Table 3.1:  Query Categorisation Framework</w:t>
      </w:r>
      <w:r>
        <w:rPr>
          <w:rFonts w:ascii="Calibri" w:cs="Calibri" w:eastAsia="Calibri" w:hAnsi="Calibri"/>
          <w:sz w:val="22"/>
          <w:szCs w:val="22"/>
        </w:rPr>
        <w:ptab w:alignment="right" w:relativeTo="margin" w:leader="dot"/>
        <w:t xml:space="preserve">12</w:t>
      </w:r>
    </w:p>
    <w:p>
      <w:pPr>
        <w:spacing w:after="60"/>
      </w:pPr>
      <w:r>
        <w:rPr>
          <w:rFonts w:ascii="Calibri" w:cs="Calibri" w:eastAsia="Calibri" w:hAnsi="Calibri"/>
          <w:sz w:val="22"/>
          <w:szCs w:val="22"/>
        </w:rPr>
        <w:t xml:space="preserve">Table 4.1:  System Infrastructure and Capability Comparison</w:t>
      </w:r>
      <w:r>
        <w:rPr>
          <w:rFonts w:ascii="Calibri" w:cs="Calibri" w:eastAsia="Calibri" w:hAnsi="Calibri"/>
          <w:sz w:val="22"/>
          <w:szCs w:val="22"/>
        </w:rPr>
        <w:ptab w:alignment="right" w:relativeTo="margin" w:leader="dot"/>
        <w:t xml:space="preserve">23</w:t>
      </w:r>
    </w:p>
    <w:p>
      <w:r>
        <w:br w:type="page"/>
      </w:r>
    </w:p>
    <w:p>
      <w:pPr>
        <w:pStyle w:val="Heading1"/>
        <w:pBdr>
          <w:bottom w:val="single" w:color="2E5FA3" w:sz="6" w:space="4"/>
        </w:pBdr>
        <w:spacing w:after="160" w:before="400"/>
      </w:pPr>
      <w:r>
        <w:rPr>
          <w:rFonts w:ascii="Calibri" w:cs="Calibri" w:eastAsia="Calibri" w:hAnsi="Calibri"/>
          <w:b/>
          <w:bCs/>
          <w:color w:val="1F3864"/>
          <w:sz w:val="32"/>
          <w:szCs w:val="32"/>
        </w:rPr>
        <w:t xml:space="preserve">1.  Introduction</w:t>
      </w:r>
    </w:p>
    <w:p>
      <w:pPr>
        <w:pStyle w:val="Heading2"/>
        <w:spacing w:after="120" w:before="300"/>
      </w:pPr>
      <w:r>
        <w:rPr>
          <w:rFonts w:ascii="Calibri" w:cs="Calibri" w:eastAsia="Calibri" w:hAnsi="Calibri"/>
          <w:b/>
          <w:bCs/>
          <w:color w:val="2E5FA3"/>
          <w:sz w:val="26"/>
          <w:szCs w:val="26"/>
        </w:rPr>
        <w:t xml:space="preserve">1.1  The Problem With the Default</w:t>
      </w:r>
    </w:p>
    <w:p>
      <w:pPr>
        <w:spacing w:after="160" w:before="0"/>
        <w:jc w:val="both"/>
      </w:pPr>
      <w:r>
        <w:rPr>
          <w:rFonts w:ascii="Calibri" w:cs="Calibri" w:eastAsia="Calibri" w:hAnsi="Calibri"/>
          <w:b w:val="false"/>
          <w:bCs w:val="false"/>
          <w:color w:val="1A1A1A"/>
          <w:sz w:val="22"/>
          <w:szCs w:val="22"/>
        </w:rPr>
        <w:t xml:space="preserve">Anyone who has built a knowledge-based system in the past three years has probably reached for dense vector search without much deliberation. The reasoning is familiar: embedding models are accessible through HuggingFace, FAISS is well-documented, retrieval accuracy on standard benchmarks looks strong, and the whole stack can be assembled over a weekend using LangChain. Dense retrieval has become, in practical terms, the assumed retrieval layer for RAG systems — the thing you do unless you have a specific reason not to.</w:t>
      </w:r>
    </w:p>
    <w:p>
      <w:pPr>
        <w:spacing w:after="160" w:before="0"/>
        <w:jc w:val="both"/>
      </w:pPr>
      <w:r>
        <w:rPr>
          <w:rFonts w:ascii="Calibri" w:cs="Calibri" w:eastAsia="Calibri" w:hAnsi="Calibri"/>
          <w:b w:val="false"/>
          <w:bCs w:val="false"/>
          <w:color w:val="1A1A1A"/>
          <w:sz w:val="22"/>
          <w:szCs w:val="22"/>
        </w:rPr>
        <w:t xml:space="preserve">That assumption deserves scrutiny. Not because dense retrieval is wrong, but because defaults that accumulate without examination tend to outlast the conditions that originally justified them. Dense retrieval was validated primarily on open-domain QA tasks — Natural Questions, TriviaQA, MS-MARCO — where queries are phrased by web users who may or may not share vocabulary with the target document. In those settings, semantic matching genuinely helps. What is less clear is whether it helps equally when the corpus is domain-specific, the queries involve precise terminology, and answers require traversing relationships between named entities rather than finding the single most similar passage.</w:t>
      </w:r>
    </w:p>
    <w:p>
      <w:pPr>
        <w:spacing w:after="160" w:before="0"/>
        <w:jc w:val="both"/>
      </w:pPr>
      <w:r>
        <w:rPr>
          <w:rFonts w:ascii="Calibri" w:cs="Calibri" w:eastAsia="Calibri" w:hAnsi="Calibri"/>
          <w:b w:val="false"/>
          <w:bCs w:val="false"/>
          <w:color w:val="1A1A1A"/>
          <w:sz w:val="22"/>
          <w:szCs w:val="22"/>
        </w:rPr>
        <w:t xml:space="preserve">This dissertation is about that gap. It builds five retrieval systems — FAISS-based dense retrieval, BM25 lexical retrieval, Graph RAG using NetworkX, Prompt-driven RAG, and a Hybrid BM25 + GraphRAG system — and runs them against each other on the same corpus, the same questions, and the same evaluation framework. The goal is not to declare a winner. The goal is to find out under what conditions each retrieval paradigm earns its place, and what it costs when you pick the wrong one.</w:t>
      </w:r>
    </w:p>
    <w:p>
      <w:pPr>
        <w:pStyle w:val="Heading2"/>
        <w:spacing w:after="120" w:before="300"/>
      </w:pPr>
      <w:r>
        <w:rPr>
          <w:rFonts w:ascii="Calibri" w:cs="Calibri" w:eastAsia="Calibri" w:hAnsi="Calibri"/>
          <w:b/>
          <w:bCs/>
          <w:color w:val="2E5FA3"/>
          <w:sz w:val="26"/>
          <w:szCs w:val="26"/>
        </w:rPr>
        <w:t xml:space="preserve">1.2  Why This Question Has Practical Consequences</w:t>
      </w:r>
    </w:p>
    <w:p>
      <w:pPr>
        <w:spacing w:after="160" w:before="0"/>
        <w:jc w:val="both"/>
      </w:pPr>
      <w:r>
        <w:rPr>
          <w:rFonts w:ascii="Calibri" w:cs="Calibri" w:eastAsia="Calibri" w:hAnsi="Calibri"/>
          <w:b w:val="false"/>
          <w:bCs w:val="false"/>
          <w:color w:val="1A1A1A"/>
          <w:sz w:val="22"/>
          <w:szCs w:val="22"/>
        </w:rPr>
        <w:t xml:space="preserve">The deployment consequences of retrieval strategy choice are real and underappreciated. A FAISS-based system requires: an embedding model running at inference time (typically 90–500MB of model weights), a 5–15x latency penalty on CPU-only infrastructure compared to GPU, an index rebuild whenever the corpus changes, and a hidden dependency on the embedding model's training distribution — if domain vocabulary was underrepresented in training data, retrieval degrades silently without any obvious error signal.</w:t>
      </w:r>
    </w:p>
    <w:p>
      <w:pPr>
        <w:spacing w:after="160" w:before="0"/>
        <w:jc w:val="both"/>
      </w:pPr>
      <w:r>
        <w:rPr>
          <w:rFonts w:ascii="Calibri" w:cs="Calibri" w:eastAsia="Calibri" w:hAnsi="Calibri"/>
          <w:b w:val="false"/>
          <w:bCs w:val="false"/>
          <w:color w:val="1A1A1A"/>
          <w:sz w:val="22"/>
          <w:szCs w:val="22"/>
        </w:rPr>
        <w:t xml:space="preserve">For a research lab with GPU infrastructure and a static corpus, these costs are manageable. For a government portal serving welfare scheme eligibility queries at scale, running on cloud infrastructure where GPU compute is billed per second, the calculus is different. BM25 runs on a single CPU thread, needs no model weights, and builds its index in seconds from raw text. If it achieves comparable retrieval quality on the queries that actually matter — exact eligibility lookups, scheme name queries, benefit amount questions — then the infrastructure cost of dense retrieval is not just unnecessary. It is wasteful.</w:t>
      </w:r>
    </w:p>
    <w:p>
      <w:pPr>
        <w:spacing w:after="160" w:before="0"/>
        <w:jc w:val="both"/>
      </w:pPr>
      <w:r>
        <w:rPr>
          <w:rFonts w:ascii="Calibri" w:cs="Calibri" w:eastAsia="Calibri" w:hAnsi="Calibri"/>
          <w:b w:val="false"/>
          <w:bCs w:val="false"/>
          <w:color w:val="1A1A1A"/>
          <w:sz w:val="22"/>
          <w:szCs w:val="22"/>
        </w:rPr>
        <w:t xml:space="preserve">Graph-based retrieval introduces a different trade-off. It requires offline graph construction but at query time can surface multi-hop relational evidence that neither BM25 nor FAISS can reliably find. A query asking which schemes provide direct benefit transfer to farmers in drought-prone districts below a specific income threshold requires traversing scheme → eligibility condition → geographic category → income threshold — a chain rarely appearing in a single passage. A graph traversal follows it; a vector similarity search returns the most similar-sounding chunk, which may or may not contain the full answer.</w:t>
      </w:r>
    </w:p>
    <w:p>
      <w:pPr>
        <w:pStyle w:val="Heading2"/>
        <w:spacing w:after="120" w:before="300"/>
      </w:pPr>
      <w:r>
        <w:rPr>
          <w:rFonts w:ascii="Calibri" w:cs="Calibri" w:eastAsia="Calibri" w:hAnsi="Calibri"/>
          <w:b/>
          <w:bCs/>
          <w:color w:val="2E5FA3"/>
          <w:sz w:val="26"/>
          <w:szCs w:val="26"/>
        </w:rPr>
        <w:t xml:space="preserve">1.3  The Research Gap</w:t>
      </w:r>
    </w:p>
    <w:p>
      <w:pPr>
        <w:spacing w:after="160" w:before="0"/>
        <w:jc w:val="both"/>
      </w:pPr>
      <w:r>
        <w:rPr>
          <w:rFonts w:ascii="Calibri" w:cs="Calibri" w:eastAsia="Calibri" w:hAnsi="Calibri"/>
          <w:b w:val="false"/>
          <w:bCs w:val="false"/>
          <w:color w:val="1A1A1A"/>
          <w:sz w:val="22"/>
          <w:szCs w:val="22"/>
        </w:rPr>
        <w:t xml:space="preserve">The RAG literature has grown quickly and seriously. Individual retrieval paradigms — BM25, dense passage retrieval, GraphRAG, hybrid fusion — have each been studied in depth. But reading across them carefully, a structural pattern emerges: each paper evaluates on conditions that favour its approach. GraphRAG evaluates on global sensemaking queries over large corpora. Blended RAG evaluates on Natural Questions, where vocabulary mismatch is common. BM25 evaluation papers choose terminology-heavy benchmarks. Each approach looks good in the conditions that motivated it.</w:t>
      </w:r>
    </w:p>
    <w:p>
      <w:pPr>
        <w:spacing w:after="160" w:before="0"/>
        <w:jc w:val="both"/>
      </w:pPr>
      <w:r>
        <w:rPr>
          <w:rFonts w:ascii="Calibri" w:cs="Calibri" w:eastAsia="Calibri" w:hAnsi="Calibri"/>
          <w:b w:val="false"/>
          <w:bCs w:val="false"/>
          <w:color w:val="1A1A1A"/>
          <w:sz w:val="22"/>
          <w:szCs w:val="22"/>
        </w:rPr>
        <w:t xml:space="preserve">Four gaps survive a careful reading of the literature:</w:t>
      </w:r>
    </w:p>
    <w:p>
      <w:pPr>
        <w:pStyle w:val="ListParagraph"/>
        <w:numPr>
          <w:ilvl w:val="0"/>
          <w:numId w:val="2"/>
        </w:numPr>
        <w:spacing w:after="80"/>
      </w:pPr>
      <w:r>
        <w:rPr>
          <w:rFonts w:ascii="Calibri" w:cs="Calibri" w:eastAsia="Calibri" w:hAnsi="Calibri"/>
          <w:color w:val="1A1A1A"/>
          <w:sz w:val="22"/>
          <w:szCs w:val="22"/>
        </w:rPr>
        <w:t xml:space="preserve">Dense, sparse, graph-based, and hybrid retrieval have been studied under different datasets, different query distributions, and different evaluation protocols. No study puts all five paradigms inside one shared RAG pipeline on the same corpus.</w:t>
      </w:r>
    </w:p>
    <w:p>
      <w:pPr>
        <w:pStyle w:val="ListParagraph"/>
        <w:numPr>
          <w:ilvl w:val="0"/>
          <w:numId w:val="2"/>
        </w:numPr>
        <w:spacing w:after="80"/>
      </w:pPr>
      <w:r>
        <w:rPr>
          <w:rFonts w:ascii="Calibri" w:cs="Calibri" w:eastAsia="Calibri" w:hAnsi="Calibri"/>
          <w:color w:val="1A1A1A"/>
          <w:sz w:val="22"/>
          <w:szCs w:val="22"/>
        </w:rPr>
        <w:t xml:space="preserve">Most RAG studies conflate retrieval quality with generation quality. Final answer scores are reported without separating whether the retriever or the generator was responsible for failure.</w:t>
      </w:r>
    </w:p>
    <w:p>
      <w:pPr>
        <w:pStyle w:val="ListParagraph"/>
        <w:numPr>
          <w:ilvl w:val="0"/>
          <w:numId w:val="2"/>
        </w:numPr>
        <w:spacing w:after="80"/>
      </w:pPr>
      <w:r>
        <w:rPr>
          <w:rFonts w:ascii="Calibri" w:cs="Calibri" w:eastAsia="Calibri" w:hAnsi="Calibri"/>
          <w:color w:val="1A1A1A"/>
          <w:sz w:val="22"/>
          <w:szCs w:val="22"/>
        </w:rPr>
        <w:t xml:space="preserve">Query-type stratification is almost never reported. Aggregate MRR across a mixed question set obscures the fact that BM25 may dominate on exact lookup while GraphRAG dominates on multi-hop queries.</w:t>
      </w:r>
    </w:p>
    <w:p>
      <w:pPr>
        <w:pStyle w:val="ListParagraph"/>
        <w:numPr>
          <w:ilvl w:val="0"/>
          <w:numId w:val="2"/>
        </w:numPr>
        <w:spacing w:after="80"/>
      </w:pPr>
      <w:r>
        <w:rPr>
          <w:rFonts w:ascii="Calibri" w:cs="Calibri" w:eastAsia="Calibri" w:hAnsi="Calibri"/>
          <w:color w:val="1A1A1A"/>
          <w:sz w:val="22"/>
          <w:szCs w:val="22"/>
        </w:rPr>
        <w:t xml:space="preserve">Practical deployment considerations — infrastructure cost, explainability, index maintenance, latency — are treated as secondary concerns, if they appear at all.</w:t>
      </w:r>
    </w:p>
    <w:p>
      <w:pPr>
        <w:spacing w:after="80"/>
      </w:pPr>
    </w:p>
    <w:p>
      <w:pPr>
        <w:spacing w:after="160" w:before="0"/>
        <w:jc w:val="both"/>
      </w:pPr>
      <w:r>
        <w:rPr>
          <w:rFonts w:ascii="Calibri" w:cs="Calibri" w:eastAsia="Calibri" w:hAnsi="Calibri"/>
          <w:b w:val="false"/>
          <w:bCs w:val="false"/>
          <w:color w:val="1A1A1A"/>
          <w:sz w:val="22"/>
          <w:szCs w:val="22"/>
        </w:rPr>
        <w:t xml:space="preserve">This dissertation addresses all four gaps through a single controlled empirical study.</w:t>
      </w:r>
    </w:p>
    <w:p>
      <w:pPr>
        <w:pStyle w:val="Heading2"/>
        <w:spacing w:after="120" w:before="300"/>
      </w:pPr>
      <w:r>
        <w:rPr>
          <w:rFonts w:ascii="Calibri" w:cs="Calibri" w:eastAsia="Calibri" w:hAnsi="Calibri"/>
          <w:b/>
          <w:bCs/>
          <w:color w:val="2E5FA3"/>
          <w:sz w:val="26"/>
          <w:szCs w:val="26"/>
        </w:rPr>
        <w:t xml:space="preserve">1.4  The Novel Contribution</w:t>
      </w:r>
    </w:p>
    <w:p>
      <w:pPr>
        <w:spacing w:after="160" w:before="0"/>
        <w:jc w:val="both"/>
      </w:pPr>
      <w:r>
        <w:rPr>
          <w:rFonts w:ascii="Calibri" w:cs="Calibri" w:eastAsia="Calibri" w:hAnsi="Calibri"/>
          <w:b w:val="false"/>
          <w:bCs w:val="false"/>
          <w:color w:val="1A1A1A"/>
          <w:sz w:val="22"/>
          <w:szCs w:val="22"/>
        </w:rPr>
        <w:t xml:space="preserve">This work makes four contributions distinct from what exists in the prior literature.</w:t>
      </w:r>
    </w:p>
    <w:p>
      <w:pPr>
        <w:spacing w:after="60"/>
      </w:pPr>
    </w:p>
    <w:p>
      <w:pPr>
        <w:spacing w:after="160" w:before="0"/>
        <w:jc w:val="both"/>
      </w:pPr>
      <w:r>
        <w:rPr>
          <w:rFonts w:ascii="Calibri" w:cs="Calibri" w:eastAsia="Calibri" w:hAnsi="Calibri"/>
          <w:b/>
          <w:bCs/>
          <w:color w:val="1A1A1A"/>
          <w:sz w:val="22"/>
          <w:szCs w:val="22"/>
        </w:rPr>
        <w:t xml:space="preserve">Contribution 1: Controlled five-system comparison within a shared RAG framework. </w:t>
      </w:r>
      <w:r>
        <w:rPr>
          <w:rFonts w:ascii="Calibri" w:cs="Calibri" w:eastAsia="Calibri" w:hAnsi="Calibri"/>
          <w:color w:val="1A1A1A"/>
          <w:sz w:val="22"/>
          <w:szCs w:val="22"/>
        </w:rPr>
        <w:t xml:space="preserve">All five retrieval pipelines share the same ingestion layer, the same chunking parameters, the same LLM generator, and the same evaluation harness. The only variable is how retrieval is performed. This is the first study, to the best of the author's knowledge, that includes all five paradigms — dense, sparse, graph-based, prompt-mediated, and hybrid — in a single controlled experiment.</w:t>
      </w:r>
    </w:p>
    <w:p>
      <w:pPr>
        <w:spacing w:after="160" w:before="0"/>
        <w:jc w:val="both"/>
      </w:pPr>
      <w:r>
        <w:rPr>
          <w:rFonts w:ascii="Calibri" w:cs="Calibri" w:eastAsia="Calibri" w:hAnsi="Calibri"/>
          <w:b/>
          <w:bCs/>
          <w:color w:val="1A1A1A"/>
          <w:sz w:val="22"/>
          <w:szCs w:val="22"/>
        </w:rPr>
        <w:t xml:space="preserve">Contribution 2: Query-type stratified evaluation. </w:t>
      </w:r>
      <w:r>
        <w:rPr>
          <w:rFonts w:ascii="Calibri" w:cs="Calibri" w:eastAsia="Calibri" w:hAnsi="Calibri"/>
          <w:color w:val="1A1A1A"/>
          <w:sz w:val="22"/>
          <w:szCs w:val="22"/>
        </w:rPr>
        <w:t xml:space="preserve">The ground-truth QA dataset is stratified into six query categories enabling per-category analysis. This moves the analysis from 'which system is best on average' to 'which system is best for which kind of question' — a more useful frame for practitioners.</w:t>
      </w:r>
    </w:p>
    <w:p>
      <w:pPr>
        <w:spacing w:after="160" w:before="0"/>
        <w:jc w:val="both"/>
      </w:pPr>
      <w:r>
        <w:rPr>
          <w:rFonts w:ascii="Calibri" w:cs="Calibri" w:eastAsia="Calibri" w:hAnsi="Calibri"/>
          <w:b/>
          <w:bCs/>
          <w:color w:val="1A1A1A"/>
          <w:sz w:val="22"/>
          <w:szCs w:val="22"/>
        </w:rPr>
        <w:t xml:space="preserve">Contribution 3: Retrieval Strategy Selection Framework. </w:t>
      </w:r>
      <w:r>
        <w:rPr>
          <w:rFonts w:ascii="Calibri" w:cs="Calibri" w:eastAsia="Calibri" w:hAnsi="Calibri"/>
          <w:color w:val="1A1A1A"/>
          <w:sz w:val="22"/>
          <w:szCs w:val="22"/>
        </w:rPr>
        <w:t xml:space="preserve">The dissertation produces a structured decision framework mapping query type distribution, corpus structure, infrastructure constraints, and explainability requirements to retrieval strategy recommendations, grounded in empirical results.</w:t>
      </w:r>
    </w:p>
    <w:p>
      <w:pPr>
        <w:spacing w:after="160" w:before="0"/>
        <w:jc w:val="both"/>
      </w:pPr>
      <w:r>
        <w:rPr>
          <w:rFonts w:ascii="Calibri" w:cs="Calibri" w:eastAsia="Calibri" w:hAnsi="Calibri"/>
          <w:b/>
          <w:bCs/>
          <w:color w:val="1A1A1A"/>
          <w:sz w:val="22"/>
          <w:szCs w:val="22"/>
        </w:rPr>
        <w:t xml:space="preserve">Contribution 4: Domain-specific evaluation on Indian government welfare schemes. </w:t>
      </w:r>
      <w:r>
        <w:rPr>
          <w:rFonts w:ascii="Calibri" w:cs="Calibri" w:eastAsia="Calibri" w:hAnsi="Calibri"/>
          <w:color w:val="1A1A1A"/>
          <w:sz w:val="22"/>
          <w:szCs w:val="22"/>
        </w:rPr>
        <w:t xml:space="preserve">The government welfare schemes domain is underrepresented in the RAG evaluation literature. This dissertation produces a reusable QA benchmark for this domain alongside empirical results, making it a citable contribution for future work on government service AI applications in India.</w:t>
      </w:r>
    </w:p>
    <w:p>
      <w:pPr>
        <w:pStyle w:val="Heading2"/>
        <w:spacing w:after="120" w:before="300"/>
      </w:pPr>
      <w:r>
        <w:rPr>
          <w:rFonts w:ascii="Calibri" w:cs="Calibri" w:eastAsia="Calibri" w:hAnsi="Calibri"/>
          <w:b/>
          <w:bCs/>
          <w:color w:val="2E5FA3"/>
          <w:sz w:val="26"/>
          <w:szCs w:val="26"/>
        </w:rPr>
        <w:t xml:space="preserve">1.5  Research Questions</w:t>
      </w:r>
    </w:p>
    <w:p>
      <w:pPr>
        <w:spacing w:after="160" w:before="0"/>
        <w:jc w:val="both"/>
      </w:pPr>
      <w:r>
        <w:rPr>
          <w:rFonts w:ascii="Calibri" w:cs="Calibri" w:eastAsia="Calibri" w:hAnsi="Calibri"/>
          <w:b w:val="false"/>
          <w:bCs w:val="false"/>
          <w:color w:val="1A1A1A"/>
          <w:sz w:val="22"/>
          <w:szCs w:val="22"/>
        </w:rPr>
        <w:t xml:space="preserve">Five research questions structure the experimental design:</w:t>
      </w:r>
    </w:p>
    <w:p>
      <w:pPr>
        <w:spacing w:after="60"/>
      </w:pPr>
    </w:p>
    <w:p>
      <w:pPr>
        <w:spacing w:after="160" w:before="0"/>
        <w:jc w:val="both"/>
      </w:pPr>
      <w:r>
        <w:rPr>
          <w:rFonts w:ascii="Calibri" w:cs="Calibri" w:eastAsia="Calibri" w:hAnsi="Calibri"/>
          <w:b/>
          <w:bCs/>
          <w:color w:val="1A1A1A"/>
          <w:sz w:val="22"/>
          <w:szCs w:val="22"/>
        </w:rPr>
        <w:t xml:space="preserve">RQ1.  </w:t>
      </w:r>
      <w:r>
        <w:rPr>
          <w:rFonts w:ascii="Calibri" w:cs="Calibri" w:eastAsia="Calibri" w:hAnsi="Calibri"/>
          <w:color w:val="1A1A1A"/>
          <w:sz w:val="22"/>
          <w:szCs w:val="22"/>
        </w:rPr>
        <w:t xml:space="preserve">Under what query types can BM25 perform competitively with FAISS-based dense retrieval inside an end-to-end RAG pipeline on a domain-specific corpus of Indian government welfare schemes?</w:t>
      </w:r>
    </w:p>
    <w:p>
      <w:pPr>
        <w:spacing w:after="160" w:before="0"/>
        <w:jc w:val="both"/>
      </w:pPr>
      <w:r>
        <w:rPr>
          <w:rFonts w:ascii="Calibri" w:cs="Calibri" w:eastAsia="Calibri" w:hAnsi="Calibri"/>
          <w:b/>
          <w:bCs/>
          <w:color w:val="1A1A1A"/>
          <w:sz w:val="22"/>
          <w:szCs w:val="22"/>
        </w:rPr>
        <w:t xml:space="preserve">RQ2.  </w:t>
      </w:r>
      <w:r>
        <w:rPr>
          <w:rFonts w:ascii="Calibri" w:cs="Calibri" w:eastAsia="Calibri" w:hAnsi="Calibri"/>
          <w:color w:val="1A1A1A"/>
          <w:sz w:val="22"/>
          <w:szCs w:val="22"/>
        </w:rPr>
        <w:t xml:space="preserve">For which question categories does Graph RAG using NetworkX provide a measurable improvement over lexical and dense retrieval, and how does graph construction quality moderate this advantage?</w:t>
      </w:r>
    </w:p>
    <w:p>
      <w:pPr>
        <w:spacing w:after="160" w:before="0"/>
        <w:jc w:val="both"/>
      </w:pPr>
      <w:r>
        <w:rPr>
          <w:rFonts w:ascii="Calibri" w:cs="Calibri" w:eastAsia="Calibri" w:hAnsi="Calibri"/>
          <w:b/>
          <w:bCs/>
          <w:color w:val="1A1A1A"/>
          <w:sz w:val="22"/>
          <w:szCs w:val="22"/>
        </w:rPr>
        <w:t xml:space="preserve">RQ3.  </w:t>
      </w:r>
      <w:r>
        <w:rPr>
          <w:rFonts w:ascii="Calibri" w:cs="Calibri" w:eastAsia="Calibri" w:hAnsi="Calibri"/>
          <w:color w:val="1A1A1A"/>
          <w:sz w:val="22"/>
          <w:szCs w:val="22"/>
        </w:rPr>
        <w:t xml:space="preserve">Does a Hybrid BM25 + GraphRAG system using Reciprocal Rank Fusion improve retrieval robustness and end-to-end answer quality compared to either constituent system in isolation?</w:t>
      </w:r>
    </w:p>
    <w:p>
      <w:pPr>
        <w:spacing w:after="160" w:before="0"/>
        <w:jc w:val="both"/>
      </w:pPr>
      <w:r>
        <w:rPr>
          <w:rFonts w:ascii="Calibri" w:cs="Calibri" w:eastAsia="Calibri" w:hAnsi="Calibri"/>
          <w:b/>
          <w:bCs/>
          <w:color w:val="1A1A1A"/>
          <w:sz w:val="22"/>
          <w:szCs w:val="22"/>
        </w:rPr>
        <w:t xml:space="preserve">RQ4.  </w:t>
      </w:r>
      <w:r>
        <w:rPr>
          <w:rFonts w:ascii="Calibri" w:cs="Calibri" w:eastAsia="Calibri" w:hAnsi="Calibri"/>
          <w:color w:val="1A1A1A"/>
          <w:sz w:val="22"/>
          <w:szCs w:val="22"/>
        </w:rPr>
        <w:t xml:space="preserve">How do the five retrieval strategies differ in terms of answer faithfulness, context relevance, end-to-end latency, and practical infrastructure overhead?</w:t>
      </w:r>
    </w:p>
    <w:p>
      <w:pPr>
        <w:spacing w:after="160" w:before="0"/>
        <w:jc w:val="both"/>
      </w:pPr>
      <w:r>
        <w:rPr>
          <w:rFonts w:ascii="Calibri" w:cs="Calibri" w:eastAsia="Calibri" w:hAnsi="Calibri"/>
          <w:b/>
          <w:bCs/>
          <w:color w:val="1A1A1A"/>
          <w:sz w:val="22"/>
          <w:szCs w:val="22"/>
        </w:rPr>
        <w:t xml:space="preserve">RQ5.  </w:t>
      </w:r>
      <w:r>
        <w:rPr>
          <w:rFonts w:ascii="Calibri" w:cs="Calibri" w:eastAsia="Calibri" w:hAnsi="Calibri"/>
          <w:color w:val="1A1A1A"/>
          <w:sz w:val="22"/>
          <w:szCs w:val="22"/>
        </w:rPr>
        <w:t xml:space="preserve">Can the empirical results produce a Retrieval Strategy Selection Framework for guiding retrieval design choices in domain-specific, resource-aware RAG deployments?</w:t>
      </w:r>
    </w:p>
    <w:p>
      <w:pPr>
        <w:pStyle w:val="Heading2"/>
        <w:spacing w:after="120" w:before="300"/>
      </w:pPr>
      <w:r>
        <w:rPr>
          <w:rFonts w:ascii="Calibri" w:cs="Calibri" w:eastAsia="Calibri" w:hAnsi="Calibri"/>
          <w:b/>
          <w:bCs/>
          <w:color w:val="2E5FA3"/>
          <w:sz w:val="26"/>
          <w:szCs w:val="26"/>
        </w:rPr>
        <w:t xml:space="preserve">1.6  Working Hypotheses</w:t>
      </w:r>
    </w:p>
    <w:p>
      <w:pPr>
        <w:spacing w:after="160" w:before="0"/>
        <w:jc w:val="both"/>
      </w:pPr>
      <w:r>
        <w:rPr>
          <w:rFonts w:ascii="Calibri" w:cs="Calibri" w:eastAsia="Calibri" w:hAnsi="Calibri"/>
          <w:b/>
          <w:bCs/>
          <w:color w:val="2E5FA3"/>
          <w:sz w:val="22"/>
          <w:szCs w:val="22"/>
        </w:rPr>
        <w:t xml:space="preserve">H1.  </w:t>
      </w:r>
      <w:r>
        <w:rPr>
          <w:rFonts w:ascii="Calibri" w:cs="Calibri" w:eastAsia="Calibri" w:hAnsi="Calibri"/>
          <w:color w:val="1A1A1A"/>
          <w:sz w:val="22"/>
          <w:szCs w:val="22"/>
        </w:rPr>
        <w:t xml:space="preserve">BM25 will perform competitively with FAISS on exact lookup and terminology-sensitive queries. The government schemes corpus uses consistent, precise terminology — scheme codes, income thresholds, document names — that lexical matching preserves without the vocabulary drift risk affecting embedding-based retrieval.</w:t>
      </w:r>
    </w:p>
    <w:p>
      <w:pPr>
        <w:spacing w:after="60"/>
      </w:pPr>
    </w:p>
    <w:p>
      <w:pPr>
        <w:spacing w:after="160" w:before="0"/>
        <w:jc w:val="both"/>
      </w:pPr>
      <w:r>
        <w:rPr>
          <w:rFonts w:ascii="Calibri" w:cs="Calibri" w:eastAsia="Calibri" w:hAnsi="Calibri"/>
          <w:b/>
          <w:bCs/>
          <w:color w:val="2E5FA3"/>
          <w:sz w:val="22"/>
          <w:szCs w:val="22"/>
        </w:rPr>
        <w:t xml:space="preserve">H2.  </w:t>
      </w:r>
      <w:r>
        <w:rPr>
          <w:rFonts w:ascii="Calibri" w:cs="Calibri" w:eastAsia="Calibri" w:hAnsi="Calibri"/>
          <w:color w:val="1A1A1A"/>
          <w:sz w:val="22"/>
          <w:szCs w:val="22"/>
        </w:rPr>
        <w:t xml:space="preserve">FAISS will outperform BM25 on paraphrase-semantic queries where the query vocabulary differs from the source document, because semantic embedding captures conceptual similarity that keyword overlap cannot.</w:t>
      </w:r>
    </w:p>
    <w:p>
      <w:pPr>
        <w:spacing w:after="60"/>
      </w:pPr>
    </w:p>
    <w:p>
      <w:pPr>
        <w:spacing w:after="160" w:before="0"/>
        <w:jc w:val="both"/>
      </w:pPr>
      <w:r>
        <w:rPr>
          <w:rFonts w:ascii="Calibri" w:cs="Calibri" w:eastAsia="Calibri" w:hAnsi="Calibri"/>
          <w:b/>
          <w:bCs/>
          <w:color w:val="2E5FA3"/>
          <w:sz w:val="22"/>
          <w:szCs w:val="22"/>
        </w:rPr>
        <w:t xml:space="preserve">H3.  </w:t>
      </w:r>
      <w:r>
        <w:rPr>
          <w:rFonts w:ascii="Calibri" w:cs="Calibri" w:eastAsia="Calibri" w:hAnsi="Calibri"/>
          <w:color w:val="1A1A1A"/>
          <w:sz w:val="22"/>
          <w:szCs w:val="22"/>
        </w:rPr>
        <w:t xml:space="preserve">Graph RAG will outperform both BM25 and FAISS on entity-relation and multi-hop queries, where the correct answer requires traversing two or more named entity relationships that do not co-occur in a single text chunk.</w:t>
      </w:r>
    </w:p>
    <w:p>
      <w:pPr>
        <w:spacing w:after="60"/>
      </w:pPr>
    </w:p>
    <w:p>
      <w:pPr>
        <w:spacing w:after="160" w:before="0"/>
        <w:jc w:val="both"/>
      </w:pPr>
      <w:r>
        <w:rPr>
          <w:rFonts w:ascii="Calibri" w:cs="Calibri" w:eastAsia="Calibri" w:hAnsi="Calibri"/>
          <w:b/>
          <w:bCs/>
          <w:color w:val="2E5FA3"/>
          <w:sz w:val="22"/>
          <w:szCs w:val="22"/>
        </w:rPr>
        <w:t xml:space="preserve">H4.  </w:t>
      </w:r>
      <w:r>
        <w:rPr>
          <w:rFonts w:ascii="Calibri" w:cs="Calibri" w:eastAsia="Calibri" w:hAnsi="Calibri"/>
          <w:color w:val="1A1A1A"/>
          <w:sz w:val="22"/>
          <w:szCs w:val="22"/>
        </w:rPr>
        <w:t xml:space="preserve">The Hybrid BM25 + GraphRAG system will achieve the highest aggregate MRR across mixed query types by combining BM25's keyword precision with Graph RAG's relational coverage, at the cost of higher per-query latency.</w:t>
      </w:r>
    </w:p>
    <w:p>
      <w:pPr>
        <w:spacing w:after="60"/>
      </w:pPr>
    </w:p>
    <w:p>
      <w:pPr>
        <w:spacing w:after="160" w:before="0"/>
        <w:jc w:val="both"/>
      </w:pPr>
      <w:r>
        <w:rPr>
          <w:rFonts w:ascii="Calibri" w:cs="Calibri" w:eastAsia="Calibri" w:hAnsi="Calibri"/>
          <w:b/>
          <w:bCs/>
          <w:color w:val="2E5FA3"/>
          <w:sz w:val="22"/>
          <w:szCs w:val="22"/>
        </w:rPr>
        <w:t xml:space="preserve">H5.  </w:t>
      </w:r>
      <w:r>
        <w:rPr>
          <w:rFonts w:ascii="Calibri" w:cs="Calibri" w:eastAsia="Calibri" w:hAnsi="Calibri"/>
          <w:color w:val="1A1A1A"/>
          <w:sz w:val="22"/>
          <w:szCs w:val="22"/>
        </w:rPr>
        <w:t xml:space="preserve">Retrieval quality as measured by MRR will not translate monotonically to generation faithfulness. Systems with higher retrieval precision may still hallucinate when retrieved context contains partial or ambiguous evidence — consistent with RAGTruth [20] — which makes separate retrieval and generation evaluation necessary.</w:t>
      </w:r>
    </w:p>
    <w:p>
      <w:pPr>
        <w:pStyle w:val="Heading2"/>
        <w:spacing w:after="120" w:before="300"/>
      </w:pPr>
      <w:r>
        <w:rPr>
          <w:rFonts w:ascii="Calibri" w:cs="Calibri" w:eastAsia="Calibri" w:hAnsi="Calibri"/>
          <w:b/>
          <w:bCs/>
          <w:color w:val="2E5FA3"/>
          <w:sz w:val="26"/>
          <w:szCs w:val="26"/>
        </w:rPr>
        <w:t xml:space="preserve">1.7  Scope and Boundaries</w:t>
      </w:r>
    </w:p>
    <w:p>
      <w:pPr>
        <w:spacing w:after="160" w:before="0"/>
        <w:jc w:val="both"/>
      </w:pPr>
      <w:r>
        <w:rPr>
          <w:rFonts w:ascii="Calibri" w:cs="Calibri" w:eastAsia="Calibri" w:hAnsi="Calibri"/>
          <w:b w:val="false"/>
          <w:bCs w:val="false"/>
          <w:color w:val="1A1A1A"/>
          <w:sz w:val="22"/>
          <w:szCs w:val="22"/>
        </w:rPr>
        <w:t xml:space="preserve">This dissertation builds a research-grade empirical comparison, not a production system. The scope is deliberately bounded.</w:t>
      </w:r>
    </w:p>
    <w:p>
      <w:pPr>
        <w:pStyle w:val="ListParagraph"/>
        <w:numPr>
          <w:ilvl w:val="0"/>
          <w:numId w:val="2"/>
        </w:numPr>
        <w:spacing w:after="80"/>
      </w:pPr>
      <w:r>
        <w:rPr>
          <w:rFonts w:ascii="Calibri" w:cs="Calibri" w:eastAsia="Calibri" w:hAnsi="Calibri"/>
          <w:color w:val="1A1A1A"/>
          <w:sz w:val="22"/>
          <w:szCs w:val="22"/>
        </w:rPr>
        <w:t xml:space="preserve">The LLM generator is held constant across all five systems. Observed differences in answer quality come from retrieval, not from generation.</w:t>
      </w:r>
    </w:p>
    <w:p>
      <w:pPr>
        <w:pStyle w:val="ListParagraph"/>
        <w:numPr>
          <w:ilvl w:val="0"/>
          <w:numId w:val="2"/>
        </w:numPr>
        <w:spacing w:after="80"/>
      </w:pPr>
      <w:r>
        <w:rPr>
          <w:rFonts w:ascii="Calibri" w:cs="Calibri" w:eastAsia="Calibri" w:hAnsi="Calibri"/>
          <w:color w:val="1A1A1A"/>
          <w:sz w:val="22"/>
          <w:szCs w:val="22"/>
        </w:rPr>
        <w:t xml:space="preserve">No novel retrieval algorithm is proposed. The contribution is empirical — a controlled evaluation of existing approaches under conditions that expose their practical trade-offs.</w:t>
      </w:r>
    </w:p>
    <w:p>
      <w:pPr>
        <w:pStyle w:val="ListParagraph"/>
        <w:numPr>
          <w:ilvl w:val="0"/>
          <w:numId w:val="2"/>
        </w:numPr>
        <w:spacing w:after="80"/>
      </w:pPr>
      <w:r>
        <w:rPr>
          <w:rFonts w:ascii="Calibri" w:cs="Calibri" w:eastAsia="Calibri" w:hAnsi="Calibri"/>
          <w:color w:val="1A1A1A"/>
          <w:sz w:val="22"/>
          <w:szCs w:val="22"/>
        </w:rPr>
        <w:t xml:space="preserve">No proprietary data is used. All corpus documents come from publicly accessible government portals. The signed NOC with HCLTech prohibits use of any internal or proprietary data, and that constraint is fully respected.</w:t>
      </w:r>
    </w:p>
    <w:p>
      <w:pPr>
        <w:pStyle w:val="ListParagraph"/>
        <w:numPr>
          <w:ilvl w:val="0"/>
          <w:numId w:val="2"/>
        </w:numPr>
        <w:spacing w:after="80"/>
      </w:pPr>
      <w:r>
        <w:rPr>
          <w:rFonts w:ascii="Calibri" w:cs="Calibri" w:eastAsia="Calibri" w:hAnsi="Calibri"/>
          <w:color w:val="1A1A1A"/>
          <w:sz w:val="22"/>
          <w:szCs w:val="22"/>
        </w:rPr>
        <w:t xml:space="preserve">The comparative dashboard is an evaluation artefact for demonstration and side-by-side query comparison. It is not represented as a production application.</w:t>
      </w:r>
    </w:p>
    <w:p>
      <w:pPr>
        <w:pStyle w:val="Heading2"/>
        <w:spacing w:after="120" w:before="300"/>
      </w:pPr>
      <w:r>
        <w:rPr>
          <w:rFonts w:ascii="Calibri" w:cs="Calibri" w:eastAsia="Calibri" w:hAnsi="Calibri"/>
          <w:b/>
          <w:bCs/>
          <w:color w:val="2E5FA3"/>
          <w:sz w:val="26"/>
          <w:szCs w:val="26"/>
        </w:rPr>
        <w:t xml:space="preserve">1.8  Report Structure</w:t>
      </w:r>
    </w:p>
    <w:p>
      <w:pPr>
        <w:spacing w:after="160" w:before="0"/>
        <w:jc w:val="both"/>
      </w:pPr>
      <w:r>
        <w:rPr>
          <w:rFonts w:ascii="Calibri" w:cs="Calibri" w:eastAsia="Calibri" w:hAnsi="Calibri"/>
          <w:b w:val="false"/>
          <w:bCs w:val="false"/>
          <w:color w:val="1A1A1A"/>
          <w:sz w:val="22"/>
          <w:szCs w:val="22"/>
        </w:rPr>
        <w:t xml:space="preserve">Chapter 2 reviews the literature across six themes and synthesises findings into a gap analysis. Chapter 3 states the problem, gap, and contribution in finalised form and introduces the Query Categorisation Framework and Retrieval Strategy Selection Framework. Chapter 4 describes the system architecture of all five pipelines in technical detail. Chapter 5 documents implementation progress with evidence. Chapter 6 defines the evaluation methodology. Chapter 7 presents the plan of work. Abbreviations and references follow.</w:t>
      </w:r>
    </w:p>
    <w:p>
      <w:r>
        <w:br w:type="page"/>
      </w:r>
    </w:p>
    <w:p>
      <w:pPr>
        <w:pStyle w:val="Heading1"/>
        <w:pBdr>
          <w:bottom w:val="single" w:color="2E5FA3" w:sz="6" w:space="4"/>
        </w:pBdr>
        <w:spacing w:after="160" w:before="400"/>
      </w:pPr>
      <w:r>
        <w:rPr>
          <w:rFonts w:ascii="Calibri" w:cs="Calibri" w:eastAsia="Calibri" w:hAnsi="Calibri"/>
          <w:b/>
          <w:bCs/>
          <w:color w:val="1F3864"/>
          <w:sz w:val="32"/>
          <w:szCs w:val="32"/>
        </w:rPr>
        <w:t xml:space="preserve">2.  Background and Literature Review</w:t>
      </w:r>
    </w:p>
    <w:p>
      <w:pPr>
        <w:pStyle w:val="Heading2"/>
        <w:spacing w:after="120" w:before="300"/>
      </w:pPr>
      <w:r>
        <w:rPr>
          <w:rFonts w:ascii="Calibri" w:cs="Calibri" w:eastAsia="Calibri" w:hAnsi="Calibri"/>
          <w:b/>
          <w:bCs/>
          <w:color w:val="2E5FA3"/>
          <w:sz w:val="26"/>
          <w:szCs w:val="26"/>
        </w:rPr>
        <w:t xml:space="preserve">2.1  Retrieval-Augmented Generation: Origins and Architecture</w:t>
      </w:r>
    </w:p>
    <w:p>
      <w:pPr>
        <w:spacing w:after="160" w:before="0"/>
        <w:jc w:val="both"/>
      </w:pPr>
      <w:r>
        <w:rPr>
          <w:rFonts w:ascii="Calibri" w:cs="Calibri" w:eastAsia="Calibri" w:hAnsi="Calibri"/>
          <w:b w:val="false"/>
          <w:bCs w:val="false"/>
          <w:color w:val="1A1A1A"/>
          <w:sz w:val="22"/>
          <w:szCs w:val="22"/>
        </w:rPr>
        <w:t xml:space="preserve">The RAG framework was introduced by Lewis et al. [1] as a response to a specific limitation of large language models on knowledge-intensive tasks. A model trained on Wikipedia can answer general factual questions reasonably well, but it fails on questions requiring precise, current, or domain-specific knowledge — because the answer may not have been prominent in training data, or may have changed since the model was trained. Lewis et al.'s solution was to augment generation with a retrieval step: before generating a response, the system queries a document index and prepends retrieved passages to the input. The retriever and generator are trained jointly, with retrieval treated as a latent variable.</w:t>
      </w:r>
    </w:p>
    <w:p>
      <w:pPr>
        <w:spacing w:after="160" w:before="0"/>
        <w:jc w:val="both"/>
      </w:pPr>
      <w:r>
        <w:rPr>
          <w:rFonts w:ascii="Calibri" w:cs="Calibri" w:eastAsia="Calibri" w:hAnsi="Calibri"/>
          <w:b w:val="false"/>
          <w:bCs w:val="false"/>
          <w:color w:val="1A1A1A"/>
          <w:sz w:val="22"/>
          <w:szCs w:val="22"/>
        </w:rPr>
        <w:t xml:space="preserve">Two findings from that original paper carry forward into this dissertation. First, retrieval quality and generation quality are jointly determined — a better retriever produces better outputs, but the relationship is not perfectly linear. Second, evaluation was conducted on open-domain QA with Wikipedia as the corpus. These conditions have become the implicit default for RAG research, creating a skew toward conditions that favour semantic retrieval. Most benchmarks inherit this setup without questioning it. The 2024 survey by Gao et al. [2] covers over a hundred RAG papers and makes two observations directly relevant here: most deployed RAG systems use dense retrieval as the default without empirical justification, and hallucination rate and per-query latency remain underreported as primary evaluation metrics despite being the metrics most consequential in actual deployments.</w:t>
      </w:r>
    </w:p>
    <w:p>
      <w:pPr>
        <w:pStyle w:val="Heading2"/>
        <w:spacing w:after="120" w:before="300"/>
      </w:pPr>
      <w:r>
        <w:rPr>
          <w:rFonts w:ascii="Calibri" w:cs="Calibri" w:eastAsia="Calibri" w:hAnsi="Calibri"/>
          <w:b/>
          <w:bCs/>
          <w:color w:val="2E5FA3"/>
          <w:sz w:val="26"/>
          <w:szCs w:val="26"/>
        </w:rPr>
        <w:t xml:space="preserve">2.2  Dense Vector Retrieval</w:t>
      </w:r>
    </w:p>
    <w:p>
      <w:pPr>
        <w:spacing w:after="160" w:before="0"/>
        <w:jc w:val="both"/>
      </w:pPr>
      <w:r>
        <w:rPr>
          <w:rFonts w:ascii="Calibri" w:cs="Calibri" w:eastAsia="Calibri" w:hAnsi="Calibri"/>
          <w:b w:val="false"/>
          <w:bCs w:val="false"/>
          <w:color w:val="1A1A1A"/>
          <w:sz w:val="22"/>
          <w:szCs w:val="22"/>
        </w:rPr>
        <w:t xml:space="preserve">The infrastructure underlying dense retrieval in this dissertation rests on three foundational papers. Johnson, Douze, and Jégou [3] introduced FAISS as a library for efficient approximate nearest-neighbour search over high-dimensional vector sets. IndexFlatL2 provides exact search with no approximation error — appropriate for the corpus size used here, and eliminating ANN approximation as a source of performance variation. Karpukhin et al. [4] demonstrated with Dense Passage Retrieval that a dual-encoder architecture trained on question-passage pairs substantially outperforms BM25 on open-domain QA retrieval. The important caveat is that DPR is trained on the same QA task it is evaluated on; when applied to a new domain without fine-tuning, its advantage over BM25 may shrink considerably. Reimers and Gurevych [5] addressed zero-shot generalisation with Sentence-BERT: a siamese BERT architecture producing semantically meaningful embeddings without task-specific fine-tuning. The all-MiniLM-L6-v2 model used in this dissertation comes from this line of work.</w:t>
      </w:r>
    </w:p>
    <w:p>
      <w:pPr>
        <w:pStyle w:val="Heading2"/>
        <w:spacing w:after="120" w:before="300"/>
      </w:pPr>
      <w:r>
        <w:rPr>
          <w:rFonts w:ascii="Calibri" w:cs="Calibri" w:eastAsia="Calibri" w:hAnsi="Calibri"/>
          <w:b/>
          <w:bCs/>
          <w:color w:val="2E5FA3"/>
          <w:sz w:val="26"/>
          <w:szCs w:val="26"/>
        </w:rPr>
        <w:t xml:space="preserve">2.3  BM25 and Its Modern Rehabilitation</w:t>
      </w:r>
    </w:p>
    <w:p>
      <w:pPr>
        <w:spacing w:after="160" w:before="0"/>
        <w:jc w:val="both"/>
      </w:pPr>
      <w:r>
        <w:rPr>
          <w:rFonts w:ascii="Calibri" w:cs="Calibri" w:eastAsia="Calibri" w:hAnsi="Calibri"/>
          <w:b w:val="false"/>
          <w:bCs w:val="false"/>
          <w:color w:val="1A1A1A"/>
          <w:sz w:val="22"/>
          <w:szCs w:val="22"/>
        </w:rPr>
        <w:t xml:space="preserve">BM25, formalised by Robertson and Zaragoza [6] as the Okapi BM25 scoring function, is a probabilistic retrieval model based on term frequency, inverse document frequency, and document length normalisation. It requires no neural computation, no GPU, and no model weights. Luan et al. [7] show that sparse, dense, and attentional representations capture different relevance signals, and that for exact term matching and entity-sensitive retrieval, sparse methods remain competitive. The most directly relevant paper is Cuconasu et al. [1-a], who examine the retriever's role within the RAG loop rather than in isolation. Their SIGIR 2024 findings are counterintuitive: BM25 outperforms dense retrievers on several end-to-end RAG tasks when measured by downstream generation quality, and documents that are semantically similar to the query but do not contain the gold answer are more harmful to generation quality than random irrelevant documents. Semantic retrieval can introduce false context that confuses the generator — BM25's keyword precision is a feature, not a limitation, in factually dense domains.</w:t>
      </w:r>
    </w:p>
    <w:p>
      <w:pPr>
        <w:pStyle w:val="Heading2"/>
        <w:spacing w:after="120" w:before="300"/>
      </w:pPr>
      <w:r>
        <w:rPr>
          <w:rFonts w:ascii="Calibri" w:cs="Calibri" w:eastAsia="Calibri" w:hAnsi="Calibri"/>
          <w:b/>
          <w:bCs/>
          <w:color w:val="2E5FA3"/>
          <w:sz w:val="26"/>
          <w:szCs w:val="26"/>
        </w:rPr>
        <w:t xml:space="preserve">2.4  Graph-Based Retrieval</w:t>
      </w:r>
    </w:p>
    <w:p>
      <w:pPr>
        <w:spacing w:after="160" w:before="0"/>
        <w:jc w:val="both"/>
      </w:pPr>
      <w:r>
        <w:rPr>
          <w:rFonts w:ascii="Calibri" w:cs="Calibri" w:eastAsia="Calibri" w:hAnsi="Calibri"/>
          <w:b w:val="false"/>
          <w:bCs w:val="false"/>
          <w:color w:val="1A1A1A"/>
          <w:sz w:val="22"/>
          <w:szCs w:val="22"/>
        </w:rPr>
        <w:t xml:space="preserve">Graph-based retrieval rests on an observation that is obvious once stated but underexploited in the RAG literature: many real-world corpora are inherently relational. Entities have attributes, conditions, and dependencies. Flat chunking destroys these relationships — a retrieved passage contains some of them but not their full chain. A knowledge graph preserves the full chain and retrieves it in response to relational queries. Edge et al. [8] introduced the canonical GraphRAG approach, building an LLM-derived entity knowledge graph alongside pre-generated community summaries at multiple granularity levels. The paper demonstrates that conventional vector RAG fails on global sensemaking queries requiring synthesis across hundreds of documents. Peng et al. [9] survey graph RAG architectures broadly. Han et al. [10][11] provide the most systematic evaluation, finding graph retrieval's advantage strongest on multi-hop relational queries and weakest on simple factoid questions. He et al. [1-b] take a mathematically rigorous approach in G-Retriever, formulating subgraph retrieval as a Prize-Collecting Steiner Tree optimisation, reducing hallucination rates by 54% on scene graph QA benchmarks. This dissertation uses spaCy NER combined with domain-specific pattern matching for entity extraction, and NetworkX for graph storage and traversal — less powerful than LLM-based extraction but substantially more transparent and reproducible.</w:t>
      </w:r>
    </w:p>
    <w:p>
      <w:pPr>
        <w:pStyle w:val="Heading2"/>
        <w:spacing w:after="120" w:before="300"/>
      </w:pPr>
      <w:r>
        <w:rPr>
          <w:rFonts w:ascii="Calibri" w:cs="Calibri" w:eastAsia="Calibri" w:hAnsi="Calibri"/>
          <w:b/>
          <w:bCs/>
          <w:color w:val="2E5FA3"/>
          <w:sz w:val="26"/>
          <w:szCs w:val="26"/>
        </w:rPr>
        <w:t xml:space="preserve">2.5  Hybrid Retrieval</w:t>
      </w:r>
    </w:p>
    <w:p>
      <w:pPr>
        <w:spacing w:after="160" w:before="0"/>
        <w:jc w:val="both"/>
      </w:pPr>
      <w:r>
        <w:rPr>
          <w:rFonts w:ascii="Calibri" w:cs="Calibri" w:eastAsia="Calibri" w:hAnsi="Calibri"/>
          <w:b w:val="false"/>
          <w:bCs w:val="false"/>
          <w:color w:val="1A1A1A"/>
          <w:sz w:val="22"/>
          <w:szCs w:val="22"/>
        </w:rPr>
        <w:t xml:space="preserve">Hybrid retrieval systems combine ranked lists from multiple retrievers and merge them before passing context to the generator. Cormack, Clarke, and Buettcher [14] introduced Reciprocal Rank Fusion, computing a fused score for each document based on rank position in each constituent list: score(d) = Σ 1/(k + rank_i(d)), where k = 60 is the standard smoothing constant. The elegance of RRF is that it requires no score normalisation — BM25 scores and GraphRAG traversal scores use different scales that cannot be directly combined, but their rank positions can. Sawarkar et al. [1-c] demonstrate in Blended RAG that combining BM25, dense KNN, and a learned sparse encoder reaches 88.77% top-10 retrieval accuracy on Natural Questions and 98% on TREC-COVID — substantially above any single-signal baseline. Sarmah et al. [1-d] present HybridRAG, the closest prior work to the Hybrid system in this dissertation: no single system dominates on all metrics, with GraphRAG leading on context precision (0.96), HybridRAG on answer relevancy (0.96), and VectorRAG and HybridRAG tying on context recall (1.0). Fensore et al. [15] reinforce with the LiveRAG Challenge that hybrid approaches are more robust across novel query types, at higher implementation and latency overhead.</w:t>
      </w:r>
    </w:p>
    <w:p>
      <w:pPr>
        <w:pStyle w:val="Heading2"/>
        <w:spacing w:after="120" w:before="300"/>
      </w:pPr>
      <w:r>
        <w:rPr>
          <w:rFonts w:ascii="Calibri" w:cs="Calibri" w:eastAsia="Calibri" w:hAnsi="Calibri"/>
          <w:b/>
          <w:bCs/>
          <w:color w:val="2E5FA3"/>
          <w:sz w:val="26"/>
          <w:szCs w:val="26"/>
        </w:rPr>
        <w:t xml:space="preserve">2.6  Prompt-Based and LLM-Guided Retrieval</w:t>
      </w:r>
    </w:p>
    <w:p>
      <w:pPr>
        <w:spacing w:after="160" w:before="0"/>
        <w:jc w:val="both"/>
      </w:pPr>
      <w:r>
        <w:rPr>
          <w:rFonts w:ascii="Calibri" w:cs="Calibri" w:eastAsia="Calibri" w:hAnsi="Calibri"/>
          <w:b w:val="false"/>
          <w:bCs w:val="false"/>
          <w:color w:val="1A1A1A"/>
          <w:sz w:val="22"/>
          <w:szCs w:val="22"/>
        </w:rPr>
        <w:t xml:space="preserve">Prompt-RAG embeds retrieval logic within the prompt itself: the LLM is instructed to identify and cite relevant evidence from a provided document pool, with chain-of-thought scaffolding guiding the reasoning process. Wei et al. [12] establish that chain-of-thought prompting substantially improves LLM performance on complex multi-step tasks — providing the reasoning scaffold that makes Prompt-RAG viable. Wang et al. [1-e] demonstrate in Query2doc that LLM-generated pseudo-documents can expand the original query, boosting BM25 retrieval by 3–15% on MS-MARCO without any model fine-tuning. Gao et al. [1-f] extend this with HyDE, generating hypothetical documents encoded and matched against the real corpus. In this dissertation, a lightweight BM25 pre-filter narrows the full corpus to a 20-document candidate pool before the chain-of-thought prompt is constructed, making the retrieval decision inspectable as part of the model output.</w:t>
      </w:r>
    </w:p>
    <w:p>
      <w:pPr>
        <w:pStyle w:val="Heading2"/>
        <w:spacing w:after="120" w:before="300"/>
      </w:pPr>
      <w:r>
        <w:rPr>
          <w:rFonts w:ascii="Calibri" w:cs="Calibri" w:eastAsia="Calibri" w:hAnsi="Calibri"/>
          <w:b/>
          <w:bCs/>
          <w:color w:val="2E5FA3"/>
          <w:sz w:val="26"/>
          <w:szCs w:val="26"/>
        </w:rPr>
        <w:t xml:space="preserve">2.7  RAG Evaluation Frameworks</w:t>
      </w:r>
    </w:p>
    <w:p>
      <w:pPr>
        <w:spacing w:after="160" w:before="0"/>
        <w:jc w:val="both"/>
      </w:pPr>
      <w:r>
        <w:rPr>
          <w:rFonts w:ascii="Calibri" w:cs="Calibri" w:eastAsia="Calibri" w:hAnsi="Calibri"/>
          <w:b w:val="false"/>
          <w:bCs w:val="false"/>
          <w:color w:val="1A1A1A"/>
          <w:sz w:val="22"/>
          <w:szCs w:val="22"/>
        </w:rPr>
        <w:t xml:space="preserve">Voorhees [18] introduced MRR at TREC-8, directly capturing whether the retriever is surfacing useful evidence and how prominently. nDCG@k and Recall@k are secondary metrics. BLEU [19] measures n-gram overlap between generated output and reference answer; its limitations for open-ended generation are well documented. BLEU is included as a supplementary metric rather than the primary generation quality signal. Es et al. [17] introduced RAGAS as a reference-free framework measuring faithfulness, answer relevance, and context relevance without requiring human-annotated references. Saad-Falcon et al. [1-g] extend this with ARES, training lightweight LM judges and using prediction-powered inference for metric estimates with statistical confidence intervals. Niu et al. [20] introduce RAGTruth, a hallucination corpus from real RAG outputs with fine-grained annotation of hallucination types — providing both the hallucination taxonomy and the empirical finding that hallucination rates vary across retrieval strategies in non-obvious ways.</w:t>
      </w:r>
    </w:p>
    <w:p>
      <w:pPr>
        <w:pStyle w:val="Heading2"/>
        <w:spacing w:after="120" w:before="300"/>
      </w:pPr>
      <w:r>
        <w:rPr>
          <w:rFonts w:ascii="Calibri" w:cs="Calibri" w:eastAsia="Calibri" w:hAnsi="Calibri"/>
          <w:b/>
          <w:bCs/>
          <w:color w:val="2E5FA3"/>
          <w:sz w:val="26"/>
          <w:szCs w:val="26"/>
        </w:rPr>
        <w:t xml:space="preserve">2.8  Domain-Specific and Policy RAG</w:t>
      </w:r>
    </w:p>
    <w:p>
      <w:pPr>
        <w:spacing w:after="160" w:before="0"/>
        <w:jc w:val="both"/>
      </w:pPr>
      <w:r>
        <w:rPr>
          <w:rFonts w:ascii="Calibri" w:cs="Calibri" w:eastAsia="Calibri" w:hAnsi="Calibri"/>
          <w:b w:val="false"/>
          <w:bCs w:val="false"/>
          <w:color w:val="1A1A1A"/>
          <w:sz w:val="22"/>
          <w:szCs w:val="22"/>
        </w:rPr>
        <w:t xml:space="preserve">The government welfare schemes domain is underrepresented in the RAG evaluation literature. Nagarajan, Kumar, and Santhiappan [1-h] present PolicyBot, combining domain-specific chunking, multilingual embeddings, multi-stage retrieval with HyDE and RRF, and a BGE cross-encoder reranker for public-policy documents — the closest prior work to this dissertation's corpus. The academic justification for the Indian government welfare schemes domain rests on four properties: the corpus is factually dense with precise eligibility criteria and benefit amounts; the domain uses consistent precise terminology preserved exactly by lexical matching, providing a genuine test of H1; entities have structured multi-hop relationships that GraphRAG is designed to exploit, providing a genuine test of H3; and the domain has practical significance reaching over 800 million beneficiaries across more than 3,000 central and state schemes. Hallucination rate is not an academic metric here — it measures whether the system can be trusted.</w:t>
      </w:r>
    </w:p>
    <w:p>
      <w:pPr>
        <w:pStyle w:val="Heading2"/>
        <w:spacing w:after="120" w:before="300"/>
      </w:pPr>
      <w:r>
        <w:rPr>
          <w:rFonts w:ascii="Calibri" w:cs="Calibri" w:eastAsia="Calibri" w:hAnsi="Calibri"/>
          <w:b/>
          <w:bCs/>
          <w:color w:val="2E5FA3"/>
          <w:sz w:val="26"/>
          <w:szCs w:val="26"/>
        </w:rPr>
        <w:t xml:space="preserve">2.9  Literature Synthesis and Research Gap</w:t>
      </w:r>
    </w:p>
    <w:p>
      <w:pPr>
        <w:spacing w:after="100" w:before="0"/>
        <w:jc w:val="both"/>
      </w:pPr>
      <w:r>
        <w:rPr>
          <w:rFonts w:ascii="Calibri" w:cs="Calibri" w:eastAsia="Calibri" w:hAnsi="Calibri"/>
          <w:b w:val="false"/>
          <w:bCs w:val="false"/>
          <w:color w:val="1A1A1A"/>
          <w:sz w:val="22"/>
          <w:szCs w:val="22"/>
        </w:rPr>
        <w:t xml:space="preserve">Table 2.1 synthesises the papers reviewed against the dimensions this dissertation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200"/>
        <w:gridCol w:w="1200"/>
        <w:gridCol w:w="1200"/>
        <w:gridCol w:w="1100"/>
        <w:gridCol w:w="1238"/>
      </w:tblGrid>
      <w:tr>
        <w:tc>
          <w:tcPr>
            <w:tcW w:type="dxa" w:w="16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Reference</w:t>
            </w:r>
          </w:p>
        </w:tc>
        <w:tc>
          <w:tcPr>
            <w:tcW w:type="dxa" w:w="13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Retrieval Type</w:t>
            </w:r>
          </w:p>
        </w:tc>
        <w:tc>
          <w:tcPr>
            <w:tcW w:type="dxa" w:w="12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Domain</w:t>
            </w:r>
          </w:p>
        </w:tc>
        <w:tc>
          <w:tcPr>
            <w:tcW w:type="dxa" w:w="12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E2E Eval</w:t>
            </w:r>
          </w:p>
        </w:tc>
        <w:tc>
          <w:tcPr>
            <w:tcW w:type="dxa" w:w="12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Stratified</w:t>
            </w:r>
          </w:p>
        </w:tc>
        <w:tc>
          <w:tcPr>
            <w:tcW w:type="dxa" w:w="11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Latency</w:t>
            </w:r>
          </w:p>
        </w:tc>
        <w:tc>
          <w:tcPr>
            <w:tcW w:type="dxa" w:w="1238"/>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Hallucination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Lewis et al. [1], 2020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Dense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Open-domain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Karpukhin et al. [4], 2020</w:t>
            </w:r>
          </w:p>
        </w:tc>
        <w:tc>
          <w:tcPr>
            <w:tcW w:type="dxa" w:w="13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Dense (DPR)</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Open-domain</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Partial</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Cuconasu et al. [1-a], 2024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BM25 vs Dense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MS-MARCO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Indirect</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Edge et al. [8], 2024</w:t>
            </w:r>
          </w:p>
        </w:tc>
        <w:tc>
          <w:tcPr>
            <w:tcW w:type="dxa" w:w="13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Graph (GraphRAG)</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General text</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Partial</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Han et al. [10][11], 2025</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Graph vs Dense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Multiple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He et al. [1-b], 2024</w:t>
            </w:r>
          </w:p>
        </w:tc>
        <w:tc>
          <w:tcPr>
            <w:tcW w:type="dxa" w:w="13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Graph (PCST)</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Scene graphs</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Sawarkar et al. [1-c], 2024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Hybrid (BM25+dense)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NQ, TREC</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Partial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Sarmah et al. [1-d], 2024</w:t>
            </w:r>
          </w:p>
        </w:tc>
        <w:tc>
          <w:tcPr>
            <w:tcW w:type="dxa" w:w="13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Hybrid (graph+dense)</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Financial</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Indirect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Fensore et al. [15], 2025</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Hybrid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Dynamic</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Partial</w:t>
            </w:r>
          </w:p>
        </w:tc>
        <w:tc>
          <w:tcPr>
            <w:tcW w:type="dxa" w:w="123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Es et al. [17], 2024</w:t>
            </w:r>
          </w:p>
        </w:tc>
        <w:tc>
          <w:tcPr>
            <w:tcW w:type="dxa" w:w="13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Eval framework</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WikiEval</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Niu et al. [20], 2024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Eval framework</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RAG outputs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Nagarajan et al. [1-h], 2025</w:t>
            </w:r>
          </w:p>
        </w:tc>
        <w:tc>
          <w:tcPr>
            <w:tcW w:type="dxa" w:w="13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Dense + hybrid</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Policy docs</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W w:type="dxa" w:w="123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Indirect</w:t>
            </w:r>
          </w:p>
        </w:tc>
      </w:tr>
      <w:tr>
        <w:tc>
          <w:tcPr>
            <w:tcW w:type="dxa" w:w="1600"/>
            <w:tcBorders>
              <w:top w:val="single" w:color="1F7FC4" w:sz="1"/>
              <w:left w:val="single" w:color="1F7FC4" w:sz="1"/>
              <w:bottom w:val="single" w:color="1F7FC4" w:sz="1"/>
              <w:right w:val="single" w:color="1F7FC4" w:sz="1"/>
            </w:tcBorders>
            <w:shd w:fill="D6E4F7" w:val="clear"/>
            <w:tcMar>
              <w:top w:type="dxa" w:w="80"/>
              <w:left w:type="dxa" w:w="120"/>
              <w:bottom w:type="dxa" w:w="80"/>
              <w:right w:type="dxa" w:w="120"/>
            </w:tcMar>
          </w:tcPr>
          <w:p>
            <w:pPr>
              <w:jc w:val="center"/>
            </w:pPr>
            <w:r>
              <w:rPr>
                <w:rFonts w:ascii="Calibri" w:cs="Calibri" w:eastAsia="Calibri" w:hAnsi="Calibri"/>
                <w:b/>
                <w:bCs/>
                <w:color w:val="1F3864"/>
                <w:sz w:val="18"/>
                <w:szCs w:val="18"/>
              </w:rPr>
              <w:t xml:space="preserve">This Dissertation</w:t>
            </w:r>
          </w:p>
        </w:tc>
        <w:tc>
          <w:tcPr>
            <w:tcW w:type="dxa" w:w="1300"/>
            <w:tcBorders>
              <w:top w:val="single" w:color="1F7FC4" w:sz="1"/>
              <w:left w:val="single" w:color="1F7FC4" w:sz="1"/>
              <w:bottom w:val="single" w:color="1F7FC4" w:sz="1"/>
              <w:right w:val="single" w:color="1F7FC4" w:sz="1"/>
            </w:tcBorders>
            <w:shd w:fill="D6E4F7" w:val="clear"/>
            <w:tcMar>
              <w:top w:type="dxa" w:w="80"/>
              <w:left w:type="dxa" w:w="120"/>
              <w:bottom w:type="dxa" w:w="80"/>
              <w:right w:type="dxa" w:w="120"/>
            </w:tcMar>
          </w:tcPr>
          <w:p>
            <w:pPr>
              <w:jc w:val="center"/>
            </w:pPr>
            <w:r>
              <w:rPr>
                <w:rFonts w:ascii="Calibri" w:cs="Calibri" w:eastAsia="Calibri" w:hAnsi="Calibri"/>
                <w:b/>
                <w:bCs/>
                <w:color w:val="1F3864"/>
                <w:sz w:val="18"/>
                <w:szCs w:val="18"/>
              </w:rPr>
              <w:t xml:space="preserve">All 5 paradigms</w:t>
            </w:r>
          </w:p>
        </w:tc>
        <w:tc>
          <w:tcPr>
            <w:tcW w:type="dxa" w:w="1200"/>
            <w:tcBorders>
              <w:top w:val="single" w:color="1F7FC4" w:sz="1"/>
              <w:left w:val="single" w:color="1F7FC4" w:sz="1"/>
              <w:bottom w:val="single" w:color="1F7FC4" w:sz="1"/>
              <w:right w:val="single" w:color="1F7FC4" w:sz="1"/>
            </w:tcBorders>
            <w:shd w:fill="D6E4F7" w:val="clear"/>
            <w:tcMar>
              <w:top w:type="dxa" w:w="80"/>
              <w:left w:type="dxa" w:w="120"/>
              <w:bottom w:type="dxa" w:w="80"/>
              <w:right w:type="dxa" w:w="120"/>
            </w:tcMar>
          </w:tcPr>
          <w:p>
            <w:pPr>
              <w:jc w:val="center"/>
            </w:pPr>
            <w:r>
              <w:rPr>
                <w:rFonts w:ascii="Calibri" w:cs="Calibri" w:eastAsia="Calibri" w:hAnsi="Calibri"/>
                <w:b/>
                <w:bCs/>
                <w:color w:val="1F3864"/>
                <w:sz w:val="18"/>
                <w:szCs w:val="18"/>
              </w:rPr>
              <w:t xml:space="preserve">Gov. schemes</w:t>
            </w:r>
          </w:p>
        </w:tc>
        <w:tc>
          <w:tcPr>
            <w:tcW w:type="dxa" w:w="1200"/>
            <w:tcBorders>
              <w:top w:val="single" w:color="1F7FC4" w:sz="1"/>
              <w:left w:val="single" w:color="1F7FC4" w:sz="1"/>
              <w:bottom w:val="single" w:color="1F7FC4" w:sz="1"/>
              <w:right w:val="single" w:color="1F7FC4" w:sz="1"/>
            </w:tcBorders>
            <w:shd w:fill="D6E4F7" w:val="clear"/>
            <w:tcMar>
              <w:top w:type="dxa" w:w="80"/>
              <w:left w:type="dxa" w:w="120"/>
              <w:bottom w:type="dxa" w:w="80"/>
              <w:right w:type="dxa" w:w="120"/>
            </w:tcMar>
          </w:tcPr>
          <w:p>
            <w:pPr>
              <w:jc w:val="center"/>
            </w:pPr>
            <w:r>
              <w:rPr>
                <w:rFonts w:ascii="Calibri" w:cs="Calibri" w:eastAsia="Calibri" w:hAnsi="Calibri"/>
                <w:b/>
                <w:bCs/>
                <w:color w:val="1F3864"/>
                <w:sz w:val="18"/>
                <w:szCs w:val="18"/>
              </w:rPr>
              <w:t xml:space="preserve">Yes</w:t>
            </w:r>
          </w:p>
        </w:tc>
        <w:tc>
          <w:tcPr>
            <w:tcW w:type="dxa" w:w="1200"/>
            <w:tcBorders>
              <w:top w:val="single" w:color="1F7FC4" w:sz="1"/>
              <w:left w:val="single" w:color="1F7FC4" w:sz="1"/>
              <w:bottom w:val="single" w:color="1F7FC4" w:sz="1"/>
              <w:right w:val="single" w:color="1F7FC4" w:sz="1"/>
            </w:tcBorders>
            <w:shd w:fill="D6E4F7" w:val="clear"/>
            <w:tcMar>
              <w:top w:type="dxa" w:w="80"/>
              <w:left w:type="dxa" w:w="120"/>
              <w:bottom w:type="dxa" w:w="80"/>
              <w:right w:type="dxa" w:w="120"/>
            </w:tcMar>
          </w:tcPr>
          <w:p>
            <w:pPr>
              <w:jc w:val="center"/>
            </w:pPr>
            <w:r>
              <w:rPr>
                <w:rFonts w:ascii="Calibri" w:cs="Calibri" w:eastAsia="Calibri" w:hAnsi="Calibri"/>
                <w:b/>
                <w:bCs/>
                <w:color w:val="1F3864"/>
                <w:sz w:val="18"/>
                <w:szCs w:val="18"/>
              </w:rPr>
              <w:t xml:space="preserve">Yes (6 types)</w:t>
            </w:r>
          </w:p>
        </w:tc>
        <w:tc>
          <w:tcPr>
            <w:tcW w:type="dxa" w:w="1100"/>
            <w:tcBorders>
              <w:top w:val="single" w:color="1F7FC4" w:sz="1"/>
              <w:left w:val="single" w:color="1F7FC4" w:sz="1"/>
              <w:bottom w:val="single" w:color="1F7FC4" w:sz="1"/>
              <w:right w:val="single" w:color="1F7FC4" w:sz="1"/>
            </w:tcBorders>
            <w:shd w:fill="D6E4F7" w:val="clear"/>
            <w:tcMar>
              <w:top w:type="dxa" w:w="80"/>
              <w:left w:type="dxa" w:w="120"/>
              <w:bottom w:type="dxa" w:w="80"/>
              <w:right w:type="dxa" w:w="120"/>
            </w:tcMar>
          </w:tcPr>
          <w:p>
            <w:pPr>
              <w:jc w:val="center"/>
            </w:pPr>
            <w:r>
              <w:rPr>
                <w:rFonts w:ascii="Calibri" w:cs="Calibri" w:eastAsia="Calibri" w:hAnsi="Calibri"/>
                <w:b/>
                <w:bCs/>
                <w:color w:val="1F3864"/>
                <w:sz w:val="18"/>
                <w:szCs w:val="18"/>
              </w:rPr>
              <w:t xml:space="preserve">Yes</w:t>
            </w:r>
          </w:p>
        </w:tc>
        <w:tc>
          <w:tcPr>
            <w:tcW w:type="dxa" w:w="1238"/>
            <w:tcBorders>
              <w:top w:val="single" w:color="1F7FC4" w:sz="1"/>
              <w:left w:val="single" w:color="1F7FC4" w:sz="1"/>
              <w:bottom w:val="single" w:color="1F7FC4" w:sz="1"/>
              <w:right w:val="single" w:color="1F7FC4" w:sz="1"/>
            </w:tcBorders>
            <w:shd w:fill="D6E4F7" w:val="clear"/>
            <w:tcMar>
              <w:top w:type="dxa" w:w="80"/>
              <w:left w:type="dxa" w:w="120"/>
              <w:bottom w:type="dxa" w:w="80"/>
              <w:right w:type="dxa" w:w="120"/>
            </w:tcMar>
          </w:tcPr>
          <w:p>
            <w:pPr>
              <w:jc w:val="center"/>
            </w:pPr>
            <w:r>
              <w:rPr>
                <w:rFonts w:ascii="Calibri" w:cs="Calibri" w:eastAsia="Calibri" w:hAnsi="Calibri"/>
                <w:b/>
                <w:bCs/>
                <w:color w:val="1F3864"/>
                <w:sz w:val="18"/>
                <w:szCs w:val="18"/>
              </w:rPr>
              <w:t xml:space="preserve">Yes</w:t>
            </w:r>
          </w:p>
        </w:tc>
      </w:tr>
    </w:tbl>
    <w:p>
      <w:pPr>
        <w:spacing w:after="200" w:before="60"/>
        <w:jc w:val="center"/>
      </w:pPr>
      <w:r>
        <w:rPr>
          <w:rFonts w:ascii="Calibri" w:cs="Calibri" w:eastAsia="Calibri" w:hAnsi="Calibri"/>
          <w:b/>
          <w:bCs/>
          <w:color w:val="555555"/>
          <w:sz w:val="19"/>
          <w:szCs w:val="19"/>
        </w:rPr>
        <w:t xml:space="preserve">Table 2.1: Literature Synthesis — Coverage Across Research Dimensions. The final row (shaded blue) represents this dissertation's unique contribution. No existing study achieves all-column coverage simultaneously.</w:t>
      </w:r>
    </w:p>
    <w:p>
      <w:pPr>
        <w:spacing w:after="200" w:before="0"/>
        <w:jc w:val="both"/>
      </w:pPr>
      <w:r>
        <w:rPr>
          <w:rFonts w:ascii="Calibri" w:cs="Calibri" w:eastAsia="Calibri" w:hAnsi="Calibri"/>
          <w:b w:val="false"/>
          <w:bCs w:val="false"/>
          <w:color w:val="1A1A1A"/>
          <w:sz w:val="22"/>
          <w:szCs w:val="22"/>
        </w:rPr>
        <w:t xml:space="preserve">The pattern is clear. No existing study puts all five retrieval paradigms inside a single shared pipeline with full end-to-end evaluation, query-type stratification, latency measurement, and explicit hallucination rate computation on a domain-specific corpus. This is the gap this dissertation fills.</w:t>
      </w:r>
    </w:p>
    <w:p>
      <w:r>
        <w:br w:type="page"/>
      </w:r>
    </w:p>
    <w:p>
      <w:pPr>
        <w:pStyle w:val="Heading1"/>
        <w:pBdr>
          <w:bottom w:val="single" w:color="2E5FA3" w:sz="6" w:space="4"/>
        </w:pBdr>
        <w:spacing w:after="160" w:before="400"/>
      </w:pPr>
      <w:r>
        <w:rPr>
          <w:rFonts w:ascii="Calibri" w:cs="Calibri" w:eastAsia="Calibri" w:hAnsi="Calibri"/>
          <w:b/>
          <w:bCs/>
          <w:color w:val="1F3864"/>
          <w:sz w:val="32"/>
          <w:szCs w:val="32"/>
        </w:rPr>
        <w:t xml:space="preserve">3.  Problem Statement, Research Gap, and Framework</w:t>
      </w:r>
    </w:p>
    <w:p>
      <w:pPr>
        <w:pStyle w:val="Heading2"/>
        <w:spacing w:after="120" w:before="300"/>
      </w:pPr>
      <w:r>
        <w:rPr>
          <w:rFonts w:ascii="Calibri" w:cs="Calibri" w:eastAsia="Calibri" w:hAnsi="Calibri"/>
          <w:b/>
          <w:bCs/>
          <w:color w:val="2E5FA3"/>
          <w:sz w:val="26"/>
          <w:szCs w:val="26"/>
        </w:rPr>
        <w:t xml:space="preserve">3.1  The Gap, Stated Precisely</w:t>
      </w:r>
    </w:p>
    <w:p>
      <w:pPr>
        <w:spacing w:after="160" w:before="0"/>
        <w:jc w:val="both"/>
      </w:pPr>
      <w:r>
        <w:rPr>
          <w:rFonts w:ascii="Calibri" w:cs="Calibri" w:eastAsia="Calibri" w:hAnsi="Calibri"/>
          <w:b w:val="false"/>
          <w:bCs w:val="false"/>
          <w:color w:val="1A1A1A"/>
          <w:sz w:val="22"/>
          <w:szCs w:val="22"/>
        </w:rPr>
        <w:t xml:space="preserve">Based on the literature reviewed in Chapter 2, the research gap can be stated with precision: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1F7FC4" w:sz="14"/>
              <w:bottom w:val="none"/>
              <w:right w:val="none"/>
            </w:tcBorders>
            <w:shd w:fill="D6E4F7" w:val="clear"/>
            <w:tcMar>
              <w:top w:type="dxa" w:w="160"/>
              <w:left w:type="dxa" w:w="300"/>
              <w:bottom w:type="dxa" w:w="160"/>
              <w:right w:type="dxa" w:w="300"/>
            </w:tcMar>
          </w:tcPr>
          <w:p>
            <w:r>
              <w:rPr>
                <w:rFonts w:ascii="Calibri" w:cs="Calibri" w:eastAsia="Calibri" w:hAnsi="Calibri"/>
                <w:color w:val="1F3864"/>
                <w:sz w:val="22"/>
                <w:szCs w:val="22"/>
              </w:rPr>
              <w:t xml:space="preserve">There is no controlled, end-to-end comparative study that evaluates BM25, FAISS-based dense retrieval, Graph RAG, Prompt-RAG, and a Hybrid BM25 + GraphRAG system within the same RAG pipeline, on the same domain-specific corpus, with retrieval and generation evaluated as separate stages, results stratified by query type, and latency and hallucination rate reported as primary metrics.</w:t>
            </w:r>
          </w:p>
        </w:tc>
      </w:tr>
    </w:tbl>
    <w:p>
      <w:pPr>
        <w:spacing w:after="120"/>
      </w:pPr>
    </w:p>
    <w:p>
      <w:pPr>
        <w:spacing w:after="160" w:before="0"/>
        <w:jc w:val="both"/>
      </w:pPr>
      <w:r>
        <w:rPr>
          <w:rFonts w:ascii="Calibri" w:cs="Calibri" w:eastAsia="Calibri" w:hAnsi="Calibri"/>
          <w:b w:val="false"/>
          <w:bCs w:val="false"/>
          <w:color w:val="1A1A1A"/>
          <w:sz w:val="22"/>
          <w:szCs w:val="22"/>
        </w:rPr>
        <w:t xml:space="preserve">This gap has three dimensions. The first is methodological: existing comparisons use different corpora, generators, and evaluation criteria, making results non-comparable. The second is analytical: aggregate metrics conceal the query-type variation that determines practical suitability. The third is practical: deployment considerations — latency, infrastructure cost, explainability, index maintenance — are treated as secondary in the literature.</w:t>
      </w:r>
    </w:p>
    <w:p>
      <w:pPr>
        <w:pStyle w:val="Heading2"/>
        <w:spacing w:after="120" w:before="300"/>
      </w:pPr>
      <w:r>
        <w:rPr>
          <w:rFonts w:ascii="Calibri" w:cs="Calibri" w:eastAsia="Calibri" w:hAnsi="Calibri"/>
          <w:b/>
          <w:bCs/>
          <w:color w:val="2E5FA3"/>
          <w:sz w:val="26"/>
          <w:szCs w:val="26"/>
        </w:rPr>
        <w:t xml:space="preserve">3.2  The Research Problem</w:t>
      </w:r>
    </w:p>
    <w:p>
      <w:pPr>
        <w:spacing w:after="160" w:before="0"/>
        <w:jc w:val="both"/>
      </w:pPr>
      <w:r>
        <w:rPr>
          <w:rFonts w:ascii="Calibri" w:cs="Calibri" w:eastAsia="Calibri" w:hAnsi="Calibri"/>
          <w:b w:val="false"/>
          <w:bCs w:val="false"/>
          <w:color w:val="1A1A1A"/>
          <w:sz w:val="22"/>
          <w:szCs w:val="22"/>
        </w:rPr>
        <w:t xml:space="preserve">The core problem is not identifying which retrieval system scores highest on an aggregate benchmark. The more useful question is: given a specific domain corpus, a specific query type distribution, and specific infrastructure constraints, which retrieval strategy is the right choice and why? This dissertation operationalises that question through a controlled experiment — five systems share a common corpus, answer the same questions, and are evaluated by the same metrics. The results are analysed by query type, by metric, and by the infrastructure profile each system requires.</w:t>
      </w:r>
    </w:p>
    <w:p>
      <w:pPr>
        <w:spacing w:after="160" w:before="0"/>
        <w:jc w:val="both"/>
      </w:pPr>
      <w:r>
        <w:rPr>
          <w:rFonts w:ascii="Calibri" w:cs="Calibri" w:eastAsia="Calibri" w:hAnsi="Calibri"/>
          <w:b w:val="false"/>
          <w:bCs w:val="false"/>
          <w:color w:val="1A1A1A"/>
          <w:sz w:val="22"/>
          <w:szCs w:val="22"/>
        </w:rPr>
        <w:t xml:space="preserve">The research problem connects to three bodies of concern. Academically, the RAG evaluation literature lacks a controlled within-system comparison that isolates retrieval as the independent variable. Practically, domain-specific RAG builders need evidence-based guidance that their domain conditions may differ from the open-domain benchmarks that dominate the literature. From an infrastructure perspective, dense retrieval is often deployed without analysis of whether its GPU requirements are justified. For state government agencies in India deploying welfare scheme guidance systems, the cost of unnecessary GPU infrastructure is not trivial.</w:t>
      </w:r>
    </w:p>
    <w:p>
      <w:pPr>
        <w:pStyle w:val="Heading2"/>
        <w:spacing w:after="120" w:before="300"/>
      </w:pPr>
      <w:r>
        <w:rPr>
          <w:rFonts w:ascii="Calibri" w:cs="Calibri" w:eastAsia="Calibri" w:hAnsi="Calibri"/>
          <w:b/>
          <w:bCs/>
          <w:color w:val="2E5FA3"/>
          <w:sz w:val="26"/>
          <w:szCs w:val="26"/>
        </w:rPr>
        <w:t xml:space="preserve">3.3  Query Categorisation Framework</w:t>
      </w:r>
    </w:p>
    <w:p>
      <w:pPr>
        <w:spacing w:after="100" w:before="0"/>
        <w:jc w:val="both"/>
      </w:pPr>
      <w:r>
        <w:rPr>
          <w:rFonts w:ascii="Calibri" w:cs="Calibri" w:eastAsia="Calibri" w:hAnsi="Calibri"/>
          <w:b w:val="false"/>
          <w:bCs w:val="false"/>
          <w:color w:val="1A1A1A"/>
          <w:sz w:val="22"/>
          <w:szCs w:val="22"/>
        </w:rPr>
        <w:t xml:space="preserve">A central design decision is the stratification of the evaluation QA dataset into six query categories. The framework is motivated by Han et al. [11] and reinforced by Cuconasu et al. [1-a]: aggregate retrieval metrics conceal substantial per-query-type variation. A system achieving MRR@5 = 0.72 in aggregate may achieve 0.91 on exact lookup and 0.43 on multi-hop queries. Reporting only the aggregate gives a practitioner no useful information about which system to choose for a primarily multi-hop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038"/>
      </w:tblGrid>
      <w:tr>
        <w:tc>
          <w:tcPr>
            <w:tcW w:type="dxa" w:w="14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Category</w:t>
            </w:r>
          </w:p>
        </w:tc>
        <w:tc>
          <w:tcPr>
            <w:tcW w:type="dxa" w:w="24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Description</w:t>
            </w:r>
          </w:p>
        </w:tc>
        <w:tc>
          <w:tcPr>
            <w:tcW w:type="dxa" w:w="24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Example Query</w:t>
            </w:r>
          </w:p>
        </w:tc>
        <w:tc>
          <w:tcPr>
            <w:tcW w:type="dxa" w:w="3038"/>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Expected Advantage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Exact Lookup</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Answer is a specific value stated verbatim in one chunk.</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What is the annual benefit amount under PM-KISAN?</w:t>
            </w:r>
          </w:p>
        </w:tc>
        <w:tc>
          <w:tcPr>
            <w:tcW w:type="dxa" w:w="3038"/>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BM25 ≥ FAISS &gt; Graph RAG</w:t>
            </w:r>
          </w:p>
        </w:tc>
      </w:tr>
      <w:tr>
        <w:tc>
          <w:tcPr>
            <w:tcW w:type="dxa" w:w="1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Terminology-Sensitive</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Query uses exact domain terminology from the document.</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What are the eligibility criteria for PMJAY?</w:t>
            </w:r>
          </w:p>
        </w:tc>
        <w:tc>
          <w:tcPr>
            <w:tcW w:type="dxa" w:w="303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BM25 ≈ FAISS; Graph RAG neutral</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Paraphrase-Semantic</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Query vocabulary differs from source but means the same.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Which programme gives money to cultivators every four months?</w:t>
            </w:r>
          </w:p>
        </w:tc>
        <w:tc>
          <w:tcPr>
            <w:tcW w:type="dxa" w:w="3038"/>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FAISS &gt; BM25; Graph neutral</w:t>
            </w:r>
          </w:p>
        </w:tc>
      </w:tr>
      <w:tr>
        <w:tc>
          <w:tcPr>
            <w:tcW w:type="dxa" w:w="1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Entity-Relation</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Answer requires linking two named entities in same or adjacent chunks.</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What documents does a PM-KISAN applicant need?</w:t>
            </w:r>
          </w:p>
        </w:tc>
        <w:tc>
          <w:tcPr>
            <w:tcW w:type="dxa" w:w="303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Graph RAG competitive; Hybrid strong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Multi-Hop Reasoning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Answer requires traversing two or more entity relationships in sequence.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Which schemes cover drought-district farmers below Rs. 1.5L income?</w:t>
            </w:r>
          </w:p>
        </w:tc>
        <w:tc>
          <w:tcPr>
            <w:tcW w:type="dxa" w:w="3038"/>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Graph RAG advantage; BM25/FAISS likely fail</w:t>
            </w:r>
          </w:p>
        </w:tc>
      </w:tr>
      <w:tr>
        <w:tc>
          <w:tcPr>
            <w:tcW w:type="dxa" w:w="1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Synthesis</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Answer requires aggregating information across multiple schemes/chunks.</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What are the main documentation requirements across central schemes?</w:t>
            </w:r>
          </w:p>
        </w:tc>
        <w:tc>
          <w:tcPr>
            <w:tcW w:type="dxa" w:w="303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Prompt-RAG; Hybrid; all retrievers challenged</w:t>
            </w:r>
          </w:p>
        </w:tc>
      </w:tr>
    </w:tbl>
    <w:p>
      <w:pPr>
        <w:spacing w:after="200" w:before="60"/>
        <w:jc w:val="center"/>
      </w:pPr>
      <w:r>
        <w:rPr>
          <w:rFonts w:ascii="Calibri" w:cs="Calibri" w:eastAsia="Calibri" w:hAnsi="Calibri"/>
          <w:b/>
          <w:bCs/>
          <w:color w:val="555555"/>
          <w:sz w:val="19"/>
          <w:szCs w:val="19"/>
        </w:rPr>
        <w:t xml:space="preserve">Table 3.1: Query Categorisation Framework. Each category tests a different retrieval challenge present in the government schemes corpus.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F7FC4" w:sz="4"/>
              <w:left w:val="single" w:color="1F7FC4" w:sz="4"/>
              <w:bottom w:val="single" w:color="1F7FC4" w:sz="4"/>
              <w:right w:val="single" w:color="1F7FC4" w:sz="4"/>
            </w:tcBorders>
            <w:shd w:fill="FAFBFC" w:val="clear"/>
            <w:tcMar>
              <w:top w:type="dxa" w:w="160"/>
              <w:left w:type="dxa" w:w="240"/>
              <w:bottom w:type="dxa" w:w="160"/>
              <w:right w:type="dxa" w:w="240"/>
            </w:tcMar>
          </w:tcPr>
          <w:p>
            <w:pPr>
              <w:spacing w:after="100"/>
            </w:pPr>
            <w:r>
              <w:rPr>
                <w:rFonts w:ascii="Calibri" w:cs="Calibri" w:eastAsia="Calibri" w:hAnsi="Calibri"/>
                <w:b/>
                <w:bCs/>
                <w:color w:val="1F3864"/>
                <w:sz w:val="20"/>
                <w:szCs w:val="20"/>
              </w:rPr>
              <w:t xml:space="preserve">Figure 5: Expected performance profile by query category</w:t>
            </w:r>
          </w:p>
          <w:p>
            <w:pPr>
              <w:spacing w:after="16"/>
            </w:pPr>
            <w:r>
              <w:rPr>
                <w:rFonts w:ascii="Courier New" w:cs="Courier New" w:eastAsia="Courier New" w:hAnsi="Courier New"/>
                <w:color w:val="1A1A1A"/>
                <w:sz w:val="17"/>
                <w:szCs w:val="17"/>
              </w:rPr>
              <w:t xml:space="preserve">EXPECTED RETRIEVAL PERFORMANCE BY QUERY CATEGORY</w:t>
            </w:r>
          </w:p>
          <w:p>
            <w:pPr>
              <w:spacing w:after="16"/>
            </w:pPr>
            <w:r>
              <w:rPr>
                <w:rFonts w:ascii="Courier New" w:cs="Courier New" w:eastAsia="Courier New" w:hAnsi="Courier New"/>
                <w:color w:val="1A1A1A"/>
                <w:sz w:val="17"/>
                <w:szCs w:val="17"/>
              </w:rPr>
              <w:t xml:space="preserve">(Illustrative, Pre-Experimental — based on H1–H5 and Chapter 2 literature)</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Query Category          FAISS    BM25    GraphRAG   Prompt    Hybrid</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Exact Lookup            ●●●      ●●●●    ●●         ●●●       ●●●●</w:t>
            </w:r>
          </w:p>
          <w:p>
            <w:pPr>
              <w:spacing w:after="16"/>
            </w:pPr>
            <w:r>
              <w:rPr>
                <w:rFonts w:ascii="Courier New" w:cs="Courier New" w:eastAsia="Courier New" w:hAnsi="Courier New"/>
                <w:color w:val="1A1A1A"/>
                <w:sz w:val="17"/>
                <w:szCs w:val="17"/>
              </w:rPr>
              <w:t xml:space="preserve">  Terminology-Sensitive   ●●●      ●●●●    ●●●        ●●●       ●●●●</w:t>
            </w:r>
          </w:p>
          <w:p>
            <w:pPr>
              <w:spacing w:after="16"/>
            </w:pPr>
            <w:r>
              <w:rPr>
                <w:rFonts w:ascii="Courier New" w:cs="Courier New" w:eastAsia="Courier New" w:hAnsi="Courier New"/>
                <w:color w:val="1A1A1A"/>
                <w:sz w:val="17"/>
                <w:szCs w:val="17"/>
              </w:rPr>
              <w:t xml:space="preserve">  Paraphrase-Semantic     ●●●●     ●●      ●●         ●●●       ●●●</w:t>
            </w:r>
          </w:p>
          <w:p>
            <w:pPr>
              <w:spacing w:after="16"/>
            </w:pPr>
            <w:r>
              <w:rPr>
                <w:rFonts w:ascii="Courier New" w:cs="Courier New" w:eastAsia="Courier New" w:hAnsi="Courier New"/>
                <w:color w:val="1A1A1A"/>
                <w:sz w:val="17"/>
                <w:szCs w:val="17"/>
              </w:rPr>
              <w:t xml:space="preserve">  Entity-Relation         ●●       ●●      ●●●●       ●●●       ●●●●</w:t>
            </w:r>
          </w:p>
          <w:p>
            <w:pPr>
              <w:spacing w:after="16"/>
            </w:pPr>
            <w:r>
              <w:rPr>
                <w:rFonts w:ascii="Courier New" w:cs="Courier New" w:eastAsia="Courier New" w:hAnsi="Courier New"/>
                <w:color w:val="1A1A1A"/>
                <w:sz w:val="17"/>
                <w:szCs w:val="17"/>
              </w:rPr>
              <w:t xml:space="preserve">  Multi-Hop               ●        ●       ●●●●       ●●●       ●●●●</w:t>
            </w:r>
          </w:p>
          <w:p>
            <w:pPr>
              <w:spacing w:after="16"/>
            </w:pPr>
            <w:r>
              <w:rPr>
                <w:rFonts w:ascii="Courier New" w:cs="Courier New" w:eastAsia="Courier New" w:hAnsi="Courier New"/>
                <w:color w:val="1A1A1A"/>
                <w:sz w:val="17"/>
                <w:szCs w:val="17"/>
              </w:rPr>
              <w:t xml:space="preserve">  Synthesis               ●●       ●●      ●●●        ●●●●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Low  ●● Moderate  ●●● Good  ●●●● Strong</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These predictions will be confirmed, disconfirmed, or nuanced by</w:t>
            </w:r>
          </w:p>
          <w:p>
            <w:pPr>
              <w:spacing w:after="16"/>
            </w:pPr>
            <w:r>
              <w:rPr>
                <w:rFonts w:ascii="Courier New" w:cs="Courier New" w:eastAsia="Courier New" w:hAnsi="Courier New"/>
                <w:color w:val="1A1A1A"/>
                <w:sz w:val="17"/>
                <w:szCs w:val="17"/>
              </w:rPr>
              <w:t xml:space="preserve">  the actual experimental results in the final dissertation (Aug 2026).</w:t>
            </w:r>
          </w:p>
        </w:tc>
      </w:tr>
    </w:tbl>
    <w:p>
      <w:pPr>
        <w:spacing w:after="220" w:before="60"/>
        <w:jc w:val="center"/>
      </w:pPr>
      <w:r>
        <w:rPr>
          <w:rFonts w:ascii="Calibri" w:cs="Calibri" w:eastAsia="Calibri" w:hAnsi="Calibri"/>
          <w:b/>
          <w:bCs/>
          <w:color w:val="555555"/>
          <w:sz w:val="19"/>
          <w:szCs w:val="19"/>
        </w:rPr>
        <w:t xml:space="preserve">Figure 5: </w:t>
      </w:r>
      <w:r>
        <w:rPr>
          <w:rFonts w:ascii="Calibri" w:cs="Calibri" w:eastAsia="Calibri" w:hAnsi="Calibri"/>
          <w:color w:val="555555"/>
          <w:sz w:val="19"/>
          <w:szCs w:val="19"/>
        </w:rPr>
        <w:t xml:space="preserve">Pre-experimental performance predictions derived from H1–H5 and the literature reviewed in Chapter 2. Actual results will update this profile.</w:t>
      </w:r>
    </w:p>
    <w:p>
      <w:pPr>
        <w:pStyle w:val="Heading2"/>
        <w:spacing w:after="120" w:before="300"/>
      </w:pPr>
      <w:r>
        <w:rPr>
          <w:rFonts w:ascii="Calibri" w:cs="Calibri" w:eastAsia="Calibri" w:hAnsi="Calibri"/>
          <w:b/>
          <w:bCs/>
          <w:color w:val="2E5FA3"/>
          <w:sz w:val="26"/>
          <w:szCs w:val="26"/>
        </w:rPr>
        <w:t xml:space="preserve">3.4  Retrieval Strategy Selection Framework</w:t>
      </w:r>
    </w:p>
    <w:p>
      <w:pPr>
        <w:spacing w:after="160" w:before="0"/>
        <w:jc w:val="both"/>
      </w:pPr>
      <w:r>
        <w:rPr>
          <w:rFonts w:ascii="Calibri" w:cs="Calibri" w:eastAsia="Calibri" w:hAnsi="Calibri"/>
          <w:b w:val="false"/>
          <w:bCs w:val="false"/>
          <w:color w:val="1A1A1A"/>
          <w:sz w:val="22"/>
          <w:szCs w:val="22"/>
        </w:rPr>
        <w:t xml:space="preserve">The Retrieval Strategy Selection Framework is the applied output of this dissertation. Its structure is defined here, prior to experimentation, so that the experimental design produces data that directly populates it. The framework operates on four decision dimensions: query type distribution, corpus structure, infrastructure constraints, and explainability requirements.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F7FC4" w:sz="4"/>
              <w:left w:val="single" w:color="1F7FC4" w:sz="4"/>
              <w:bottom w:val="single" w:color="1F7FC4" w:sz="4"/>
              <w:right w:val="single" w:color="1F7FC4" w:sz="4"/>
            </w:tcBorders>
            <w:shd w:fill="FAFBFC" w:val="clear"/>
            <w:tcMar>
              <w:top w:type="dxa" w:w="160"/>
              <w:left w:type="dxa" w:w="240"/>
              <w:bottom w:type="dxa" w:w="160"/>
              <w:right w:type="dxa" w:w="240"/>
            </w:tcMar>
          </w:tcPr>
          <w:p>
            <w:pPr>
              <w:spacing w:after="100"/>
            </w:pPr>
            <w:r>
              <w:rPr>
                <w:rFonts w:ascii="Calibri" w:cs="Calibri" w:eastAsia="Calibri" w:hAnsi="Calibri"/>
                <w:b/>
                <w:bCs/>
                <w:color w:val="1F3864"/>
                <w:sz w:val="20"/>
                <w:szCs w:val="20"/>
              </w:rPr>
              <w:t xml:space="preserve">Figure 6: Retrieval Strategy Selection Framework</w:t>
            </w:r>
          </w:p>
          <w:p>
            <w:pPr>
              <w:spacing w:after="16"/>
            </w:pPr>
            <w:r>
              <w:rPr>
                <w:rFonts w:ascii="Courier New" w:cs="Courier New" w:eastAsia="Courier New" w:hAnsi="Courier New"/>
                <w:color w:val="1A1A1A"/>
                <w:sz w:val="17"/>
                <w:szCs w:val="17"/>
              </w:rPr>
              <w:t xml:space="preserve">RETRIEVAL STRATEGY SELECTION FRAMEWORK</w:t>
            </w:r>
          </w:p>
          <w:p>
            <w:pPr>
              <w:spacing w:after="16"/>
            </w:pPr>
            <w:r>
              <w:rPr>
                <w:rFonts w:ascii="Courier New" w:cs="Courier New" w:eastAsia="Courier New" w:hAnsi="Courier New"/>
                <w:color w:val="1A1A1A"/>
                <w:sz w:val="17"/>
                <w:szCs w:val="17"/>
              </w:rPr>
              <w:t xml:space="preserve">────────────────────────────────────────────────────────────────────</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STEP 1 — Infrastructure Filter (hard constraints; eliminates options first)</w:t>
            </w:r>
          </w:p>
          <w:p>
            <w:pPr>
              <w:spacing w:after="16"/>
            </w:pPr>
            <w:r>
              <w:rPr>
                <w:rFonts w:ascii="Courier New" w:cs="Courier New" w:eastAsia="Courier New" w:hAnsi="Courier New"/>
                <w:color w:val="1A1A1A"/>
                <w:sz w:val="17"/>
                <w:szCs w:val="17"/>
              </w:rPr>
              <w:t xml:space="preserve">    ├─ No GPU available?</w:t>
            </w:r>
          </w:p>
          <w:p>
            <w:pPr>
              <w:spacing w:after="16"/>
            </w:pPr>
            <w:r>
              <w:rPr>
                <w:rFonts w:ascii="Courier New" w:cs="Courier New" w:eastAsia="Courier New" w:hAnsi="Courier New"/>
                <w:color w:val="1A1A1A"/>
                <w:sz w:val="17"/>
                <w:szCs w:val="17"/>
              </w:rPr>
              <w:t xml:space="preserve">    │    → Eliminate FAISS, or accept 5–15× CPU latency penalty</w:t>
            </w:r>
          </w:p>
          <w:p>
            <w:pPr>
              <w:spacing w:after="16"/>
            </w:pPr>
            <w:r>
              <w:rPr>
                <w:rFonts w:ascii="Courier New" w:cs="Courier New" w:eastAsia="Courier New" w:hAnsi="Courier New"/>
                <w:color w:val="1A1A1A"/>
                <w:sz w:val="17"/>
                <w:szCs w:val="17"/>
              </w:rPr>
              <w:t xml:space="preserve">    ├─ Latency budget &lt; 500ms per query?</w:t>
            </w:r>
          </w:p>
          <w:p>
            <w:pPr>
              <w:spacing w:after="16"/>
            </w:pPr>
            <w:r>
              <w:rPr>
                <w:rFonts w:ascii="Courier New" w:cs="Courier New" w:eastAsia="Courier New" w:hAnsi="Courier New"/>
                <w:color w:val="1A1A1A"/>
                <w:sz w:val="17"/>
                <w:szCs w:val="17"/>
              </w:rPr>
              <w:t xml:space="preserve">    │    → Eliminate standalone Graph RAG</w:t>
            </w:r>
          </w:p>
          <w:p>
            <w:pPr>
              <w:spacing w:after="16"/>
            </w:pPr>
            <w:r>
              <w:rPr>
                <w:rFonts w:ascii="Courier New" w:cs="Courier New" w:eastAsia="Courier New" w:hAnsi="Courier New"/>
                <w:color w:val="1A1A1A"/>
                <w:sz w:val="17"/>
                <w:szCs w:val="17"/>
              </w:rPr>
              <w:t xml:space="preserve">    ├─ Corpus updates daily or more frequently?</w:t>
            </w:r>
          </w:p>
          <w:p>
            <w:pPr>
              <w:spacing w:after="16"/>
            </w:pPr>
            <w:r>
              <w:rPr>
                <w:rFonts w:ascii="Courier New" w:cs="Courier New" w:eastAsia="Courier New" w:hAnsi="Courier New"/>
                <w:color w:val="1A1A1A"/>
                <w:sz w:val="17"/>
                <w:szCs w:val="17"/>
              </w:rPr>
              <w:t xml:space="preserve">    │    → Prefer BM25 (index rebuild: seconds) over FAISS (minutes)</w:t>
            </w:r>
          </w:p>
          <w:p>
            <w:pPr>
              <w:spacing w:after="16"/>
            </w:pPr>
            <w:r>
              <w:rPr>
                <w:rFonts w:ascii="Courier New" w:cs="Courier New" w:eastAsia="Courier New" w:hAnsi="Courier New"/>
                <w:color w:val="1A1A1A"/>
                <w:sz w:val="17"/>
                <w:szCs w:val="17"/>
              </w:rPr>
              <w:t xml:space="preserve">    └─ Explainability required (cited evidence, traceable paths)?</w:t>
            </w:r>
          </w:p>
          <w:p>
            <w:pPr>
              <w:spacing w:after="16"/>
            </w:pPr>
            <w:r>
              <w:rPr>
                <w:rFonts w:ascii="Courier New" w:cs="Courier New" w:eastAsia="Courier New" w:hAnsi="Courier New"/>
                <w:color w:val="1A1A1A"/>
                <w:sz w:val="17"/>
                <w:szCs w:val="17"/>
              </w:rPr>
              <w:t xml:space="preserve">         → Prefer BM25 (term matching) or Graph RAG (path traversal)</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STEP 2 — Query Distribution Analysis</w:t>
            </w:r>
          </w:p>
          <w:p>
            <w:pPr>
              <w:spacing w:after="16"/>
            </w:pPr>
            <w:r>
              <w:rPr>
                <w:rFonts w:ascii="Courier New" w:cs="Courier New" w:eastAsia="Courier New" w:hAnsi="Courier New"/>
                <w:color w:val="1A1A1A"/>
                <w:sz w:val="17"/>
                <w:szCs w:val="17"/>
              </w:rPr>
              <w:t xml:space="preserve">    ├─ &gt;50% exact lookup + terminology → BM25 likely sufficient</w:t>
            </w:r>
          </w:p>
          <w:p>
            <w:pPr>
              <w:spacing w:after="16"/>
            </w:pPr>
            <w:r>
              <w:rPr>
                <w:rFonts w:ascii="Courier New" w:cs="Courier New" w:eastAsia="Courier New" w:hAnsi="Courier New"/>
                <w:color w:val="1A1A1A"/>
                <w:sz w:val="17"/>
                <w:szCs w:val="17"/>
              </w:rPr>
              <w:t xml:space="preserve">    ├─ &gt;30% paraphrase-semantic        → FAISS or Hybrid</w:t>
            </w:r>
          </w:p>
          <w:p>
            <w:pPr>
              <w:spacing w:after="16"/>
            </w:pPr>
            <w:r>
              <w:rPr>
                <w:rFonts w:ascii="Courier New" w:cs="Courier New" w:eastAsia="Courier New" w:hAnsi="Courier New"/>
                <w:color w:val="1A1A1A"/>
                <w:sz w:val="17"/>
                <w:szCs w:val="17"/>
              </w:rPr>
              <w:t xml:space="preserve">    ├─ &gt;20% multi-hop or entity-rel    → GraphRAG component needed</w:t>
            </w:r>
          </w:p>
          <w:p>
            <w:pPr>
              <w:spacing w:after="16"/>
            </w:pPr>
            <w:r>
              <w:rPr>
                <w:rFonts w:ascii="Courier New" w:cs="Courier New" w:eastAsia="Courier New" w:hAnsi="Courier New"/>
                <w:color w:val="1A1A1A"/>
                <w:sz w:val="17"/>
                <w:szCs w:val="17"/>
              </w:rPr>
              <w:t xml:space="preserve">    ├─ &gt;20% synthesis                  → Prompt-RAG or Hybrid</w:t>
            </w:r>
          </w:p>
          <w:p>
            <w:pPr>
              <w:spacing w:after="16"/>
            </w:pPr>
            <w:r>
              <w:rPr>
                <w:rFonts w:ascii="Courier New" w:cs="Courier New" w:eastAsia="Courier New" w:hAnsi="Courier New"/>
                <w:color w:val="1A1A1A"/>
                <w:sz w:val="17"/>
                <w:szCs w:val="17"/>
              </w:rPr>
              <w:t xml:space="preserve">    └─ Mixed distribution              → Hybrid BM25 + GraphRAG + RRF</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STEP 3 — Corpus Structure Assessment</w:t>
            </w:r>
          </w:p>
          <w:p>
            <w:pPr>
              <w:spacing w:after="16"/>
            </w:pPr>
            <w:r>
              <w:rPr>
                <w:rFonts w:ascii="Courier New" w:cs="Courier New" w:eastAsia="Courier New" w:hAnsi="Courier New"/>
                <w:color w:val="1A1A1A"/>
                <w:sz w:val="17"/>
                <w:szCs w:val="17"/>
              </w:rPr>
              <w:t xml:space="preserve">    ├─ Rich entity relations across chunks?</w:t>
            </w:r>
          </w:p>
          <w:p>
            <w:pPr>
              <w:spacing w:after="16"/>
            </w:pPr>
            <w:r>
              <w:rPr>
                <w:rFonts w:ascii="Courier New" w:cs="Courier New" w:eastAsia="Courier New" w:hAnsi="Courier New"/>
                <w:color w:val="1A1A1A"/>
                <w:sz w:val="17"/>
                <w:szCs w:val="17"/>
              </w:rPr>
              <w:t xml:space="preserve">    │    Yes → GraphRAG component strongly recommended</w:t>
            </w:r>
          </w:p>
          <w:p>
            <w:pPr>
              <w:spacing w:after="16"/>
            </w:pPr>
            <w:r>
              <w:rPr>
                <w:rFonts w:ascii="Courier New" w:cs="Courier New" w:eastAsia="Courier New" w:hAnsi="Courier New"/>
                <w:color w:val="1A1A1A"/>
                <w:sz w:val="17"/>
                <w:szCs w:val="17"/>
              </w:rPr>
              <w:t xml:space="preserve">    │    No  → GraphRAG advantage minimal; BM25 or FAISS sufficient</w:t>
            </w:r>
          </w:p>
          <w:p>
            <w:pPr>
              <w:spacing w:after="16"/>
            </w:pPr>
            <w:r>
              <w:rPr>
                <w:rFonts w:ascii="Courier New" w:cs="Courier New" w:eastAsia="Courier New" w:hAnsi="Courier New"/>
                <w:color w:val="1A1A1A"/>
                <w:sz w:val="17"/>
                <w:szCs w:val="17"/>
              </w:rPr>
              <w:t xml:space="preserve">    └─ Consistent precise domain terminology?</w:t>
            </w:r>
          </w:p>
          <w:p>
            <w:pPr>
              <w:spacing w:after="16"/>
            </w:pPr>
            <w:r>
              <w:rPr>
                <w:rFonts w:ascii="Courier New" w:cs="Courier New" w:eastAsia="Courier New" w:hAnsi="Courier New"/>
                <w:color w:val="1A1A1A"/>
                <w:sz w:val="17"/>
                <w:szCs w:val="17"/>
              </w:rPr>
              <w:t xml:space="preserve">         Yes → BM25 advantage on keyword queries confirmed</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STEP 4 — Final Recommendation Map</w:t>
            </w:r>
          </w:p>
          <w:p>
            <w:pPr>
              <w:spacing w:after="16"/>
            </w:pPr>
            <w:r>
              <w:rPr>
                <w:rFonts w:ascii="Courier New" w:cs="Courier New" w:eastAsia="Courier New" w:hAnsi="Courier New"/>
                <w:color w:val="1A1A1A"/>
                <w:sz w:val="17"/>
                <w:szCs w:val="17"/>
              </w:rPr>
              <w:t xml:space="preserve">    ├─ All pass + mixed queries + relational corpus → Hybrid (BM25+Graph, RRF)</w:t>
            </w:r>
          </w:p>
          <w:p>
            <w:pPr>
              <w:spacing w:after="16"/>
            </w:pPr>
            <w:r>
              <w:rPr>
                <w:rFonts w:ascii="Courier New" w:cs="Courier New" w:eastAsia="Courier New" w:hAnsi="Courier New"/>
                <w:color w:val="1A1A1A"/>
                <w:sz w:val="17"/>
                <w:szCs w:val="17"/>
              </w:rPr>
              <w:t xml:space="preserve">    ├─ No GPU + exact queries + frequent updates   → BM25</w:t>
            </w:r>
          </w:p>
          <w:p>
            <w:pPr>
              <w:spacing w:after="16"/>
            </w:pPr>
            <w:r>
              <w:rPr>
                <w:rFonts w:ascii="Courier New" w:cs="Courier New" w:eastAsia="Courier New" w:hAnsi="Courier New"/>
                <w:color w:val="1A1A1A"/>
                <w:sz w:val="17"/>
                <w:szCs w:val="17"/>
              </w:rPr>
              <w:t xml:space="preserve">    ├─ GPU available + paraphrase + static corpus  → FAISS</w:t>
            </w:r>
          </w:p>
          <w:p>
            <w:pPr>
              <w:spacing w:after="16"/>
            </w:pPr>
            <w:r>
              <w:rPr>
                <w:rFonts w:ascii="Courier New" w:cs="Courier New" w:eastAsia="Courier New" w:hAnsi="Courier New"/>
                <w:color w:val="1A1A1A"/>
                <w:sz w:val="17"/>
                <w:szCs w:val="17"/>
              </w:rPr>
              <w:t xml:space="preserve">    └─ Constrained infra + transparency required  → Prompt-RAG + BM25 filter</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Note: Percentage thresholds in Step 2 will be updated with empirical</w:t>
            </w:r>
          </w:p>
          <w:p>
            <w:pPr>
              <w:spacing w:after="16"/>
            </w:pPr>
            <w:r>
              <w:rPr>
                <w:rFonts w:ascii="Courier New" w:cs="Courier New" w:eastAsia="Courier New" w:hAnsi="Courier New"/>
                <w:color w:val="1A1A1A"/>
                <w:sz w:val="17"/>
                <w:szCs w:val="17"/>
              </w:rPr>
              <w:t xml:space="preserve">  values from experimental results in the final dissertation.</w:t>
            </w:r>
          </w:p>
        </w:tc>
      </w:tr>
    </w:tbl>
    <w:p>
      <w:pPr>
        <w:spacing w:after="220" w:before="60"/>
        <w:jc w:val="center"/>
      </w:pPr>
      <w:r>
        <w:rPr>
          <w:rFonts w:ascii="Calibri" w:cs="Calibri" w:eastAsia="Calibri" w:hAnsi="Calibri"/>
          <w:b/>
          <w:bCs/>
          <w:color w:val="555555"/>
          <w:sz w:val="19"/>
          <w:szCs w:val="19"/>
        </w:rPr>
        <w:t xml:space="preserve">Figure 6: </w:t>
      </w:r>
      <w:r>
        <w:rPr>
          <w:rFonts w:ascii="Calibri" w:cs="Calibri" w:eastAsia="Calibri" w:hAnsi="Calibri"/>
          <w:color w:val="555555"/>
          <w:sz w:val="19"/>
          <w:szCs w:val="19"/>
        </w:rPr>
        <w:t xml:space="preserve">Pre-defined decision framework structure. Empirical thresholds from experimental results will populate the percentage boundaries in Step 2.</w:t>
      </w:r>
    </w:p>
    <w:p>
      <w:pPr>
        <w:pStyle w:val="Heading2"/>
        <w:spacing w:after="120" w:before="300"/>
      </w:pPr>
      <w:r>
        <w:rPr>
          <w:rFonts w:ascii="Calibri" w:cs="Calibri" w:eastAsia="Calibri" w:hAnsi="Calibri"/>
          <w:b/>
          <w:bCs/>
          <w:color w:val="2E5FA3"/>
          <w:sz w:val="26"/>
          <w:szCs w:val="26"/>
        </w:rPr>
        <w:t xml:space="preserve">3.5  Threats to Validity</w:t>
      </w:r>
    </w:p>
    <w:p>
      <w:pPr>
        <w:spacing w:after="160" w:before="0"/>
        <w:jc w:val="both"/>
      </w:pPr>
      <w:r>
        <w:rPr>
          <w:rFonts w:ascii="Calibri" w:cs="Calibri" w:eastAsia="Calibri" w:hAnsi="Calibri"/>
          <w:b w:val="false"/>
          <w:bCs w:val="false"/>
          <w:color w:val="1A1A1A"/>
          <w:sz w:val="22"/>
          <w:szCs w:val="22"/>
        </w:rPr>
        <w:t xml:space="preserve">Acknowledging threats to validity honestly is a sign of rigorous research. Four threats are relevant here.</w:t>
      </w:r>
    </w:p>
    <w:p>
      <w:pPr>
        <w:spacing w:after="60"/>
      </w:pPr>
    </w:p>
    <w:p>
      <w:pPr>
        <w:spacing w:after="160" w:before="0"/>
        <w:jc w:val="both"/>
      </w:pPr>
      <w:r>
        <w:rPr>
          <w:rFonts w:ascii="Calibri" w:cs="Calibri" w:eastAsia="Calibri" w:hAnsi="Calibri"/>
          <w:b/>
          <w:bCs/>
          <w:color w:val="1A1A1A"/>
          <w:sz w:val="22"/>
          <w:szCs w:val="22"/>
        </w:rPr>
        <w:t xml:space="preserve">Threat 1 — Corpus representativeness. </w:t>
      </w:r>
      <w:r>
        <w:rPr>
          <w:rFonts w:ascii="Calibri" w:cs="Calibri" w:eastAsia="Calibri" w:hAnsi="Calibri"/>
          <w:color w:val="1A1A1A"/>
          <w:sz w:val="22"/>
          <w:szCs w:val="22"/>
        </w:rPr>
        <w:t xml:space="preserve">The corpus is drawn from three public sources. Their linguistic characteristics may not generalise to other policy domains or Indian regional languages. Mitigation: supplementary Wikipedia documents on five additional schemes are included to increase coverage; findings are presented with explicit generalisability caveats.</w:t>
      </w:r>
    </w:p>
    <w:p>
      <w:pPr>
        <w:spacing w:after="80"/>
      </w:pPr>
    </w:p>
    <w:p>
      <w:pPr>
        <w:spacing w:after="160" w:before="0"/>
        <w:jc w:val="both"/>
      </w:pPr>
      <w:r>
        <w:rPr>
          <w:rFonts w:ascii="Calibri" w:cs="Calibri" w:eastAsia="Calibri" w:hAnsi="Calibri"/>
          <w:b/>
          <w:bCs/>
          <w:color w:val="1A1A1A"/>
          <w:sz w:val="22"/>
          <w:szCs w:val="22"/>
        </w:rPr>
        <w:t xml:space="preserve">Threat 2 — QA dataset quality. </w:t>
      </w:r>
      <w:r>
        <w:rPr>
          <w:rFonts w:ascii="Calibri" w:cs="Calibri" w:eastAsia="Calibri" w:hAnsi="Calibri"/>
          <w:color w:val="1A1A1A"/>
          <w:sz w:val="22"/>
          <w:szCs w:val="22"/>
        </w:rPr>
        <w:t xml:space="preserve">The 50-item ground-truth dataset is manually curated by a single annotator. Inter-annotator agreement is not measured. Mitigation: each QA item is reviewed twice before finalisation; ambiguous items are excluded rather than included with uncertain gold evidence.</w:t>
      </w:r>
    </w:p>
    <w:p>
      <w:pPr>
        <w:spacing w:after="80"/>
      </w:pPr>
    </w:p>
    <w:p>
      <w:pPr>
        <w:spacing w:after="160" w:before="0"/>
        <w:jc w:val="both"/>
      </w:pPr>
      <w:r>
        <w:rPr>
          <w:rFonts w:ascii="Calibri" w:cs="Calibri" w:eastAsia="Calibri" w:hAnsi="Calibri"/>
          <w:b/>
          <w:bCs/>
          <w:color w:val="1A1A1A"/>
          <w:sz w:val="22"/>
          <w:szCs w:val="22"/>
        </w:rPr>
        <w:t xml:space="preserve">Threat 3 — LLM generator effects. </w:t>
      </w:r>
      <w:r>
        <w:rPr>
          <w:rFonts w:ascii="Calibri" w:cs="Calibri" w:eastAsia="Calibri" w:hAnsi="Calibri"/>
          <w:color w:val="1A1A1A"/>
          <w:sz w:val="22"/>
          <w:szCs w:val="22"/>
        </w:rPr>
        <w:t xml:space="preserve">The generator is held constant, but its temperature and context window utilisation may interact differently with context from different retrievers. Mitigation: temperature is fixed at 0 for all experiments; the same prompt template is used across all systems; all generation outputs are logged for qualitative inspection.</w:t>
      </w:r>
    </w:p>
    <w:p>
      <w:pPr>
        <w:spacing w:after="80"/>
      </w:pPr>
    </w:p>
    <w:p>
      <w:pPr>
        <w:spacing w:after="160" w:before="0"/>
        <w:jc w:val="both"/>
      </w:pPr>
      <w:r>
        <w:rPr>
          <w:rFonts w:ascii="Calibri" w:cs="Calibri" w:eastAsia="Calibri" w:hAnsi="Calibri"/>
          <w:b/>
          <w:bCs/>
          <w:color w:val="1A1A1A"/>
          <w:sz w:val="22"/>
          <w:szCs w:val="22"/>
        </w:rPr>
        <w:t xml:space="preserve">Threat 4 — Scale limitations. </w:t>
      </w:r>
      <w:r>
        <w:rPr>
          <w:rFonts w:ascii="Calibri" w:cs="Calibri" w:eastAsia="Calibri" w:hAnsi="Calibri"/>
          <w:color w:val="1A1A1A"/>
          <w:sz w:val="22"/>
          <w:szCs w:val="22"/>
        </w:rPr>
        <w:t xml:space="preserve">Fifty QA items and approximately 800–1,200 chunks is small compared to production RAG deployments. Results may not replicate at larger scale, particularly for GraphRAG where graph density interacts with corpus size. Mitigation: this limitation is stated explicitly in the conclusions; the study is presented as a research-scale comparison rather than a production benchmark.</w:t>
      </w:r>
    </w:p>
    <w:p>
      <w:pPr>
        <w:pStyle w:val="Heading2"/>
        <w:spacing w:after="120" w:before="300"/>
      </w:pPr>
      <w:r>
        <w:rPr>
          <w:rFonts w:ascii="Calibri" w:cs="Calibri" w:eastAsia="Calibri" w:hAnsi="Calibri"/>
          <w:b/>
          <w:bCs/>
          <w:color w:val="2E5FA3"/>
          <w:sz w:val="26"/>
          <w:szCs w:val="26"/>
        </w:rPr>
        <w:t xml:space="preserve">3.6  Expected Failure Modes</w:t>
      </w:r>
    </w:p>
    <w:p>
      <w:pPr>
        <w:spacing w:after="160" w:before="0"/>
        <w:jc w:val="both"/>
      </w:pPr>
      <w:r>
        <w:rPr>
          <w:rFonts w:ascii="Calibri" w:cs="Calibri" w:eastAsia="Calibri" w:hAnsi="Calibri"/>
          <w:b w:val="false"/>
          <w:bCs w:val="false"/>
          <w:color w:val="1A1A1A"/>
          <w:sz w:val="22"/>
          <w:szCs w:val="22"/>
        </w:rPr>
        <w:t xml:space="preserve">Understanding where each system is expected to fail is as important as understanding where it succeeds. The following failure taxonomy draws from RAGTruth [20] and from the theoretical properties of each retrieval mechanism.</w:t>
      </w:r>
    </w:p>
    <w:p>
      <w:pPr>
        <w:spacing w:after="60"/>
      </w:pPr>
    </w:p>
    <w:p>
      <w:pPr>
        <w:spacing w:after="160" w:before="0"/>
        <w:jc w:val="both"/>
      </w:pPr>
      <w:r>
        <w:rPr>
          <w:rFonts w:ascii="Calibri" w:cs="Calibri" w:eastAsia="Calibri" w:hAnsi="Calibri"/>
          <w:b/>
          <w:bCs/>
          <w:color w:val="2E5FA3"/>
          <w:sz w:val="22"/>
          <w:szCs w:val="22"/>
        </w:rPr>
        <w:t xml:space="preserve">FAISS expected failure modes. </w:t>
      </w:r>
      <w:r>
        <w:rPr>
          <w:rFonts w:ascii="Calibri" w:cs="Calibri" w:eastAsia="Calibri" w:hAnsi="Calibri"/>
          <w:color w:val="1A1A1A"/>
          <w:sz w:val="22"/>
          <w:szCs w:val="22"/>
        </w:rPr>
        <w:t xml:space="preserve">Exact term failure: queries containing specific scheme codes or regulatory identifiers rare in the embedding model's training distribution may retrieve semantically adjacent but factually wrong documents. Vocabulary drift: government policy language in India mixes English terms, Hindi transliterations, and technical acronyms in ways that may not be well-represented in the all-MiniLM-L6-v2 training corpus.</w:t>
      </w:r>
    </w:p>
    <w:p>
      <w:pPr>
        <w:spacing w:after="80"/>
      </w:pPr>
    </w:p>
    <w:p>
      <w:pPr>
        <w:spacing w:after="160" w:before="0"/>
        <w:jc w:val="both"/>
      </w:pPr>
      <w:r>
        <w:rPr>
          <w:rFonts w:ascii="Calibri" w:cs="Calibri" w:eastAsia="Calibri" w:hAnsi="Calibri"/>
          <w:b/>
          <w:bCs/>
          <w:color w:val="2E5FA3"/>
          <w:sz w:val="22"/>
          <w:szCs w:val="22"/>
        </w:rPr>
        <w:t xml:space="preserve">BM25 expected failure modes. </w:t>
      </w:r>
      <w:r>
        <w:rPr>
          <w:rFonts w:ascii="Calibri" w:cs="Calibri" w:eastAsia="Calibri" w:hAnsi="Calibri"/>
          <w:color w:val="1A1A1A"/>
          <w:sz w:val="22"/>
          <w:szCs w:val="22"/>
        </w:rPr>
        <w:t xml:space="preserve">Paraphrase failure: any query where user vocabulary differs from document vocabulary will score poorly regardless of semantic equivalence. Compound query failure: queries combining multiple conditions (income + geography + scheme type) may retrieve documents matching one condition strongly but others poorly, with no mechanism to rank by overall relevance.</w:t>
      </w:r>
    </w:p>
    <w:p>
      <w:pPr>
        <w:spacing w:after="80"/>
      </w:pPr>
    </w:p>
    <w:p>
      <w:pPr>
        <w:spacing w:after="160" w:before="0"/>
        <w:jc w:val="both"/>
      </w:pPr>
      <w:r>
        <w:rPr>
          <w:rFonts w:ascii="Calibri" w:cs="Calibri" w:eastAsia="Calibri" w:hAnsi="Calibri"/>
          <w:b/>
          <w:bCs/>
          <w:color w:val="2E5FA3"/>
          <w:sz w:val="22"/>
          <w:szCs w:val="22"/>
        </w:rPr>
        <w:t xml:space="preserve">GraphRAG expected failure modes. </w:t>
      </w:r>
      <w:r>
        <w:rPr>
          <w:rFonts w:ascii="Calibri" w:cs="Calibri" w:eastAsia="Calibri" w:hAnsi="Calibri"/>
          <w:color w:val="1A1A1A"/>
          <w:sz w:val="22"/>
          <w:szCs w:val="22"/>
        </w:rPr>
        <w:t xml:space="preserve">Entity extraction failure: if spaCy NER or domain-specific pattern matching fails to extract a key entity, that entity is absent from the graph and queries referencing it will miss its evidence. Graph sparsity: a small corpus may produce a sparse graph where 2-hop traversal still does not connect the entities needed for multi-hop answers. Orphan node failure: entities appearing in only one chunk have no neighbours — traversal-dependent queries will fail if the starting node is isolated.</w:t>
      </w:r>
    </w:p>
    <w:p>
      <w:pPr>
        <w:spacing w:after="80"/>
      </w:pPr>
    </w:p>
    <w:p>
      <w:pPr>
        <w:spacing w:after="160" w:before="0"/>
        <w:jc w:val="both"/>
      </w:pPr>
      <w:r>
        <w:rPr>
          <w:rFonts w:ascii="Calibri" w:cs="Calibri" w:eastAsia="Calibri" w:hAnsi="Calibri"/>
          <w:b/>
          <w:bCs/>
          <w:color w:val="2E5FA3"/>
          <w:sz w:val="22"/>
          <w:szCs w:val="22"/>
        </w:rPr>
        <w:t xml:space="preserve">Prompt-RAG expected failure modes. </w:t>
      </w:r>
      <w:r>
        <w:rPr>
          <w:rFonts w:ascii="Calibri" w:cs="Calibri" w:eastAsia="Calibri" w:hAnsi="Calibri"/>
          <w:color w:val="1A1A1A"/>
          <w:sz w:val="22"/>
          <w:szCs w:val="22"/>
        </w:rPr>
        <w:t xml:space="preserve">Context window overflow: queries requiring synthesis across more than 15–20 documents may exceed the pre-filter + prompt window, causing evidence truncation. Reasoning collapse: chain-of-thought scaffolding helps, but the LLM may short-circuit and generate from memory rather than from retrieved evidence, particularly when retrieved documents are ambiguous.</w:t>
      </w:r>
    </w:p>
    <w:p>
      <w:pPr>
        <w:spacing w:after="80"/>
      </w:pPr>
    </w:p>
    <w:p>
      <w:pPr>
        <w:spacing w:after="160" w:before="0"/>
        <w:jc w:val="both"/>
      </w:pPr>
      <w:r>
        <w:rPr>
          <w:rFonts w:ascii="Calibri" w:cs="Calibri" w:eastAsia="Calibri" w:hAnsi="Calibri"/>
          <w:b/>
          <w:bCs/>
          <w:color w:val="2E5FA3"/>
          <w:sz w:val="22"/>
          <w:szCs w:val="22"/>
        </w:rPr>
        <w:t xml:space="preserve">Hybrid BM25 + GraphRAG expected failure modes. </w:t>
      </w:r>
      <w:r>
        <w:rPr>
          <w:rFonts w:ascii="Calibri" w:cs="Calibri" w:eastAsia="Calibri" w:hAnsi="Calibri"/>
          <w:color w:val="1A1A1A"/>
          <w:sz w:val="22"/>
          <w:szCs w:val="22"/>
        </w:rPr>
        <w:t xml:space="preserve">Fusion dilution: if BM25 returns strong results for a simple query, GraphRAG's lower-ranked relational results may dilute the fused ranking. Additive latency: the Hybrid system runs both BM25 and GraphRAG before fusion, making its worst-case latency approximately the sum of both systems under sequential execution.</w:t>
      </w:r>
    </w:p>
    <w:p>
      <w:r>
        <w:br w:type="page"/>
      </w:r>
    </w:p>
    <w:p>
      <w:pPr>
        <w:pStyle w:val="Heading1"/>
        <w:pBdr>
          <w:bottom w:val="single" w:color="2E5FA3" w:sz="6" w:space="4"/>
        </w:pBdr>
        <w:spacing w:after="160" w:before="400"/>
      </w:pPr>
      <w:r>
        <w:rPr>
          <w:rFonts w:ascii="Calibri" w:cs="Calibri" w:eastAsia="Calibri" w:hAnsi="Calibri"/>
          <w:b/>
          <w:bCs/>
          <w:color w:val="1F3864"/>
          <w:sz w:val="32"/>
          <w:szCs w:val="32"/>
        </w:rPr>
        <w:t xml:space="preserve">4.  System Architecture and Design</w:t>
      </w:r>
    </w:p>
    <w:p>
      <w:pPr>
        <w:pStyle w:val="Heading2"/>
        <w:spacing w:after="120" w:before="300"/>
      </w:pPr>
      <w:r>
        <w:rPr>
          <w:rFonts w:ascii="Calibri" w:cs="Calibri" w:eastAsia="Calibri" w:hAnsi="Calibri"/>
          <w:b/>
          <w:bCs/>
          <w:color w:val="2E5FA3"/>
          <w:sz w:val="26"/>
          <w:szCs w:val="26"/>
        </w:rPr>
        <w:t xml:space="preserve">4.1  Design Philosophy</w:t>
      </w:r>
    </w:p>
    <w:p>
      <w:pPr>
        <w:spacing w:after="160" w:before="0"/>
        <w:jc w:val="both"/>
      </w:pPr>
      <w:r>
        <w:rPr>
          <w:rFonts w:ascii="Calibri" w:cs="Calibri" w:eastAsia="Calibri" w:hAnsi="Calibri"/>
          <w:b w:val="false"/>
          <w:bCs w:val="false"/>
          <w:color w:val="1A1A1A"/>
          <w:sz w:val="22"/>
          <w:szCs w:val="22"/>
        </w:rPr>
        <w:t xml:space="preserve">The experimental framework is built around one principle: if the retrieval mechanism is the object of study, then everything that is not the retrieval mechanism must be identical across all five systems. This is harder to achieve than it sounds. Real systems make dozens of small decisions — chunk size, overlap, embedding model, prompt template, k value, context ordering — that can all influence results. The design minimises confounds by enforcing a shared ingestion layer, a shared BaseRetriever interface, a shared generator configuration, and a shared evaluation harness. The five systems diverge only at the retrieval step. They converge again at the generator input.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F7FC4" w:sz="4"/>
              <w:left w:val="single" w:color="1F7FC4" w:sz="4"/>
              <w:bottom w:val="single" w:color="1F7FC4" w:sz="4"/>
              <w:right w:val="single" w:color="1F7FC4" w:sz="4"/>
            </w:tcBorders>
            <w:shd w:fill="FAFBFC" w:val="clear"/>
            <w:tcMar>
              <w:top w:type="dxa" w:w="160"/>
              <w:left w:type="dxa" w:w="240"/>
              <w:bottom w:type="dxa" w:w="160"/>
              <w:right w:type="dxa" w:w="240"/>
            </w:tcMar>
          </w:tcPr>
          <w:p>
            <w:pPr>
              <w:spacing w:after="100"/>
            </w:pPr>
            <w:r>
              <w:rPr>
                <w:rFonts w:ascii="Calibri" w:cs="Calibri" w:eastAsia="Calibri" w:hAnsi="Calibri"/>
                <w:b/>
                <w:bCs/>
                <w:color w:val="1F3864"/>
                <w:sz w:val="20"/>
                <w:szCs w:val="20"/>
              </w:rPr>
              <w:t xml:space="preserve">Figure 1: Five-system experimental architecture</w:t>
            </w:r>
          </w:p>
          <w:p>
            <w:pPr>
              <w:spacing w:after="16"/>
            </w:pPr>
            <w:r>
              <w:rPr>
                <w:rFonts w:ascii="Courier New" w:cs="Courier New" w:eastAsia="Courier New" w:hAnsi="Courier New"/>
                <w:color w:val="1A1A1A"/>
                <w:sz w:val="17"/>
                <w:szCs w:val="17"/>
              </w:rPr>
              <w:t xml:space="preserve">FIVE-SYSTEM EXPERIMENTAL ARCHITECTURE</w:t>
            </w:r>
          </w:p>
          <w:p>
            <w:pPr>
              <w:spacing w:after="16"/>
            </w:pPr>
            <w:r>
              <w:rPr>
                <w:rFonts w:ascii="Courier New" w:cs="Courier New" w:eastAsia="Courier New" w:hAnsi="Courier New"/>
                <w:color w:val="1A1A1A"/>
                <w:sz w:val="17"/>
                <w:szCs w:val="17"/>
              </w:rPr>
              <w:t xml:space="preserve">─────────────────────────────────────────────────────────────────────</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SHARED INGESTION LAYER                       │</w:t>
            </w:r>
          </w:p>
          <w:p>
            <w:pPr>
              <w:spacing w:after="16"/>
            </w:pPr>
            <w:r>
              <w:rPr>
                <w:rFonts w:ascii="Courier New" w:cs="Courier New" w:eastAsia="Courier New" w:hAnsi="Courier New"/>
                <w:color w:val="1A1A1A"/>
                <w:sz w:val="17"/>
                <w:szCs w:val="17"/>
              </w:rPr>
              <w:t xml:space="preserve">  │  Raw Docs → Text Cleaner → Chunker → Metadata Enricher         │</w:t>
            </w:r>
          </w:p>
          <w:p>
            <w:pPr>
              <w:spacing w:after="16"/>
            </w:pPr>
            <w:r>
              <w:rPr>
                <w:rFonts w:ascii="Courier New" w:cs="Courier New" w:eastAsia="Courier New" w:hAnsi="Courier New"/>
                <w:color w:val="1A1A1A"/>
                <w:sz w:val="17"/>
                <w:szCs w:val="17"/>
              </w:rPr>
              <w:t xml:space="preserve">  │                    → chunks_v1.jsonl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chunks.jsonl (shared input to all 5)</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  BM25 Index  │   │ FAISS Index  │   │    Graph Index        │</w:t>
            </w:r>
          </w:p>
          <w:p>
            <w:pPr>
              <w:spacing w:after="16"/>
            </w:pPr>
            <w:r>
              <w:rPr>
                <w:rFonts w:ascii="Courier New" w:cs="Courier New" w:eastAsia="Courier New" w:hAnsi="Courier New"/>
                <w:color w:val="1A1A1A"/>
                <w:sz w:val="17"/>
                <w:szCs w:val="17"/>
              </w:rPr>
              <w:t xml:space="preserve">  │ (inverted)   │   │ (FlatL2)     │   │  (NetworkX JSON)      │</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RETRIEVER INTERFACE (BaseRetriever)              │</w:t>
            </w:r>
          </w:p>
          <w:p>
            <w:pPr>
              <w:spacing w:after="16"/>
            </w:pPr>
            <w:r>
              <w:rPr>
                <w:rFonts w:ascii="Courier New" w:cs="Courier New" w:eastAsia="Courier New" w:hAnsi="Courier New"/>
                <w:color w:val="1A1A1A"/>
                <w:sz w:val="17"/>
                <w:szCs w:val="17"/>
              </w:rPr>
              <w:t xml:space="preserve">  │  retrieve(query: str, k: int) → List[RankedChunk]            │</w:t>
            </w:r>
          </w:p>
          <w:p>
            <w:pPr>
              <w:spacing w:after="16"/>
            </w:pPr>
            <w:r>
              <w:rPr>
                <w:rFonts w:ascii="Courier New" w:cs="Courier New" w:eastAsia="Courier New" w:hAnsi="Courier New"/>
                <w:color w:val="1A1A1A"/>
                <w:sz w:val="17"/>
                <w:szCs w:val="17"/>
              </w:rPr>
              <w:t xml:space="preserve">  │  write_run_file(queries, k, path) → TREC run file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BM25Retriever │ FAISSRetriever │ GraphRAGRetriever │ Prompt  │</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                 HybridRetriever (RRF fusion of BM25 + Graph)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top-k chunks (same schema, all systems)</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SHARED GENERATOR              │</w:t>
            </w:r>
          </w:p>
          <w:p>
            <w:pPr>
              <w:spacing w:after="16"/>
            </w:pPr>
            <w:r>
              <w:rPr>
                <w:rFonts w:ascii="Courier New" w:cs="Courier New" w:eastAsia="Courier New" w:hAnsi="Courier New"/>
                <w:color w:val="1A1A1A"/>
                <w:sz w:val="17"/>
                <w:szCs w:val="17"/>
              </w:rPr>
              <w:t xml:space="preserve">              │   [Retrieved Context] + [Query]          │</w:t>
            </w:r>
          </w:p>
          <w:p>
            <w:pPr>
              <w:spacing w:after="16"/>
            </w:pPr>
            <w:r>
              <w:rPr>
                <w:rFonts w:ascii="Courier New" w:cs="Courier New" w:eastAsia="Courier New" w:hAnsi="Courier New"/>
                <w:color w:val="1A1A1A"/>
                <w:sz w:val="17"/>
                <w:szCs w:val="17"/>
              </w:rPr>
              <w:t xml:space="preserve">              │   → LLM (temp=0, fixed template)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SHARED EVALUATION              │</w:t>
            </w:r>
          </w:p>
          <w:p>
            <w:pPr>
              <w:spacing w:after="16"/>
            </w:pPr>
            <w:r>
              <w:rPr>
                <w:rFonts w:ascii="Courier New" w:cs="Courier New" w:eastAsia="Courier New" w:hAnsi="Courier New"/>
                <w:color w:val="1A1A1A"/>
                <w:sz w:val="17"/>
                <w:szCs w:val="17"/>
              </w:rPr>
              <w:t xml:space="preserve">              │  MRR | Recall@k | nDCG@k | BLEU         │</w:t>
            </w:r>
          </w:p>
          <w:p>
            <w:pPr>
              <w:spacing w:after="16"/>
            </w:pPr>
            <w:r>
              <w:rPr>
                <w:rFonts w:ascii="Courier New" w:cs="Courier New" w:eastAsia="Courier New" w:hAnsi="Courier New"/>
                <w:color w:val="1A1A1A"/>
                <w:sz w:val="17"/>
                <w:szCs w:val="17"/>
              </w:rPr>
              <w:t xml:space="preserve">              │  Faithfulness | Latency | Hallucination  │</w:t>
            </w:r>
          </w:p>
          <w:p>
            <w:pPr>
              <w:spacing w:after="16"/>
            </w:pPr>
            <w:r>
              <w:rPr>
                <w:rFonts w:ascii="Courier New" w:cs="Courier New" w:eastAsia="Courier New" w:hAnsi="Courier New"/>
                <w:color w:val="1A1A1A"/>
                <w:sz w:val="17"/>
                <w:szCs w:val="17"/>
              </w:rPr>
              <w:t xml:space="preserve">              └───────────────────────────────────────-─┘</w:t>
            </w:r>
          </w:p>
        </w:tc>
      </w:tr>
    </w:tbl>
    <w:p>
      <w:pPr>
        <w:spacing w:after="220" w:before="60"/>
        <w:jc w:val="center"/>
      </w:pPr>
      <w:r>
        <w:rPr>
          <w:rFonts w:ascii="Calibri" w:cs="Calibri" w:eastAsia="Calibri" w:hAnsi="Calibri"/>
          <w:b/>
          <w:bCs/>
          <w:color w:val="555555"/>
          <w:sz w:val="19"/>
          <w:szCs w:val="19"/>
        </w:rPr>
        <w:t xml:space="preserve">Figure 1: </w:t>
      </w:r>
      <w:r>
        <w:rPr>
          <w:rFonts w:ascii="Calibri" w:cs="Calibri" w:eastAsia="Calibri" w:hAnsi="Calibri"/>
          <w:color w:val="555555"/>
          <w:sz w:val="19"/>
          <w:szCs w:val="19"/>
        </w:rPr>
        <w:t xml:space="preserve">All five retrievers share the same ingestion layer (top) and the same generator and evaluation layer (bottom). Only the index type and retrieval logic differ across systems.</w:t>
      </w:r>
    </w:p>
    <w:p>
      <w:pPr>
        <w:pStyle w:val="Heading2"/>
        <w:spacing w:after="120" w:before="300"/>
      </w:pPr>
      <w:r>
        <w:rPr>
          <w:rFonts w:ascii="Calibri" w:cs="Calibri" w:eastAsia="Calibri" w:hAnsi="Calibri"/>
          <w:b/>
          <w:bCs/>
          <w:color w:val="2E5FA3"/>
          <w:sz w:val="26"/>
          <w:szCs w:val="26"/>
        </w:rPr>
        <w:t xml:space="preserve">4.2  Shared Ingestion Layer</w:t>
      </w:r>
    </w:p>
    <w:p>
      <w:pPr>
        <w:spacing w:after="160" w:before="0"/>
        <w:jc w:val="both"/>
      </w:pPr>
      <w:r>
        <w:rPr>
          <w:rFonts w:ascii="Calibri" w:cs="Calibri" w:eastAsia="Calibri" w:hAnsi="Calibri"/>
          <w:b w:val="false"/>
          <w:bCs w:val="false"/>
          <w:color w:val="1A1A1A"/>
          <w:sz w:val="22"/>
          <w:szCs w:val="22"/>
        </w:rPr>
        <w:t xml:space="preserve">The ingestion layer is implemented as a pipeline of four independently unit-tested modules. All 31 unit tests across ingestion and evaluation modules pass on the current implementation.</w:t>
      </w:r>
    </w:p>
    <w:p>
      <w:pPr>
        <w:spacing w:after="60"/>
      </w:pPr>
    </w:p>
    <w:p>
      <w:pPr>
        <w:spacing w:after="160" w:before="0"/>
        <w:jc w:val="both"/>
      </w:pPr>
      <w:r>
        <w:rPr>
          <w:rFonts w:ascii="Calibri" w:cs="Calibri" w:eastAsia="Calibri" w:hAnsi="Calibri"/>
          <w:b/>
          <w:bCs/>
          <w:color w:val="1A1A1A"/>
          <w:sz w:val="22"/>
          <w:szCs w:val="22"/>
        </w:rPr>
        <w:t xml:space="preserve">Text Cleaner. </w:t>
      </w:r>
      <w:r>
        <w:rPr>
          <w:rFonts w:ascii="Calibri" w:cs="Calibri" w:eastAsia="Calibri" w:hAnsi="Calibri"/>
          <w:color w:val="1A1A1A"/>
          <w:sz w:val="22"/>
          <w:szCs w:val="22"/>
        </w:rPr>
        <w:t xml:space="preserve">Performs Unicode normalisation, strips boilerplate elements (navigation text, repeated headers, malformed whitespace), collapses consecutive blank lines, and normalises punctuation. Fully parameterised — rules live in a configuration file, not hard-coded — so cleaning decisions are documented and reproducible.</w:t>
      </w:r>
    </w:p>
    <w:p>
      <w:pPr>
        <w:spacing w:after="60"/>
      </w:pPr>
    </w:p>
    <w:p>
      <w:pPr>
        <w:spacing w:after="160" w:before="0"/>
        <w:jc w:val="both"/>
      </w:pPr>
      <w:r>
        <w:rPr>
          <w:rFonts w:ascii="Calibri" w:cs="Calibri" w:eastAsia="Calibri" w:hAnsi="Calibri"/>
          <w:b/>
          <w:bCs/>
          <w:color w:val="1A1A1A"/>
          <w:sz w:val="22"/>
          <w:szCs w:val="22"/>
        </w:rPr>
        <w:t xml:space="preserve">Chunker. </w:t>
      </w:r>
      <w:r>
        <w:rPr>
          <w:rFonts w:ascii="Calibri" w:cs="Calibri" w:eastAsia="Calibri" w:hAnsi="Calibri"/>
          <w:color w:val="1A1A1A"/>
          <w:sz w:val="22"/>
          <w:szCs w:val="22"/>
        </w:rPr>
        <w:t xml:space="preserve">Splits cleaned text into passages using a sliding window of 400 tokens with 80-token overlap. Sentence boundaries are respected: the chunker will not split mid-sentence to hit the token target. Each chunk receives a stable chunk_id formatted as chunk_NNNN.</w:t>
      </w:r>
    </w:p>
    <w:p>
      <w:pPr>
        <w:spacing w:after="60"/>
      </w:pPr>
    </w:p>
    <w:p>
      <w:pPr>
        <w:spacing w:after="160" w:before="0"/>
        <w:jc w:val="both"/>
      </w:pPr>
      <w:r>
        <w:rPr>
          <w:rFonts w:ascii="Calibri" w:cs="Calibri" w:eastAsia="Calibri" w:hAnsi="Calibri"/>
          <w:b/>
          <w:bCs/>
          <w:color w:val="1A1A1A"/>
          <w:sz w:val="22"/>
          <w:szCs w:val="22"/>
        </w:rPr>
        <w:t xml:space="preserve">Metadata Enricher. </w:t>
      </w:r>
      <w:r>
        <w:rPr>
          <w:rFonts w:ascii="Calibri" w:cs="Calibri" w:eastAsia="Calibri" w:hAnsi="Calibri"/>
          <w:color w:val="1A1A1A"/>
          <w:sz w:val="22"/>
          <w:szCs w:val="22"/>
        </w:rPr>
        <w:t xml:space="preserve">Appends source_name, source_type (pdf / api_json / wiki), crawl_date, domain, estimated reading time, and sentence count to each chunk. Metadata is preserved through indexing and included in run files, enabling post-hoc analysis of retrieval behaviour by source type.</w:t>
      </w:r>
    </w:p>
    <w:p>
      <w:pPr>
        <w:spacing w:after="60"/>
      </w:pPr>
    </w:p>
    <w:p>
      <w:pPr>
        <w:spacing w:after="160" w:before="0"/>
        <w:jc w:val="both"/>
      </w:pPr>
      <w:r>
        <w:rPr>
          <w:rFonts w:ascii="Calibri" w:cs="Calibri" w:eastAsia="Calibri" w:hAnsi="Calibri"/>
          <w:b/>
          <w:bCs/>
          <w:color w:val="1A1A1A"/>
          <w:sz w:val="22"/>
          <w:szCs w:val="22"/>
        </w:rPr>
        <w:t xml:space="preserve">Corpus Versioner. </w:t>
      </w:r>
      <w:r>
        <w:rPr>
          <w:rFonts w:ascii="Calibri" w:cs="Calibri" w:eastAsia="Calibri" w:hAnsi="Calibri"/>
          <w:color w:val="1A1A1A"/>
          <w:sz w:val="22"/>
          <w:szCs w:val="22"/>
        </w:rPr>
        <w:t xml:space="preserve">Saves the chunked corpus as data/chunks/chunks_v1.jsonl and a corpus_manifest.json recording total document count, total chunk count, average chunk length, and source breakdown. Every experiment references a specific corpus version, ensuring metric comparisons are not contaminated by corpus changes.</w:t>
      </w:r>
    </w:p>
    <w:p>
      <w:pPr>
        <w:pStyle w:val="Heading2"/>
        <w:spacing w:after="120" w:before="300"/>
      </w:pPr>
      <w:r>
        <w:rPr>
          <w:rFonts w:ascii="Calibri" w:cs="Calibri" w:eastAsia="Calibri" w:hAnsi="Calibri"/>
          <w:b/>
          <w:bCs/>
          <w:color w:val="2E5FA3"/>
          <w:sz w:val="26"/>
          <w:szCs w:val="26"/>
        </w:rPr>
        <w:t xml:space="preserve">4.3  System 1 — FAISS Dense Retrieval (Baseline)</w:t>
      </w:r>
    </w:p>
    <w:p>
      <w:pPr>
        <w:spacing w:after="160" w:before="0"/>
        <w:jc w:val="both"/>
      </w:pPr>
      <w:r>
        <w:rPr>
          <w:rFonts w:ascii="Calibri" w:cs="Calibri" w:eastAsia="Calibri" w:hAnsi="Calibri"/>
          <w:b w:val="false"/>
          <w:bCs w:val="false"/>
          <w:color w:val="1A1A1A"/>
          <w:sz w:val="22"/>
          <w:szCs w:val="22"/>
        </w:rPr>
        <w:t xml:space="preserve">FAISS is the dense retrieval baseline — the industry-standard implementation against which all other systems are measured. It represents the 'default choice' this dissertation critically examines.</w:t>
      </w:r>
    </w:p>
    <w:p>
      <w:pPr>
        <w:spacing w:after="80"/>
      </w:pPr>
    </w:p>
    <w:p>
      <w:pPr>
        <w:spacing w:after="160" w:before="0"/>
        <w:jc w:val="both"/>
      </w:pPr>
      <w:r>
        <w:rPr>
          <w:rFonts w:ascii="Calibri" w:cs="Calibri" w:eastAsia="Calibri" w:hAnsi="Calibri"/>
          <w:b w:val="false"/>
          <w:bCs w:val="false"/>
          <w:color w:val="1A1A1A"/>
          <w:sz w:val="22"/>
          <w:szCs w:val="22"/>
        </w:rPr>
        <w:t xml:space="preserve">Architecture. FAISSRetriever loads all chunks from chunks_v1.jsonl, encodes each chunk text using SentenceTransformer('all-MiniLM-L6-v2'), and stores the resulting 384-dimensional embeddings in a FAISS IndexFlatL2 index. At query time, the query string is encoded by the same model and the top-k nearest chunks are returned by Euclidean distance, converted to a relevance score as score = 1/(1 + distance).</w:t>
      </w:r>
    </w:p>
    <w:p>
      <w:pPr>
        <w:spacing w:after="80"/>
      </w:pPr>
    </w:p>
    <w:p>
      <w:pPr>
        <w:spacing w:after="160" w:before="0"/>
        <w:jc w:val="both"/>
      </w:pPr>
      <w:r>
        <w:rPr>
          <w:rFonts w:ascii="Calibri" w:cs="Calibri" w:eastAsia="Calibri" w:hAnsi="Calibri"/>
          <w:b w:val="false"/>
          <w:bCs w:val="false"/>
          <w:color w:val="1A1A1A"/>
          <w:sz w:val="22"/>
          <w:szCs w:val="22"/>
        </w:rPr>
        <w:t xml:space="preserve">Step-by-step data flow:</w:t>
      </w:r>
    </w:p>
    <w:p>
      <w:pPr>
        <w:pStyle w:val="ListParagraph"/>
        <w:numPr>
          <w:ilvl w:val="0"/>
          <w:numId w:val="3"/>
        </w:numPr>
        <w:spacing w:after="80"/>
      </w:pPr>
      <w:r>
        <w:rPr>
          <w:rFonts w:ascii="Calibri" w:cs="Calibri" w:eastAsia="Calibri" w:hAnsi="Calibri"/>
          <w:color w:val="1A1A1A"/>
          <w:sz w:val="22"/>
          <w:szCs w:val="22"/>
        </w:rPr>
        <w:t xml:space="preserve">Load chunks_v1.jsonl → list of chunk dicts.</w:t>
      </w:r>
    </w:p>
    <w:p>
      <w:pPr>
        <w:pStyle w:val="ListParagraph"/>
        <w:numPr>
          <w:ilvl w:val="0"/>
          <w:numId w:val="3"/>
        </w:numPr>
        <w:spacing w:after="80"/>
      </w:pPr>
      <w:r>
        <w:rPr>
          <w:rFonts w:ascii="Calibri" w:cs="Calibri" w:eastAsia="Calibri" w:hAnsi="Calibri"/>
          <w:color w:val="1A1A1A"/>
          <w:sz w:val="22"/>
          <w:szCs w:val="22"/>
        </w:rPr>
        <w:t xml:space="preserve">Extract text field from each chunk.</w:t>
      </w:r>
    </w:p>
    <w:p>
      <w:pPr>
        <w:pStyle w:val="ListParagraph"/>
        <w:numPr>
          <w:ilvl w:val="0"/>
          <w:numId w:val="3"/>
        </w:numPr>
        <w:spacing w:after="80"/>
      </w:pPr>
      <w:r>
        <w:rPr>
          <w:rFonts w:ascii="Calibri" w:cs="Calibri" w:eastAsia="Calibri" w:hAnsi="Calibri"/>
          <w:color w:val="1A1A1A"/>
          <w:sz w:val="22"/>
          <w:szCs w:val="22"/>
        </w:rPr>
        <w:t xml:space="preserve">Encode all texts: SentenceTransformer → numpy array (N × 384).</w:t>
      </w:r>
    </w:p>
    <w:p>
      <w:pPr>
        <w:pStyle w:val="ListParagraph"/>
        <w:numPr>
          <w:ilvl w:val="0"/>
          <w:numId w:val="3"/>
        </w:numPr>
        <w:spacing w:after="80"/>
      </w:pPr>
      <w:r>
        <w:rPr>
          <w:rFonts w:ascii="Calibri" w:cs="Calibri" w:eastAsia="Calibri" w:hAnsi="Calibri"/>
          <w:color w:val="1A1A1A"/>
          <w:sz w:val="22"/>
          <w:szCs w:val="22"/>
        </w:rPr>
        <w:t xml:space="preserve">Build FAISS IndexFlatL2 from embedding matrix; save to indexes/faiss/faiss.index.</w:t>
      </w:r>
    </w:p>
    <w:p>
      <w:pPr>
        <w:pStyle w:val="ListParagraph"/>
        <w:numPr>
          <w:ilvl w:val="0"/>
          <w:numId w:val="3"/>
        </w:numPr>
        <w:spacing w:after="80"/>
      </w:pPr>
      <w:r>
        <w:rPr>
          <w:rFonts w:ascii="Calibri" w:cs="Calibri" w:eastAsia="Calibri" w:hAnsi="Calibri"/>
          <w:color w:val="1A1A1A"/>
          <w:sz w:val="22"/>
          <w:szCs w:val="22"/>
        </w:rPr>
        <w:t xml:space="preserve">Save ordered chunk_id list to indexes/faiss/chunk_ids.json.</w:t>
      </w:r>
    </w:p>
    <w:p>
      <w:pPr>
        <w:pStyle w:val="ListParagraph"/>
        <w:numPr>
          <w:ilvl w:val="0"/>
          <w:numId w:val="3"/>
        </w:numPr>
        <w:spacing w:after="80"/>
      </w:pPr>
      <w:r>
        <w:rPr>
          <w:rFonts w:ascii="Calibri" w:cs="Calibri" w:eastAsia="Calibri" w:hAnsi="Calibri"/>
          <w:color w:val="1A1A1A"/>
          <w:sz w:val="22"/>
          <w:szCs w:val="22"/>
        </w:rPr>
        <w:t xml:space="preserve">At query time: encode query → 384-dimensional vector.</w:t>
      </w:r>
    </w:p>
    <w:p>
      <w:pPr>
        <w:pStyle w:val="ListParagraph"/>
        <w:numPr>
          <w:ilvl w:val="0"/>
          <w:numId w:val="3"/>
        </w:numPr>
        <w:spacing w:after="80"/>
      </w:pPr>
      <w:r>
        <w:rPr>
          <w:rFonts w:ascii="Calibri" w:cs="Calibri" w:eastAsia="Calibri" w:hAnsi="Calibri"/>
          <w:color w:val="1A1A1A"/>
          <w:sz w:val="22"/>
          <w:szCs w:val="22"/>
        </w:rPr>
        <w:t xml:space="preserve">index.search(query_vector, k) → distances, indices.</w:t>
      </w:r>
    </w:p>
    <w:p>
      <w:pPr>
        <w:pStyle w:val="ListParagraph"/>
        <w:numPr>
          <w:ilvl w:val="0"/>
          <w:numId w:val="3"/>
        </w:numPr>
        <w:spacing w:after="80"/>
      </w:pPr>
      <w:r>
        <w:rPr>
          <w:rFonts w:ascii="Calibri" w:cs="Calibri" w:eastAsia="Calibri" w:hAnsi="Calibri"/>
          <w:color w:val="1A1A1A"/>
          <w:sz w:val="22"/>
          <w:szCs w:val="22"/>
        </w:rPr>
        <w:t xml:space="preserve">Map indices to chunk_ids; convert distances to scores as 1/(1+distance).</w:t>
      </w:r>
    </w:p>
    <w:p>
      <w:pPr>
        <w:pStyle w:val="ListParagraph"/>
        <w:numPr>
          <w:ilvl w:val="0"/>
          <w:numId w:val="3"/>
        </w:numPr>
        <w:spacing w:after="80"/>
      </w:pPr>
      <w:r>
        <w:rPr>
          <w:rFonts w:ascii="Calibri" w:cs="Calibri" w:eastAsia="Calibri" w:hAnsi="Calibri"/>
          <w:color w:val="1A1A1A"/>
          <w:sz w:val="22"/>
          <w:szCs w:val="22"/>
        </w:rPr>
        <w:t xml:space="preserve">Return ranked list of {chunk_id, rank, score, text}.</w:t>
      </w:r>
    </w:p>
    <w:p>
      <w:pPr>
        <w:spacing w:after="80"/>
      </w:pPr>
    </w:p>
    <w:p>
      <w:pPr>
        <w:spacing w:after="160" w:before="0"/>
        <w:jc w:val="both"/>
      </w:pPr>
      <w:r>
        <w:rPr>
          <w:rFonts w:ascii="Calibri" w:cs="Calibri" w:eastAsia="Calibri" w:hAnsi="Calibri"/>
          <w:b w:val="false"/>
          <w:bCs w:val="false"/>
          <w:color w:val="1A1A1A"/>
          <w:sz w:val="22"/>
          <w:szCs w:val="22"/>
        </w:rPr>
        <w:t xml:space="preserve">Design decisions. IndexFlatL2 (exact search) is used rather than IVF or HNSW because the corpus size — under 5,000 chunks — makes approximate search unnecessary. Exact search eliminates ANN approximation as a source of performance variation, making latency differences attributable to embedding inference time rather than index structure. The all-MiniLM-L6-v2 model is chosen because it produces embeddings at approximately 50ms per batch on CPU and generalises to domain-specific text without fine-tuning.</w:t>
      </w:r>
    </w:p>
    <w:p>
      <w:pPr>
        <w:spacing w:after="160" w:before="0"/>
        <w:jc w:val="both"/>
      </w:pPr>
      <w:r>
        <w:rPr>
          <w:rFonts w:ascii="Calibri" w:cs="Calibri" w:eastAsia="Calibri" w:hAnsi="Calibri"/>
          <w:b w:val="false"/>
          <w:bCs w:val="false"/>
          <w:color w:val="1A1A1A"/>
          <w:sz w:val="22"/>
          <w:szCs w:val="22"/>
        </w:rPr>
        <w:t xml:space="preserve">Infrastructure profile: Model weights 90MB. CPU deployment possible but 5–15× latency penalty versus GPU. Index size at 1,000 chunks: approximately 1.5MB. Index rebuild time on corpus change: 2–5 minutes for re-embedding on CPU.</w:t>
      </w:r>
    </w:p>
    <w:p>
      <w:pPr>
        <w:pStyle w:val="Heading2"/>
        <w:spacing w:after="120" w:before="300"/>
      </w:pPr>
      <w:r>
        <w:rPr>
          <w:rFonts w:ascii="Calibri" w:cs="Calibri" w:eastAsia="Calibri" w:hAnsi="Calibri"/>
          <w:b/>
          <w:bCs/>
          <w:color w:val="2E5FA3"/>
          <w:sz w:val="26"/>
          <w:szCs w:val="26"/>
        </w:rPr>
        <w:t xml:space="preserve">4.4  System 2 — BM25 Lexical Retrieval</w:t>
      </w:r>
    </w:p>
    <w:p>
      <w:pPr>
        <w:spacing w:after="160" w:before="0"/>
        <w:jc w:val="both"/>
      </w:pPr>
      <w:r>
        <w:rPr>
          <w:rFonts w:ascii="Calibri" w:cs="Calibri" w:eastAsia="Calibri" w:hAnsi="Calibri"/>
          <w:b w:val="false"/>
          <w:bCs w:val="false"/>
          <w:color w:val="1A1A1A"/>
          <w:sz w:val="22"/>
          <w:szCs w:val="22"/>
        </w:rPr>
        <w:t xml:space="preserve">BM25 is the primary vector-free baseline and the central system in RQ1. Its performance on exact lookup and terminology-sensitive queries is the key test of whether dense retrieval's infrastructure overhead is justified.</w:t>
      </w:r>
    </w:p>
    <w:p>
      <w:pPr>
        <w:spacing w:after="80"/>
      </w:pPr>
    </w:p>
    <w:p>
      <w:pPr>
        <w:spacing w:after="160" w:before="0"/>
        <w:jc w:val="both"/>
      </w:pPr>
      <w:r>
        <w:rPr>
          <w:rFonts w:ascii="Calibri" w:cs="Calibri" w:eastAsia="Calibri" w:hAnsi="Calibri"/>
          <w:b w:val="false"/>
          <w:bCs w:val="false"/>
          <w:color w:val="1A1A1A"/>
          <w:sz w:val="22"/>
          <w:szCs w:val="22"/>
        </w:rPr>
        <w:t xml:space="preserve">Architecture. BM25Retriever uses the rank-bm25 Python library implementing Okapi BM25 with k1=1.5 and b=0.75. All chunk texts are tokenised (whitespace splitting with lowercasing) and indexed. At query time, the query is tokenised by the same method and scored against all indexed chunks. The top-k chunks by BM25 score are returned.</w:t>
      </w:r>
    </w:p>
    <w:p>
      <w:pPr>
        <w:spacing w:after="80"/>
      </w:pPr>
    </w:p>
    <w:p>
      <w:pPr>
        <w:spacing w:after="160" w:before="0"/>
        <w:jc w:val="both"/>
      </w:pPr>
      <w:r>
        <w:rPr>
          <w:rFonts w:ascii="Calibri" w:cs="Calibri" w:eastAsia="Calibri" w:hAnsi="Calibri"/>
          <w:b w:val="false"/>
          <w:bCs w:val="false"/>
          <w:color w:val="1A1A1A"/>
          <w:sz w:val="22"/>
          <w:szCs w:val="22"/>
        </w:rPr>
        <w:t xml:space="preserve">Step-by-step data flow:</w:t>
      </w:r>
    </w:p>
    <w:p>
      <w:pPr>
        <w:pStyle w:val="ListParagraph"/>
        <w:numPr>
          <w:ilvl w:val="0"/>
          <w:numId w:val="3"/>
        </w:numPr>
        <w:spacing w:after="80"/>
      </w:pPr>
      <w:r>
        <w:rPr>
          <w:rFonts w:ascii="Calibri" w:cs="Calibri" w:eastAsia="Calibri" w:hAnsi="Calibri"/>
          <w:color w:val="1A1A1A"/>
          <w:sz w:val="22"/>
          <w:szCs w:val="22"/>
        </w:rPr>
        <w:t xml:space="preserve">Load chunks_v1.jsonl → list of chunk dicts.</w:t>
      </w:r>
    </w:p>
    <w:p>
      <w:pPr>
        <w:pStyle w:val="ListParagraph"/>
        <w:numPr>
          <w:ilvl w:val="0"/>
          <w:numId w:val="3"/>
        </w:numPr>
        <w:spacing w:after="80"/>
      </w:pPr>
      <w:r>
        <w:rPr>
          <w:rFonts w:ascii="Calibri" w:cs="Calibri" w:eastAsia="Calibri" w:hAnsi="Calibri"/>
          <w:color w:val="1A1A1A"/>
          <w:sz w:val="22"/>
          <w:szCs w:val="22"/>
        </w:rPr>
        <w:t xml:space="preserve">Tokenise each chunk text → list of token lists (whitespace split, lowercase).</w:t>
      </w:r>
    </w:p>
    <w:p>
      <w:pPr>
        <w:pStyle w:val="ListParagraph"/>
        <w:numPr>
          <w:ilvl w:val="0"/>
          <w:numId w:val="3"/>
        </w:numPr>
        <w:spacing w:after="80"/>
      </w:pPr>
      <w:r>
        <w:rPr>
          <w:rFonts w:ascii="Calibri" w:cs="Calibri" w:eastAsia="Calibri" w:hAnsi="Calibri"/>
          <w:color w:val="1A1A1A"/>
          <w:sz w:val="22"/>
          <w:szCs w:val="22"/>
        </w:rPr>
        <w:t xml:space="preserve">Instantiate BM25Okapi(tokenised_corpus).</w:t>
      </w:r>
    </w:p>
    <w:p>
      <w:pPr>
        <w:pStyle w:val="ListParagraph"/>
        <w:numPr>
          <w:ilvl w:val="0"/>
          <w:numId w:val="3"/>
        </w:numPr>
        <w:spacing w:after="80"/>
      </w:pPr>
      <w:r>
        <w:rPr>
          <w:rFonts w:ascii="Calibri" w:cs="Calibri" w:eastAsia="Calibri" w:hAnsi="Calibri"/>
          <w:color w:val="1A1A1A"/>
          <w:sz w:val="22"/>
          <w:szCs w:val="22"/>
        </w:rPr>
        <w:t xml:space="preserve">Save index to indexes/bm25/ via pickle for reuse.</w:t>
      </w:r>
    </w:p>
    <w:p>
      <w:pPr>
        <w:pStyle w:val="ListParagraph"/>
        <w:numPr>
          <w:ilvl w:val="0"/>
          <w:numId w:val="3"/>
        </w:numPr>
        <w:spacing w:after="80"/>
      </w:pPr>
      <w:r>
        <w:rPr>
          <w:rFonts w:ascii="Calibri" w:cs="Calibri" w:eastAsia="Calibri" w:hAnsi="Calibri"/>
          <w:color w:val="1A1A1A"/>
          <w:sz w:val="22"/>
          <w:szCs w:val="22"/>
        </w:rPr>
        <w:t xml:space="preserve">At query time: tokenise query string → token list.</w:t>
      </w:r>
    </w:p>
    <w:p>
      <w:pPr>
        <w:pStyle w:val="ListParagraph"/>
        <w:numPr>
          <w:ilvl w:val="0"/>
          <w:numId w:val="3"/>
        </w:numPr>
        <w:spacing w:after="80"/>
      </w:pPr>
      <w:r>
        <w:rPr>
          <w:rFonts w:ascii="Calibri" w:cs="Calibri" w:eastAsia="Calibri" w:hAnsi="Calibri"/>
          <w:color w:val="1A1A1A"/>
          <w:sz w:val="22"/>
          <w:szCs w:val="22"/>
        </w:rPr>
        <w:t xml:space="preserve">bm25.get_scores(query_tokens) → score array (N scores, one per chunk).</w:t>
      </w:r>
    </w:p>
    <w:p>
      <w:pPr>
        <w:pStyle w:val="ListParagraph"/>
        <w:numPr>
          <w:ilvl w:val="0"/>
          <w:numId w:val="3"/>
        </w:numPr>
        <w:spacing w:after="80"/>
      </w:pPr>
      <w:r>
        <w:rPr>
          <w:rFonts w:ascii="Calibri" w:cs="Calibri" w:eastAsia="Calibri" w:hAnsi="Calibri"/>
          <w:color w:val="1A1A1A"/>
          <w:sz w:val="22"/>
          <w:szCs w:val="22"/>
        </w:rPr>
        <w:t xml:space="preserve">argsort descending → top-k indices.</w:t>
      </w:r>
    </w:p>
    <w:p>
      <w:pPr>
        <w:pStyle w:val="ListParagraph"/>
        <w:numPr>
          <w:ilvl w:val="0"/>
          <w:numId w:val="3"/>
        </w:numPr>
        <w:spacing w:after="80"/>
      </w:pPr>
      <w:r>
        <w:rPr>
          <w:rFonts w:ascii="Calibri" w:cs="Calibri" w:eastAsia="Calibri" w:hAnsi="Calibri"/>
          <w:color w:val="1A1A1A"/>
          <w:sz w:val="22"/>
          <w:szCs w:val="22"/>
        </w:rPr>
        <w:t xml:space="preserve">Map indices to chunk_ids and scores; return ranked list.</w:t>
      </w:r>
    </w:p>
    <w:p>
      <w:pPr>
        <w:spacing w:after="80"/>
      </w:pPr>
    </w:p>
    <w:p>
      <w:pPr>
        <w:spacing w:after="160" w:before="0"/>
        <w:jc w:val="both"/>
      </w:pPr>
      <w:r>
        <w:rPr>
          <w:rFonts w:ascii="Calibri" w:cs="Calibri" w:eastAsia="Calibri" w:hAnsi="Calibri"/>
          <w:b w:val="false"/>
          <w:bCs w:val="false"/>
          <w:color w:val="1A1A1A"/>
          <w:sz w:val="22"/>
          <w:szCs w:val="22"/>
        </w:rPr>
        <w:t xml:space="preserve">Design decisions. Simple whitespace tokenisation is used deliberately rather than stemming or lemmatisation. Government policy text uses specific compound terms — 'small and marginal farmers,' 'Below Poverty Line' — that stemming may incorrectly reduce to ambiguous tokens. Preserving the full token preserves the specificity that makes BM25 competitive on exact-match queries.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7B6C00" w:sz="14"/>
              <w:bottom w:val="none"/>
              <w:right w:val="none"/>
            </w:tcBorders>
            <w:shd w:fill="FFFBE6" w:val="clear"/>
            <w:tcMar>
              <w:top w:type="dxa" w:w="160"/>
              <w:left w:type="dxa" w:w="300"/>
              <w:bottom w:type="dxa" w:w="160"/>
              <w:right w:type="dxa" w:w="300"/>
            </w:tcMar>
          </w:tcPr>
          <w:p>
            <w:r>
              <w:rPr>
                <w:rFonts w:ascii="Calibri" w:cs="Calibri" w:eastAsia="Calibri" w:hAnsi="Calibri"/>
                <w:color w:val="7B6C00"/>
                <w:sz w:val="22"/>
                <w:szCs w:val="22"/>
              </w:rPr>
              <w:t xml:space="preserve">Known limitation at n=1 corpus size. BM25's IDF term is log((N − df + 0.5)/(df + 0.5)). When N=1, this collapses — all terms get IDF ≈ 0, producing near-zero BM25 scores. This is correct mathematical behaviour at corpus size 1, not a code bug. The issue resolves immediately once the real multi-document corpus (20+ documents) is loaded. All unit tests pass on synthetic multi-document corpora.</w:t>
            </w:r>
          </w:p>
        </w:tc>
      </w:tr>
    </w:tbl>
    <w:p>
      <w:pPr>
        <w:spacing w:after="80"/>
      </w:pPr>
    </w:p>
    <w:p>
      <w:pPr>
        <w:spacing w:after="160" w:before="0"/>
        <w:jc w:val="both"/>
      </w:pPr>
      <w:r>
        <w:rPr>
          <w:rFonts w:ascii="Calibri" w:cs="Calibri" w:eastAsia="Calibri" w:hAnsi="Calibri"/>
          <w:b w:val="false"/>
          <w:bCs w:val="false"/>
          <w:color w:val="1A1A1A"/>
          <w:sz w:val="22"/>
          <w:szCs w:val="22"/>
        </w:rPr>
        <w:t xml:space="preserve">Infrastructure profile: No GPU. No model weights. Index size at 1,000 chunks: 2–5MB. Index rebuild time: under 5 seconds. Per-query latency: 1–10ms on a standard CPU including tokenisation.</w:t>
      </w:r>
    </w:p>
    <w:p>
      <w:pPr>
        <w:pStyle w:val="Heading2"/>
        <w:spacing w:after="120" w:before="300"/>
      </w:pPr>
      <w:r>
        <w:rPr>
          <w:rFonts w:ascii="Calibri" w:cs="Calibri" w:eastAsia="Calibri" w:hAnsi="Calibri"/>
          <w:b/>
          <w:bCs/>
          <w:color w:val="2E5FA3"/>
          <w:sz w:val="26"/>
          <w:szCs w:val="26"/>
        </w:rPr>
        <w:t xml:space="preserve">4.5  System 3 — Graph RAG (NetworkX)</w:t>
      </w:r>
    </w:p>
    <w:p>
      <w:pPr>
        <w:spacing w:after="160" w:before="0"/>
        <w:jc w:val="both"/>
      </w:pPr>
      <w:r>
        <w:rPr>
          <w:rFonts w:ascii="Calibri" w:cs="Calibri" w:eastAsia="Calibri" w:hAnsi="Calibri"/>
          <w:b w:val="false"/>
          <w:bCs w:val="false"/>
          <w:color w:val="1A1A1A"/>
          <w:sz w:val="22"/>
          <w:szCs w:val="22"/>
        </w:rPr>
        <w:t xml:space="preserve">GraphRAGRetriever operates in two stages: an offline graph construction stage and an online query-time traversal stage. The graph is a directed NetworkX DiGraph where nodes represent entities and text chunks, and edges represent relationships between them.</w:t>
      </w:r>
    </w:p>
    <w:p>
      <w:pPr>
        <w:spacing w:after="80"/>
      </w:pPr>
    </w:p>
    <w:p>
      <w:pPr>
        <w:spacing w:after="160" w:before="0"/>
        <w:jc w:val="both"/>
      </w:pPr>
      <w:r>
        <w:rPr>
          <w:rFonts w:ascii="Calibri" w:cs="Calibri" w:eastAsia="Calibri" w:hAnsi="Calibri"/>
          <w:b w:val="false"/>
          <w:bCs w:val="false"/>
          <w:color w:val="1A1A1A"/>
          <w:sz w:val="22"/>
          <w:szCs w:val="22"/>
        </w:rPr>
        <w:t xml:space="preserve">Graph construction (offline):</w:t>
      </w:r>
    </w:p>
    <w:p>
      <w:pPr>
        <w:pStyle w:val="ListParagraph"/>
        <w:numPr>
          <w:ilvl w:val="0"/>
          <w:numId w:val="3"/>
        </w:numPr>
        <w:spacing w:after="80"/>
      </w:pPr>
      <w:r>
        <w:rPr>
          <w:rFonts w:ascii="Calibri" w:cs="Calibri" w:eastAsia="Calibri" w:hAnsi="Calibri"/>
          <w:color w:val="1A1A1A"/>
          <w:sz w:val="22"/>
          <w:szCs w:val="22"/>
        </w:rPr>
        <w:t xml:space="preserve">Load chunks_v1.jsonl → list of chunk dicts.</w:t>
      </w:r>
    </w:p>
    <w:p>
      <w:pPr>
        <w:pStyle w:val="ListParagraph"/>
        <w:numPr>
          <w:ilvl w:val="0"/>
          <w:numId w:val="3"/>
        </w:numPr>
        <w:spacing w:after="80"/>
      </w:pPr>
      <w:r>
        <w:rPr>
          <w:rFonts w:ascii="Calibri" w:cs="Calibri" w:eastAsia="Calibri" w:hAnsi="Calibri"/>
          <w:color w:val="1A1A1A"/>
          <w:sz w:val="22"/>
          <w:szCs w:val="22"/>
        </w:rPr>
        <w:t xml:space="preserve">For each chunk, run spaCy en_core_web_sm NER to extract standard entities: ORG, GPE, MONEY, LAW, DATE.</w:t>
      </w:r>
    </w:p>
    <w:p>
      <w:pPr>
        <w:pStyle w:val="ListParagraph"/>
        <w:numPr>
          <w:ilvl w:val="0"/>
          <w:numId w:val="3"/>
        </w:numPr>
        <w:spacing w:after="80"/>
      </w:pPr>
      <w:r>
        <w:rPr>
          <w:rFonts w:ascii="Calibri" w:cs="Calibri" w:eastAsia="Calibri" w:hAnsi="Calibri"/>
          <w:color w:val="1A1A1A"/>
          <w:sz w:val="22"/>
          <w:szCs w:val="22"/>
        </w:rPr>
        <w:t xml:space="preserve">Run domain-specific regex patterns in parallel:</w:t>
      </w:r>
    </w:p>
    <w:p>
      <w:pPr>
        <w:pStyle w:val="ListParagraph"/>
        <w:numPr>
          <w:ilvl w:val="1"/>
          <w:numId w:val="2"/>
        </w:numPr>
        <w:spacing w:after="80"/>
      </w:pPr>
      <w:r>
        <w:rPr>
          <w:rFonts w:ascii="Calibri" w:cs="Calibri" w:eastAsia="Calibri" w:hAnsi="Calibri"/>
          <w:color w:val="1A1A1A"/>
          <w:sz w:val="22"/>
          <w:szCs w:val="22"/>
        </w:rPr>
        <w:t xml:space="preserve">SCHEME_NAME: tokens matching 'Yojana|Scheme|Mission|PMJAY|PM-KISAN|MGNREGA|Abhiyan'</w:t>
      </w:r>
    </w:p>
    <w:p>
      <w:pPr>
        <w:pStyle w:val="ListParagraph"/>
        <w:numPr>
          <w:ilvl w:val="1"/>
          <w:numId w:val="2"/>
        </w:numPr>
        <w:spacing w:after="80"/>
      </w:pPr>
      <w:r>
        <w:rPr>
          <w:rFonts w:ascii="Calibri" w:cs="Calibri" w:eastAsia="Calibri" w:hAnsi="Calibri"/>
          <w:color w:val="1A1A1A"/>
          <w:sz w:val="22"/>
          <w:szCs w:val="22"/>
        </w:rPr>
        <w:t xml:space="preserve">AMOUNT: patterns 'Rs\.\s*[\d,]+|INR\s*[\d,]+|[\d,]+\s*lakh|crore'</w:t>
      </w:r>
    </w:p>
    <w:p>
      <w:pPr>
        <w:pStyle w:val="ListParagraph"/>
        <w:numPr>
          <w:ilvl w:val="1"/>
          <w:numId w:val="2"/>
        </w:numPr>
        <w:spacing w:after="80"/>
      </w:pPr>
      <w:r>
        <w:rPr>
          <w:rFonts w:ascii="Calibri" w:cs="Calibri" w:eastAsia="Calibri" w:hAnsi="Calibri"/>
          <w:color w:val="1A1A1A"/>
          <w:sz w:val="22"/>
          <w:szCs w:val="22"/>
        </w:rPr>
        <w:t xml:space="preserve">BENEFICIARY: keywords 'farmer|BPL|SC|ST|marginal|landless|widow|disabled'</w:t>
      </w:r>
    </w:p>
    <w:p>
      <w:pPr>
        <w:pStyle w:val="ListParagraph"/>
        <w:numPr>
          <w:ilvl w:val="1"/>
          <w:numId w:val="2"/>
        </w:numPr>
        <w:spacing w:after="80"/>
      </w:pPr>
      <w:r>
        <w:rPr>
          <w:rFonts w:ascii="Calibri" w:cs="Calibri" w:eastAsia="Calibri" w:hAnsi="Calibri"/>
          <w:color w:val="1A1A1A"/>
          <w:sz w:val="22"/>
          <w:szCs w:val="22"/>
        </w:rPr>
        <w:t xml:space="preserve">ELIGIBILITY: sentences containing 'eligible|criteria|condition|must|income limit'</w:t>
      </w:r>
    </w:p>
    <w:p>
      <w:pPr>
        <w:pStyle w:val="ListParagraph"/>
        <w:numPr>
          <w:ilvl w:val="0"/>
          <w:numId w:val="3"/>
        </w:numPr>
        <w:spacing w:after="80"/>
      </w:pPr>
      <w:r>
        <w:rPr>
          <w:rFonts w:ascii="Calibri" w:cs="Calibri" w:eastAsia="Calibri" w:hAnsi="Calibri"/>
          <w:color w:val="1A1A1A"/>
          <w:sz w:val="22"/>
          <w:szCs w:val="22"/>
        </w:rPr>
        <w:t xml:space="preserve">Create one entity node per unique (entity_text, entity_type) pair.</w:t>
      </w:r>
    </w:p>
    <w:p>
      <w:pPr>
        <w:pStyle w:val="ListParagraph"/>
        <w:numPr>
          <w:ilvl w:val="0"/>
          <w:numId w:val="3"/>
        </w:numPr>
        <w:spacing w:after="80"/>
      </w:pPr>
      <w:r>
        <w:rPr>
          <w:rFonts w:ascii="Calibri" w:cs="Calibri" w:eastAsia="Calibri" w:hAnsi="Calibri"/>
          <w:color w:val="1A1A1A"/>
          <w:sz w:val="22"/>
          <w:szCs w:val="22"/>
        </w:rPr>
        <w:t xml:space="preserve">Create one chunk node per chunk.</w:t>
      </w:r>
    </w:p>
    <w:p>
      <w:pPr>
        <w:pStyle w:val="ListParagraph"/>
        <w:numPr>
          <w:ilvl w:val="0"/>
          <w:numId w:val="3"/>
        </w:numPr>
        <w:spacing w:after="80"/>
      </w:pPr>
      <w:r>
        <w:rPr>
          <w:rFonts w:ascii="Calibri" w:cs="Calibri" w:eastAsia="Calibri" w:hAnsi="Calibri"/>
          <w:color w:val="1A1A1A"/>
          <w:sz w:val="22"/>
          <w:szCs w:val="22"/>
        </w:rPr>
        <w:t xml:space="preserve">Add edge: entity_node → chunk_node (MENTIONED_IN relation).</w:t>
      </w:r>
    </w:p>
    <w:p>
      <w:pPr>
        <w:pStyle w:val="ListParagraph"/>
        <w:numPr>
          <w:ilvl w:val="0"/>
          <w:numId w:val="3"/>
        </w:numPr>
        <w:spacing w:after="80"/>
      </w:pPr>
      <w:r>
        <w:rPr>
          <w:rFonts w:ascii="Calibri" w:cs="Calibri" w:eastAsia="Calibri" w:hAnsi="Calibri"/>
          <w:color w:val="1A1A1A"/>
          <w:sz w:val="22"/>
          <w:szCs w:val="22"/>
        </w:rPr>
        <w:t xml:space="preserve">Add edges: entity_node ↔ entity_node for all entity pairs in same chunk (CO_OCCURS_WITH).</w:t>
      </w:r>
    </w:p>
    <w:p>
      <w:pPr>
        <w:pStyle w:val="ListParagraph"/>
        <w:numPr>
          <w:ilvl w:val="0"/>
          <w:numId w:val="3"/>
        </w:numPr>
        <w:spacing w:after="80"/>
      </w:pPr>
      <w:r>
        <w:rPr>
          <w:rFonts w:ascii="Calibri" w:cs="Calibri" w:eastAsia="Calibri" w:hAnsi="Calibri"/>
          <w:color w:val="1A1A1A"/>
          <w:sz w:val="22"/>
          <w:szCs w:val="22"/>
        </w:rPr>
        <w:t xml:space="preserve">Save graph as indexes/graphrag/graph.json (nodes list + edges list).</w:t>
      </w:r>
    </w:p>
    <w:p>
      <w:pPr>
        <w:pStyle w:val="ListParagraph"/>
        <w:numPr>
          <w:ilvl w:val="0"/>
          <w:numId w:val="3"/>
        </w:numPr>
        <w:spacing w:after="80"/>
      </w:pPr>
      <w:r>
        <w:rPr>
          <w:rFonts w:ascii="Calibri" w:cs="Calibri" w:eastAsia="Calibri" w:hAnsi="Calibri"/>
          <w:color w:val="1A1A1A"/>
          <w:sz w:val="22"/>
          <w:szCs w:val="22"/>
        </w:rPr>
        <w:t xml:space="preserve">Save chunk lookup → indexes/graphrag/chunk_lookup.json; report graph statistics.</w:t>
      </w:r>
    </w:p>
    <w:p>
      <w:pPr>
        <w:spacing w:after="80"/>
      </w:pPr>
    </w:p>
    <w:p>
      <w:pPr>
        <w:spacing w:after="160" w:before="0"/>
        <w:jc w:val="both"/>
      </w:pPr>
      <w:r>
        <w:rPr>
          <w:rFonts w:ascii="Calibri" w:cs="Calibri" w:eastAsia="Calibri" w:hAnsi="Calibri"/>
          <w:b w:val="false"/>
          <w:bCs w:val="false"/>
          <w:color w:val="1A1A1A"/>
          <w:sz w:val="22"/>
          <w:szCs w:val="22"/>
        </w:rPr>
        <w:t xml:space="preserve">Query-time traversal (online):</w:t>
      </w:r>
    </w:p>
    <w:p>
      <w:pPr>
        <w:pStyle w:val="ListParagraph"/>
        <w:numPr>
          <w:ilvl w:val="0"/>
          <w:numId w:val="3"/>
        </w:numPr>
        <w:spacing w:after="80"/>
      </w:pPr>
      <w:r>
        <w:rPr>
          <w:rFonts w:ascii="Calibri" w:cs="Calibri" w:eastAsia="Calibri" w:hAnsi="Calibri"/>
          <w:color w:val="1A1A1A"/>
          <w:sz w:val="22"/>
          <w:szCs w:val="22"/>
        </w:rPr>
        <w:t xml:space="preserve">Receive query string; run same NER + regex on query → seed entities.</w:t>
      </w:r>
    </w:p>
    <w:p>
      <w:pPr>
        <w:pStyle w:val="ListParagraph"/>
        <w:numPr>
          <w:ilvl w:val="0"/>
          <w:numId w:val="3"/>
        </w:numPr>
        <w:spacing w:after="80"/>
      </w:pPr>
      <w:r>
        <w:rPr>
          <w:rFonts w:ascii="Calibri" w:cs="Calibri" w:eastAsia="Calibri" w:hAnsi="Calibri"/>
          <w:color w:val="1A1A1A"/>
          <w:sz w:val="22"/>
          <w:szCs w:val="22"/>
        </w:rPr>
        <w:t xml:space="preserve">Match seed entities to graph nodes (case-insensitive substring match).</w:t>
      </w:r>
    </w:p>
    <w:p>
      <w:pPr>
        <w:pStyle w:val="ListParagraph"/>
        <w:numPr>
          <w:ilvl w:val="0"/>
          <w:numId w:val="3"/>
        </w:numPr>
        <w:spacing w:after="80"/>
      </w:pPr>
      <w:r>
        <w:rPr>
          <w:rFonts w:ascii="Calibri" w:cs="Calibri" w:eastAsia="Calibri" w:hAnsi="Calibri"/>
          <w:color w:val="1A1A1A"/>
          <w:sz w:val="22"/>
          <w:szCs w:val="22"/>
        </w:rPr>
        <w:t xml:space="preserve">If no entity match: fall back to keyword overlap scoring on chunk texts.</w:t>
      </w:r>
    </w:p>
    <w:p>
      <w:pPr>
        <w:pStyle w:val="ListParagraph"/>
        <w:numPr>
          <w:ilvl w:val="0"/>
          <w:numId w:val="3"/>
        </w:numPr>
        <w:spacing w:after="80"/>
      </w:pPr>
      <w:r>
        <w:rPr>
          <w:rFonts w:ascii="Calibri" w:cs="Calibri" w:eastAsia="Calibri" w:hAnsi="Calibri"/>
          <w:color w:val="1A1A1A"/>
          <w:sz w:val="22"/>
          <w:szCs w:val="22"/>
        </w:rPr>
        <w:t xml:space="preserve">BFS traversal from each seed node, depth ≤ 2 hops.</w:t>
      </w:r>
    </w:p>
    <w:p>
      <w:pPr>
        <w:pStyle w:val="ListParagraph"/>
        <w:numPr>
          <w:ilvl w:val="0"/>
          <w:numId w:val="3"/>
        </w:numPr>
        <w:spacing w:after="80"/>
      </w:pPr>
      <w:r>
        <w:rPr>
          <w:rFonts w:ascii="Calibri" w:cs="Calibri" w:eastAsia="Calibri" w:hAnsi="Calibri"/>
          <w:color w:val="1A1A1A"/>
          <w:sz w:val="22"/>
          <w:szCs w:val="22"/>
        </w:rPr>
        <w:t xml:space="preserve">Collect all chunk_ids referenced by nodes in traversal neighbourhood.</w:t>
      </w:r>
    </w:p>
    <w:p>
      <w:pPr>
        <w:pStyle w:val="ListParagraph"/>
        <w:numPr>
          <w:ilvl w:val="0"/>
          <w:numId w:val="3"/>
        </w:numPr>
        <w:spacing w:after="80"/>
      </w:pPr>
      <w:r>
        <w:rPr>
          <w:rFonts w:ascii="Calibri" w:cs="Calibri" w:eastAsia="Calibri" w:hAnsi="Calibri"/>
          <w:color w:val="1A1A1A"/>
          <w:sz w:val="22"/>
          <w:szCs w:val="22"/>
        </w:rPr>
        <w:t xml:space="preserve">Score each chunk: base_score = count of seed nodes referencing it; hop_score = 0.5 × count of 2-hop neighbours referencing it; final_score = base_score + hop_score.</w:t>
      </w:r>
    </w:p>
    <w:p>
      <w:pPr>
        <w:pStyle w:val="ListParagraph"/>
        <w:numPr>
          <w:ilvl w:val="0"/>
          <w:numId w:val="3"/>
        </w:numPr>
        <w:spacing w:after="80"/>
      </w:pPr>
      <w:r>
        <w:rPr>
          <w:rFonts w:ascii="Calibri" w:cs="Calibri" w:eastAsia="Calibri" w:hAnsi="Calibri"/>
          <w:color w:val="1A1A1A"/>
          <w:sz w:val="22"/>
          <w:szCs w:val="22"/>
        </w:rPr>
        <w:t xml:space="preserve">Sort chunks by final_score descending; return top-k.</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F7FC4" w:sz="4"/>
              <w:left w:val="single" w:color="1F7FC4" w:sz="4"/>
              <w:bottom w:val="single" w:color="1F7FC4" w:sz="4"/>
              <w:right w:val="single" w:color="1F7FC4" w:sz="4"/>
            </w:tcBorders>
            <w:shd w:fill="FAFBFC" w:val="clear"/>
            <w:tcMar>
              <w:top w:type="dxa" w:w="160"/>
              <w:left w:type="dxa" w:w="240"/>
              <w:bottom w:type="dxa" w:w="160"/>
              <w:right w:type="dxa" w:w="240"/>
            </w:tcMar>
          </w:tcPr>
          <w:p>
            <w:pPr>
              <w:spacing w:after="100"/>
            </w:pPr>
            <w:r>
              <w:rPr>
                <w:rFonts w:ascii="Calibri" w:cs="Calibri" w:eastAsia="Calibri" w:hAnsi="Calibri"/>
                <w:b/>
                <w:bCs/>
                <w:color w:val="1F3864"/>
                <w:sz w:val="20"/>
                <w:szCs w:val="20"/>
              </w:rPr>
              <w:t xml:space="preserve">Figure 2: Graph structure for PM-KISAN entity neighbourhood</w:t>
            </w:r>
          </w:p>
          <w:p>
            <w:pPr>
              <w:spacing w:after="16"/>
            </w:pPr>
            <w:r>
              <w:rPr>
                <w:rFonts w:ascii="Courier New" w:cs="Courier New" w:eastAsia="Courier New" w:hAnsi="Courier New"/>
                <w:color w:val="1A1A1A"/>
                <w:sz w:val="17"/>
                <w:szCs w:val="17"/>
              </w:rPr>
              <w:t xml:space="preserve">GRAPH STRUCTURE: PM-KISAN ENTITY NEIGHBOURHOOD</w:t>
            </w:r>
          </w:p>
          <w:p>
            <w:pPr>
              <w:spacing w:after="16"/>
            </w:pPr>
            <w:r>
              <w:rPr>
                <w:rFonts w:ascii="Courier New" w:cs="Courier New" w:eastAsia="Courier New" w:hAnsi="Courier New"/>
                <w:color w:val="1A1A1A"/>
                <w:sz w:val="17"/>
                <w:szCs w:val="17"/>
              </w:rPr>
              <w:t xml:space="preserve">─────────────────────────────────────────────────────────────────────</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SCHEME_NAME              │</w:t>
            </w:r>
          </w:p>
          <w:p>
            <w:pPr>
              <w:spacing w:after="16"/>
            </w:pPr>
            <w:r>
              <w:rPr>
                <w:rFonts w:ascii="Courier New" w:cs="Courier New" w:eastAsia="Courier New" w:hAnsi="Courier New"/>
                <w:color w:val="1A1A1A"/>
                <w:sz w:val="17"/>
                <w:szCs w:val="17"/>
              </w:rPr>
              <w:t xml:space="preserve">                │          'PM-KISAN'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CO_OCCURS_WITH</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   AMOUNT     │   │  BENEFICIARY    │   │    ELIGIBILITY        │</w:t>
            </w:r>
          </w:p>
          <w:p>
            <w:pPr>
              <w:spacing w:after="16"/>
            </w:pPr>
            <w:r>
              <w:rPr>
                <w:rFonts w:ascii="Courier New" w:cs="Courier New" w:eastAsia="Courier New" w:hAnsi="Courier New"/>
                <w:color w:val="1A1A1A"/>
                <w:sz w:val="17"/>
                <w:szCs w:val="17"/>
              </w:rPr>
              <w:t xml:space="preserve">  │ 'Rs. 6000'   │   │  'farmers'      │   │ 'income limit         │</w:t>
            </w:r>
          </w:p>
          <w:p>
            <w:pPr>
              <w:spacing w:after="16"/>
            </w:pPr>
            <w:r>
              <w:rPr>
                <w:rFonts w:ascii="Courier New" w:cs="Courier New" w:eastAsia="Courier New" w:hAnsi="Courier New"/>
                <w:color w:val="1A1A1A"/>
                <w:sz w:val="17"/>
                <w:szCs w:val="17"/>
              </w:rPr>
              <w:t xml:space="preserve">  │ 'per year'   │   │  'cultivators'  │   │  Rs. 2 lakh p.a.'    │</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MENTIONED_IN</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CHUNK NODE               │</w:t>
            </w:r>
          </w:p>
          <w:p>
            <w:pPr>
              <w:spacing w:after="16"/>
            </w:pPr>
            <w:r>
              <w:rPr>
                <w:rFonts w:ascii="Courier New" w:cs="Courier New" w:eastAsia="Courier New" w:hAnsi="Courier New"/>
                <w:color w:val="1A1A1A"/>
                <w:sz w:val="17"/>
                <w:szCs w:val="17"/>
              </w:rPr>
              <w:t xml:space="preserve">                │          chunk_0042               │</w:t>
            </w:r>
          </w:p>
          <w:p>
            <w:pPr>
              <w:spacing w:after="16"/>
            </w:pPr>
            <w:r>
              <w:rPr>
                <w:rFonts w:ascii="Courier New" w:cs="Courier New" w:eastAsia="Courier New" w:hAnsi="Courier New"/>
                <w:color w:val="1A1A1A"/>
                <w:sz w:val="17"/>
                <w:szCs w:val="17"/>
              </w:rPr>
              <w:t xml:space="preserve">                │    (PM-KISAN guidelines §3.2)     │</w:t>
            </w:r>
          </w:p>
          <w:p>
            <w:pPr>
              <w:spacing w:after="16"/>
            </w:pPr>
            <w:r>
              <w:rPr>
                <w:rFonts w:ascii="Courier New" w:cs="Courier New" w:eastAsia="Courier New" w:hAnsi="Courier New"/>
                <w:color w:val="1A1A1A"/>
                <w:sz w:val="17"/>
                <w:szCs w:val="17"/>
              </w:rPr>
              <w:t xml:space="preserve">                └──────────────────────────────────┘</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A query containing 'PM-KISAN' and 'farmers' matches two seed nodes.</w:t>
            </w:r>
          </w:p>
          <w:p>
            <w:pPr>
              <w:spacing w:after="16"/>
            </w:pPr>
            <w:r>
              <w:rPr>
                <w:rFonts w:ascii="Courier New" w:cs="Courier New" w:eastAsia="Courier New" w:hAnsi="Courier New"/>
                <w:color w:val="1A1A1A"/>
                <w:sz w:val="17"/>
                <w:szCs w:val="17"/>
              </w:rPr>
              <w:t xml:space="preserve">  base_score for chunk_0042 = 2.0 (both seed nodes reference it).</w:t>
            </w:r>
          </w:p>
          <w:p>
            <w:pPr>
              <w:spacing w:after="16"/>
            </w:pPr>
            <w:r>
              <w:rPr>
                <w:rFonts w:ascii="Courier New" w:cs="Courier New" w:eastAsia="Courier New" w:hAnsi="Courier New"/>
                <w:color w:val="1A1A1A"/>
                <w:sz w:val="17"/>
                <w:szCs w:val="17"/>
              </w:rPr>
              <w:t xml:space="preserve">  2-hop traversal adds neighbouring chunks for additional candidates.</w:t>
            </w:r>
          </w:p>
        </w:tc>
      </w:tr>
    </w:tbl>
    <w:p>
      <w:pPr>
        <w:spacing w:after="220" w:before="60"/>
        <w:jc w:val="center"/>
      </w:pPr>
      <w:r>
        <w:rPr>
          <w:rFonts w:ascii="Calibri" w:cs="Calibri" w:eastAsia="Calibri" w:hAnsi="Calibri"/>
          <w:b/>
          <w:bCs/>
          <w:color w:val="555555"/>
          <w:sz w:val="19"/>
          <w:szCs w:val="19"/>
        </w:rPr>
        <w:t xml:space="preserve">Figure 2: </w:t>
      </w:r>
      <w:r>
        <w:rPr>
          <w:rFonts w:ascii="Calibri" w:cs="Calibri" w:eastAsia="Calibri" w:hAnsi="Calibri"/>
          <w:color w:val="555555"/>
          <w:sz w:val="19"/>
          <w:szCs w:val="19"/>
        </w:rPr>
        <w:t xml:space="preserve">Entity nodes extracted from PM-KISAN documentation. CO_OCCURS_WITH edges link entities appearing in the same chunk. A query containing 'PM-KISAN' and 'farmers' matches two seed nodes, scoring chunk_0042 at base_score = 2.0 before hop scoring.</w:t>
      </w:r>
    </w:p>
    <w:p>
      <w:pPr>
        <w:spacing w:after="80"/>
      </w:pPr>
    </w:p>
    <w:p>
      <w:pPr>
        <w:spacing w:after="160" w:before="0"/>
        <w:jc w:val="both"/>
      </w:pPr>
      <w:r>
        <w:rPr>
          <w:rFonts w:ascii="Calibri" w:cs="Calibri" w:eastAsia="Calibri" w:hAnsi="Calibri"/>
          <w:b w:val="false"/>
          <w:bCs w:val="false"/>
          <w:color w:val="1A1A1A"/>
          <w:sz w:val="22"/>
          <w:szCs w:val="22"/>
        </w:rPr>
        <w:t xml:space="preserve">Design decisions. spaCy en_core_web_sm is used rather than a larger model: it runs on CPU without memory pressure, and domain-specific pattern matching supplements its NER for government scheme terminology underrepresented in a general English training corpus. The 2-hop traversal depth balances coverage against precision — 1 hop retrieves only directly mentioned chunks; 3 hops produces too many candidates with diminishing relevance.</w:t>
      </w:r>
    </w:p>
    <w:p>
      <w:pPr>
        <w:spacing w:after="160" w:before="0"/>
        <w:jc w:val="both"/>
      </w:pPr>
      <w:r>
        <w:rPr>
          <w:rFonts w:ascii="Calibri" w:cs="Calibri" w:eastAsia="Calibri" w:hAnsi="Calibri"/>
          <w:b w:val="false"/>
          <w:bCs w:val="false"/>
          <w:color w:val="1A1A1A"/>
          <w:sz w:val="22"/>
          <w:szCs w:val="22"/>
        </w:rPr>
        <w:t xml:space="preserve">Infrastructure profile: No GPU. spaCy model: 12MB. Graph size at 1,000 chunks: 5–20MB depending on entity density. Graph build time: 2–10 minutes. Per-query traversal: 10–50ms depending on graph density and seed entity count.</w:t>
      </w:r>
    </w:p>
    <w:p>
      <w:pPr>
        <w:pStyle w:val="Heading2"/>
        <w:spacing w:after="120" w:before="300"/>
      </w:pPr>
      <w:r>
        <w:rPr>
          <w:rFonts w:ascii="Calibri" w:cs="Calibri" w:eastAsia="Calibri" w:hAnsi="Calibri"/>
          <w:b/>
          <w:bCs/>
          <w:color w:val="2E5FA3"/>
          <w:sz w:val="26"/>
          <w:szCs w:val="26"/>
        </w:rPr>
        <w:t xml:space="preserve">4.6  System 4 — Prompt-RAG</w:t>
      </w:r>
    </w:p>
    <w:p>
      <w:pPr>
        <w:spacing w:after="160" w:before="0"/>
        <w:jc w:val="both"/>
      </w:pPr>
      <w:r>
        <w:rPr>
          <w:rFonts w:ascii="Calibri" w:cs="Calibri" w:eastAsia="Calibri" w:hAnsi="Calibri"/>
          <w:b w:val="false"/>
          <w:bCs w:val="false"/>
          <w:color w:val="1A1A1A"/>
          <w:sz w:val="22"/>
          <w:szCs w:val="22"/>
        </w:rPr>
        <w:t xml:space="preserve">Prompt-RAG does not maintain a permanent retrieval index. At query time, a lightweight BM25 pre-filter narrows the full corpus to a candidate pool of 20 documents. These documents are concatenated into a structured context block. A chain-of-thought prompt then instructs the LLM to reason step-by-step: first identify relevant passages, then cite them by chunk_id, then generate the answer from cited evidence only.</w:t>
      </w:r>
    </w:p>
    <w:p>
      <w:pPr>
        <w:spacing w:after="80"/>
      </w:pPr>
    </w:p>
    <w:p>
      <w:pPr>
        <w:spacing w:after="160" w:before="0"/>
        <w:jc w:val="both"/>
      </w:pPr>
      <w:r>
        <w:rPr>
          <w:rFonts w:ascii="Calibri" w:cs="Calibri" w:eastAsia="Calibri" w:hAnsi="Calibri"/>
          <w:b w:val="false"/>
          <w:bCs w:val="false"/>
          <w:color w:val="1A1A1A"/>
          <w:sz w:val="22"/>
          <w:szCs w:val="22"/>
        </w:rPr>
        <w:t xml:space="preserve">Step-by-step data flow:</w:t>
      </w:r>
    </w:p>
    <w:p>
      <w:pPr>
        <w:pStyle w:val="ListParagraph"/>
        <w:numPr>
          <w:ilvl w:val="0"/>
          <w:numId w:val="3"/>
        </w:numPr>
        <w:spacing w:after="80"/>
      </w:pPr>
      <w:r>
        <w:rPr>
          <w:rFonts w:ascii="Calibri" w:cs="Calibri" w:eastAsia="Calibri" w:hAnsi="Calibri"/>
          <w:color w:val="1A1A1A"/>
          <w:sz w:val="22"/>
          <w:szCs w:val="22"/>
        </w:rPr>
        <w:t xml:space="preserve">Receive query string.</w:t>
      </w:r>
    </w:p>
    <w:p>
      <w:pPr>
        <w:pStyle w:val="ListParagraph"/>
        <w:numPr>
          <w:ilvl w:val="0"/>
          <w:numId w:val="3"/>
        </w:numPr>
        <w:spacing w:after="80"/>
      </w:pPr>
      <w:r>
        <w:rPr>
          <w:rFonts w:ascii="Calibri" w:cs="Calibri" w:eastAsia="Calibri" w:hAnsi="Calibri"/>
          <w:color w:val="1A1A1A"/>
          <w:sz w:val="22"/>
          <w:szCs w:val="22"/>
        </w:rPr>
        <w:t xml:space="preserve">Run BM25 pre-filter: retrieve top-20 chunks by BM25 score.</w:t>
      </w:r>
    </w:p>
    <w:p>
      <w:pPr>
        <w:pStyle w:val="ListParagraph"/>
        <w:numPr>
          <w:ilvl w:val="0"/>
          <w:numId w:val="3"/>
        </w:numPr>
        <w:spacing w:after="80"/>
      </w:pPr>
      <w:r>
        <w:rPr>
          <w:rFonts w:ascii="Calibri" w:cs="Calibri" w:eastAsia="Calibri" w:hAnsi="Calibri"/>
          <w:color w:val="1A1A1A"/>
          <w:sz w:val="22"/>
          <w:szCs w:val="22"/>
        </w:rPr>
        <w:t xml:space="preserve">Construct chain-of-thought prompt: system instruction + context block (chunk_id + text for each of 20 chunks) + three-step instruction (identify relevant chunks by ID, quote specific sentences, write answer from quoted sentences only) + query.</w:t>
      </w:r>
    </w:p>
    <w:p>
      <w:pPr>
        <w:pStyle w:val="ListParagraph"/>
        <w:numPr>
          <w:ilvl w:val="0"/>
          <w:numId w:val="3"/>
        </w:numPr>
        <w:spacing w:after="80"/>
      </w:pPr>
      <w:r>
        <w:rPr>
          <w:rFonts w:ascii="Calibri" w:cs="Calibri" w:eastAsia="Calibri" w:hAnsi="Calibri"/>
          <w:color w:val="1A1A1A"/>
          <w:sz w:val="22"/>
          <w:szCs w:val="22"/>
        </w:rPr>
        <w:t xml:space="preserve">LLM generates response including RELEVANT CHUNKS field, EVIDENCE field, and ANSWER field.</w:t>
      </w:r>
    </w:p>
    <w:p>
      <w:pPr>
        <w:pStyle w:val="ListParagraph"/>
        <w:numPr>
          <w:ilvl w:val="0"/>
          <w:numId w:val="3"/>
        </w:numPr>
        <w:spacing w:after="80"/>
      </w:pPr>
      <w:r>
        <w:rPr>
          <w:rFonts w:ascii="Calibri" w:cs="Calibri" w:eastAsia="Calibri" w:hAnsi="Calibri"/>
          <w:color w:val="1A1A1A"/>
          <w:sz w:val="22"/>
          <w:szCs w:val="22"/>
        </w:rPr>
        <w:t xml:space="preserve">Parse RELEVANT CHUNKS → use as retrieval output for MRR computation.</w:t>
      </w:r>
    </w:p>
    <w:p>
      <w:pPr>
        <w:pStyle w:val="ListParagraph"/>
        <w:numPr>
          <w:ilvl w:val="0"/>
          <w:numId w:val="3"/>
        </w:numPr>
        <w:spacing w:after="80"/>
      </w:pPr>
      <w:r>
        <w:rPr>
          <w:rFonts w:ascii="Calibri" w:cs="Calibri" w:eastAsia="Calibri" w:hAnsi="Calibri"/>
          <w:color w:val="1A1A1A"/>
          <w:sz w:val="22"/>
          <w:szCs w:val="22"/>
        </w:rPr>
        <w:t xml:space="preserve">Parse ANSWER → use as generation output for BLEU and hallucination computation.</w:t>
      </w:r>
    </w:p>
    <w:p>
      <w:pPr>
        <w:pStyle w:val="ListParagraph"/>
        <w:numPr>
          <w:ilvl w:val="0"/>
          <w:numId w:val="3"/>
        </w:numPr>
        <w:spacing w:after="80"/>
      </w:pPr>
      <w:r>
        <w:rPr>
          <w:rFonts w:ascii="Calibri" w:cs="Calibri" w:eastAsia="Calibri" w:hAnsi="Calibri"/>
          <w:color w:val="1A1A1A"/>
          <w:sz w:val="22"/>
          <w:szCs w:val="22"/>
        </w:rPr>
        <w:t xml:space="preserve">Log full prompt trace for inspection and reproducibility.</w:t>
      </w:r>
    </w:p>
    <w:p>
      <w:pPr>
        <w:spacing w:after="80"/>
      </w:pPr>
    </w:p>
    <w:p>
      <w:pPr>
        <w:spacing w:after="160" w:before="0"/>
        <w:jc w:val="both"/>
      </w:pPr>
      <w:r>
        <w:rPr>
          <w:rFonts w:ascii="Calibri" w:cs="Calibri" w:eastAsia="Calibri" w:hAnsi="Calibri"/>
          <w:b w:val="false"/>
          <w:bCs w:val="false"/>
          <w:color w:val="1A1A1A"/>
          <w:sz w:val="22"/>
          <w:szCs w:val="22"/>
        </w:rPr>
        <w:t xml:space="preserve">Design decisions. The three-step chain-of-thought structure — identify, quote, answer — is critical for making the retrieval decision inspectable. Without this structure, the LLM may answer from parametric memory without citing evidence, making retrieval metrics impossible to compute. The BM25 pre-filter is essential for corpora larger than approximately 50 chunks, ensuring evidence fits within the LLM context window.</w:t>
      </w:r>
    </w:p>
    <w:p>
      <w:pPr>
        <w:spacing w:after="160" w:before="0"/>
        <w:jc w:val="both"/>
      </w:pPr>
      <w:r>
        <w:rPr>
          <w:rFonts w:ascii="Calibri" w:cs="Calibri" w:eastAsia="Calibri" w:hAnsi="Calibri"/>
          <w:b w:val="false"/>
          <w:bCs w:val="false"/>
          <w:color w:val="1A1A1A"/>
          <w:sz w:val="22"/>
          <w:szCs w:val="22"/>
        </w:rPr>
        <w:t xml:space="preserve">Infrastructure profile: No index infrastructure required. Latency dominated by LLM API call time (1–5 seconds). Higher per-query token cost than other systems because the full candidate pool is included in the prompt.</w:t>
      </w:r>
    </w:p>
    <w:p>
      <w:pPr>
        <w:pStyle w:val="Heading2"/>
        <w:spacing w:after="120" w:before="300"/>
      </w:pPr>
      <w:r>
        <w:rPr>
          <w:rFonts w:ascii="Calibri" w:cs="Calibri" w:eastAsia="Calibri" w:hAnsi="Calibri"/>
          <w:b/>
          <w:bCs/>
          <w:color w:val="2E5FA3"/>
          <w:sz w:val="26"/>
          <w:szCs w:val="26"/>
        </w:rPr>
        <w:t xml:space="preserve">4.7  System 5 — Hybrid BM25 + GraphRAG (RRF)</w:t>
      </w:r>
    </w:p>
    <w:p>
      <w:pPr>
        <w:spacing w:after="160" w:before="0"/>
        <w:jc w:val="both"/>
      </w:pPr>
      <w:r>
        <w:rPr>
          <w:rFonts w:ascii="Calibri" w:cs="Calibri" w:eastAsia="Calibri" w:hAnsi="Calibri"/>
          <w:b w:val="false"/>
          <w:bCs w:val="false"/>
          <w:color w:val="1A1A1A"/>
          <w:sz w:val="22"/>
          <w:szCs w:val="22"/>
        </w:rPr>
        <w:t xml:space="preserve">The Hybrid system runs BM25Retriever and GraphRAGRetriever in parallel on the same query, receives two independent ranked lists, and fuses them using Reciprocal Rank Fusion before passing the top-k fused results to the generator.</w:t>
      </w:r>
    </w:p>
    <w:p>
      <w:pPr>
        <w:spacing w:after="80"/>
      </w:pPr>
    </w:p>
    <w:p>
      <w:pPr>
        <w:spacing w:after="160" w:before="0"/>
        <w:jc w:val="both"/>
      </w:pPr>
      <w:r>
        <w:rPr>
          <w:rFonts w:ascii="Calibri" w:cs="Calibri" w:eastAsia="Calibri" w:hAnsi="Calibri"/>
          <w:b w:val="false"/>
          <w:bCs w:val="false"/>
          <w:color w:val="1A1A1A"/>
          <w:sz w:val="22"/>
          <w:szCs w:val="22"/>
        </w:rPr>
        <w:t xml:space="preserve">Step-by-step data flow:</w:t>
      </w:r>
    </w:p>
    <w:p>
      <w:pPr>
        <w:pStyle w:val="ListParagraph"/>
        <w:numPr>
          <w:ilvl w:val="0"/>
          <w:numId w:val="3"/>
        </w:numPr>
        <w:spacing w:after="80"/>
      </w:pPr>
      <w:r>
        <w:rPr>
          <w:rFonts w:ascii="Calibri" w:cs="Calibri" w:eastAsia="Calibri" w:hAnsi="Calibri"/>
          <w:color w:val="1A1A1A"/>
          <w:sz w:val="22"/>
          <w:szCs w:val="22"/>
        </w:rPr>
        <w:t xml:space="preserve">Receive query string.</w:t>
      </w:r>
    </w:p>
    <w:p>
      <w:pPr>
        <w:pStyle w:val="ListParagraph"/>
        <w:numPr>
          <w:ilvl w:val="0"/>
          <w:numId w:val="3"/>
        </w:numPr>
        <w:spacing w:after="80"/>
      </w:pPr>
      <w:r>
        <w:rPr>
          <w:rFonts w:ascii="Calibri" w:cs="Calibri" w:eastAsia="Calibri" w:hAnsi="Calibri"/>
          <w:color w:val="1A1A1A"/>
          <w:sz w:val="22"/>
          <w:szCs w:val="22"/>
        </w:rPr>
        <w:t xml:space="preserve">In parallel (Python threading): BM25Retriever.retrieve(query, k=20) → bm25_ranked_list; GraphRAGRetriever.retrieve(query, k=20) → graph_ranked_list.</w:t>
      </w:r>
    </w:p>
    <w:p>
      <w:pPr>
        <w:pStyle w:val="ListParagraph"/>
        <w:numPr>
          <w:ilvl w:val="0"/>
          <w:numId w:val="3"/>
        </w:numPr>
        <w:spacing w:after="80"/>
      </w:pPr>
      <w:r>
        <w:rPr>
          <w:rFonts w:ascii="Calibri" w:cs="Calibri" w:eastAsia="Calibri" w:hAnsi="Calibri"/>
          <w:color w:val="1A1A1A"/>
          <w:sz w:val="22"/>
          <w:szCs w:val="22"/>
        </w:rPr>
        <w:t xml:space="preserve">RRF fusion: for each rank position in each list, compute fused_scores[chunk_id] += 1 / (60 + rank + 1).</w:t>
      </w:r>
    </w:p>
    <w:p>
      <w:pPr>
        <w:pStyle w:val="ListParagraph"/>
        <w:numPr>
          <w:ilvl w:val="0"/>
          <w:numId w:val="3"/>
        </w:numPr>
        <w:spacing w:after="80"/>
      </w:pPr>
      <w:r>
        <w:rPr>
          <w:rFonts w:ascii="Calibri" w:cs="Calibri" w:eastAsia="Calibri" w:hAnsi="Calibri"/>
          <w:color w:val="1A1A1A"/>
          <w:sz w:val="22"/>
          <w:szCs w:val="22"/>
        </w:rPr>
        <w:t xml:space="preserve">Sort chunk_ids by fused_score descending.</w:t>
      </w:r>
    </w:p>
    <w:p>
      <w:pPr>
        <w:pStyle w:val="ListParagraph"/>
        <w:numPr>
          <w:ilvl w:val="0"/>
          <w:numId w:val="3"/>
        </w:numPr>
        <w:spacing w:after="80"/>
      </w:pPr>
      <w:r>
        <w:rPr>
          <w:rFonts w:ascii="Calibri" w:cs="Calibri" w:eastAsia="Calibri" w:hAnsi="Calibri"/>
          <w:color w:val="1A1A1A"/>
          <w:sz w:val="22"/>
          <w:szCs w:val="22"/>
        </w:rPr>
        <w:t xml:space="preserve">Deduplicate: same chunk_id from both lists → one entry with combined score.</w:t>
      </w:r>
    </w:p>
    <w:p>
      <w:pPr>
        <w:pStyle w:val="ListParagraph"/>
        <w:numPr>
          <w:ilvl w:val="0"/>
          <w:numId w:val="3"/>
        </w:numPr>
        <w:spacing w:after="80"/>
      </w:pPr>
      <w:r>
        <w:rPr>
          <w:rFonts w:ascii="Calibri" w:cs="Calibri" w:eastAsia="Calibri" w:hAnsi="Calibri"/>
          <w:color w:val="1A1A1A"/>
          <w:sz w:val="22"/>
          <w:szCs w:val="22"/>
        </w:rPr>
        <w:t xml:space="preserve">Retrieve top-k chunk texts from corpus.</w:t>
      </w:r>
    </w:p>
    <w:p>
      <w:pPr>
        <w:pStyle w:val="ListParagraph"/>
        <w:numPr>
          <w:ilvl w:val="0"/>
          <w:numId w:val="3"/>
        </w:numPr>
        <w:spacing w:after="80"/>
      </w:pPr>
      <w:r>
        <w:rPr>
          <w:rFonts w:ascii="Calibri" w:cs="Calibri" w:eastAsia="Calibri" w:hAnsi="Calibri"/>
          <w:color w:val="1A1A1A"/>
          <w:sz w:val="22"/>
          <w:szCs w:val="22"/>
        </w:rPr>
        <w:t xml:space="preserve">Log fusion contribution: for each top-k chunk, record which system ranked it and at what position.</w:t>
      </w:r>
    </w:p>
    <w:p>
      <w:pPr>
        <w:pStyle w:val="ListParagraph"/>
        <w:numPr>
          <w:ilvl w:val="0"/>
          <w:numId w:val="3"/>
        </w:numPr>
        <w:spacing w:after="80"/>
      </w:pPr>
      <w:r>
        <w:rPr>
          <w:rFonts w:ascii="Calibri" w:cs="Calibri" w:eastAsia="Calibri" w:hAnsi="Calibri"/>
          <w:color w:val="1A1A1A"/>
          <w:sz w:val="22"/>
          <w:szCs w:val="22"/>
        </w:rPr>
        <w:t xml:space="preserve">Return {chunk_id, rank, fused_score, text, bm25_rank, graph_rank}.</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F7FC4" w:sz="4"/>
              <w:left w:val="single" w:color="1F7FC4" w:sz="4"/>
              <w:bottom w:val="single" w:color="1F7FC4" w:sz="4"/>
              <w:right w:val="single" w:color="1F7FC4" w:sz="4"/>
            </w:tcBorders>
            <w:shd w:fill="FAFBFC" w:val="clear"/>
            <w:tcMar>
              <w:top w:type="dxa" w:w="160"/>
              <w:left w:type="dxa" w:w="240"/>
              <w:bottom w:type="dxa" w:w="160"/>
              <w:right w:type="dxa" w:w="240"/>
            </w:tcMar>
          </w:tcPr>
          <w:p>
            <w:pPr>
              <w:spacing w:after="100"/>
            </w:pPr>
            <w:r>
              <w:rPr>
                <w:rFonts w:ascii="Calibri" w:cs="Calibri" w:eastAsia="Calibri" w:hAnsi="Calibri"/>
                <w:b/>
                <w:bCs/>
                <w:color w:val="1F3864"/>
                <w:sz w:val="20"/>
                <w:szCs w:val="20"/>
              </w:rPr>
              <w:t xml:space="preserve">Figure 3: Hybrid RRF fusion mechanism with example scores</w:t>
            </w:r>
          </w:p>
          <w:p>
            <w:pPr>
              <w:spacing w:after="16"/>
            </w:pPr>
            <w:r>
              <w:rPr>
                <w:rFonts w:ascii="Courier New" w:cs="Courier New" w:eastAsia="Courier New" w:hAnsi="Courier New"/>
                <w:color w:val="1A1A1A"/>
                <w:sz w:val="17"/>
                <w:szCs w:val="17"/>
              </w:rPr>
              <w:t xml:space="preserve">HYBRID RRF FUSION MECHANISM — WORKED EXAMPLE</w:t>
            </w:r>
          </w:p>
          <w:p>
            <w:pPr>
              <w:spacing w:after="16"/>
            </w:pPr>
            <w:r>
              <w:rPr>
                <w:rFonts w:ascii="Courier New" w:cs="Courier New" w:eastAsia="Courier New" w:hAnsi="Courier New"/>
                <w:color w:val="1A1A1A"/>
                <w:sz w:val="17"/>
                <w:szCs w:val="17"/>
              </w:rPr>
              <w:t xml:space="preserve">─────────────────────────────────────────────────────────────────────</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BM25 Results:        Graph Results:       RRF Fusion Scores:</w:t>
            </w:r>
          </w:p>
          <w:p>
            <w:pPr>
              <w:spacing w:after="16"/>
            </w:pPr>
            <w:r>
              <w:rPr>
                <w:rFonts w:ascii="Courier New" w:cs="Courier New" w:eastAsia="Courier New" w:hAnsi="Courier New"/>
                <w:color w:val="1A1A1A"/>
                <w:sz w:val="17"/>
                <w:szCs w:val="17"/>
              </w:rPr>
              <w:t xml:space="preserve">  ─────────────────    ─────────────────    ─────────────────────────</w:t>
            </w:r>
          </w:p>
          <w:p>
            <w:pPr>
              <w:spacing w:after="16"/>
            </w:pPr>
            <w:r>
              <w:rPr>
                <w:rFonts w:ascii="Courier New" w:cs="Courier New" w:eastAsia="Courier New" w:hAnsi="Courier New"/>
                <w:color w:val="1A1A1A"/>
                <w:sz w:val="17"/>
                <w:szCs w:val="17"/>
              </w:rPr>
              <w:t xml:space="preserve">  Rank 1: chunk_042    Rank 1: chunk_017    chunk_017: 1/61 + 1/62</w:t>
            </w:r>
          </w:p>
          <w:p>
            <w:pPr>
              <w:spacing w:after="16"/>
            </w:pPr>
            <w:r>
              <w:rPr>
                <w:rFonts w:ascii="Courier New" w:cs="Courier New" w:eastAsia="Courier New" w:hAnsi="Courier New"/>
                <w:color w:val="1A1A1A"/>
                <w:sz w:val="17"/>
                <w:szCs w:val="17"/>
              </w:rPr>
              <w:t xml:space="preserve">  Rank 2: chunk_017    Rank 2: chunk_042              = 0.01639 + 0.01613</w:t>
            </w:r>
          </w:p>
          <w:p>
            <w:pPr>
              <w:spacing w:after="16"/>
            </w:pPr>
            <w:r>
              <w:rPr>
                <w:rFonts w:ascii="Courier New" w:cs="Courier New" w:eastAsia="Courier New" w:hAnsi="Courier New"/>
                <w:color w:val="1A1A1A"/>
                <w:sz w:val="17"/>
                <w:szCs w:val="17"/>
              </w:rPr>
              <w:t xml:space="preserve">  Rank 3: chunk_091    Rank 3: chunk_119              = 0.03252  ← TOP</w:t>
            </w:r>
          </w:p>
          <w:p>
            <w:pPr>
              <w:spacing w:after="16"/>
            </w:pPr>
            <w:r>
              <w:rPr>
                <w:rFonts w:ascii="Courier New" w:cs="Courier New" w:eastAsia="Courier New" w:hAnsi="Courier New"/>
                <w:color w:val="1A1A1A"/>
                <w:sz w:val="17"/>
                <w:szCs w:val="17"/>
              </w:rPr>
              <w:t xml:space="preserve">  Rank 4: chunk_033    Rank 4: chunk_091    chunk_042: 1/61 + 1/62</w:t>
            </w:r>
          </w:p>
          <w:p>
            <w:pPr>
              <w:spacing w:after="16"/>
            </w:pPr>
            <w:r>
              <w:rPr>
                <w:rFonts w:ascii="Courier New" w:cs="Courier New" w:eastAsia="Courier New" w:hAnsi="Courier New"/>
                <w:color w:val="1A1A1A"/>
                <w:sz w:val="17"/>
                <w:szCs w:val="17"/>
              </w:rPr>
              <w:t xml:space="preserve">  ...                  ...                            = 0.01639 + 0.01613</w:t>
            </w:r>
          </w:p>
          <w:p>
            <w:pPr>
              <w:spacing w:after="16"/>
            </w:pPr>
            <w:r>
              <w:rPr>
                <w:rFonts w:ascii="Courier New" w:cs="Courier New" w:eastAsia="Courier New" w:hAnsi="Courier New"/>
                <w:color w:val="1A1A1A"/>
                <w:sz w:val="17"/>
                <w:szCs w:val="17"/>
              </w:rPr>
              <w:t xml:space="preserve">                                                       = 0.03226</w:t>
            </w:r>
          </w:p>
          <w:p>
            <w:pPr>
              <w:spacing w:after="16"/>
            </w:pPr>
            <w:r>
              <w:rPr>
                <w:rFonts w:ascii="Courier New" w:cs="Courier New" w:eastAsia="Courier New" w:hAnsi="Courier New"/>
                <w:color w:val="1A1A1A"/>
                <w:sz w:val="17"/>
                <w:szCs w:val="17"/>
              </w:rPr>
              <w:t xml:space="preserve">                                             chunk_091: 1/63 + 1/64</w:t>
            </w:r>
          </w:p>
          <w:p>
            <w:pPr>
              <w:spacing w:after="16"/>
            </w:pPr>
            <w:r>
              <w:rPr>
                <w:rFonts w:ascii="Courier New" w:cs="Courier New" w:eastAsia="Courier New" w:hAnsi="Courier New"/>
                <w:color w:val="1A1A1A"/>
                <w:sz w:val="17"/>
                <w:szCs w:val="17"/>
              </w:rPr>
              <w:t xml:space="preserve">                                                       = 0.03112</w:t>
            </w:r>
          </w:p>
          <w:p>
            <w:pPr>
              <w:spacing w:after="16"/>
            </w:pPr>
            <w:r>
              <w:rPr>
                <w:rFonts w:ascii="Courier New" w:cs="Courier New" w:eastAsia="Courier New" w:hAnsi="Courier New"/>
                <w:color w:val="1A1A1A"/>
                <w:sz w:val="17"/>
                <w:szCs w:val="17"/>
              </w:rPr>
              <w:t xml:space="preserve">                                             chunk_119: 1/64 = 0.01563</w:t>
            </w:r>
          </w:p>
          <w:p>
            <w:pPr>
              <w:spacing w:after="16"/>
            </w:pPr>
            <w:r>
              <w:rPr>
                <w:rFonts w:ascii="Courier New" w:cs="Courier New" w:eastAsia="Courier New" w:hAnsi="Courier New"/>
                <w:color w:val="1A1A1A"/>
                <w:sz w:val="17"/>
                <w:szCs w:val="17"/>
              </w:rPr>
              <w:t xml:space="preserve">                                             chunk_033: 1/64 = 0.01563</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After RRF: chunk_017 (0.03252) beats chunk_042 (0.03226).</w:t>
            </w:r>
          </w:p>
          <w:p>
            <w:pPr>
              <w:spacing w:after="16"/>
            </w:pPr>
            <w:r>
              <w:rPr>
                <w:rFonts w:ascii="Courier New" w:cs="Courier New" w:eastAsia="Courier New" w:hAnsi="Courier New"/>
                <w:color w:val="1A1A1A"/>
                <w:sz w:val="17"/>
                <w:szCs w:val="17"/>
              </w:rPr>
              <w:t xml:space="preserve">  GraphRAG ranked chunk_017 first while BM25 ranked it second.</w:t>
            </w:r>
          </w:p>
          <w:p>
            <w:pPr>
              <w:spacing w:after="16"/>
            </w:pPr>
            <w:r>
              <w:rPr>
                <w:rFonts w:ascii="Courier New" w:cs="Courier New" w:eastAsia="Courier New" w:hAnsi="Courier New"/>
                <w:color w:val="1A1A1A"/>
                <w:sz w:val="17"/>
                <w:szCs w:val="17"/>
              </w:rPr>
              <w:t xml:space="preserve">  A document ranked first by only one system scores less than one</w:t>
            </w:r>
          </w:p>
          <w:p>
            <w:pPr>
              <w:spacing w:after="16"/>
            </w:pPr>
            <w:r>
              <w:rPr>
                <w:rFonts w:ascii="Courier New" w:cs="Courier New" w:eastAsia="Courier New" w:hAnsi="Courier New"/>
                <w:color w:val="1A1A1A"/>
                <w:sz w:val="17"/>
                <w:szCs w:val="17"/>
              </w:rPr>
              <w:t xml:space="preserve">  ranked second by both — this is the complementarity property of RRF.</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RRF formula: score(d) = sum( 1/(k + rank_i(d)) ), k = 60</w:t>
            </w:r>
          </w:p>
        </w:tc>
      </w:tr>
    </w:tbl>
    <w:p>
      <w:pPr>
        <w:spacing w:after="220" w:before="60"/>
        <w:jc w:val="center"/>
      </w:pPr>
      <w:r>
        <w:rPr>
          <w:rFonts w:ascii="Calibri" w:cs="Calibri" w:eastAsia="Calibri" w:hAnsi="Calibri"/>
          <w:b/>
          <w:bCs/>
          <w:color w:val="555555"/>
          <w:sz w:val="19"/>
          <w:szCs w:val="19"/>
        </w:rPr>
        <w:t xml:space="preserve">Figure 3: </w:t>
      </w:r>
      <w:r>
        <w:rPr>
          <w:rFonts w:ascii="Calibri" w:cs="Calibri" w:eastAsia="Calibri" w:hAnsi="Calibri"/>
          <w:color w:val="555555"/>
          <w:sz w:val="19"/>
          <w:szCs w:val="19"/>
        </w:rPr>
        <w:t xml:space="preserve">RRF fusion worked example. A document ranked first by GraphRAG and second by BM25 outscores a document ranked first by BM25 alone. k=60 is the standard smoothing constant from Cormack et al. [14].</w:t>
      </w:r>
    </w:p>
    <w:p>
      <w:pPr>
        <w:spacing w:after="80"/>
      </w:pPr>
    </w:p>
    <w:p>
      <w:pPr>
        <w:spacing w:after="160" w:before="0"/>
        <w:jc w:val="both"/>
      </w:pPr>
      <w:r>
        <w:rPr>
          <w:rFonts w:ascii="Calibri" w:cs="Calibri" w:eastAsia="Calibri" w:hAnsi="Calibri"/>
          <w:b w:val="false"/>
          <w:bCs w:val="false"/>
          <w:color w:val="1A1A1A"/>
          <w:sz w:val="22"/>
          <w:szCs w:val="22"/>
        </w:rPr>
        <w:t xml:space="preserve">Design decisions. k=20 is used for each constituent retriever before fusion, with the final fused top-k set to 5 for consistency with other systems. k=20 as the fusion input pool ensures that documents ranked slightly outside the top-5 by one system but strongly by the other are included in the fusion pool. Both retrievers run in parallel using Python threading, keeping Hybrid latency close to the slower of the two systems rather than their sum.</w:t>
      </w:r>
    </w:p>
    <w:p>
      <w:pPr>
        <w:spacing w:after="160" w:before="0"/>
        <w:jc w:val="both"/>
      </w:pPr>
      <w:r>
        <w:rPr>
          <w:rFonts w:ascii="Calibri" w:cs="Calibri" w:eastAsia="Calibri" w:hAnsi="Calibri"/>
          <w:b w:val="false"/>
          <w:bCs w:val="false"/>
          <w:color w:val="1A1A1A"/>
          <w:sz w:val="22"/>
          <w:szCs w:val="22"/>
        </w:rPr>
        <w:t xml:space="preserve">Infrastructure profile: Requires both BM25 and GraphRAG infrastructure. Per-query latency is approximately the maximum of both constituent systems under parallel execution. This is the most infrastructure-intensive vector-free system in the comparison.</w:t>
      </w:r>
    </w:p>
    <w:p>
      <w:pPr>
        <w:pStyle w:val="Heading2"/>
        <w:spacing w:after="120" w:before="300"/>
      </w:pPr>
      <w:r>
        <w:rPr>
          <w:rFonts w:ascii="Calibri" w:cs="Calibri" w:eastAsia="Calibri" w:hAnsi="Calibri"/>
          <w:b/>
          <w:bCs/>
          <w:color w:val="2E5FA3"/>
          <w:sz w:val="26"/>
          <w:szCs w:val="26"/>
        </w:rPr>
        <w:t xml:space="preserve">4.8  System Comparison and Infrastructure Analysis</w:t>
      </w:r>
    </w:p>
    <w:p>
      <w:pPr>
        <w:spacing w:after="100" w:before="0"/>
        <w:jc w:val="both"/>
      </w:pPr>
      <w:r>
        <w:rPr>
          <w:rFonts w:ascii="Calibri" w:cs="Calibri" w:eastAsia="Calibri" w:hAnsi="Calibri"/>
          <w:b w:val="false"/>
          <w:bCs w:val="false"/>
          <w:color w:val="1A1A1A"/>
          <w:sz w:val="22"/>
          <w:szCs w:val="22"/>
        </w:rPr>
        <w:t xml:space="preserve">Table 4.1 compares all five systems across the dimensions that map directly to the Retrieval Strategy Selection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250"/>
        <w:gridCol w:w="1250"/>
        <w:gridCol w:w="1250"/>
        <w:gridCol w:w="1644"/>
        <w:gridCol w:w="1644"/>
      </w:tblGrid>
      <w:tr>
        <w:tc>
          <w:tcPr>
            <w:tcW w:type="dxa" w:w="160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Dimension</w:t>
            </w:r>
          </w:p>
        </w:tc>
        <w:tc>
          <w:tcPr>
            <w:tcW w:type="dxa" w:w="125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FAISS</w:t>
            </w:r>
          </w:p>
        </w:tc>
        <w:tc>
          <w:tcPr>
            <w:tcW w:type="dxa" w:w="125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BM25</w:t>
            </w:r>
          </w:p>
        </w:tc>
        <w:tc>
          <w:tcPr>
            <w:tcW w:type="dxa" w:w="1250"/>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Graph RAG</w:t>
            </w:r>
          </w:p>
        </w:tc>
        <w:tc>
          <w:tcPr>
            <w:tcW w:type="dxa" w:w="1644"/>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Prompt-RAG</w:t>
            </w:r>
          </w:p>
        </w:tc>
        <w:tc>
          <w:tcPr>
            <w:tcW w:type="dxa" w:w="1644"/>
            <w:gridSpan w:val="1"/>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Hybrid</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GPU Required</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Preferred</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No</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No</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No</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No</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Model Weights</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90MB (MiniLM)</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None</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12MB (spaCy)</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LLM API only</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12MB (spaCy)</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Index Build Time</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2–5 min</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&lt; 5 sec</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2–10 min</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None</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2–10 min</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Rebuild on Update</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Full rebuild</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Full rebuild</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Full rebuild</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None</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Both rebuild</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Per-Query Latency</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200–500ms (CPU)</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1–10ms</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10–50ms</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1–5 sec (LLM)</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15–60ms</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Explainable Retrieval</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Score only</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Terms matched</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Graph path trace</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Full CoT trace</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Rank contribution</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Multi-Hop Support</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None</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None</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Strong</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Limited</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Strong</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Paraphrase Handling</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Strong</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Weak</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Moderate</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Strong</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Moderate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Exact Match Precision</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Moderate</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Strong</w:t>
            </w:r>
          </w:p>
        </w:tc>
        <w:tc>
          <w:tcPr>
            <w:tcW w:type="dxa" w:w="12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Moderate</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Moderate</w:t>
            </w:r>
          </w:p>
        </w:tc>
        <w:tc>
          <w:tcPr>
            <w:tcW w:type="dxa" w:w="164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Strong</w:t>
            </w:r>
          </w:p>
        </w:tc>
      </w:tr>
      <w:tr>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bCs/>
                <w:color w:val="1A1A1A"/>
                <w:sz w:val="19"/>
                <w:szCs w:val="19"/>
              </w:rPr>
              <w:t xml:space="preserve">Infrastructure Complexity</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Moderate</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Minimal</w:t>
            </w:r>
          </w:p>
        </w:tc>
        <w:tc>
          <w:tcPr>
            <w:tcW w:type="dxa" w:w="125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Moderate</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Minimal + API</w:t>
            </w:r>
          </w:p>
        </w:tc>
        <w:tc>
          <w:tcPr>
            <w:tcW w:type="dxa" w:w="164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pPr>
              <w:jc w:val="both"/>
            </w:pPr>
            <w:r>
              <w:rPr>
                <w:rFonts w:ascii="Calibri" w:cs="Calibri" w:eastAsia="Calibri" w:hAnsi="Calibri"/>
                <w:b w:val="false"/>
                <w:bCs w:val="false"/>
                <w:color w:val="1A1A1A"/>
                <w:sz w:val="19"/>
                <w:szCs w:val="19"/>
              </w:rPr>
              <w:t xml:space="preserve">Moderate</w:t>
            </w:r>
          </w:p>
        </w:tc>
      </w:tr>
    </w:tbl>
    <w:p>
      <w:pPr>
        <w:spacing w:after="200" w:before="60"/>
        <w:jc w:val="center"/>
      </w:pPr>
      <w:r>
        <w:rPr>
          <w:rFonts w:ascii="Calibri" w:cs="Calibri" w:eastAsia="Calibri" w:hAnsi="Calibri"/>
          <w:b/>
          <w:bCs/>
          <w:color w:val="555555"/>
          <w:sz w:val="19"/>
          <w:szCs w:val="19"/>
        </w:rPr>
        <w:t xml:space="preserve">Table 4.1: System infrastructure and capability comparison. Each dimension maps directly to one or more steps in the Retrieval Strategy Selection Framework (Figure 6).</w:t>
      </w:r>
    </w:p>
    <w:p>
      <w:pPr>
        <w:pStyle w:val="Heading2"/>
        <w:spacing w:after="120" w:before="300"/>
      </w:pPr>
      <w:r>
        <w:rPr>
          <w:rFonts w:ascii="Calibri" w:cs="Calibri" w:eastAsia="Calibri" w:hAnsi="Calibri"/>
          <w:b/>
          <w:bCs/>
          <w:color w:val="2E5FA3"/>
          <w:sz w:val="26"/>
          <w:szCs w:val="26"/>
        </w:rPr>
        <w:t xml:space="preserve">4.9  Comparative Dashboard</w:t>
      </w:r>
    </w:p>
    <w:p>
      <w:pPr>
        <w:spacing w:after="160" w:before="0"/>
        <w:jc w:val="both"/>
      </w:pPr>
      <w:r>
        <w:rPr>
          <w:rFonts w:ascii="Calibri" w:cs="Calibri" w:eastAsia="Calibri" w:hAnsi="Calibri"/>
          <w:b w:val="false"/>
          <w:bCs w:val="false"/>
          <w:color w:val="1A1A1A"/>
          <w:sz w:val="22"/>
          <w:szCs w:val="22"/>
        </w:rPr>
        <w:t xml:space="preserve">The five systems are surfaced through a comparative dashboard built with FastAPI as the backend and React as the frontend. The backend exposes one endpoint per system plus a /compare endpoint that runs all five in parallel and aggregates results. The React frontend presents a query input and five response columns — one per system — showing retrieved evidence passages, the generated answer, and per-system metrics.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F7FC4" w:sz="4"/>
              <w:left w:val="single" w:color="1F7FC4" w:sz="4"/>
              <w:bottom w:val="single" w:color="1F7FC4" w:sz="4"/>
              <w:right w:val="single" w:color="1F7FC4" w:sz="4"/>
            </w:tcBorders>
            <w:shd w:fill="FAFBFC" w:val="clear"/>
            <w:tcMar>
              <w:top w:type="dxa" w:w="160"/>
              <w:left w:type="dxa" w:w="240"/>
              <w:bottom w:type="dxa" w:w="160"/>
              <w:right w:type="dxa" w:w="240"/>
            </w:tcMar>
          </w:tcPr>
          <w:p>
            <w:pPr>
              <w:spacing w:after="100"/>
            </w:pPr>
            <w:r>
              <w:rPr>
                <w:rFonts w:ascii="Calibri" w:cs="Calibri" w:eastAsia="Calibri" w:hAnsi="Calibri"/>
                <w:b/>
                <w:bCs/>
                <w:color w:val="1F3864"/>
                <w:sz w:val="20"/>
                <w:szCs w:val="20"/>
              </w:rPr>
              <w:t xml:space="preserve">Figure 4: Comparative dashboard layout</w:t>
            </w:r>
          </w:p>
          <w:p>
            <w:pPr>
              <w:spacing w:after="16"/>
            </w:pPr>
            <w:r>
              <w:rPr>
                <w:rFonts w:ascii="Courier New" w:cs="Courier New" w:eastAsia="Courier New" w:hAnsi="Courier New"/>
                <w:color w:val="1A1A1A"/>
                <w:sz w:val="17"/>
                <w:szCs w:val="17"/>
              </w:rPr>
              <w:t xml:space="preserve">COMPARATIVE DASHBOARD LAYOUT</w:t>
            </w:r>
          </w:p>
          <w:p>
            <w:pPr>
              <w:spacing w:after="16"/>
            </w:pPr>
            <w:r>
              <w:rPr>
                <w:rFonts w:ascii="Courier New" w:cs="Courier New" w:eastAsia="Courier New" w:hAnsi="Courier New"/>
                <w:color w:val="1A1A1A"/>
                <w:sz w:val="17"/>
                <w:szCs w:val="17"/>
              </w:rPr>
              <w:t xml:space="preserve">─────────────────────────────────────────────────────────────────────</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RAG RETRIEVAL COMPARISON DASHBOARD             [Run All] [↗]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Query: [What are the eligibility criteria for PM-KISAN?]  [→]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FAISS   │  BM25    │ GraphRAG │  Prompt  │      Hybrid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Evidence │ Evidence │ Evidence │ Evidence │ Evidence          │</w:t>
            </w:r>
          </w:p>
          <w:p>
            <w:pPr>
              <w:spacing w:after="16"/>
            </w:pPr>
            <w:r>
              <w:rPr>
                <w:rFonts w:ascii="Courier New" w:cs="Courier New" w:eastAsia="Courier New" w:hAnsi="Courier New"/>
                <w:color w:val="1A1A1A"/>
                <w:sz w:val="17"/>
                <w:szCs w:val="17"/>
              </w:rPr>
              <w:t xml:space="preserve">  │ chunk_.. │ chunk_.. │ chunk_.. │ chunk_.. │ (BM25 + Graph)    │</w:t>
            </w:r>
          </w:p>
          <w:p>
            <w:pPr>
              <w:spacing w:after="16"/>
            </w:pPr>
            <w:r>
              <w:rPr>
                <w:rFonts w:ascii="Courier New" w:cs="Courier New" w:eastAsia="Courier New" w:hAnsi="Courier New"/>
                <w:color w:val="1A1A1A"/>
                <w:sz w:val="17"/>
                <w:szCs w:val="17"/>
              </w:rPr>
              <w:t xml:space="preserve">  │          │          │ [path]   │ [CoT]    │ [fusion stats]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Answer   │ Answer   │ Answer   │ Answer   │ Answer            │</w:t>
            </w:r>
          </w:p>
          <w:p>
            <w:pPr>
              <w:spacing w:after="16"/>
            </w:pPr>
            <w:r>
              <w:rPr>
                <w:rFonts w:ascii="Courier New" w:cs="Courier New" w:eastAsia="Courier New" w:hAnsi="Courier New"/>
                <w:color w:val="1A1A1A"/>
                <w:sz w:val="17"/>
                <w:szCs w:val="17"/>
              </w:rPr>
              <w:t xml:space="preserve">  │──────────│──────────│──────────│──────────│───────────────────│</w:t>
            </w:r>
          </w:p>
          <w:p>
            <w:pPr>
              <w:spacing w:after="16"/>
            </w:pPr>
            <w:r>
              <w:rPr>
                <w:rFonts w:ascii="Courier New" w:cs="Courier New" w:eastAsia="Courier New" w:hAnsi="Courier New"/>
                <w:color w:val="1A1A1A"/>
                <w:sz w:val="17"/>
                <w:szCs w:val="17"/>
              </w:rPr>
              <w:t xml:space="preserve">  │ MRR:  —  │ MRR:  —  │ MRR:  —  │ MRR:  —  │ MRR:  —          │</w:t>
            </w:r>
          </w:p>
          <w:p>
            <w:pPr>
              <w:spacing w:after="16"/>
            </w:pPr>
            <w:r>
              <w:rPr>
                <w:rFonts w:ascii="Courier New" w:cs="Courier New" w:eastAsia="Courier New" w:hAnsi="Courier New"/>
                <w:color w:val="1A1A1A"/>
                <w:sz w:val="17"/>
                <w:szCs w:val="17"/>
              </w:rPr>
              <w:t xml:space="preserve">  │ ms:   —  │ ms:   —  │ ms:   —  │ ms:   —  │ ms:   —           │</w:t>
            </w:r>
          </w:p>
          <w:p>
            <w:pPr>
              <w:spacing w:after="16"/>
            </w:pPr>
            <w:r>
              <w:rPr>
                <w:rFonts w:ascii="Courier New" w:cs="Courier New" w:eastAsia="Courier New" w:hAnsi="Courier New"/>
                <w:color w:val="1A1A1A"/>
                <w:sz w:val="17"/>
                <w:szCs w:val="17"/>
              </w:rPr>
              <w:t xml:space="preserve">  │ Hall: —  │ Hall: —  │ Hall: —  │ Hall: —  │ Hall: —           │</w:t>
            </w:r>
          </w:p>
          <w:p>
            <w:pPr>
              <w:spacing w:after="16"/>
            </w:pPr>
            <w:r>
              <w:rPr>
                <w:rFonts w:ascii="Courier New" w:cs="Courier New" w:eastAsia="Courier New" w:hAnsi="Courier New"/>
                <w:color w:val="1A1A1A"/>
                <w:sz w:val="17"/>
                <w:szCs w:val="17"/>
              </w:rPr>
              <w:t xml:space="preserve">  └──────────┴──────────┴──────────┴──────────┴───────────────────┘</w:t>
            </w:r>
          </w:p>
          <w:p>
            <w:pPr>
              <w:spacing w:after="40"/>
            </w:pPr>
            <w:r>
              <w:rPr>
                <w:rFonts w:ascii="Courier New" w:cs="Courier New" w:eastAsia="Courier New" w:hAnsi="Courier New"/>
                <w:color w:val="1A1A1A"/>
                <w:sz w:val="17"/>
                <w:szCs w:val="17"/>
              </w:rPr>
              <w:t xml:space="preserve"/>
            </w:r>
          </w:p>
          <w:p>
            <w:pPr>
              <w:spacing w:after="16"/>
            </w:pPr>
            <w:r>
              <w:rPr>
                <w:rFonts w:ascii="Courier New" w:cs="Courier New" w:eastAsia="Courier New" w:hAnsi="Courier New"/>
                <w:color w:val="1A1A1A"/>
                <w:sz w:val="17"/>
                <w:szCs w:val="17"/>
              </w:rPr>
              <w:t xml:space="preserve">  Five columns, one per retrieval system. Evidence panel shows</w:t>
            </w:r>
          </w:p>
          <w:p>
            <w:pPr>
              <w:spacing w:after="16"/>
            </w:pPr>
            <w:r>
              <w:rPr>
                <w:rFonts w:ascii="Courier New" w:cs="Courier New" w:eastAsia="Courier New" w:hAnsi="Courier New"/>
                <w:color w:val="1A1A1A"/>
                <w:sz w:val="17"/>
                <w:szCs w:val="17"/>
              </w:rPr>
              <w:t xml:space="preserve">  retrieved chunk IDs and first 150 chars. GraphRAG column shows</w:t>
            </w:r>
          </w:p>
          <w:p>
            <w:pPr>
              <w:spacing w:after="16"/>
            </w:pPr>
            <w:r>
              <w:rPr>
                <w:rFonts w:ascii="Courier New" w:cs="Courier New" w:eastAsia="Courier New" w:hAnsi="Courier New"/>
                <w:color w:val="1A1A1A"/>
                <w:sz w:val="17"/>
                <w:szCs w:val="17"/>
              </w:rPr>
              <w:t xml:space="preserve">  traversal path. Prompt column shows CoT trace. Hybrid column shows</w:t>
            </w:r>
          </w:p>
          <w:p>
            <w:pPr>
              <w:spacing w:after="16"/>
            </w:pPr>
            <w:r>
              <w:rPr>
                <w:rFonts w:ascii="Courier New" w:cs="Courier New" w:eastAsia="Courier New" w:hAnsi="Courier New"/>
                <w:color w:val="1A1A1A"/>
                <w:sz w:val="17"/>
                <w:szCs w:val="17"/>
              </w:rPr>
              <w:t xml:space="preserve">  BM25 rank, Graph rank, and RRF fused score per retrieved chunk.</w:t>
            </w:r>
          </w:p>
          <w:p>
            <w:pPr>
              <w:spacing w:after="16"/>
            </w:pPr>
            <w:r>
              <w:rPr>
                <w:rFonts w:ascii="Courier New" w:cs="Courier New" w:eastAsia="Courier New" w:hAnsi="Courier New"/>
                <w:color w:val="1A1A1A"/>
                <w:sz w:val="17"/>
                <w:szCs w:val="17"/>
              </w:rPr>
              <w:t xml:space="preserve">  All five systems run in parallel. Differences are immediately visible.</w:t>
            </w:r>
          </w:p>
        </w:tc>
      </w:tr>
    </w:tbl>
    <w:p>
      <w:pPr>
        <w:spacing w:after="220" w:before="60"/>
        <w:jc w:val="center"/>
      </w:pPr>
      <w:r>
        <w:rPr>
          <w:rFonts w:ascii="Calibri" w:cs="Calibri" w:eastAsia="Calibri" w:hAnsi="Calibri"/>
          <w:b/>
          <w:bCs/>
          <w:color w:val="555555"/>
          <w:sz w:val="19"/>
          <w:szCs w:val="19"/>
        </w:rPr>
        <w:t xml:space="preserve">Figure 4: </w:t>
      </w:r>
      <w:r>
        <w:rPr>
          <w:rFonts w:ascii="Calibri" w:cs="Calibri" w:eastAsia="Calibri" w:hAnsi="Calibri"/>
          <w:color w:val="555555"/>
          <w:sz w:val="19"/>
          <w:szCs w:val="19"/>
        </w:rPr>
        <w:t xml:space="preserve">The dashboard serves two functions: rapid qualitative inspection during development, and live demonstration during the viva. All five systems respond in parallel, making retrieval differences immediately visible.</w:t>
      </w:r>
    </w:p>
    <w:p>
      <w:r>
        <w:br w:type="page"/>
      </w:r>
    </w:p>
    <w:p>
      <w:pPr>
        <w:pStyle w:val="Heading1"/>
        <w:pBdr>
          <w:bottom w:val="single" w:color="2E5FA3" w:sz="6" w:space="4"/>
        </w:pBdr>
        <w:spacing w:after="160" w:before="400"/>
      </w:pPr>
      <w:r>
        <w:rPr>
          <w:rFonts w:ascii="Calibri" w:cs="Calibri" w:eastAsia="Calibri" w:hAnsi="Calibri"/>
          <w:b/>
          <w:bCs/>
          <w:color w:val="1F3864"/>
          <w:sz w:val="32"/>
          <w:szCs w:val="32"/>
        </w:rPr>
        <w:t xml:space="preserve">References</w:t>
      </w:r>
    </w:p>
    <w:p>
      <w:pPr>
        <w:spacing w:after="80"/>
        <w:ind w:left="360" w:hanging="360"/>
      </w:pPr>
      <w:r>
        <w:rPr>
          <w:rFonts w:ascii="Calibri" w:cs="Calibri" w:eastAsia="Calibri" w:hAnsi="Calibri"/>
          <w:color w:val="1A1A1A"/>
          <w:sz w:val="19"/>
          <w:szCs w:val="19"/>
        </w:rPr>
        <w:t xml:space="preserve">[1]   P. Lewis, E. Perez, A. Piktus et al., "Retrieval-Augmented Generation for Knowledge-Intensive NLP Tasks," NeurIPS, vol. 33, pp. 9459–9474, 2020.</w:t>
      </w:r>
    </w:p>
    <w:p>
      <w:pPr>
        <w:spacing w:after="80"/>
        <w:ind w:left="360" w:hanging="360"/>
      </w:pPr>
      <w:r>
        <w:rPr>
          <w:rFonts w:ascii="Calibri" w:cs="Calibri" w:eastAsia="Calibri" w:hAnsi="Calibri"/>
          <w:color w:val="1A1A1A"/>
          <w:sz w:val="19"/>
          <w:szCs w:val="19"/>
        </w:rPr>
        <w:t xml:space="preserve">[2]   Y. Gao, Y. Xiong, X. Gao et al., "Retrieval-Augmented Generation for Large Language Models: A Survey," arXiv:2312.10997, 2024.</w:t>
      </w:r>
    </w:p>
    <w:p>
      <w:pPr>
        <w:spacing w:after="80"/>
        <w:ind w:left="360" w:hanging="360"/>
      </w:pPr>
      <w:r>
        <w:rPr>
          <w:rFonts w:ascii="Calibri" w:cs="Calibri" w:eastAsia="Calibri" w:hAnsi="Calibri"/>
          <w:color w:val="1A1A1A"/>
          <w:sz w:val="19"/>
          <w:szCs w:val="19"/>
        </w:rPr>
        <w:t xml:space="preserve">[3]   J. Johnson, M. Douze, and H. Jégou, "Billion-Scale Similarity Search with GPUs," IEEE Trans. Big Data, vol. 7, no. 3, pp. 535–547, 2019.</w:t>
      </w:r>
    </w:p>
    <w:p>
      <w:pPr>
        <w:spacing w:after="80"/>
        <w:ind w:left="360" w:hanging="360"/>
      </w:pPr>
      <w:r>
        <w:rPr>
          <w:rFonts w:ascii="Calibri" w:cs="Calibri" w:eastAsia="Calibri" w:hAnsi="Calibri"/>
          <w:color w:val="1A1A1A"/>
          <w:sz w:val="19"/>
          <w:szCs w:val="19"/>
        </w:rPr>
        <w:t xml:space="preserve">[4]   V. Karpukhin, B. Oguz, S. Min et al., "Dense Passage Retrieval for Open-Domain Question Answering," EMNLP, pp. 6769–6781, 2020.</w:t>
      </w:r>
    </w:p>
    <w:p>
      <w:pPr>
        <w:spacing w:after="80"/>
        <w:ind w:left="360" w:hanging="360"/>
      </w:pPr>
      <w:r>
        <w:rPr>
          <w:rFonts w:ascii="Calibri" w:cs="Calibri" w:eastAsia="Calibri" w:hAnsi="Calibri"/>
          <w:color w:val="1A1A1A"/>
          <w:sz w:val="19"/>
          <w:szCs w:val="19"/>
        </w:rPr>
        <w:t xml:space="preserve">[5]   N. Reimers and I. Gurevych, "Sentence-BERT: Sentence Embeddings using Siamese BERT-Networks," EMNLP-IJCNLP, pp. 3982–3992, 2019.</w:t>
      </w:r>
    </w:p>
    <w:p>
      <w:pPr>
        <w:spacing w:after="80"/>
        <w:ind w:left="360" w:hanging="360"/>
      </w:pPr>
      <w:r>
        <w:rPr>
          <w:rFonts w:ascii="Calibri" w:cs="Calibri" w:eastAsia="Calibri" w:hAnsi="Calibri"/>
          <w:color w:val="1A1A1A"/>
          <w:sz w:val="19"/>
          <w:szCs w:val="19"/>
        </w:rPr>
        <w:t xml:space="preserve">[6]   S. E. Robertson and H. Zaragoza, "The Probabilistic Relevance Framework: BM25 and Beyond," Foundations and Trends in IR, vol. 3, no. 4, pp. 333–389, 2009.</w:t>
      </w:r>
    </w:p>
    <w:p>
      <w:pPr>
        <w:spacing w:after="80"/>
        <w:ind w:left="360" w:hanging="360"/>
      </w:pPr>
      <w:r>
        <w:rPr>
          <w:rFonts w:ascii="Calibri" w:cs="Calibri" w:eastAsia="Calibri" w:hAnsi="Calibri"/>
          <w:color w:val="1A1A1A"/>
          <w:sz w:val="19"/>
          <w:szCs w:val="19"/>
        </w:rPr>
        <w:t xml:space="preserve">[7]   Y. Luan, J. Eisenstein, K. Toutanova, and M. Collins, "Sparse, Dense, and Attentional Representations for Text Retrieval," TACL, vol. 9, pp. 329–345, 2021.</w:t>
      </w:r>
    </w:p>
    <w:p>
      <w:pPr>
        <w:spacing w:after="80"/>
        <w:ind w:left="360" w:hanging="360"/>
      </w:pPr>
      <w:r>
        <w:rPr>
          <w:rFonts w:ascii="Calibri" w:cs="Calibri" w:eastAsia="Calibri" w:hAnsi="Calibri"/>
          <w:color w:val="1A1A1A"/>
          <w:sz w:val="19"/>
          <w:szCs w:val="19"/>
        </w:rPr>
        <w:t xml:space="preserve">[8]   D. Edge, H. Trinh, N. Cheng et al., "From Local to Global: A Graph RAG Approach to Query-Focused Summarisation," arXiv:2404.16130, 2024.</w:t>
      </w:r>
    </w:p>
    <w:p>
      <w:pPr>
        <w:spacing w:after="80"/>
        <w:ind w:left="360" w:hanging="360"/>
      </w:pPr>
      <w:r>
        <w:rPr>
          <w:rFonts w:ascii="Calibri" w:cs="Calibri" w:eastAsia="Calibri" w:hAnsi="Calibri"/>
          <w:color w:val="1A1A1A"/>
          <w:sz w:val="19"/>
          <w:szCs w:val="19"/>
        </w:rPr>
        <w:t xml:space="preserve">[9]   B. Peng, Y. Zhu, Y. Liu et al., "Graph Retrieval-Augmented Generation: A Survey," ACM TOIS, DOI: 10.1145/3777378, 2024.</w:t>
      </w:r>
    </w:p>
    <w:p>
      <w:pPr>
        <w:spacing w:after="80"/>
        <w:ind w:left="360" w:hanging="360"/>
      </w:pPr>
      <w:r>
        <w:rPr>
          <w:rFonts w:ascii="Calibri" w:cs="Calibri" w:eastAsia="Calibri" w:hAnsi="Calibri"/>
          <w:color w:val="1A1A1A"/>
          <w:sz w:val="19"/>
          <w:szCs w:val="19"/>
        </w:rPr>
        <w:t xml:space="preserve">[10]  H. Han, Y. Wang, H. Shomer et al., "Retrieval-Augmented Generation with Graphs (GraphRAG)," arXiv:2501.00309, 2025.</w:t>
      </w:r>
    </w:p>
    <w:p>
      <w:pPr>
        <w:spacing w:after="80"/>
        <w:ind w:left="360" w:hanging="360"/>
      </w:pPr>
      <w:r>
        <w:rPr>
          <w:rFonts w:ascii="Calibri" w:cs="Calibri" w:eastAsia="Calibri" w:hAnsi="Calibri"/>
          <w:color w:val="1A1A1A"/>
          <w:sz w:val="19"/>
          <w:szCs w:val="19"/>
        </w:rPr>
        <w:t xml:space="preserve">[11]  H. Han et al., "RAG vs. GraphRAG: A Systematic Evaluation and Key Insights," arXiv:2502.11371, 2025.</w:t>
      </w:r>
    </w:p>
    <w:p>
      <w:pPr>
        <w:spacing w:after="80"/>
        <w:ind w:left="360" w:hanging="360"/>
      </w:pPr>
      <w:r>
        <w:rPr>
          <w:rFonts w:ascii="Calibri" w:cs="Calibri" w:eastAsia="Calibri" w:hAnsi="Calibri"/>
          <w:color w:val="1A1A1A"/>
          <w:sz w:val="19"/>
          <w:szCs w:val="19"/>
        </w:rPr>
        <w:t xml:space="preserve">[12]  J. Wei, X. Wang, D. Schuurmans et al., "Chain-of-Thought Prompting Elicits Reasoning in Large Language Models," NeurIPS, vol. 35, 2022.</w:t>
      </w:r>
    </w:p>
    <w:p>
      <w:pPr>
        <w:spacing w:after="80"/>
        <w:ind w:left="360" w:hanging="360"/>
      </w:pPr>
      <w:r>
        <w:rPr>
          <w:rFonts w:ascii="Calibri" w:cs="Calibri" w:eastAsia="Calibri" w:hAnsi="Calibri"/>
          <w:color w:val="1A1A1A"/>
          <w:sz w:val="19"/>
          <w:szCs w:val="19"/>
        </w:rPr>
        <w:t xml:space="preserve">[13]  A. Balaguer et al., "RAG vs Fine-tuning: Pipelines, Tradeoffs, and a Case Study on Agriculture," arXiv:2401.08406, 2024.</w:t>
      </w:r>
    </w:p>
    <w:p>
      <w:pPr>
        <w:spacing w:after="80"/>
        <w:ind w:left="360" w:hanging="360"/>
      </w:pPr>
      <w:r>
        <w:rPr>
          <w:rFonts w:ascii="Calibri" w:cs="Calibri" w:eastAsia="Calibri" w:hAnsi="Calibri"/>
          <w:color w:val="1A1A1A"/>
          <w:sz w:val="19"/>
          <w:szCs w:val="19"/>
        </w:rPr>
        <w:t xml:space="preserve">[14]  G. V. Cormack, C. L. A. Clarke, and S. Buettcher, "Reciprocal Rank Fusion Outperforms Condorcet and Individual Rank Learning Methods," ACM SIGIR, pp. 758–759, 2009.</w:t>
      </w:r>
    </w:p>
    <w:p>
      <w:pPr>
        <w:spacing w:after="80"/>
        <w:ind w:left="360" w:hanging="360"/>
      </w:pPr>
      <w:r>
        <w:rPr>
          <w:rFonts w:ascii="Calibri" w:cs="Calibri" w:eastAsia="Calibri" w:hAnsi="Calibri"/>
          <w:color w:val="1A1A1A"/>
          <w:sz w:val="19"/>
          <w:szCs w:val="19"/>
        </w:rPr>
        <w:t xml:space="preserve">[15]  C. Fensore, K. Dhole, J. Ho, and E. Agichtein, "Evaluating Hybrid Retrieval Augmented Generation using Dynamic Test Sets: LiveRAG Challenge," arXiv:2506.22644, 2025.</w:t>
      </w:r>
    </w:p>
    <w:p>
      <w:pPr>
        <w:spacing w:after="80"/>
        <w:ind w:left="360" w:hanging="360"/>
      </w:pPr>
      <w:r>
        <w:rPr>
          <w:rFonts w:ascii="Calibri" w:cs="Calibri" w:eastAsia="Calibri" w:hAnsi="Calibri"/>
          <w:color w:val="1A1A1A"/>
          <w:sz w:val="19"/>
          <w:szCs w:val="19"/>
        </w:rPr>
        <w:t xml:space="preserve">[16]  N. Thakur, N. Reimers, A. Rücklé et al., "BEIR: A Heterogeneous Benchmark for Zero-shot Evaluation of Information Retrieval Models," NeurIPS Datasets Track, 2021.</w:t>
      </w:r>
    </w:p>
    <w:p>
      <w:pPr>
        <w:spacing w:after="80"/>
        <w:ind w:left="360" w:hanging="360"/>
      </w:pPr>
      <w:r>
        <w:rPr>
          <w:rFonts w:ascii="Calibri" w:cs="Calibri" w:eastAsia="Calibri" w:hAnsi="Calibri"/>
          <w:color w:val="1A1A1A"/>
          <w:sz w:val="19"/>
          <w:szCs w:val="19"/>
        </w:rPr>
        <w:t xml:space="preserve">[17]  S. Es, J. James, L. Espinosa-Anke, and S. Schockaert, "RAGAS: Automated Evaluation of Retrieval Augmented Generation," EACL: System Demonstrations, pp. 150–158, 2024.</w:t>
      </w:r>
    </w:p>
    <w:p>
      <w:pPr>
        <w:spacing w:after="80"/>
        <w:ind w:left="360" w:hanging="360"/>
      </w:pPr>
      <w:r>
        <w:rPr>
          <w:rFonts w:ascii="Calibri" w:cs="Calibri" w:eastAsia="Calibri" w:hAnsi="Calibri"/>
          <w:color w:val="1A1A1A"/>
          <w:sz w:val="19"/>
          <w:szCs w:val="19"/>
        </w:rPr>
        <w:t xml:space="preserve">[18]  E. M. Voorhees, "The TREC-8 Question Answering Track Report," TREC-8, NIST SP 500-246, pp. 77–82, 1999.</w:t>
      </w:r>
    </w:p>
    <w:p>
      <w:pPr>
        <w:spacing w:after="80"/>
        <w:ind w:left="360" w:hanging="360"/>
      </w:pPr>
      <w:r>
        <w:rPr>
          <w:rFonts w:ascii="Calibri" w:cs="Calibri" w:eastAsia="Calibri" w:hAnsi="Calibri"/>
          <w:color w:val="1A1A1A"/>
          <w:sz w:val="19"/>
          <w:szCs w:val="19"/>
        </w:rPr>
        <w:t xml:space="preserve">[19]  K. Papineni, S. Roukos, T. Ward, and W. Zhu, "BLEU: A Method for Automatic Evaluation of Machine Translation," ACL, pp. 311–318, 2002.</w:t>
      </w:r>
    </w:p>
    <w:p>
      <w:pPr>
        <w:spacing w:after="80"/>
        <w:ind w:left="360" w:hanging="360"/>
      </w:pPr>
      <w:r>
        <w:rPr>
          <w:rFonts w:ascii="Calibri" w:cs="Calibri" w:eastAsia="Calibri" w:hAnsi="Calibri"/>
          <w:color w:val="1A1A1A"/>
          <w:sz w:val="19"/>
          <w:szCs w:val="19"/>
        </w:rPr>
        <w:t xml:space="preserve">[20]  C. Niu, Y. Wu, J. Zhu et al., "RAGTruth: A Hallucination Corpus for Developing Trustworthy Retrieval-Augmented Language Models," ACL, vol. 1, pp. 10862–10878, 2024.</w:t>
      </w:r>
    </w:p>
    <w:p>
      <w:pPr>
        <w:spacing w:after="80"/>
        <w:ind w:left="360" w:hanging="360"/>
      </w:pPr>
      <w:r>
        <w:rPr>
          <w:rFonts w:ascii="Calibri" w:cs="Calibri" w:eastAsia="Calibri" w:hAnsi="Calibri"/>
          <w:color w:val="1A1A1A"/>
          <w:sz w:val="19"/>
          <w:szCs w:val="19"/>
        </w:rPr>
        <w:t xml:space="preserve">[21]  M. S. Tamber et al., "Benchmarking LLM Faithfulness in RAG with Evolving Leaderboards," arXiv:2505.04847, 2025.</w:t>
      </w:r>
    </w:p>
    <w:p>
      <w:pPr>
        <w:spacing w:after="80"/>
        <w:ind w:left="360" w:hanging="360"/>
      </w:pPr>
      <w:r>
        <w:rPr>
          <w:rFonts w:ascii="Calibri" w:cs="Calibri" w:eastAsia="Calibri" w:hAnsi="Calibri"/>
          <w:color w:val="1A1A1A"/>
          <w:sz w:val="19"/>
          <w:szCs w:val="19"/>
        </w:rPr>
        <w:t xml:space="preserve">[1-a] F. Cuconasu, G. Trappolini, F. Siciliano et al., "The Power of Noise: Redefining Retrieval for RAG Systems," ACM SIGIR, DOI: 10.1145/3626772.3657834, 2024.</w:t>
      </w:r>
    </w:p>
    <w:p>
      <w:pPr>
        <w:spacing w:after="80"/>
        <w:ind w:left="360" w:hanging="360"/>
      </w:pPr>
      <w:r>
        <w:rPr>
          <w:rFonts w:ascii="Calibri" w:cs="Calibri" w:eastAsia="Calibri" w:hAnsi="Calibri"/>
          <w:color w:val="1A1A1A"/>
          <w:sz w:val="19"/>
          <w:szCs w:val="19"/>
        </w:rPr>
        <w:t xml:space="preserve">[1-b] X. He, Y. Tian, Y. Sun et al., "G-Retriever: Retrieval-Augmented Generation for Textual Graph Understanding," NeurIPS, 2024.</w:t>
      </w:r>
    </w:p>
    <w:p>
      <w:pPr>
        <w:spacing w:after="80"/>
        <w:ind w:left="360" w:hanging="360"/>
      </w:pPr>
      <w:r>
        <w:rPr>
          <w:rFonts w:ascii="Calibri" w:cs="Calibri" w:eastAsia="Calibri" w:hAnsi="Calibri"/>
          <w:color w:val="1A1A1A"/>
          <w:sz w:val="19"/>
          <w:szCs w:val="19"/>
        </w:rPr>
        <w:t xml:space="preserve">[1-c] K. Sawarkar, A. Mangal, and S. R. Solanki, "Blended RAG: Improving RAG Accuracy with Semantic Search and Hybrid Query-Based Retrievers," IEEE MIPR, 2024.</w:t>
      </w:r>
    </w:p>
    <w:p>
      <w:pPr>
        <w:spacing w:after="80"/>
        <w:ind w:left="360" w:hanging="360"/>
      </w:pPr>
      <w:r>
        <w:rPr>
          <w:rFonts w:ascii="Calibri" w:cs="Calibri" w:eastAsia="Calibri" w:hAnsi="Calibri"/>
          <w:color w:val="1A1A1A"/>
          <w:sz w:val="19"/>
          <w:szCs w:val="19"/>
        </w:rPr>
        <w:t xml:space="preserve">[1-d] B. Sarmah, D. Mehta, B. Hall et al., "HybridRAG: Integrating Knowledge Graphs and Vector Retrieval Augmented Generation," ACM ICAIF, DOI: 10.1145/3677052.3698671, 2024.</w:t>
      </w:r>
    </w:p>
    <w:p>
      <w:pPr>
        <w:spacing w:after="80"/>
        <w:ind w:left="360" w:hanging="360"/>
      </w:pPr>
      <w:r>
        <w:rPr>
          <w:rFonts w:ascii="Calibri" w:cs="Calibri" w:eastAsia="Calibri" w:hAnsi="Calibri"/>
          <w:color w:val="1A1A1A"/>
          <w:sz w:val="19"/>
          <w:szCs w:val="19"/>
        </w:rPr>
        <w:t xml:space="preserve">[1-e] L. Wang, N. Yang, and F. Wei, "Query2doc: Query Expansion with Large Language Models," EMNLP, pp. 9414–9423, 2023.</w:t>
      </w:r>
    </w:p>
    <w:p>
      <w:pPr>
        <w:spacing w:after="80"/>
        <w:ind w:left="360" w:hanging="360"/>
      </w:pPr>
      <w:r>
        <w:rPr>
          <w:rFonts w:ascii="Calibri" w:cs="Calibri" w:eastAsia="Calibri" w:hAnsi="Calibri"/>
          <w:color w:val="1A1A1A"/>
          <w:sz w:val="19"/>
          <w:szCs w:val="19"/>
        </w:rPr>
        <w:t xml:space="preserve">[1-f] L. Gao, X. Ma, J. Lin, and J. Callan, "Precise Zero-Shot Dense Retrieval without Relevance Labels," ACL, 2023.</w:t>
      </w:r>
    </w:p>
    <w:p>
      <w:pPr>
        <w:spacing w:after="80"/>
        <w:ind w:left="360" w:hanging="360"/>
      </w:pPr>
      <w:r>
        <w:rPr>
          <w:rFonts w:ascii="Calibri" w:cs="Calibri" w:eastAsia="Calibri" w:hAnsi="Calibri"/>
          <w:color w:val="1A1A1A"/>
          <w:sz w:val="19"/>
          <w:szCs w:val="19"/>
        </w:rPr>
        <w:t xml:space="preserve">[1-g] J. Saad-Falcon, O. Khattab, C. Potts, and M. Zaharia, "ARES: An Automated Evaluation Framework for Retrieval-Augmented Generation Systems," NAACL, vol. 1, pp. 338–354, 2024.</w:t>
      </w:r>
    </w:p>
    <w:p>
      <w:pPr>
        <w:spacing w:after="80"/>
        <w:ind w:left="360" w:hanging="360"/>
      </w:pPr>
      <w:r>
        <w:rPr>
          <w:rFonts w:ascii="Calibri" w:cs="Calibri" w:eastAsia="Calibri" w:hAnsi="Calibri"/>
          <w:color w:val="1A1A1A"/>
          <w:sz w:val="19"/>
          <w:szCs w:val="19"/>
        </w:rPr>
        <w:t xml:space="preserve">[1-h] G. Nagarajan, O. Kumar, and S. Santhiappan, "PolicyBot — Reliable Question Answering over Policy Documents," arXiv:2511.13489, 2025. [Preprint]</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before="60"/>
    </w:pPr>
    <w:r>
      <w:rPr>
        <w:rFonts w:ascii="Calibri" w:cs="Calibri" w:eastAsia="Calibri" w:hAnsi="Calibri"/>
        <w:color w:val="555555"/>
        <w:sz w:val="16"/>
        <w:szCs w:val="16"/>
      </w:rPr>
      <w:t xml:space="preserve">Comparative Analysis of Vector-Free Retrieval Strategies for RAG</w:t>
    </w:r>
    <w:r>
      <w:rPr>
        <w:rFonts w:ascii="Calibri" w:cs="Calibri" w:eastAsia="Calibri" w:hAnsi="Calibri"/>
        <w:sz w:val="16"/>
        <w:szCs w:val="16"/>
      </w:rPr>
      <w:ptab w:alignment="right" w:relativeTo="margin" w:leader="none"/>
      <w:t xml:space="preserve"> </w:t>
    </w:r>
    <w:r>
      <w:rPr>
        <w:rFonts w:ascii="Calibri" w:cs="Calibri" w:eastAsia="Calibri" w:hAnsi="Calibri"/>
        <w:color w:val="555555"/>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60"/>
    </w:pPr>
    <w:r>
      <w:rPr>
        <w:rFonts w:ascii="Calibri" w:cs="Calibri" w:eastAsia="Calibri" w:hAnsi="Calibri"/>
        <w:color w:val="555555"/>
        <w:sz w:val="16"/>
        <w:szCs w:val="16"/>
      </w:rPr>
      <w:t xml:space="preserve">BITS Pilani WILP  |  AIMLC ZG628T Dissertation  |  Mid-Semester Report  |  Amulya Gupta — 2024AB05200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2026-06-20T16:41:41.097Z</dcterms:created>
  <dcterms:modified xsi:type="dcterms:W3CDTF">2026-06-20T16:41:41.110Z</dcterms:modified>
</cp:coreProperties>
</file>

<file path=docProps/custom.xml><?xml version="1.0" encoding="utf-8"?>
<Properties xmlns="http://schemas.openxmlformats.org/officeDocument/2006/custom-properties" xmlns:vt="http://schemas.openxmlformats.org/officeDocument/2006/docPropsVTypes"/>
</file>