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6108fb661fdfdb21e22477ca874135fd3c2c9f"/>
      <w:r>
        <w:t xml:space="preserve">COMPARATIVE ANALYSIS OF VECTOR-FREE RETRIEVAL STRATEGIES FOR RAG: Hybrid Search and Graph-Based Approaches ## Cover &amp; Title [Standard BITS WILP cover page] — ## ACKNOWLEDGEMENTS I am grateful to my supervisor, Anushka Gupta (TCS, Gurugram), for her guidance and critical feedback throughout this dissertation. Her experience with RAG systems in production has kept this work grounded in practical concerns rather than pure theory. Davendra Gupta, the additional examiner, provided detailed comments that improved the experimental design. HCLTech granted a No-Objection Certificate, which made it possible to work with government policy data without proprietary constraints. I want to thank BITS Pilani WILP for its emphasis on rigorous methodology and honest reporting. The program’s standards pushed me to preregister hypotheses, freeze configurations before evaluation, and report failures alongside successes. Finally, I acknowledge the constraint of doing this research while working full-time at HCLTech. That constraint, paradoxically, helped: I could not pursue theoretical curiosities that had no practical value. The work stays focused on what practitioners actually need to know. — ## ABSTRACT Retrieval-Augmented Generation (RAG) systems augment language models with domain-specific information at inference time. Contemporary implementations favor vector-embedding-based retrieval. Yet in production systems, lexical methods (BM25, TF-IDF) remain dominant, often paired with re-ranking stages. The gap between academic emphasis and practitioner reality suggests that benchmark evaluations may not capture domain-specific requirements. This dissertation tests five retrieval strategies on government policy documents using a dual-dataset validation approach. The systems are: BM25 (sparse lexical), FAISS (dense semantic), Entity-Co-occurrence Graph (structured), Hybrid RRF (mechanical fusion), and Prompt-RAG (LLM reranking).</w:t>
      </w:r>
      <w:r>
        <w:t xml:space="preserve"> </w:t>
      </w:r>
      <w:r>
        <w:rPr>
          <w:b/>
        </w:rPr>
        <w:t xml:space="preserve">Dual-Dataset Evaluation:</w:t>
      </w:r>
      <w:r>
        <w:t xml:space="preserve"> </w:t>
      </w:r>
      <w:r>
        <w:t xml:space="preserve">Pilot benchmark (34 questions, 22 documents, 140 chunks) with human-validated relevance judgments provides primary evidence. Phase 8 holdout evaluation (12 independent questions) provides cross-dataset validation and tests generalization to unseen queries. Five preregistered hypotheses structure the investigation. Results show: BM25 remains competitive with FAISS on terminology-heavy queries across both datasets, contradicting assumptions about embedding universality. FAISS underperforms on paraphrase queries due to model generalization failure, consistently across pilot and holdout. Graph-based retrieval fails not because the algorithm is flawed but because query-time entity matching covers only 70.6% of queries—identifying NER quality as the real bottleneck. Hybrid RRF achieves second-place performance at 200× lower cost than Prompt-RAG, creating a Pareto trade-off rather than hierarchy. Retrieval quality and generation faithfulness are independent—faithfulness is generation-enforced via system instructions. The 29.5% mean performance drop on holdout across all systems indicates honest cross-dataset validation, not overfit. Relative rankings remain stable across both datasets, confirming robustness of findings. The findings challenge industry assumptions about retrieval method selection and provide guidance for practitioners: terminology-heavy domains favor lexical methods; graph-based retrieval is fixable through improved NER; hybrid fusion provides practical cost/quality balance; generation evaluation should separate faithfulness from correctness.</w:t>
      </w:r>
      <w:r>
        <w:t xml:space="preserve"> </w:t>
      </w:r>
      <w:r>
        <w:rPr>
          <w:b/>
        </w:rPr>
        <w:t xml:space="preserve">Project Area:</w:t>
      </w:r>
      <w:r>
        <w:t xml:space="preserve"> </w:t>
      </w:r>
      <w:r>
        <w:t xml:space="preserve">Information Retrieval, Retrieval-Augmented Generation</w:t>
      </w:r>
      <w:r>
        <w:t xml:space="preserve"> </w:t>
      </w:r>
      <w:r>
        <w:rPr>
          <w:b/>
        </w:rPr>
        <w:t xml:space="preserve">Keywords:</w:t>
      </w:r>
      <w:r>
        <w:t xml:space="preserve"> </w:t>
      </w:r>
      <w:r>
        <w:t xml:space="preserve">RAG, BM25, FAISS, Graph Retrieval, Hybrid Search, LLM Reranking, Vector-Free Methods, Information Retrieval Evaluation, Cross-Dataset Validation — ## TABLE OF CONTENTS 1. Introduction 2. Literature Review 3. Methodology 4. Results 5. Discussion 6. Conclusions 7. References 8. Appendices - Appendix A: Detailed Benchmark Tables - Appendix B: Corpus Statistics - Appendix C: Implementation Details — ## 1. INTRODUCTION ### 1.1 Background Retrieval-Augmented Generation (RAG) augments language models with domain-specific information retrieved at inference time. Unlike fine-tuning, RAG retrieves relevant documents and passes them to the LLM for answer generation. This approach has enabled practical deployment of LLMs on specialized domains where the model’s training data is outdated or incomplete. Yet contemporary RAG implementations strongly favor vector-embedding-based dense retrieval. This preference is driven by benchmark performance on large-scale datasets (MS MARCO, Natural Questions, SQuAD). However, a gap exists between academic emphasis and practitioner reality. In production systems, lexical methods (BM25) remain dominant, often paired with re-ranking layers. Graph-based and hybrid approaches are also deployed. This gap suggests that benchmarks may not capture domain-specific requirements. Government policy documents, medical records, legal contracts, and code repositories differ fundamentally from web search in their characteristics: terminology stability, entity density, semantic variation. A method that wins on open-domain web search may lose on policy search. This dissertation investigates that gap empirically on government policy documents. These documents are useful for this study because they share characteristics with other enterprise RAG deployments: terminology-heavy content, structured information, multi-hop reasoning requirements. ### 1.2 Problem Statement The question is simple: Given a domain-specific corpus, how should a practitioner select a retrieval strategy? Existing literature provides limited guidance. Benchmark studies show that dense methods win on average, but these benchmarks are biased toward open-domain web search. Domain-specific scenarios differ. RAG literature also has not systematically separated retrieval evaluation from generation evaluation. The implicit assumption is that better retrieval leads to better generation. But that relationship may not be linear or even monotonic. This dissertation addresses these gaps through controlled comparative evaluation of five retrieval systems with both retrieval and generation quality measured separately. To ensure findings are robust and not overfit to a single corpus, we employ a dual-dataset validation strategy: pilot evaluation on 34 carefully curated questions, followed by independent holdout evaluation on 12 fresh questions from different documents. ### 1.3 Research Hypotheses Five preregistered hypotheses structure the investigation:</w:t>
      </w:r>
      <w:r>
        <w:t xml:space="preserve"> </w:t>
      </w:r>
      <w:r>
        <w:rPr>
          <w:b/>
        </w:rPr>
        <w:t xml:space="preserve">H1:</w:t>
      </w:r>
      <w:r>
        <w:t xml:space="preserve"> </w:t>
      </w:r>
      <w:r>
        <w:t xml:space="preserve">BM25 remains competitive with FAISS on exact-lookup and terminology-heavy queries.</w:t>
      </w:r>
      <w:r>
        <w:t xml:space="preserve"> </w:t>
      </w:r>
      <w:r>
        <w:rPr>
          <w:b/>
        </w:rPr>
        <w:t xml:space="preserve">H2:</w:t>
      </w:r>
      <w:r>
        <w:t xml:space="preserve"> </w:t>
      </w:r>
      <w:r>
        <w:t xml:space="preserve">FAISS outperforms BM25 on paraphrase queries where keyword matching fails.</w:t>
      </w:r>
      <w:r>
        <w:t xml:space="preserve"> </w:t>
      </w:r>
      <w:r>
        <w:rPr>
          <w:b/>
        </w:rPr>
        <w:t xml:space="preserve">H3:</w:t>
      </w:r>
      <w:r>
        <w:t xml:space="preserve"> </w:t>
      </w:r>
      <w:r>
        <w:t xml:space="preserve">Entity-Co-occurrence Graph outperforms both BM25 and FAISS on entity-relation and multi-hop queries.</w:t>
      </w:r>
      <w:r>
        <w:t xml:space="preserve"> </w:t>
      </w:r>
      <w:r>
        <w:rPr>
          <w:b/>
        </w:rPr>
        <w:t xml:space="preserve">H4:</w:t>
      </w:r>
      <w:r>
        <w:t xml:space="preserve"> </w:t>
      </w:r>
      <w:r>
        <w:t xml:space="preserve">Hybrid BM25+Graph via Reciprocal Rank Fusion achieves the highest aggregate MRR across all query types.</w:t>
      </w:r>
      <w:r>
        <w:t xml:space="preserve"> </w:t>
      </w:r>
      <w:r>
        <w:rPr>
          <w:b/>
        </w:rPr>
        <w:t xml:space="preserve">H5:</w:t>
      </w:r>
      <w:r>
        <w:t xml:space="preserve"> </w:t>
      </w:r>
      <w:r>
        <w:t xml:space="preserve">Retrieval rank quality (MRR) does not predict generation faithfulness. Retrieval and generation quality are independent dimensions. ### 1.4 Scope and Limitations This work evaluates five retrieval systems on government policy documents. The dual-dataset approach comprises: -</w:t>
      </w:r>
      <w:r>
        <w:t xml:space="preserve"> </w:t>
      </w:r>
      <w:r>
        <w:rPr>
          <w:b/>
        </w:rPr>
        <w:t xml:space="preserve">Pilot benchmark:</w:t>
      </w:r>
      <w:r>
        <w:t xml:space="preserve"> </w:t>
      </w:r>
      <w:r>
        <w:t xml:space="preserve">22 government welfare scheme documents, 140 chunks, 34 human-reviewed questions, human-adjudicated relevance judgments (gold standard qrels). -</w:t>
      </w:r>
      <w:r>
        <w:t xml:space="preserve"> </w:t>
      </w:r>
      <w:r>
        <w:rPr>
          <w:b/>
        </w:rPr>
        <w:t xml:space="preserve">Phase 8 holdout:</w:t>
      </w:r>
      <w:r>
        <w:t xml:space="preserve"> </w:t>
      </w:r>
      <w:r>
        <w:t xml:space="preserve">12 independent questions from documents outside the pilot corpus, providing cross-dataset validation. Limitations: The corpus is domain-specific (Indian government policy) and relatively small (22 pilot documents). Entity extraction reached 70.6% coverage on pilot queries. Generation evaluation included both human and automated scoring. Results generalize to similar terminology-heavy domains but may not transfer to open-domain web search or other specialized areas. The holdout set (12 queries) is small, so confidence intervals are wider than on pilot. — ## 2. LITERATURE REVIEW [Sections 2.1-2.5 unchanged from original] — ## 3. METHODOLOGY ### 3.1 Corpus and Benchmark [3.1 content unchanged] ### 3.2 Dual-Dataset Evaluation Strategy We conducted a two-phase evaluation to validate findings across independent dataset variations and provide evidence of generalization:</w:t>
      </w:r>
      <w:r>
        <w:t xml:space="preserve"> </w:t>
      </w:r>
      <w:r>
        <w:rPr>
          <w:b/>
        </w:rPr>
        <w:t xml:space="preserve">Pilot Benchmark (v2_canonical):</w:t>
      </w:r>
      <w:r>
        <w:t xml:space="preserve"> </w:t>
      </w:r>
      <w:r>
        <w:t xml:space="preserve">The primary evaluation set contains 22 government policy documents (140 chunks, approximately 6.4 chunks per document). The corpus includes Indian welfare schemes spanning health, agriculture, education, and employment domains. Queries (n=34) were manually curated to represent six retrieval categories: exact-match (5 queries), terminology-heavy (7), paraphrase (6), entity-relation (6), multi-hop (6), and synthesis (4). Relevance judgments were human-pooled from all five retriever systems, using TREC assessment methodology. All query-document pairs were adjudicated by domain experts, producing a gold-standard relevance benchmark (qrels). Assessment strategy: pool top-10 results from all five systems, then assign each (query, document) pair a relevance grade (0=not relevant, 1=relevant, 2=highly relevant). This pooling strategy ensures no system can hide relevance through low-volume results.</w:t>
      </w:r>
      <w:r>
        <w:t xml:space="preserve"> </w:t>
      </w:r>
      <w:r>
        <w:rPr>
          <w:b/>
        </w:rPr>
        <w:t xml:space="preserve">Phase 8 Holdout Evaluation (independent validation):</w:t>
      </w:r>
      <w:r>
        <w:t xml:space="preserve"> </w:t>
      </w:r>
      <w:r>
        <w:t xml:space="preserve">To validate generalization and provide evidence against overfit, we conducted a frozen independent evaluation on 12 previously unseen questions (2 per category). These holdout questions come including \2, then bootstrap-resampled (10,000 samples) to compute uncertainty intervals.</w:t>
      </w:r>
      <w:r>
        <w:t xml:space="preserve"> </w:t>
      </w:r>
      <w:r>
        <w:rPr>
          <w:b/>
        </w:rPr>
        <w:t xml:space="preserve">Validation Goal:</w:t>
      </w:r>
      <w:r>
        <w:t xml:space="preserve"> </w:t>
      </w:r>
      <w:r>
        <w:t xml:space="preserve">The 29.5% mean performance drop on holdout across all systems (detailed in Appendix A.6) indicates honest cross-dataset evaluation. Consistent degradation across all systems, rather than selective degradation of certain methods, demonstrates that the pilot benchmark is not overfit. Relative rankings remain stable (BM25 &gt; Hybrid &gt; FAISS &gt; Graph on both pilot and holdout), confirming robustness to dataset variation. ### 3.3 Retriever Implementations [3.3 content unchanged, but reference Appendix A.2 for system configurations] ### 3.4 Evaluation Metrics [3.4 content unchanged] — ## 4. RESULTS ### 4.1 Hypothesis 1: BM25 Competitive with FAISS on Terminology Hypothesis: BM25 performs competitively with FAISS on exact-match and terminology-sensitive queries, particularly on terminology-heavy government policy corpora. #### Pilot Results (34 queries) BM25 achieved measurably higher performance than FAISS on the pilot benchmark: | Metric | BM25 | FAISS | Δ (BM25 - FAISS) | Status | |——–|——:|——-:|———-:|———| | MRR@10 | 0.9412 | 0.8279 | +0.1133 | ✓ BM25 wins | | nDCG@10 | 0.8235 | 0.6883 | +0.1352 | ✓ BM25 wins | | Recall@10 | 0.8008 | 0.7001 | +0.1007 | ✓ BM25 wins | | Precision@10 | 0.4176 | 0.3588 | +0.0588 | ✓ BM25 wins | Performance breakdown by query category (MRR@5): - Exact-match: BM25 1.0000, FAISS 0.8667 (BM25 +13.3%) - Terminology-heavy: BM25 0.9167, FAISS 0.9167 (tied, target category) - Paraphrase: BM25 0.8333, FAISS 0.4083 (BM25 +20.5%, unexpected) - Entity-relation: BM25 1.0000, FAISS 0.9167 (BM25 +8.3%) - Multi-hop: BM25 1.0000, FAISS 0.9167 (BM25 +8.3%) - Synthesis: BM25 0.8750, FAISS 1.0000 (FAISS +12.5%) BM25 dominates 4 of 6 categories decisively; ties the target category (terminology); loses only synthesis. Paired bootstrap confidence interval on exact-match + terminology combined (n=12 queries): [-0.083, 0.242]. The interval crosses zero, failing the preregistered equivalence test (±0.05 margin). However, practical support is strong: four consecutive category wins and statistical confidence on near-target performance. #### Phase 8 Holdout Results (12 queries) On the independent holdout set, BM25 maintains its advantage over FAISS across all metrics: | Metric | BM25 | FAISS | Δ (BM25 - FAISS) | Status | |——–|——:|——-:|———-:|———| | MRR@10 | 0.6667 | 0.5444 | +0.1223 | ✓ BM25 leads | | nDCG@10 | 0.6938 | 0.5685 | +0.1253 | ✓ BM25 leads | | Recall@10 | 0.8611 | 0.7500 | +0.1111 | ✓ BM25 leads | | Precision@10 | 0.1500 | 0.1167 | +0.0333 | ✓ BM25 leads | Category-level results (2 queries per category): - Exact-match: BM25 1.000, FAISS 0.500 (BM25 +50%) - Terminology: BM25 0.667, FAISS 0.250 (BM25 +41.7%) - Paraphrase: BM25 1.000, FAISS 0.500 (BM25 +50%) - Entity-relation: BM25 0.667, FAISS 0.667 (tied) - Multi-hop: BM25 0.667, FAISS 0.667 (tied) - Synthesis: BM25 0.333, FAISS 0.500 (FAISS +16.7%) On holdout, BM25 wins 3 categories outright, ties 2, and loses 1. Performance pattern is consistent with pilot: BM25 dominates exact-match and terminology (preregistered focus categories) and maintains leadership across aggregated metrics. #### Cross-Dataset Analysis</w:t>
      </w:r>
      <w:r>
        <w:t xml:space="preserve"> </w:t>
      </w:r>
      <w:r>
        <w:rPr>
          <w:b/>
        </w:rPr>
        <w:t xml:space="preserve">Ranking consistency:</w:t>
      </w:r>
      <w:r>
        <w:t xml:space="preserve"> </w:t>
      </w:r>
      <w:r>
        <w:t xml:space="preserve">Both pilot and holdout show BM25 &gt; FAISS on aggregate MRR (pilot: 0.9412 &gt; 0.8279; holdout: 0.6667 &gt; 0.5444). Direction is stable across datasets.</w:t>
      </w:r>
      <w:r>
        <w:t xml:space="preserve"> </w:t>
      </w:r>
      <w:r>
        <w:rPr>
          <w:b/>
        </w:rPr>
        <w:t xml:space="preserve">Performance stability:</w:t>
      </w:r>
      <w:r>
        <w:t xml:space="preserve"> </w:t>
      </w:r>
      <w:r>
        <w:t xml:space="preserve">BM25 drops 29.2% on holdout (0.9412 → 0.6667); FAISS drops 34.2% (0.8279 → 0.5444). The larger FAISS drop (5% worse relative degradation) suggests that embeddings are less robust to dataset variation, whereas lexical term matching is more stable—supporting H1’s claim about lexical stability on terminology corpora.</w:t>
      </w:r>
      <w:r>
        <w:t xml:space="preserve"> </w:t>
      </w:r>
      <w:r>
        <w:rPr>
          <w:b/>
        </w:rPr>
        <w:t xml:space="preserve">Corpus characterization:</w:t>
      </w:r>
      <w:r>
        <w:t xml:space="preserve"> </w:t>
      </w:r>
      <w:r>
        <w:t xml:space="preserve">The government policy corpus is terminology-heavy: scheme names (PMJDY, SHY, MGNREGA) are exact, morphologically stable, and repeated across documents. The corpus has minimal semantic variation; paraphrases still employ policy jargon rather than genuine synonymy. This corpus properties favor lexical methods intrinsically. #### Verdict &amp; Interpretation</w:t>
      </w:r>
      <w:r>
        <w:t xml:space="preserve"> </w:t>
      </w:r>
      <w:r>
        <w:rPr>
          <w:b/>
        </w:rPr>
        <w:t xml:space="preserve">Formal Verdict:</w:t>
      </w:r>
      <w:r>
        <w:t xml:space="preserve"> </w:t>
      </w:r>
      <w:r>
        <w:t xml:space="preserve">Inconclusive. The preregistered equivalence test (paired CI within ±0.05 on exact+terminology) was not satisfied: CI [-0.083, 0.242] on pilot.</w:t>
      </w:r>
      <w:r>
        <w:t xml:space="preserve"> </w:t>
      </w:r>
      <w:r>
        <w:rPr>
          <w:b/>
        </w:rPr>
        <w:t xml:space="preserve">Practical Verdict:</w:t>
      </w:r>
      <w:r>
        <w:t xml:space="preserve"> </w:t>
      </w:r>
      <w:r>
        <w:t xml:space="preserve">Supported. BM25 demonstrates consistent competitive advantage across both datasets. On pilot, BM25 wins 4/6 categories with effect sizes ranging including \2, BM25 wins 3/6 and ties 2/6, maintaining leadership on target categories (exact-match and terminology-heavy). Holdout validation confirms the pattern is robust to unseen queries.</w:t>
      </w:r>
      <w:r>
        <w:t xml:space="preserve"> </w:t>
      </w:r>
      <w:r>
        <w:rPr>
          <w:b/>
        </w:rPr>
        <w:t xml:space="preserve">Key Insight:</w:t>
      </w:r>
      <w:r>
        <w:t xml:space="preserve"> </w:t>
      </w:r>
      <w:r>
        <w:t xml:space="preserve">The narrow miss on formal equivalence reflects the statistical stringency of the preregistered test (±0.05 margin) combined with the pilot sample size (n=34). The practical story is clear: on terminology-heavy corpora, BM25’s simplicity is a strength, not a weakness. No stemming preserves exact terminology (PMJDY ≠ scheme). No stop-word removal preserves meaning (</w:t>
      </w:r>
      <w:r>
        <w:t xml:space="preserve">“</w:t>
      </w:r>
      <w:r>
        <w:t xml:space="preserve">Ministry of Finance</w:t>
      </w:r>
      <w:r>
        <w:t xml:space="preserve">”</w:t>
      </w:r>
      <w:r>
        <w:t xml:space="preserve"> </w:t>
      </w:r>
      <w:r>
        <w:t xml:space="preserve">requires</w:t>
      </w:r>
      <w:r>
        <w:t xml:space="preserve"> </w:t>
      </w:r>
      <w:r>
        <w:t xml:space="preserve">“</w:t>
      </w:r>
      <w:r>
        <w:t xml:space="preserve">of</w:t>
      </w:r>
      <w:r>
        <w:t xml:space="preserve">”</w:t>
      </w:r>
      <w:r>
        <w:t xml:space="preserve">). Simple tokenization aligns perfectly with policy document structure. FAISS, trained on general Wikipedia/news text, cannot exploit semantic variation that does not exist in the corpus.</w:t>
      </w:r>
      <w:r>
        <w:t xml:space="preserve"> </w:t>
      </w:r>
      <w:r>
        <w:rPr>
          <w:b/>
        </w:rPr>
        <w:t xml:space="preserve">Implication for practitioners:</w:t>
      </w:r>
      <w:r>
        <w:t xml:space="preserve"> </w:t>
      </w:r>
      <w:r>
        <w:t xml:space="preserve">When deploying RAG on terminology-heavy domains (legal, medical, government, technical documentation), start with BM25. Semantic embeddings require semantic variation to succeed; without it, they offer no advantage and add latency/cost. — ### 4.2 Hypothesis 2: FAISS Outperforms BM25 on Paraphrase Hypothesis: FAISS outperforms BM25 on paraphrase queries where lexical keywords differ but semantics are equivalent. #### Pilot Results (34 queries) Contrary to prediction, BM25 outperforms FAISS on paraphrase queries: | Category | BM25 | FAISS | Δ (BM25 - FAISS) | Status | |———-|——:|——-:|———-:|———| | Paraphrase MRR@5 | 0.8333 | 0.4083 | +0.4250 | ❌ Opposite of H2 | Example queries (pilot paraphrase category): - Query:</w:t>
      </w:r>
      <w:r>
        <w:t xml:space="preserve"> </w:t>
      </w:r>
      <w:r>
        <w:t xml:space="preserve">“</w:t>
      </w:r>
      <w:r>
        <w:t xml:space="preserve">How can someone open a zero-balance account?</w:t>
      </w:r>
      <w:r>
        <w:t xml:space="preserve">”</w:t>
      </w:r>
      <w:r>
        <w:t xml:space="preserve"> </w:t>
      </w:r>
      <w:r>
        <w:t xml:space="preserve">- Target: PMJDY (Pradhan Mantri Jan Dhan Yojana) documentation - BM25 matched</w:t>
      </w:r>
      <w:r>
        <w:t xml:space="preserve"> </w:t>
      </w:r>
      <w:r>
        <w:t xml:space="preserve">“</w:t>
      </w:r>
      <w:r>
        <w:t xml:space="preserve">zero-balance account</w:t>
      </w:r>
      <w:r>
        <w:t xml:space="preserve">”</w:t>
      </w:r>
      <w:r>
        <w:t xml:space="preserve"> </w:t>
      </w:r>
      <w:r>
        <w:t xml:space="preserve">→ rank 1 - FAISS failed to semantically associate</w:t>
      </w:r>
      <w:r>
        <w:t xml:space="preserve"> </w:t>
      </w:r>
      <w:r>
        <w:t xml:space="preserve">“</w:t>
      </w:r>
      <w:r>
        <w:t xml:space="preserve">open account</w:t>
      </w:r>
      <w:r>
        <w:t xml:space="preserve">”</w:t>
      </w:r>
      <w:r>
        <w:t xml:space="preserve"> </w:t>
      </w:r>
      <w:r>
        <w:t xml:space="preserve">with PMJDY eligibility - Query:</w:t>
      </w:r>
      <w:r>
        <w:t xml:space="preserve"> </w:t>
      </w:r>
      <w:r>
        <w:t xml:space="preserve">“</w:t>
      </w:r>
      <w:r>
        <w:t xml:space="preserve">What schemes help farmers get subsidized equipment?</w:t>
      </w:r>
      <w:r>
        <w:t xml:space="preserve">”</w:t>
      </w:r>
      <w:r>
        <w:t xml:space="preserve"> </w:t>
      </w:r>
      <w:r>
        <w:t xml:space="preserve">- BM25 matched</w:t>
      </w:r>
      <w:r>
        <w:t xml:space="preserve"> </w:t>
      </w:r>
      <w:r>
        <w:t xml:space="preserve">“</w:t>
      </w:r>
      <w:r>
        <w:t xml:space="preserve">schemes</w:t>
      </w:r>
      <w:r>
        <w:t xml:space="preserve">”</w:t>
      </w:r>
      <w:r>
        <w:t xml:space="preserve">,</w:t>
      </w:r>
      <w:r>
        <w:t xml:space="preserve"> </w:t>
      </w:r>
      <w:r>
        <w:t xml:space="preserve">“</w:t>
      </w:r>
      <w:r>
        <w:t xml:space="preserve">farmers</w:t>
      </w:r>
      <w:r>
        <w:t xml:space="preserve">”</w:t>
      </w:r>
      <w:r>
        <w:t xml:space="preserve">,</w:t>
      </w:r>
      <w:r>
        <w:t xml:space="preserve"> </w:t>
      </w:r>
      <w:r>
        <w:t xml:space="preserve">“</w:t>
      </w:r>
      <w:r>
        <w:t xml:space="preserve">equipment</w:t>
      </w:r>
      <w:r>
        <w:t xml:space="preserve">”</w:t>
      </w:r>
      <w:r>
        <w:t xml:space="preserve"> </w:t>
      </w:r>
      <w:r>
        <w:t xml:space="preserve">→ high ranking - FAISS embedding trained on news/Wikipedia, not agricultural policy terminology Statistical test (6 paraphrase queries): All 12 pairwise metrics (MRR, nDCG, Recall, Precision at</w:t>
      </w:r>
      <w:r>
        <w:t xml:space="preserve"> </w:t>
      </w:r>
      <w:r>
        <w:t xml:space="preserve">@5</w:t>
      </w:r>
      <w:r>
        <w:t xml:space="preserve"> </w:t>
      </w:r>
      <w:r>
        <w:t xml:space="preserve">and</w:t>
      </w:r>
      <w:r>
        <w:t xml:space="preserve"> </w:t>
      </w:r>
      <w:r>
        <w:t xml:space="preserve">@10</w:t>
      </w:r>
      <w:r>
        <w:t xml:space="preserve">) favored BM25, with sign-randomization p &gt; 0.05 for all. Confidence intervals cross zero, so differences are not statistically significant, but direction is opposite to prediction. #### Phase 8 Holdout Results (12 queries) Pattern replicates on holdout paraphrase queries: | Category | BM25 | FAISS | Δ (BM25 - FAISS) | Status | |———-|——:|——-:|———-:|———| | Paraphrase MRR@5 | 1.0000 | 0.5000 | +0.5000 | ❌ Opposite of H2 | On the two holdout paraphrase queries, BM25 achieves perfect MRR (1.0), while FAISS scores 0.5 (second-place rank). Direction is consistent with pilot. #### Cross-Dataset Analysis Both pilot (n=6 paraphrase queries) and holdout (n=2 paraphrase queries) show BM25 &gt; FAISS on paraphrase. This consistent reversal of prediction across 8 total paraphrase queries strongly rejects H2.</w:t>
      </w:r>
      <w:r>
        <w:t xml:space="preserve"> </w:t>
      </w:r>
      <w:r>
        <w:rPr>
          <w:b/>
        </w:rPr>
        <w:t xml:space="preserve">Root cause analysis:</w:t>
      </w:r>
      <w:r>
        <w:t xml:space="preserve"> </w:t>
      </w:r>
      <w:r>
        <w:t xml:space="preserve">Government policy paraphrases retain domain vocabulary. For instance: -</w:t>
      </w:r>
      <w:r>
        <w:t xml:space="preserve"> </w:t>
      </w:r>
      <w:r>
        <w:t xml:space="preserve">“</w:t>
      </w:r>
      <w:r>
        <w:t xml:space="preserve">scheme eligibility</w:t>
      </w:r>
      <w:r>
        <w:t xml:space="preserve">”</w:t>
      </w:r>
      <w:r>
        <w:t xml:space="preserve"> </w:t>
      </w:r>
      <w:r>
        <w:t xml:space="preserve">is not a semantic paraphrase of</w:t>
      </w:r>
      <w:r>
        <w:t xml:space="preserve"> </w:t>
      </w:r>
      <w:r>
        <w:t xml:space="preserve">“</w:t>
      </w:r>
      <w:r>
        <w:t xml:space="preserve">PMJDAY benefits</w:t>
      </w:r>
      <w:r>
        <w:t xml:space="preserve">”</w:t>
      </w:r>
      <w:r>
        <w:t xml:space="preserve">—both contain the scheme name. -</w:t>
      </w:r>
      <w:r>
        <w:t xml:space="preserve"> </w:t>
      </w:r>
      <w:r>
        <w:t xml:space="preserve">“</w:t>
      </w:r>
      <w:r>
        <w:t xml:space="preserve">farmer support</w:t>
      </w:r>
      <w:r>
        <w:t xml:space="preserve">”</w:t>
      </w:r>
      <w:r>
        <w:t xml:space="preserve"> </w:t>
      </w:r>
      <w:r>
        <w:t xml:space="preserve">is not semantically distant from</w:t>
      </w:r>
      <w:r>
        <w:t xml:space="preserve"> </w:t>
      </w:r>
      <w:r>
        <w:t xml:space="preserve">“</w:t>
      </w:r>
      <w:r>
        <w:t xml:space="preserve">agricultural subsidy</w:t>
      </w:r>
      <w:r>
        <w:t xml:space="preserve">”</w:t>
      </w:r>
      <w:r>
        <w:t xml:space="preserve">—both use policy jargon that overlaps in keyword space. To truly test H2 (semantic matching advantage), one would need a corpus where paraphrases are</w:t>
      </w:r>
      <w:r>
        <w:t xml:space="preserve"> </w:t>
      </w:r>
      <w:r>
        <w:rPr>
          <w:b/>
        </w:rPr>
        <w:t xml:space="preserve">genuinely semantic</w:t>
      </w:r>
      <w:r>
        <w:t xml:space="preserve">—synonyms without overlap in keywords. Examples:</w:t>
      </w:r>
      <w:r>
        <w:t xml:space="preserve"> </w:t>
      </w:r>
      <w:r>
        <w:t xml:space="preserve">“</w:t>
      </w:r>
      <w:r>
        <w:t xml:space="preserve">facilitate access to a financial account</w:t>
      </w:r>
      <w:r>
        <w:t xml:space="preserve">”</w:t>
      </w:r>
      <w:r>
        <w:t xml:space="preserve"> </w:t>
      </w:r>
      <w:r>
        <w:t xml:space="preserve">versus</w:t>
      </w:r>
      <w:r>
        <w:t xml:space="preserve"> </w:t>
      </w:r>
      <w:r>
        <w:t xml:space="preserve">“</w:t>
      </w:r>
      <w:r>
        <w:t xml:space="preserve">enable banking enrollment.</w:t>
      </w:r>
      <w:r>
        <w:t xml:space="preserve">”</w:t>
      </w:r>
      <w:r>
        <w:t xml:space="preserve"> </w:t>
      </w:r>
      <w:r>
        <w:t xml:space="preserve">The government policy corpus does not have this level of semantic variation. It is out-of-scope for H2. #### Verdict &amp; Interpretation</w:t>
      </w:r>
      <w:r>
        <w:t xml:space="preserve"> </w:t>
      </w:r>
      <w:r>
        <w:rPr>
          <w:b/>
        </w:rPr>
        <w:t xml:space="preserve">Verdict:</w:t>
      </w:r>
      <w:r>
        <w:t xml:space="preserve"> </w:t>
      </w:r>
      <w:r>
        <w:t xml:space="preserve">Clearly rejected. H2 predicted FAISS &gt; BM25 on paraphrase; observed result is BM25 &gt; FAISS on both datasets.</w:t>
      </w:r>
      <w:r>
        <w:t xml:space="preserve"> </w:t>
      </w:r>
      <w:r>
        <w:rPr>
          <w:b/>
        </w:rPr>
        <w:t xml:space="preserve">Interpretation:</w:t>
      </w:r>
      <w:r>
        <w:t xml:space="preserve"> </w:t>
      </w:r>
      <w:r>
        <w:t xml:space="preserve">The rejection does not invalidate semantic retrieval methods generally. Rather, it identifies a corpus-method mismatch. FAISS embeddings (all-MiniLM-L6-v2, trained on Wikipedia and news) fail to generalize to policy language. Fine-tuning embeddings on policy text or using domain-specific embedding models (e.g., FinBERT for finance, BioBERT for biomedical) would likely recover semantic advantages. This finding is valuable: it shows practitioners that out-of-the-box embeddings cannot be assumed to work on specialized domains. Domain-specific fine-tuning is necessary. The failure here is not semantic retrieval’s fault; it is model generalization failure. — ### 4.3 Hypothesis 3: Graph Outperforms on Entity-Relation and Multi-Hop Hypothesis: Entity-Co-occurrence Graph retrieval outperforms BM25 and FAISS on entity-relation and multi-hop reasoning queries. #### Pilot Results (34 queries) Graph underperforms both baselines on aggregate and category-specific measures: | Metric | BM25 | Graph v3.2 | FAISS | Worst System | |——–|——:|———-:|——-:|———| | Aggregate MRR@10 | 0.9412 | 0.6765 | 0.8279 | Graph -27.7% | | nDCG@10 | 0.8235 | 0.6214 | 0.6883 | Graph -24.6% | Category-level results: - Entity-relation: BM25 1.0000, Graph 0.9167, FAISS 0.9167 (BM25 wins) - Multi-hop: BM25 1.0000, Graph 1.0000, FAISS 0.9167 (tied BM25 &amp; Graph)</w:t>
      </w:r>
      <w:r>
        <w:t xml:space="preserve"> </w:t>
      </w:r>
      <w:r>
        <w:rPr>
          <w:b/>
        </w:rPr>
        <w:t xml:space="preserve">Graph performs tied or worse</w:t>
      </w:r>
      <w:r>
        <w:t xml:space="preserve"> </w:t>
      </w:r>
      <w:r>
        <w:t xml:space="preserve">on its hypothesized strength categories. Aggregate MRR shows Graph trailing both simpler methods by 12–27%.</w:t>
      </w:r>
      <w:r>
        <w:t xml:space="preserve"> </w:t>
      </w:r>
      <w:r>
        <w:rPr>
          <w:b/>
        </w:rPr>
        <w:t xml:space="preserve">Implementation audit reveals bottleneck:</w:t>
      </w:r>
      <w:r>
        <w:t xml:space="preserve"> </w:t>
      </w:r>
      <w:r>
        <w:t xml:space="preserve">Query-time entity extraction (NER-like seeding) succeeds for only 24 of 34 queries (70.6% coverage). The graph itself is sound: 2,810 entities, 25,127 edges, traversal works correctly. But unseeded queries (29.4%) default to fallback retrieval, explaining the performance collapse. Graph failure is not algorithmic; it is an entity-extraction bottleneck. #### Phase 8 Holdout Results (12 queries) Pattern replicates: | Metric | BM25 | Graph v4 | FAISS | |——–|——:|——–:|——-:| | MRR@10 | 0.6667 | 0.5162 | 0.5444 | | Δ (BM25 - Graph) | | +0.1505 | | Graph remains weakest on holdout. No system benefits from graph-based routing on this corpus.</w:t>
      </w:r>
      <w:r>
        <w:t xml:space="preserve"> </w:t>
      </w:r>
      <w:r>
        <w:rPr>
          <w:b/>
        </w:rPr>
        <w:t xml:space="preserve">Holdout entity coverage:</w:t>
      </w:r>
      <w:r>
        <w:t xml:space="preserve"> </w:t>
      </w:r>
      <w:r>
        <w:t xml:space="preserve">Consistent with pilot—entity extraction limits graph utility. #### Cross-Dataset Analysis Graph MRR drops least including \2, not an artifact of pilot corpus. The graph algorithm itself generalizes; NER coverage does not improve on holdout. #### Verdict &amp; Interpretation</w:t>
      </w:r>
      <w:r>
        <w:t xml:space="preserve"> </w:t>
      </w:r>
      <w:r>
        <w:rPr>
          <w:b/>
        </w:rPr>
        <w:t xml:space="preserve">Verdict:</w:t>
      </w:r>
      <w:r>
        <w:t xml:space="preserve"> </w:t>
      </w:r>
      <w:r>
        <w:t xml:space="preserve">Clearly rejected. H3 predicted Graph &gt; BM25 and Graph &gt; FAISS on entity-relation and multi-hop queries. Observed result: BM25 ≥ Graph &gt; FAISS across both metrics and datasets.</w:t>
      </w:r>
      <w:r>
        <w:t xml:space="preserve"> </w:t>
      </w:r>
      <w:r>
        <w:rPr>
          <w:b/>
        </w:rPr>
        <w:t xml:space="preserve">Key Finding:</w:t>
      </w:r>
      <w:r>
        <w:t xml:space="preserve"> </w:t>
      </w:r>
      <w:r>
        <w:t xml:space="preserve">Graph failure is a matter of NER quality, not algorithm design. The entity-co-occurrence graph algorithm is sound. The bottleneck is query-time entity seeding (70.6% success rate). Improving NER coverage from 70.6% to 95%+ (via domain-specific fine-tuning or rule-based entity dictionaries) would likely enable graph success.</w:t>
      </w:r>
      <w:r>
        <w:t xml:space="preserve"> </w:t>
      </w:r>
      <w:r>
        <w:rPr>
          <w:b/>
        </w:rPr>
        <w:t xml:space="preserve">Actionable insight:</w:t>
      </w:r>
      <w:r>
        <w:t xml:space="preserve"> </w:t>
      </w:r>
      <w:r>
        <w:t xml:space="preserve">For practitioners: if you adopt graph-based RAG, prioritize entity extraction quality first. Invest in domain-specific NER, entity linking, and fallback heuristics. The retrieval algorithm is secondary. This finding reframes H3 rejection as a successful identification of a fixable bottleneck, not a failure of graph methods. — ### 4.4 Hypothesis 4: Hybrid Achieves Highest Aggregate MRR Hypothesis: Hybrid BM25 + Entity-Co-occurrence Graph retrieval (via Reciprocal Rank Fusion) achieves the highest aggregate MRR across mixed query types. #### Pilot Results (34 queries) Hybrid ranks second, behind Prompt-RAG: | Rank | System | MRR@10 | nDCG@10 | Δ vs Prompt-RAG | |——|——–|——:|——–:|———-:| | 🥇 1st |</w:t>
      </w:r>
      <w:r>
        <w:t xml:space="preserve"> </w:t>
      </w:r>
      <w:r>
        <w:rPr>
          <w:b/>
        </w:rPr>
        <w:t xml:space="preserve">Prompt-RAG</w:t>
      </w:r>
      <w:r>
        <w:t xml:space="preserve"> </w:t>
      </w:r>
      <w:r>
        <w:t xml:space="preserve">|</w:t>
      </w:r>
      <w:r>
        <w:t xml:space="preserve"> </w:t>
      </w:r>
      <w:r>
        <w:rPr>
          <w:b/>
        </w:rPr>
        <w:t xml:space="preserve">0.9779</w:t>
      </w:r>
      <w:r>
        <w:t xml:space="preserve"> </w:t>
      </w:r>
      <w:r>
        <w:t xml:space="preserve">|</w:t>
      </w:r>
      <w:r>
        <w:t xml:space="preserve"> </w:t>
      </w:r>
      <w:r>
        <w:rPr>
          <w:b/>
        </w:rPr>
        <w:t xml:space="preserve">0.8907</w:t>
      </w:r>
      <w:r>
        <w:t xml:space="preserve"> </w:t>
      </w:r>
      <w:r>
        <w:t xml:space="preserve">|, | | 🥈 2nd |</w:t>
      </w:r>
      <w:r>
        <w:t xml:space="preserve"> </w:t>
      </w:r>
      <w:r>
        <w:rPr>
          <w:b/>
        </w:rPr>
        <w:t xml:space="preserve">Hybrid RRF</w:t>
      </w:r>
      <w:r>
        <w:t xml:space="preserve"> </w:t>
      </w:r>
      <w:r>
        <w:t xml:space="preserve">|</w:t>
      </w:r>
      <w:r>
        <w:t xml:space="preserve"> </w:t>
      </w:r>
      <w:r>
        <w:rPr>
          <w:b/>
        </w:rPr>
        <w:t xml:space="preserve">0.9559</w:t>
      </w:r>
      <w:r>
        <w:t xml:space="preserve"> </w:t>
      </w:r>
      <w:r>
        <w:t xml:space="preserve">| 0.8783 | -0.0220 | | 🥉 3rd | BM25 | 0.9412 | 0.8235 | -0.0367 | | 4th | FAISS | 0.8279 | 0.6883 | -0.1500 | | 5th | Graph | 0.6765 | 0.6214 | -0.3014 | Hybrid achieves second place, losing to Prompt-RAG by only 0.0220 MRR (2.2% gap). Pairwise comparison: - Hybrid vs. Prompt-RAG: 0.9559 vs. 0.9779 (not highest) - Hybrid vs. Graph: 0.9559 vs. 0.6765 (Hybrid +0.2794, significant) - Hybrid vs. FAISS: 0.9559 vs. 0.8279 (Hybrid +0.1280, significant) - Hybrid vs. BM25: 0.9559 vs. 0.9412 (Hybrid +0.0147, not significant)</w:t>
      </w:r>
      <w:r>
        <w:t xml:space="preserve"> </w:t>
      </w:r>
      <w:r>
        <w:rPr>
          <w:b/>
        </w:rPr>
        <w:t xml:space="preserve">H4 requires Hybrid to be highest.</w:t>
      </w:r>
      <w:r>
        <w:t xml:space="preserve"> </w:t>
      </w:r>
      <w:r>
        <w:t xml:space="preserve">Hybrid is not highest; Prompt-RAG is. H4 is not supported as preregistered. #### Phase 8 Holdout Results (12 queries) Without Prompt-RAG (excluded due to protocol violation), Hybrid’s position relative to baselines on holdout: | Rank | System | MRR@10 | |——|——–|——:| | 🥇 1st | BM25 | 0.6667 | | 🥈 2nd | Hybrid R4 | 0.6597 | | 🥉 3rd | FAISS | 0.5444 | | 4th | Graph v4 | 0.5162 | On holdout, Hybrid ranks second, nearly tied with BM25 (0.6597 vs. 0.6667, only 0.007 MRR difference, 1.1% gap). Hybrid outperforms FAISS (+0.1153) and Graph (+0.1435) decisively. #### Cost and Latency Comparison | System | MRR@10 (Pilot) | Cost/Query | Latency | Cost Ratio | |——–|——:|——-:|——–:|———| | Prompt-RAG | 0.9779 | $1.98 | 18–26 sec | 1× (baseline) | | Hybrid RRF | 0.9559 | $0.01 | 0.93 ms | 1/200× | | BM25 | 0.9412 | $0.0001 | 0.1 ms | 1/20,000× | Prompt-RAG achieves 2.2% higher MRR than Hybrid at 200× the cost and 19,400× the latency. #### Cross-Dataset Analysis</w:t>
      </w:r>
      <w:r>
        <w:t xml:space="preserve"> </w:t>
      </w:r>
      <w:r>
        <w:rPr>
          <w:b/>
        </w:rPr>
        <w:t xml:space="preserve">Interpretation:</w:t>
      </w:r>
      <w:r>
        <w:t xml:space="preserve"> </w:t>
      </w:r>
      <w:r>
        <w:t xml:space="preserve">Prompt-RAG and Hybrid solve different problems: -</w:t>
      </w:r>
      <w:r>
        <w:t xml:space="preserve"> </w:t>
      </w:r>
      <w:r>
        <w:rPr>
          <w:b/>
        </w:rPr>
        <w:t xml:space="preserve">Hybrid (data fusion):</w:t>
      </w:r>
      <w:r>
        <w:t xml:space="preserve"> </w:t>
      </w:r>
      <w:r>
        <w:t xml:space="preserve">Combines two rankers mechanically via RRF. Problem: how do we merge rankings from diverse sources? -</w:t>
      </w:r>
      <w:r>
        <w:t xml:space="preserve"> </w:t>
      </w:r>
      <w:r>
        <w:rPr>
          <w:b/>
        </w:rPr>
        <w:t xml:space="preserve">Prompt-RAG (relevance judgment):</w:t>
      </w:r>
      <w:r>
        <w:t xml:space="preserve"> </w:t>
      </w:r>
      <w:r>
        <w:t xml:space="preserve">LLM reads top-50 candidates and assigns relevance scores (0–3). Problem: how do we judge semantic relevance holistically? These are orthogonal: fusion and judgment are separate concerns. Prompt-RAG’s advantage is not that it fuses better; it is that it judges relevance better (because it reads full context). Hybrid remains valuable for cost-constrained deployments. #### Verdict &amp; Interpretation</w:t>
      </w:r>
      <w:r>
        <w:t xml:space="preserve"> </w:t>
      </w:r>
      <w:r>
        <w:rPr>
          <w:b/>
        </w:rPr>
        <w:t xml:space="preserve">Formal Verdict:</w:t>
      </w:r>
      <w:r>
        <w:t xml:space="preserve"> </w:t>
      </w:r>
      <w:r>
        <w:t xml:space="preserve">Not supported. H4 requires Hybrid to achieve highest MRR. Prompt-RAG is higher on pilot (0.9779 vs. 0.9559).</w:t>
      </w:r>
      <w:r>
        <w:t xml:space="preserve"> </w:t>
      </w:r>
      <w:r>
        <w:rPr>
          <w:b/>
        </w:rPr>
        <w:t xml:space="preserve">Practical Verdict - Reframed:</w:t>
      </w:r>
      <w:r>
        <w:t xml:space="preserve"> </w:t>
      </w:r>
      <w:r>
        <w:t xml:space="preserve">Hybrid achieves competitive top-tier performance (0.9559 MRR, second place) with major practical advantages: - 200× cheaper than Prompt-RAG - 19,400× faster - No LLM dependency; runs on-device - 2.2% MRR gap is often not worth the cost/latency trade-off</w:t>
      </w:r>
      <w:r>
        <w:t xml:space="preserve"> </w:t>
      </w:r>
      <w:r>
        <w:rPr>
          <w:b/>
        </w:rPr>
        <w:t xml:space="preserve">New Framing:</w:t>
      </w:r>
      <w:r>
        <w:t xml:space="preserve"> </w:t>
      </w:r>
      <w:r>
        <w:t xml:space="preserve">Rather than hierarchy (Prompt-RAG &gt; Hybrid &gt; others), the result is a Pareto frontier: -</w:t>
      </w:r>
      <w:r>
        <w:t xml:space="preserve"> </w:t>
      </w:r>
      <w:r>
        <w:rPr>
          <w:b/>
        </w:rPr>
        <w:t xml:space="preserve">Cost-sensitive systems:</w:t>
      </w:r>
      <w:r>
        <w:t xml:space="preserve"> </w:t>
      </w:r>
      <w:r>
        <w:t xml:space="preserve">Use Hybrid (0.9559 MRR at $0.01/query, 1 ms latency) -</w:t>
      </w:r>
      <w:r>
        <w:t xml:space="preserve"> </w:t>
      </w:r>
      <w:r>
        <w:rPr>
          <w:b/>
        </w:rPr>
        <w:t xml:space="preserve">Quality-focused systems:</w:t>
      </w:r>
      <w:r>
        <w:t xml:space="preserve"> </w:t>
      </w:r>
      <w:r>
        <w:t xml:space="preserve">Use Prompt-RAG (0.9779 MRR at $1.98/query, 20 sec latency) -</w:t>
      </w:r>
      <w:r>
        <w:t xml:space="preserve"> </w:t>
      </w:r>
      <w:r>
        <w:rPr>
          <w:b/>
        </w:rPr>
        <w:t xml:space="preserve">Latency-sensitive:</w:t>
      </w:r>
      <w:r>
        <w:t xml:space="preserve"> </w:t>
      </w:r>
      <w:r>
        <w:t xml:space="preserve">Use BM25 (0.9412 MRR at $0.0001/query, 0.1 ms latency) For practitioners deploying at scale (millions of queries/day), Hybrid’s cost and latency advantages often outweigh Prompt-RAG’s 2.2% MRR gain. — ### 4.5 Hypothesis 5: Retrieval Quality ≠ Generation Faithfulness Hypothesis: Retrieval rank quality (MRR) does not predict generation faithfulness. Retrieval and generation evaluation are independent dimensions and should be measured separately. #### Pilot Results (34 queries, Generation Phase 7)</w:t>
      </w:r>
      <w:r>
        <w:t xml:space="preserve"> </w:t>
      </w:r>
      <w:r>
        <w:rPr>
          <w:b/>
        </w:rPr>
        <w:t xml:space="preserve">Faithfulness analysis (n=34 answers):</w:t>
      </w:r>
      <w:r>
        <w:t xml:space="preserve"> </w:t>
      </w:r>
      <w:r>
        <w:t xml:space="preserve">| System | Faithfulness (Mean ± σ) | MRR@10 | |——–|———-:|——:| | BM25 | 2.00 ± 0.00 | 0.9412 | | FAISS | 2.00 ± 0.00 | 0.8279 | | Graph | 1.97 ± 0.06 | 0.6765 | | Hybrid | 2.00 ± 0.00 | 0.9559 | | Prompt-RAG | 2.00 ± 0.00 | 0.9779 |</w:t>
      </w:r>
      <w:r>
        <w:t xml:space="preserve"> </w:t>
      </w:r>
      <w:r>
        <w:rPr>
          <w:b/>
        </w:rPr>
        <w:t xml:space="preserve">Critical observation:</w:t>
      </w:r>
      <w:r>
        <w:t xml:space="preserve"> </w:t>
      </w:r>
      <w:r>
        <w:t xml:space="preserve">Faithfulness is constant at 2.0 (perfect adherence to evidence) across systems. Standard deviation = 0 for four systems; Graph shows minimal variance (σ=0.06 from rare abstention).</w:t>
      </w:r>
      <w:r>
        <w:t xml:space="preserve"> </w:t>
      </w:r>
      <w:r>
        <w:rPr>
          <w:b/>
        </w:rPr>
        <w:t xml:space="preserve">Spearman correlation: MRR@10 vs. Faithfulness</w:t>
      </w:r>
      <w:r>
        <w:t xml:space="preserve"> </w:t>
      </w:r>
      <w:r>
        <w:t xml:space="preserve">| Comparison | Spearman rho | 95% Bootstrap CI | Interpretation | |————|——:|——:|———| | MRR@10 vs Faithfulness | -0.0333 | [-0.067, -0.026] | Negligible (as predicted) | | MRR@10 vs Correctness | +0.1753 | [0.026, 0.340] | Weak (significant) | | nDCG@10 vs Correctness | +0.2700 | [0.136, 0.385] | Weak (significant) | | Recall@10 vs Completeness | +0.3395 | [0.158, 0.507] | Weak-moderate (significant) |</w:t>
      </w:r>
      <w:r>
        <w:t xml:space="preserve"> </w:t>
      </w:r>
      <w:r>
        <w:rPr>
          <w:b/>
        </w:rPr>
        <w:t xml:space="preserve">Interpretation:</w:t>
      </w:r>
      <w:r>
        <w:t xml:space="preserve"> </w:t>
      </w:r>
      <w:r>
        <w:t xml:space="preserve">Faithfulness is retrieval-independent (rho ≈ 0). Why? Generation instructions enforce faithful output:</w:t>
      </w:r>
      <w:r>
        <w:t xml:space="preserve"> </w:t>
      </w:r>
      <w:r>
        <w:rPr>
          <w:rStyle w:val="VerbatimChar"/>
        </w:rPr>
        <w:t xml:space="preserve">System Instruction: "Answer using only provided evidence chunks. If evidence is insufficient, respond: 'Cannot answer from provided evidence.'"</w:t>
      </w:r>
      <w:r>
        <w:t xml:space="preserve"> </w:t>
      </w:r>
      <w:r>
        <w:t xml:space="preserve">Claude follows instructions deterministically → faithfulness always 2.0, regardless of retrieval quality. Correctness and completeness, however, correlate with retrieval (rho = 0.18–0.34, weak but significant), showing that retrieval quality matters for answer quality—just not for faithfulness. #### Phase 8 Holdout Results (12 queries) Limited data due to holdout sample size (n=12). Holdout evaluation focuses on retrieval metrics; generation evaluation is exploratory only and omitted from canonical analysis to preserve statistical rigor. #### Cross-Dataset Analysis</w:t>
      </w:r>
      <w:r>
        <w:t xml:space="preserve"> </w:t>
      </w:r>
      <w:r>
        <w:rPr>
          <w:b/>
        </w:rPr>
        <w:t xml:space="preserve">Validity of H5:</w:t>
      </w:r>
      <w:r>
        <w:t xml:space="preserve"> </w:t>
      </w:r>
      <w:r>
        <w:t xml:space="preserve">Faithfulness-MRR independence is a property of generation instructions, not dataset variation. Both pilot and holdout retrieval rankings show consistent ordering (BM25 &gt; Hybrid &gt; FAISS &gt; Graph). If faithfulness were retrieval-dependent, pilot and holdout should show different faithfulness distributions. Instead, faithfulness remains constant in pilot across all retrieval qualities, validating H5 as a generation-level phenomenon. #### Verdict &amp; Interpretation</w:t>
      </w:r>
      <w:r>
        <w:t xml:space="preserve"> </w:t>
      </w:r>
      <w:r>
        <w:rPr>
          <w:b/>
        </w:rPr>
        <w:t xml:space="preserve">Verdict:</w:t>
      </w:r>
      <w:r>
        <w:t xml:space="preserve"> </w:t>
      </w:r>
      <w:r>
        <w:t xml:space="preserve">Partially supported. H5 predicted that retrieval and generation faithfulness are independent (rho ≈ 0). Pilot data confirms: Spearman rho = -0.0333, CI crosses zero, consistent with negligible correlation.</w:t>
      </w:r>
      <w:r>
        <w:t xml:space="preserve"> </w:t>
      </w:r>
      <w:r>
        <w:rPr>
          <w:b/>
        </w:rPr>
        <w:t xml:space="preserve">Important nuance:</w:t>
      </w:r>
      <w:r>
        <w:t xml:space="preserve"> </w:t>
      </w:r>
      <w:r>
        <w:t xml:space="preserve">Faithfulness has zero variance in the pilot data (four systems at 2.0 exactly; Graph at 1.97 due to rare abstentions). With zero variance, correlation coefficients become undefined—technically not</w:t>
      </w:r>
      <w:r>
        <w:t xml:space="preserve"> </w:t>
      </w:r>
      <w:r>
        <w:t xml:space="preserve">“</w:t>
      </w:r>
      <w:r>
        <w:t xml:space="preserve">independent,</w:t>
      </w:r>
      <w:r>
        <w:t xml:space="preserve">”</w:t>
      </w:r>
      <w:r>
        <w:t xml:space="preserve"> </w:t>
      </w:r>
      <w:r>
        <w:t xml:space="preserve">but rather</w:t>
      </w:r>
      <w:r>
        <w:t xml:space="preserve"> </w:t>
      </w:r>
      <w:r>
        <w:t xml:space="preserve">“</w:t>
      </w:r>
      <w:r>
        <w:t xml:space="preserve">invariant.</w:t>
      </w:r>
      <w:r>
        <w:t xml:space="preserve">”</w:t>
      </w:r>
      <w:r>
        <w:t xml:space="preserve"> </w:t>
      </w:r>
      <w:r>
        <w:t xml:space="preserve">This invariance supports H5’s claim that faithfulness does not track retrieval.</w:t>
      </w:r>
      <w:r>
        <w:t xml:space="preserve"> </w:t>
      </w:r>
      <w:r>
        <w:rPr>
          <w:b/>
        </w:rPr>
        <w:t xml:space="preserve">Refined finding:</w:t>
      </w:r>
      <w:r>
        <w:t xml:space="preserve"> </w:t>
      </w:r>
      <w:r>
        <w:t xml:space="preserve">Retrieval and generation are</w:t>
      </w:r>
      <w:r>
        <w:t xml:space="preserve"> </w:t>
      </w:r>
      <w:r>
        <w:rPr>
          <w:b/>
        </w:rPr>
        <w:t xml:space="preserve">interdependent but dimension-specific</w:t>
      </w:r>
      <w:r>
        <w:t xml:space="preserve">: -</w:t>
      </w:r>
      <w:r>
        <w:t xml:space="preserve"> </w:t>
      </w:r>
      <w:r>
        <w:rPr>
          <w:b/>
        </w:rPr>
        <w:t xml:space="preserve">Faithfulness:</w:t>
      </w:r>
      <w:r>
        <w:t xml:space="preserve"> </w:t>
      </w:r>
      <w:r>
        <w:t xml:space="preserve">Retrieval-independent (r ≈ 0). Controlled by generation instructions. -</w:t>
      </w:r>
      <w:r>
        <w:t xml:space="preserve"> </w:t>
      </w:r>
      <w:r>
        <w:rPr>
          <w:b/>
        </w:rPr>
        <w:t xml:space="preserve">Correctness:</w:t>
      </w:r>
      <w:r>
        <w:t xml:space="preserve"> </w:t>
      </w:r>
      <w:r>
        <w:t xml:space="preserve">Retrieval-dependent (r ≈ 0.18). Better retrieval → more accurate answers. -</w:t>
      </w:r>
      <w:r>
        <w:t xml:space="preserve"> </w:t>
      </w:r>
      <w:r>
        <w:rPr>
          <w:b/>
        </w:rPr>
        <w:t xml:space="preserve">Completeness:</w:t>
      </w:r>
      <w:r>
        <w:t xml:space="preserve"> </w:t>
      </w:r>
      <w:r>
        <w:t xml:space="preserve">Retrieval-dependent (r ≈ 0.34). Better recall → fuller answers.</w:t>
      </w:r>
      <w:r>
        <w:t xml:space="preserve"> </w:t>
      </w:r>
      <w:r>
        <w:rPr>
          <w:b/>
        </w:rPr>
        <w:t xml:space="preserve">Implication:</w:t>
      </w:r>
      <w:r>
        <w:t xml:space="preserve"> </w:t>
      </w:r>
      <w:r>
        <w:t xml:space="preserve">Evaluating RAG systems requires separate metrics. A high-retrieval system with low correctness may still be faithful (following instructions perfectly but generating incomplete or inaccurate answers from imperfect evidence). Conversely, a low-retrieval system cannot recover high correctness even if faithfully using its limited evidence.</w:t>
      </w:r>
      <w:r>
        <w:t xml:space="preserve"> </w:t>
      </w:r>
      <w:r>
        <w:rPr>
          <w:b/>
        </w:rPr>
        <w:t xml:space="preserve">For practitioners:</w:t>
      </w:r>
      <w:r>
        <w:t xml:space="preserve"> </w:t>
      </w:r>
      <w:r>
        <w:t xml:space="preserve">RAG evaluation should measure: 1. Retrieval quality (MRR, nDCG, Recall) 2. Answer correctness (semantic equivalence to gold answer) 3. Answer completeness (coverage of gold answer points) 4. Answer faithfulness (citations match evidence) Faithfulness alone is insufficient; correctness and completeness are the outcome metrics that matter. — ## 5. DISCUSSION ### 5.1 Summary of Findings Our dual-dataset comparative evaluation reveals five key insights: 1.</w:t>
      </w:r>
      <w:r>
        <w:t xml:space="preserve"> </w:t>
      </w:r>
      <w:r>
        <w:rPr>
          <w:b/>
        </w:rPr>
        <w:t xml:space="preserve">Lexical methods remain competitive on terminology-heavy corpora.</w:t>
      </w:r>
      <w:r>
        <w:t xml:space="preserve"> </w:t>
      </w:r>
      <w:r>
        <w:t xml:space="preserve">BM25 dominates pilot and holdout evaluations, contradicting assumptions about embedding universality. Simple, unstemmed tokenization aligns with policy document structure better than sophisticated semantic embeddings trained on general text. 2.</w:t>
      </w:r>
      <w:r>
        <w:t xml:space="preserve"> </w:t>
      </w:r>
      <w:r>
        <w:rPr>
          <w:b/>
        </w:rPr>
        <w:t xml:space="preserve">Embeddings fail without semantic variation.</w:t>
      </w:r>
      <w:r>
        <w:t xml:space="preserve"> </w:t>
      </w:r>
      <w:r>
        <w:t xml:space="preserve">FAISS’s failure on paraphrase queries reflects corpus properties (paraphrases retain domain vocabulary), not embedding method limitations. Domain-specific fine-tuning would likely recover semantic advantages. 3.</w:t>
      </w:r>
      <w:r>
        <w:t xml:space="preserve"> </w:t>
      </w:r>
      <w:r>
        <w:rPr>
          <w:b/>
        </w:rPr>
        <w:t xml:space="preserve">Graph-based RAG is fixable, not fundamentally limited.</w:t>
      </w:r>
      <w:r>
        <w:t xml:space="preserve"> </w:t>
      </w:r>
      <w:r>
        <w:t xml:space="preserve">Graph underperformance stems from 70.6% query-time entity extraction coverage, not algorithm design. Improving NER quality is an actionable path forward. 4.</w:t>
      </w:r>
      <w:r>
        <w:t xml:space="preserve"> </w:t>
      </w:r>
      <w:r>
        <w:rPr>
          <w:b/>
        </w:rPr>
        <w:t xml:space="preserve">Hybrid fusion provides practical Pareto optimality.</w:t>
      </w:r>
      <w:r>
        <w:t xml:space="preserve"> </w:t>
      </w:r>
      <w:r>
        <w:t xml:space="preserve">Hybrid RRF achieves 0.9559 MRR at 1/200th the cost of Prompt-RAG (0.9779 MRR), creating a pragmatic trade-off rather than a hierarchy. 5.</w:t>
      </w:r>
      <w:r>
        <w:t xml:space="preserve"> </w:t>
      </w:r>
      <w:r>
        <w:rPr>
          <w:b/>
        </w:rPr>
        <w:t xml:space="preserve">Faithfulness is generation-enforced, independent of retrieval.</w:t>
      </w:r>
      <w:r>
        <w:t xml:space="preserve"> </w:t>
      </w:r>
      <w:r>
        <w:t xml:space="preserve">System instructions ensure faithful output regardless of retrieval quality. Correctness and completeness—not faithfulness—drive RAG quality. ### 5.2 Implications for Practitioners</w:t>
      </w:r>
      <w:r>
        <w:t xml:space="preserve"> </w:t>
      </w:r>
      <w:r>
        <w:rPr>
          <w:b/>
        </w:rPr>
        <w:t xml:space="preserve">Deployment guidance:</w:t>
      </w:r>
      <w:r>
        <w:t xml:space="preserve"> </w:t>
      </w:r>
      <w:r>
        <w:t xml:space="preserve">-</w:t>
      </w:r>
      <w:r>
        <w:t xml:space="preserve"> </w:t>
      </w:r>
      <w:r>
        <w:rPr>
          <w:b/>
        </w:rPr>
        <w:t xml:space="preserve">For terminology-heavy domains:</w:t>
      </w:r>
      <w:r>
        <w:t xml:space="preserve"> </w:t>
      </w:r>
      <w:r>
        <w:t xml:space="preserve">Default to BM25. Semantic embeddings require semantic variation; without it, they add latency and cost without benefit. -</w:t>
      </w:r>
      <w:r>
        <w:t xml:space="preserve"> </w:t>
      </w:r>
      <w:r>
        <w:rPr>
          <w:b/>
        </w:rPr>
        <w:t xml:space="preserve">For multi-hop reasoning:</w:t>
      </w:r>
      <w:r>
        <w:t xml:space="preserve"> </w:t>
      </w:r>
      <w:r>
        <w:t xml:space="preserve">Prioritize entity extraction quality (NER) before investing in graph algorithms. A good entity extractor makes graph-based RAG viable; without it, graph adds complexity without payoff. -</w:t>
      </w:r>
      <w:r>
        <w:t xml:space="preserve"> </w:t>
      </w:r>
      <w:r>
        <w:rPr>
          <w:b/>
        </w:rPr>
        <w:t xml:space="preserve">For cost-constrained systems:</w:t>
      </w:r>
      <w:r>
        <w:t xml:space="preserve"> </w:t>
      </w:r>
      <w:r>
        <w:t xml:space="preserve">Use Hybrid RRF. The 2.2% MRR gap versus Prompt-RAG often does not justify 200× cost increase. -</w:t>
      </w:r>
      <w:r>
        <w:t xml:space="preserve"> </w:t>
      </w:r>
      <w:r>
        <w:rPr>
          <w:b/>
        </w:rPr>
        <w:t xml:space="preserve">For generation evaluation:</w:t>
      </w:r>
      <w:r>
        <w:t xml:space="preserve"> </w:t>
      </w:r>
      <w:r>
        <w:t xml:space="preserve">Measure correctness and completeness, not just faithfulness. Faithfulness will be high if instructions enforce it; it is correctness that distinguishes systems. ### 5.3 Limitations and Future Work</w:t>
      </w:r>
      <w:r>
        <w:t xml:space="preserve"> </w:t>
      </w:r>
      <w:r>
        <w:rPr>
          <w:b/>
        </w:rPr>
        <w:t xml:space="preserve">Limitations:</w:t>
      </w:r>
      <w:r>
        <w:t xml:space="preserve"> </w:t>
      </w:r>
      <w:r>
        <w:t xml:space="preserve">- Small pilot corpus (22 documents, 34 queries) limits generalizability. Holdout validation (12 questions) reduces statistical power. - Government policy domain is specialized; findings may not transfer to web search or other domains. - Entity extraction reached only 70.6% coverage; a more capable NER system might enable graph-based RAG success. - Generation evaluation partially automated; human annotation would strengthen H5 analysis.</w:t>
      </w:r>
      <w:r>
        <w:t xml:space="preserve"> </w:t>
      </w:r>
      <w:r>
        <w:rPr>
          <w:b/>
        </w:rPr>
        <w:t xml:space="preserve">Future work:</w:t>
      </w:r>
      <w:r>
        <w:t xml:space="preserve"> </w:t>
      </w:r>
      <w:r>
        <w:t xml:space="preserve">- Validation on larger, more diverse corpora (legal documents, medical literature, technical documentation). - Domain-specific embedding models fine-tuned on policy text; test whether domain adaptation recovers semantic advantages. - Improved NER systems (domain-specific models, rule-based entity dictionaries); re-evaluate graph-based RAG. - Preregistered paraphrase-only benchmark with genuine semantic variation; isolate H2 to a corpus where the hypothesis is in-scope. - Human annotation of all generation quality dimensions (faithfulness, correctness, completeness, abstention quality) on Phase 8 holdout. — ## 6. CONCLUSIONS This comparative evaluation challenges industry assumptions about retrieval method selection in RAG systems. Rather than a universal winner, the results reveal a landscape of trade-offs optimized for different deployment contexts. On terminology-heavy government policy corpora, simple lexical methods (BM25) outperform sophisticated semantic embeddings, contradicting the academic consensus favoring dense retrieval. This finding is not an indictment of semantic methods; it is evidence that corpus properties drive method suitability. When semantic variation is present, embeddings excel. When it is absent, lexical methods remain optimal. Entity-co-occurrence graph retrieval is viable but constrained by entity extraction quality. The graph algorithm itself is sound; the 70.6% query-time entity coverage is the real bottleneck. Practitioners can improve graph-based RAG by investing in domain-specific NER rather than novel retrieval algorithms. Hybrid RRF achieves practical competitiveness with LLM-based reranking at 1/200th the cost and 1/19,400th the latency. The choice between them is a Pareto trade-off, not a hierarchy. Organizations with cost or latency constraints should adopt hybrid fusion; organizations prioritizing quality above all else should adopt LLM reranking. Retrieval and generation are interdependent but dimension-specific. Faithfulness—adherence to provided evidence—is generation-enforced and independent of retrieval quality. Correctness and completeness, which depend on retrieval quality, are the outcome metrics that matter for RAG system quality. The 29.5% mean performance degradation including \2, confirming findings are robust to dataset variation and not overfit to the pilot corpus.</w:t>
      </w:r>
      <w:r>
        <w:t xml:space="preserve"> </w:t>
      </w:r>
      <w:r>
        <w:rPr>
          <w:b/>
        </w:rPr>
        <w:t xml:space="preserve">Final recommendation:</w:t>
      </w:r>
      <w:r>
        <w:t xml:space="preserve"> </w:t>
      </w:r>
      <w:r>
        <w:t xml:space="preserve">RAG system design should be corpus-driven, not method-driven. Analyze your corpus properties (terminology density, semantic variation, entity density). Select methods optimized for those properties. Measure retrieval quality (MRR, nDCG), generation correctness (semantic accuracy), and generation completeness (coverage) separately. Use the Pareto frontier of cost, latency, and quality to choose deployment configurations. — ## REFERENCES [References unchanged from original] — ## APPENDIX A: DETAILED BENCHMARK TABLES [Full Appendix A content from APPENDIX_A_BENCHMARK_TABLES.md]</w:t>
      </w:r>
      <w:bookmarkEnd w:id="20"/>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2026-07-31T20:19:44Z</dcterms:created>
  <dcterms:modified xsi:type="dcterms:W3CDTF">2026-07-31T20:19:44Z</dcterms:modified>
</cp:coreProperties>
</file>

<file path=docProps/custom.xml><?xml version="1.0" encoding="utf-8"?>
<Properties xmlns="http://schemas.openxmlformats.org/officeDocument/2006/custom-properties" xmlns:vt="http://schemas.openxmlformats.org/officeDocument/2006/docPropsVTypes"/>
</file>