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94D" w:rsidRDefault="0001531A">
      <w:pPr>
        <w:spacing w:after="3" w:line="259" w:lineRule="auto"/>
        <w:ind w:right="-15"/>
        <w:jc w:val="right"/>
      </w:pPr>
      <w:r>
        <w:t>BINF 6210 / BINF 8210 / ITCS 6156: Machine Learning</w:t>
      </w:r>
    </w:p>
    <w:p w:rsidR="00FE094D" w:rsidRDefault="0001531A">
      <w:pPr>
        <w:spacing w:after="428" w:line="259" w:lineRule="auto"/>
        <w:ind w:left="0" w:firstLine="0"/>
        <w:jc w:val="left"/>
      </w:pPr>
      <w:r>
        <w:rPr>
          <w:rFonts w:ascii="Calibri" w:eastAsia="Calibri" w:hAnsi="Calibri" w:cs="Calibri"/>
          <w:noProof/>
        </w:rPr>
        <mc:AlternateContent>
          <mc:Choice Requires="wpg">
            <w:drawing>
              <wp:inline distT="0" distB="0" distL="0" distR="0">
                <wp:extent cx="5274920" cy="5055"/>
                <wp:effectExtent l="0" t="0" r="0" b="0"/>
                <wp:docPr id="443" name="Group 443"/>
                <wp:cNvGraphicFramePr/>
                <a:graphic xmlns:a="http://schemas.openxmlformats.org/drawingml/2006/main">
                  <a:graphicData uri="http://schemas.microsoft.com/office/word/2010/wordprocessingGroup">
                    <wpg:wgp>
                      <wpg:cNvGrpSpPr/>
                      <wpg:grpSpPr>
                        <a:xfrm>
                          <a:off x="0" y="0"/>
                          <a:ext cx="5274920" cy="5055"/>
                          <a:chOff x="0" y="0"/>
                          <a:chExt cx="5274920" cy="5055"/>
                        </a:xfrm>
                      </wpg:grpSpPr>
                      <wps:wsp>
                        <wps:cNvPr id="7" name="Shape 7"/>
                        <wps:cNvSpPr/>
                        <wps:spPr>
                          <a:xfrm>
                            <a:off x="0" y="0"/>
                            <a:ext cx="5274920" cy="0"/>
                          </a:xfrm>
                          <a:custGeom>
                            <a:avLst/>
                            <a:gdLst/>
                            <a:ahLst/>
                            <a:cxnLst/>
                            <a:rect l="0" t="0" r="0" b="0"/>
                            <a:pathLst>
                              <a:path w="5274920">
                                <a:moveTo>
                                  <a:pt x="0" y="0"/>
                                </a:moveTo>
                                <a:lnTo>
                                  <a:pt x="52749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3" style="width:415.348pt;height:0.398pt;mso-position-horizontal-relative:char;mso-position-vertical-relative:line" coordsize="52749,50">
                <v:shape id="Shape 7" style="position:absolute;width:52749;height:0;left:0;top:0;" coordsize="5274920,0" path="m0,0l5274920,0">
                  <v:stroke weight="0.398pt" endcap="flat" joinstyle="miter" miterlimit="10" on="true" color="#000000"/>
                  <v:fill on="false" color="#000000" opacity="0"/>
                </v:shape>
              </v:group>
            </w:pict>
          </mc:Fallback>
        </mc:AlternateContent>
      </w:r>
    </w:p>
    <w:p w:rsidR="00FE094D" w:rsidRDefault="0001531A">
      <w:pPr>
        <w:spacing w:after="238" w:line="259" w:lineRule="auto"/>
        <w:ind w:left="0" w:firstLine="0"/>
        <w:jc w:val="center"/>
      </w:pPr>
      <w:r>
        <w:rPr>
          <w:b/>
        </w:rPr>
        <w:t>Quiz 2</w:t>
      </w:r>
    </w:p>
    <w:p w:rsidR="00FE094D" w:rsidRDefault="0001531A">
      <w:pPr>
        <w:spacing w:after="461" w:line="259" w:lineRule="auto"/>
        <w:ind w:left="0" w:firstLine="0"/>
        <w:jc w:val="center"/>
      </w:pPr>
      <w:r>
        <w:t>11:30am-12:15pm, Friday, September 29, 2017</w:t>
      </w:r>
    </w:p>
    <w:p w:rsidR="00FE094D" w:rsidRDefault="0001531A">
      <w:pPr>
        <w:ind w:left="-5"/>
      </w:pPr>
      <w:r>
        <w:t>Save the required plots as images, name them appropriately, and submit them together with your other documents.</w:t>
      </w:r>
    </w:p>
    <w:p w:rsidR="00FE094D" w:rsidRDefault="0001531A">
      <w:pPr>
        <w:spacing w:after="213"/>
        <w:ind w:left="-5"/>
      </w:pPr>
      <w:r>
        <w:t xml:space="preserve">Use the data stored in file </w:t>
      </w:r>
      <w:r>
        <w:rPr>
          <w:rFonts w:ascii="Calibri" w:eastAsia="Calibri" w:hAnsi="Calibri" w:cs="Calibri"/>
        </w:rPr>
        <w:t xml:space="preserve">SCLC study output </w:t>
      </w:r>
      <w:r>
        <w:rPr>
          <w:rFonts w:ascii="Calibri" w:eastAsia="Calibri" w:hAnsi="Calibri" w:cs="Calibri"/>
          <w:noProof/>
        </w:rPr>
        <mc:AlternateContent>
          <mc:Choice Requires="wpg">
            <w:drawing>
              <wp:inline distT="0" distB="0" distL="0" distR="0">
                <wp:extent cx="43637" cy="5055"/>
                <wp:effectExtent l="0" t="0" r="0" b="0"/>
                <wp:docPr id="444" name="Group 444"/>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18" name="Shape 18"/>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4" style="width:3.436pt;height:0.398pt;mso-position-horizontal-relative:char;mso-position-vertical-relative:line" coordsize="436,50">
                <v:shape id="Shape 18"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 xml:space="preserve">filtered.csv </w:t>
      </w:r>
      <w:r>
        <w:t xml:space="preserve">for </w:t>
      </w:r>
      <w:proofErr w:type="gramStart"/>
      <w:r>
        <w:t>all of</w:t>
      </w:r>
      <w:proofErr w:type="gramEnd"/>
      <w:r>
        <w:t xml:space="preserve"> the questions. Rows in the data table correspond to observations and columns correspond to variables. The first column contains sample names and the first row contains variable names. So be sure to exclude the fir</w:t>
      </w:r>
      <w:r>
        <w:t>st row from PCA analysis.</w:t>
      </w:r>
    </w:p>
    <w:p w:rsidR="00FE094D" w:rsidRDefault="0001531A">
      <w:pPr>
        <w:ind w:left="-5"/>
      </w:pPr>
      <w:r>
        <w:t>Perform PCA of the data without standardizing the variables and answer the following questions.</w:t>
      </w:r>
    </w:p>
    <w:p w:rsidR="0015531C" w:rsidRDefault="0001531A" w:rsidP="0001531A">
      <w:pPr>
        <w:numPr>
          <w:ilvl w:val="0"/>
          <w:numId w:val="1"/>
        </w:numPr>
        <w:ind w:hanging="351"/>
      </w:pPr>
      <w:r>
        <w:t>(20 points) What is the total variance of the original variables and what is the total variance of the PCs. Are they equal?</w:t>
      </w:r>
      <w:r w:rsidR="0015531C">
        <w:t xml:space="preserve"> </w:t>
      </w:r>
      <w:r>
        <w:t>Y</w:t>
      </w:r>
      <w:r w:rsidR="0015531C">
        <w:t>es</w:t>
      </w:r>
      <w:r>
        <w:t xml:space="preserve">, </w:t>
      </w:r>
      <w:r w:rsidRPr="0001531A">
        <w:t>273576134194.0</w:t>
      </w:r>
      <w:bookmarkStart w:id="0" w:name="_GoBack"/>
      <w:bookmarkEnd w:id="0"/>
    </w:p>
    <w:p w:rsidR="00FE094D" w:rsidRDefault="0001531A">
      <w:pPr>
        <w:numPr>
          <w:ilvl w:val="0"/>
          <w:numId w:val="1"/>
        </w:numPr>
        <w:ind w:hanging="351"/>
      </w:pPr>
      <w:r>
        <w:t>(15 points</w:t>
      </w:r>
      <w:r>
        <w:t>) What is the covariance between the first PC and the second PC?</w:t>
      </w:r>
    </w:p>
    <w:p w:rsidR="00FE094D" w:rsidRDefault="0001531A">
      <w:pPr>
        <w:numPr>
          <w:ilvl w:val="0"/>
          <w:numId w:val="1"/>
        </w:numPr>
        <w:ind w:hanging="351"/>
      </w:pPr>
      <w:r>
        <w:t>(15 points) Plot the scores plot using the first and second PCs. In your scatter plot, use red dots for the first 20 samples (rows 1 to 20) in the raw data table and use blue dots for the rem</w:t>
      </w:r>
      <w:r>
        <w:t>aining 20 samples (rows 21 to 40).</w:t>
      </w:r>
    </w:p>
    <w:p w:rsidR="00FE094D" w:rsidRDefault="0001531A">
      <w:pPr>
        <w:numPr>
          <w:ilvl w:val="0"/>
          <w:numId w:val="1"/>
        </w:numPr>
        <w:ind w:hanging="351"/>
      </w:pPr>
      <w:r>
        <w:t xml:space="preserve">(15 points) How many PCs do you need to keep </w:t>
      </w:r>
      <w:proofErr w:type="gramStart"/>
      <w:r>
        <w:t>in order to</w:t>
      </w:r>
      <w:proofErr w:type="gramEnd"/>
      <w:r>
        <w:t xml:space="preserve"> keep 75% of the variance in the data?</w:t>
      </w:r>
      <w:r w:rsidR="0015531C">
        <w:t xml:space="preserve"> 2 pcs</w:t>
      </w:r>
    </w:p>
    <w:p w:rsidR="00FE094D" w:rsidRDefault="0001531A">
      <w:pPr>
        <w:numPr>
          <w:ilvl w:val="0"/>
          <w:numId w:val="1"/>
        </w:numPr>
        <w:ind w:hanging="351"/>
      </w:pPr>
      <w:r>
        <w:t>(15 points) Plot the loadings plot.</w:t>
      </w:r>
    </w:p>
    <w:p w:rsidR="00FE094D" w:rsidRDefault="0001531A">
      <w:pPr>
        <w:ind w:left="-5"/>
      </w:pPr>
      <w:r>
        <w:t>Standardize each variable and perform PCA again and answer the following questions.</w:t>
      </w:r>
    </w:p>
    <w:p w:rsidR="00FE094D" w:rsidRDefault="0001531A">
      <w:pPr>
        <w:numPr>
          <w:ilvl w:val="0"/>
          <w:numId w:val="1"/>
        </w:numPr>
        <w:spacing w:after="2509"/>
        <w:ind w:hanging="351"/>
      </w:pPr>
      <w:r>
        <w:t>(20 po</w:t>
      </w:r>
      <w:r>
        <w:t xml:space="preserve">ints) What is the total variance of </w:t>
      </w:r>
      <w:proofErr w:type="gramStart"/>
      <w:r>
        <w:t>all of</w:t>
      </w:r>
      <w:proofErr w:type="gramEnd"/>
      <w:r>
        <w:t xml:space="preserve"> the PCs. Is it equal to the total variance of the original variables before standardization?</w:t>
      </w:r>
    </w:p>
    <w:p w:rsidR="00FE094D" w:rsidRDefault="0001531A">
      <w:pPr>
        <w:spacing w:after="3" w:line="259" w:lineRule="auto"/>
        <w:ind w:right="-15"/>
        <w:jc w:val="right"/>
      </w:pPr>
      <w:r>
        <w:t>1</w:t>
      </w:r>
    </w:p>
    <w:sectPr w:rsidR="00FE094D">
      <w:pgSz w:w="12240" w:h="15840"/>
      <w:pgMar w:top="1440" w:right="1915" w:bottom="1440" w:left="20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34D06"/>
    <w:multiLevelType w:val="hybridMultilevel"/>
    <w:tmpl w:val="3E8615AE"/>
    <w:lvl w:ilvl="0" w:tplc="37343BB2">
      <w:start w:val="1"/>
      <w:numFmt w:val="decimal"/>
      <w:lvlText w:val="(%1)"/>
      <w:lvlJc w:val="left"/>
      <w:pPr>
        <w:ind w:left="3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2FE81C8">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1EE6792">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2EED198">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770B91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1C2A0A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36CAA2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B0883B2">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C88F29E">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4D"/>
    <w:rsid w:val="0001531A"/>
    <w:rsid w:val="0015531C"/>
    <w:rsid w:val="00FE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E5AB"/>
  <w15:docId w15:val="{D10B94F3-93E9-4C83-AEA2-45FA5D3B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3" w:line="257" w:lineRule="auto"/>
      <w:ind w:left="10"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Kamshetty</dc:creator>
  <cp:keywords/>
  <cp:lastModifiedBy>Amulya Kamshetty</cp:lastModifiedBy>
  <cp:revision>3</cp:revision>
  <dcterms:created xsi:type="dcterms:W3CDTF">2017-09-29T16:46:00Z</dcterms:created>
  <dcterms:modified xsi:type="dcterms:W3CDTF">2017-09-29T16:53:00Z</dcterms:modified>
</cp:coreProperties>
</file>