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test with thingspeak: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Send a mqtt message from the desktop using the thingspeak broker to our channel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https://it.mathworks.com/help/thingspeak/use-desktop-mqtt-client-to-publish-to-a-channel.html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 configuration: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Broker settings: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387829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87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Channel information: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121175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2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it.mathworks.com/help/thingspeak/use-desktop-mqtt-client-to-publish-to-a-channel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