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2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pageBreakBefore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pageBreakBefore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bottom w:color="000000" w:space="1" w:sz="24" w:val="single"/>
        </w:pBd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ПРОГРАММНОЕ ОБЕСПЕЧЕНИЕ ЭВМ И ИНФОРМАЦИОННЫЕ ТЕХНОЛОГИИ (ИУ7)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360" w:lineRule="auto"/>
        <w:ind w:left="0" w:right="0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РУБЕЖНЫЙ КОНТРОЛЬ №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360" w:lineRule="auto"/>
        <w:ind w:left="0" w:right="0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Вопрос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Архитектура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9.0" w:type="dxa"/>
        <w:jc w:val="left"/>
        <w:tblInd w:w="108.0" w:type="dxa"/>
        <w:tblLayout w:type="fixed"/>
        <w:tblLook w:val="0400"/>
      </w:tblPr>
      <w:tblGrid>
        <w:gridCol w:w="2190"/>
        <w:gridCol w:w="1605"/>
        <w:gridCol w:w="1741"/>
        <w:gridCol w:w="2175"/>
        <w:gridCol w:w="2098"/>
        <w:tblGridChange w:id="0">
          <w:tblGrid>
            <w:gridCol w:w="2190"/>
            <w:gridCol w:w="1605"/>
            <w:gridCol w:w="1741"/>
            <w:gridCol w:w="2175"/>
            <w:gridCol w:w="20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pageBreakBefore w:val="0"/>
              <w:pBdr>
                <w:bottom w:color="000000" w:space="1" w:sz="6" w:val="single"/>
              </w:pBd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ИУ7-43Б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И.А. Цветков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pageBreakBefore w:val="0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А. Ю. Попов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ageBreakBefore w:val="0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right="7.204724409448886" w:firstLine="72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Вопрос 1</w:t>
      </w:r>
    </w:p>
    <w:p w:rsidR="00000000" w:rsidDel="00000000" w:rsidP="00000000" w:rsidRDefault="00000000" w:rsidRPr="00000000" w14:paraId="00000031">
      <w:pPr>
        <w:pageBreakBefore w:val="0"/>
        <w:ind w:right="7.204724409448886" w:firstLine="72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right="7.204724409448886" w:firstLine="72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Двухступенчатый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синхронный RS-триггер: схема, принцип функционирования, назначение</w:t>
      </w:r>
    </w:p>
    <w:p w:rsidR="00000000" w:rsidDel="00000000" w:rsidP="00000000" w:rsidRDefault="00000000" w:rsidRPr="00000000" w14:paraId="00000033">
      <w:pPr>
        <w:pageBreakBefore w:val="0"/>
        <w:ind w:right="7.204724409448886" w:firstLine="72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Триггер - </w:t>
      </w:r>
      <w:r w:rsidDel="00000000" w:rsidR="00000000" w:rsidRPr="00000000">
        <w:rPr>
          <w:sz w:val="28"/>
          <w:szCs w:val="28"/>
          <w:rtl w:val="0"/>
        </w:rPr>
        <w:t xml:space="preserve">запоминающее устройство, которое имеет два устойчивых состояния с кодами 0 и 1</w:t>
      </w:r>
    </w:p>
    <w:p w:rsidR="00000000" w:rsidDel="00000000" w:rsidP="00000000" w:rsidRDefault="00000000" w:rsidRPr="00000000" w14:paraId="00000035">
      <w:pPr>
        <w:pageBreakBefore w:val="0"/>
        <w:ind w:firstLine="708.661417322834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Синхронный двухступенчатый RS-триггер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триггер,  который состоит из двух синхронных RS-триггеров и инвертора</w:t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</w:rPr>
        <w:drawing>
          <wp:inline distB="114300" distT="114300" distL="114300" distR="114300">
            <wp:extent cx="6113475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Принцип работы: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Если C = 1, то будет происходить запись с информационных входов в первый триггер (будем считать его ведущим), но при этом входы второго триггера (пусть он будет ведомым) будут закрыты, так как на его синхровход будет подан сигнал равный 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В момент изменения синхросигнала с 1 в 0 и происходит перезапись информации из ведущего триггера в ведомый. При этом входы 1го триггера (ведущего) закрыты (из-за C = 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То есть, двухступенчатый RS-триггер имеет динамическую снхронизацию</w:t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3F">
      <w:pPr>
        <w:pageBreakBefore w:val="0"/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Назначение триггера:</w:t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Двухступенчатые триггеры используются для того, чтобы строить сложные схемы с обратными связями. Они упрощают построение схем, потому что строить подобные схемы с одноступенчатами триггерами довольно сложно из-за неопределенности их переключения</w:t>
      </w:r>
    </w:p>
    <w:p w:rsidR="00000000" w:rsidDel="00000000" w:rsidP="00000000" w:rsidRDefault="00000000" w:rsidRPr="00000000" w14:paraId="00000042">
      <w:pPr>
        <w:pageBreakBefore w:val="0"/>
        <w:ind w:firstLine="708.661417322834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966.3779527559075" w:top="851" w:left="1700.7874015748032" w:right="577.2047244094489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