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9D740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28"/>
          <w:szCs w:val="28"/>
        </w:rPr>
      </w:pPr>
      <w:r>
        <w:rPr>
          <w:rFonts w:ascii="Arial" w:hAnsi="Arial" w:eastAsia="等线" w:cs="Arial"/>
          <w:b/>
          <w:sz w:val="28"/>
          <w:szCs w:val="28"/>
        </w:rPr>
        <w:t>美云智数公司介绍</w:t>
      </w:r>
    </w:p>
    <w:p w14:paraId="69EA9E6C">
      <w:pPr>
        <w:spacing w:before="480" w:after="480" w:line="288" w:lineRule="auto"/>
        <w:ind w:left="0" w:firstLine="440" w:firstLineChars="200"/>
        <w:jc w:val="both"/>
      </w:pPr>
      <w:r>
        <w:rPr>
          <w:rFonts w:ascii="Arial" w:hAnsi="Arial" w:eastAsia="等线" w:cs="Arial"/>
          <w:sz w:val="22"/>
        </w:rPr>
        <w:t>美云智数是源自财富世界500强美的集团的方案领先型工业软件企业，2016年注册成立。依托美的50余年制造业实践及200多亿元数字化研发投入，聚焦智能制造与产业互联领域，以大数据、物联网、AI大模型等前沿技术，将先进管理实践软件产品化，提供工业软件及全价值链数字化咨询服务，助力企业实现数智转型，践行“数字价值，成就客户未来”的使命。</w:t>
      </w:r>
    </w:p>
    <w:p w14:paraId="0286872E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bookmarkStart w:id="0" w:name="heading_0"/>
      <w:r>
        <w:rPr>
          <w:rFonts w:ascii="Arial" w:hAnsi="Arial" w:eastAsia="等线" w:cs="Arial"/>
          <w:b/>
          <w:sz w:val="24"/>
          <w:szCs w:val="24"/>
        </w:rPr>
        <w:t>一、核心定位与发展基础</w:t>
      </w:r>
      <w:bookmarkEnd w:id="0"/>
    </w:p>
    <w:p w14:paraId="4836697E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核心定位为“工业软件服务商与数字化转型伙伴”，核心优势是“源于实践、根植智造”，将美的内部数智转型路径与方法论转化为可复制的产品方案，实现IT与业务深度融合。公司现有员工2000余人，研发人员占比超20%，凝聚多行业资深人才，全国设4大区域，构建全覆盖服务网络，快速响应客户需求。</w:t>
      </w:r>
    </w:p>
    <w:p w14:paraId="51439DDE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bookmarkStart w:id="1" w:name="heading_1"/>
      <w:r>
        <w:rPr>
          <w:rFonts w:ascii="Arial" w:hAnsi="Arial" w:eastAsia="等线" w:cs="Arial"/>
          <w:b/>
          <w:sz w:val="24"/>
          <w:szCs w:val="24"/>
        </w:rPr>
        <w:t>二、核心业务与产品体系</w:t>
      </w:r>
      <w:bookmarkEnd w:id="1"/>
    </w:p>
    <w:p w14:paraId="37FCB34C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以美擎工业互联网平台（连续四年入选工信部“双跨”平台，2025年获“A级”评价）为核心，构建“咨询+产品+实施”全价值链服务体系，覆盖50+细分行业，适配离散与流程行业多元需求。</w:t>
      </w:r>
    </w:p>
    <w:p w14:paraId="2452B1E2">
      <w:pPr>
        <w:spacing w:before="300" w:after="120" w:line="288" w:lineRule="auto"/>
        <w:ind w:left="0"/>
        <w:jc w:val="left"/>
        <w:outlineLvl w:val="2"/>
        <w:rPr>
          <w:sz w:val="24"/>
          <w:szCs w:val="24"/>
        </w:rPr>
      </w:pPr>
      <w:bookmarkStart w:id="2" w:name="heading_2"/>
      <w:r>
        <w:rPr>
          <w:rFonts w:ascii="Arial" w:hAnsi="Arial" w:eastAsia="等线" w:cs="Arial"/>
          <w:b/>
          <w:sz w:val="24"/>
          <w:szCs w:val="24"/>
        </w:rPr>
        <w:t>（一）核心产品矩阵</w:t>
      </w:r>
      <w:bookmarkEnd w:id="2"/>
    </w:p>
    <w:p w14:paraId="667F1F4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美擎工业互联网平台：核心技术底座，具备工业数据全流程处理与建模分析能力，支撑软硬件协同落地，是AI大模型与工业智能体的核心承载平台。</w:t>
      </w:r>
    </w:p>
    <w:p w14:paraId="4E3BF95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AI大模型相关产品：2026年发布美擎AIGC 3.1平台及智能体工厂解决方案，构建统一AI技术底座，可连接企业现有系统，通过50多个智能体模板和500多个企业连接器，低代码快速搭建智能体，支持Embedding、Copilot、Agent三种人机协作模式，聚焦工业场景落地应用。</w:t>
      </w:r>
    </w:p>
    <w:p w14:paraId="78C3DE4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数字工厂与全价值链产品：涵盖MES、CAPP等数字工厂产品及计划、供应链、能源管理等系列产品，适配多行业核心场景，助力企业降本增效。</w:t>
      </w:r>
    </w:p>
    <w:p w14:paraId="0EA7BA19">
      <w:pPr>
        <w:spacing w:before="300" w:after="120" w:line="288" w:lineRule="auto"/>
        <w:ind w:left="0"/>
        <w:jc w:val="left"/>
        <w:outlineLvl w:val="2"/>
        <w:rPr>
          <w:sz w:val="24"/>
          <w:szCs w:val="24"/>
        </w:rPr>
      </w:pPr>
      <w:bookmarkStart w:id="3" w:name="heading_3"/>
      <w:r>
        <w:rPr>
          <w:rFonts w:ascii="Arial" w:hAnsi="Arial" w:eastAsia="等线" w:cs="Arial"/>
          <w:b/>
          <w:sz w:val="24"/>
          <w:szCs w:val="24"/>
        </w:rPr>
        <w:t>（二）重点解决方案</w:t>
      </w:r>
      <w:bookmarkEnd w:id="3"/>
    </w:p>
    <w:p w14:paraId="3D336A5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灯塔工厂与AI赋能：依托美的6座世界“灯塔工厂”经验，助力打造AI赋能灯塔工厂，同时通过AI大模型与工业智能体，在研发、制造、供应链等158个核心场景落地应用，构建产线—车间—工厂三级智能体体系。</w:t>
      </w:r>
    </w:p>
    <w:p w14:paraId="5729F1C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跨行业与产教融合：为汽车、电子、农牧等50+细分行业提供个性化方案；以数字灯塔学院为载体，携手近200所院校，搭建数字化人才培养平台。</w:t>
      </w:r>
    </w:p>
    <w:p w14:paraId="70DCD8BF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bookmarkStart w:id="4" w:name="heading_4"/>
      <w:r>
        <w:rPr>
          <w:rFonts w:ascii="Arial" w:hAnsi="Arial" w:eastAsia="等线" w:cs="Arial"/>
          <w:b/>
          <w:sz w:val="24"/>
          <w:szCs w:val="24"/>
        </w:rPr>
        <w:t>三、核心优势与资质荣誉</w:t>
      </w:r>
      <w:bookmarkEnd w:id="4"/>
    </w:p>
    <w:p w14:paraId="3BD76DFC">
      <w:pPr>
        <w:spacing w:before="300" w:after="120" w:line="288" w:lineRule="auto"/>
        <w:ind w:left="0"/>
        <w:jc w:val="left"/>
        <w:outlineLvl w:val="2"/>
        <w:rPr>
          <w:sz w:val="24"/>
          <w:szCs w:val="24"/>
        </w:rPr>
      </w:pPr>
      <w:bookmarkStart w:id="5" w:name="heading_5"/>
      <w:r>
        <w:rPr>
          <w:rFonts w:ascii="Arial" w:hAnsi="Arial" w:eastAsia="等线" w:cs="Arial"/>
          <w:b/>
          <w:sz w:val="24"/>
          <w:szCs w:val="24"/>
        </w:rPr>
        <w:t>（一）核心竞争优势</w:t>
      </w:r>
      <w:bookmarkEnd w:id="5"/>
    </w:p>
    <w:p w14:paraId="3CCD38C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实践优势：源于美的实战经验，产品方案均经大型企业落地验证，可快速产生价值。</w:t>
      </w:r>
    </w:p>
    <w:p w14:paraId="72F3806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技术优势：拥有专利50余项、软件著作权230余项，通过多项权威认证；重点布局AI大模型与工业智能体，内部已搭建超13000个智能体，精准语义检索准确率优于业界主流方案20%以上，实现AI规模化落地。</w:t>
      </w:r>
    </w:p>
    <w:p w14:paraId="107C29B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行业与生态优势：服务2000+企业客户，涵盖多行业龙头；构建多元化生态，推动科技成果转化与产教融合。</w:t>
      </w:r>
    </w:p>
    <w:p w14:paraId="02DB1329">
      <w:pPr>
        <w:spacing w:before="300" w:after="120" w:line="288" w:lineRule="auto"/>
        <w:ind w:left="0"/>
        <w:jc w:val="left"/>
        <w:outlineLvl w:val="2"/>
        <w:rPr>
          <w:sz w:val="24"/>
          <w:szCs w:val="24"/>
        </w:rPr>
      </w:pPr>
      <w:bookmarkStart w:id="6" w:name="heading_6"/>
      <w:r>
        <w:rPr>
          <w:rFonts w:ascii="Arial" w:hAnsi="Arial" w:eastAsia="等线" w:cs="Arial"/>
          <w:b/>
          <w:sz w:val="24"/>
          <w:szCs w:val="24"/>
        </w:rPr>
        <w:t>（二）主要资质荣誉</w:t>
      </w:r>
      <w:bookmarkEnd w:id="6"/>
    </w:p>
    <w:p w14:paraId="7274A10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核心荣誉：连续四年入选工信部“双跨”平台，2025年获“A级”评价；稳居IDC数字工厂解决方案厂商领导者位置，获评福布斯中国十大工业互联网企业等多项国家级、行业权威荣誉。</w:t>
      </w:r>
    </w:p>
    <w:p w14:paraId="073283F7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bookmarkStart w:id="7" w:name="heading_7"/>
      <w:r>
        <w:rPr>
          <w:rFonts w:ascii="Arial" w:hAnsi="Arial" w:eastAsia="等线" w:cs="Arial"/>
          <w:b/>
          <w:sz w:val="24"/>
          <w:szCs w:val="24"/>
        </w:rPr>
        <w:t>四、客户服务与市场布局</w:t>
      </w:r>
      <w:bookmarkEnd w:id="7"/>
    </w:p>
    <w:p w14:paraId="3BFC0242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坚持“以客户为中心”，服务50+细分行业、2000+企业，涵盖美的、长安汽车、比亚迪等标杆客户。以全国4大区域为核心辐射全国，推动美的数智经验向中小企业复制，助力产业集群升级。</w:t>
      </w:r>
    </w:p>
    <w:p w14:paraId="13A206E1">
      <w:pPr>
        <w:spacing w:before="320" w:after="120" w:line="288" w:lineRule="auto"/>
        <w:ind w:left="0"/>
        <w:jc w:val="left"/>
        <w:outlineLvl w:val="1"/>
        <w:rPr>
          <w:sz w:val="24"/>
          <w:szCs w:val="24"/>
        </w:rPr>
      </w:pPr>
      <w:bookmarkStart w:id="8" w:name="heading_8"/>
      <w:r>
        <w:rPr>
          <w:rFonts w:ascii="Arial" w:hAnsi="Arial" w:eastAsia="等线" w:cs="Arial"/>
          <w:b/>
          <w:sz w:val="24"/>
          <w:szCs w:val="24"/>
        </w:rPr>
        <w:t>五、发展愿景与战略方向</w:t>
      </w:r>
      <w:bookmarkEnd w:id="8"/>
    </w:p>
    <w:p w14:paraId="509DFF7A">
      <w:pPr>
        <w:spacing w:before="120" w:after="120" w:line="288" w:lineRule="auto"/>
        <w:ind w:left="0" w:firstLine="440" w:firstLineChars="200"/>
        <w:jc w:val="left"/>
      </w:pPr>
      <w:bookmarkStart w:id="9" w:name="_GoBack"/>
      <w:bookmarkEnd w:id="9"/>
      <w:r>
        <w:rPr>
          <w:rFonts w:ascii="Arial" w:hAnsi="Arial" w:eastAsia="等线" w:cs="Arial"/>
          <w:sz w:val="22"/>
        </w:rPr>
        <w:t>愿景是“成为全球领先的工业软件与数字化转型服务商”，未来将深化AI大模型、工业智能体等前沿技术布局，深耕重点行业，完善生态协同，优化服务体系，助力客户数智升级。</w:t>
      </w:r>
    </w:p>
    <w:p w14:paraId="3F5A90E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8E17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B182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3927585"/>
    <w:rsid w:val="507545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1291</Words>
  <Characters>1387</Characters>
  <TotalTime>1</TotalTime>
  <ScaleCrop>false</ScaleCrop>
  <LinksUpToDate>false</LinksUpToDate>
  <CharactersWithSpaces>1390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2026-02-03T09:34:00Z</dcterms:created>
  <dc:creator>Apache POI</dc:creator>
  <cp:lastModifiedBy>李基溟_Owen</cp:lastModifiedBy>
  <dcterms:modified xsi:type="dcterms:W3CDTF">2026-02-03T09:37:32Z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eyJoZGlkIjoiN2ZmNTE5ZGI2ZmYzYjEwY2U4NThmZjBlMDRiMWIwNDkiLCJ1c2VySWQiOiI0NTA5NzM5NjkifQ==</vt:lpwstr>
  </property>
  <property fmtid="{D5CDD505-2E9C-101B-9397-08002B2CF9AE}" pid="3" name="KSOProductBuildVer">
    <vt:lpwstr>2052-12.1.0.24657</vt:lpwstr>
  </property>
  <property fmtid="{D5CDD505-2E9C-101B-9397-08002B2CF9AE}" pid="4" name="ICV">
    <vt:lpwstr>274A42C6C68B4B5C89C4A762106B9E40_12</vt:lpwstr>
  </property>
</Properties>
</file>