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9C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default" w:asciiTheme="minorEastAsia" w:hAnsiTheme="minorEastAsia" w:eastAsiaTheme="minorEastAsia" w:cstheme="minorEastAsia"/>
          <w:b/>
          <w:bCs/>
          <w:color w:val="1F2329"/>
          <w:kern w:val="0"/>
          <w:sz w:val="36"/>
          <w:szCs w:val="36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1F2329"/>
          <w:kern w:val="0"/>
          <w:sz w:val="36"/>
          <w:szCs w:val="36"/>
          <w:bdr w:val="none" w:color="auto" w:sz="0" w:space="0"/>
          <w:lang w:val="en-US" w:eastAsia="zh-CN" w:bidi="ar"/>
        </w:rPr>
        <w:t>风险评价报告情况说明</w:t>
      </w:r>
    </w:p>
    <w:p w14:paraId="29FDA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结合《危险化学品重大危险源监督管理暂行规定》（总局令第 40 号）及行业规范，站场风险评价周期分三类，确保合规性与风险管控时效性：</w:t>
      </w:r>
    </w:p>
    <w:p w14:paraId="61554E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720" w:firstLineChars="30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cstheme="minorEastAsia"/>
          <w:color w:val="1F2329"/>
          <w:sz w:val="24"/>
          <w:szCs w:val="24"/>
          <w:bdr w:val="none" w:color="auto" w:sz="0" w:space="0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常规全面评价：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sz w:val="24"/>
          <w:szCs w:val="24"/>
          <w:bdr w:val="none" w:color="auto" w:sz="0" w:space="0"/>
        </w:rPr>
        <w:t>每 3 年 1 次</w:t>
      </w: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，需委托具备相应资质的安全评价机构实施，采用定量风险评价方法确定风险值，评价完成后 15 日内报属地县级应急管理部门备案；企业同步落实年度自评，编制自评报告强化日常管控。</w:t>
      </w:r>
    </w:p>
    <w:p w14:paraId="6218AC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720" w:firstLineChars="30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cstheme="minorEastAsia"/>
          <w:color w:val="1F2329"/>
          <w:sz w:val="24"/>
          <w:szCs w:val="24"/>
          <w:bdr w:val="none" w:color="auto" w:sz="0" w:space="0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专项即时评价：出现以下情形立即启动，不受 3 年周期限制，更新后 15 日内完成归档报备：① 站场工艺改造、设备更换、原料组分变化等重大变更（如本次调压撬优化、阀门更换）；② 发生安全事故、未遂事件，或周边环境、人口分布重大变化；③ 重大危险源安全评估满 3 年，或监管部门提出专项要求；④ 核心设备（如储气罐）完成内部检测、外部专家复核提调整建议。</w:t>
      </w:r>
    </w:p>
    <w:p w14:paraId="18BAA1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720" w:firstLineChars="30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cstheme="minorEastAsia"/>
          <w:color w:val="1F2329"/>
          <w:sz w:val="24"/>
          <w:szCs w:val="24"/>
          <w:bdr w:val="none" w:color="auto" w:sz="0" w:space="0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高后果区专项评价：针对人员密集、影响公共安全的高后果区，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sz w:val="24"/>
          <w:szCs w:val="24"/>
          <w:bdr w:val="none" w:color="auto" w:sz="0" w:space="0"/>
        </w:rPr>
        <w:t>每年 1 次排查评估</w:t>
      </w: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，识别间隔最长不超过 18 个月，管道及周边环境变化时立即重新评价。</w:t>
      </w:r>
    </w:p>
    <w:p w14:paraId="0BAF16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天然气站场风险评价工作流程（闭环管理六大核心环节）</w:t>
      </w:r>
    </w:p>
    <w:p w14:paraId="536F2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评价严格遵循规范流程，分六步推进，各环节衔接有序、要点落地：</w:t>
      </w:r>
    </w:p>
    <w:p w14:paraId="23509E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准备阶段：组建专项小组（含工艺、设备、安全、操作负责人 + 外部专家），明确分工；收集工艺图纸、设备台账、历史隐患档案等资料，对照法规梳理合规边界，结合工艺变更精准划定评价范围与目标。</w:t>
      </w:r>
    </w:p>
    <w:p w14:paraId="3BA185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现场勘查与风险初筛阶段：开展 3 次全流程勘查，采用 “闻、听、看、摸” 实操手段，核查调压撬、储气罐、管道等核心设施，重点排查密封状态、设备参数及安全设施有效性，梳理潜在风险并形成初步清单。</w:t>
      </w:r>
    </w:p>
    <w:p w14:paraId="65EEDD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评价方法落地阶段：采用 “定性 + 定量” 组合法，通过 2 次 HAZOP 分析研讨会聚焦工艺变更环节，新增偏差场景识别；通过 JSA 评审管控动火、受限空间等作业风险，优化 LEC 参数确保风险等级划分精准。</w:t>
      </w:r>
    </w:p>
    <w:p w14:paraId="2404AC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风险评估梳理阶段：依据 LEC 风险值划分低、中、高、极高四级风险，明确各风险点触发因素、影响范围及危害，同步整理勘查照片、会议纪要等原始记录，为结论提供支撑。</w:t>
      </w:r>
    </w:p>
    <w:p w14:paraId="6309C4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管控措施制定阶段：分级施策，极高 / 高风险点配套工程技术、管理、应急三重措施，中低风险点融入日常巡检维护，所有措施衔接现有管理体系，明确责任岗位与完成时限，确保可落地。</w:t>
      </w:r>
    </w:p>
    <w:p w14:paraId="76B796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4"/>
          <w:szCs w:val="24"/>
          <w:bdr w:val="none" w:color="auto" w:sz="0" w:space="0"/>
        </w:rPr>
        <w:t>报告编制归档阶段：汇总成果编制评价报告及补充说明，梳理附件形成完整档案，委托资质机构实施的评价按要求报备，建立动态管理台账，实现风险闭环管控。</w:t>
      </w:r>
    </w:p>
    <w:p w14:paraId="112FEA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C6E7E"/>
    <w:multiLevelType w:val="multilevel"/>
    <w:tmpl w:val="6E8C6E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A0F48"/>
    <w:rsid w:val="3FEC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2026-01-17T01:59:14Z</dcterms:created>
  <dc:creator>Administrator</dc:creator>
  <cp:lastModifiedBy>。。。</cp:lastModifiedBy>
  <dcterms:modified xsi:type="dcterms:W3CDTF">2026-01-17T02:01:54Z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eyJoZGlkIjoiMDZlMDQ3ZjU1Yjk1ZjBmOGQ0NjM5MzQ4Yjc4ZGU4ZDciLCJ1c2VySWQiOiI1MjAwNjU3MjMifQ==</vt:lpwstr>
  </property>
  <property fmtid="{D5CDD505-2E9C-101B-9397-08002B2CF9AE}" pid="4" name="ICV">
    <vt:lpwstr>674ABA9684864FCBA69E48BEFDEC3199_12</vt:lpwstr>
  </property>
</Properties>
</file>