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B17CA">
      <w:pPr>
        <w:spacing w:line="640" w:lineRule="exact"/>
        <w:jc w:val="center"/>
        <w:rPr>
          <w:rFonts w:hint="eastAsia" w:ascii="方正小标宋简体" w:hAnsi="Times New Roman" w:eastAsia="方正小标宋简体" w:cs="Times New Roman"/>
          <w:sz w:val="44"/>
          <w:szCs w:val="44"/>
          <w:lang w:val="en-US" w:eastAsia="zh-CN"/>
        </w:rPr>
      </w:pPr>
      <w:r>
        <w:rPr>
          <w:rFonts w:hint="eastAsia" w:ascii="方正小标宋简体" w:hAnsi="Times New Roman" w:eastAsia="方正小标宋简体" w:cs="Times New Roman"/>
          <w:sz w:val="44"/>
          <w:szCs w:val="44"/>
          <w:lang w:val="en-US" w:eastAsia="zh-CN"/>
        </w:rPr>
        <w:t>巡检管理流程说明</w:t>
      </w:r>
    </w:p>
    <w:p w14:paraId="39FAEA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Noto Sans" w:hAnsi="Noto Sans" w:eastAsia="Noto Sans" w:cs="Noto Sans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5B3CD97B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一、目的</w:t>
      </w:r>
    </w:p>
    <w:p w14:paraId="0DF8E2A8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为规范湖南公司巡检工作，依据管理巡检流程相关要求，结合湖南公司及各作业区实际情况，进一步统一巡检内容、优化巡检内容管理，为各作业区顺利开展巡检工作提供明确指导，特开展本次流程重塑工作。</w:t>
      </w:r>
    </w:p>
    <w:p w14:paraId="143F570D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二、概述</w:t>
      </w:r>
    </w:p>
    <w:p w14:paraId="65BBEDC8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在场站阀室设备已投产运行后，依据巡检工作指引的情况，设备设施隐患识别及风险评价、工艺安全分析等评价结果，在巡检方案模板的基础上对站场、阀室设备设施制定符合现场实际情况的巡检表。进行巡检后，根据巡检中过程中发现的故障设备、故障现象、故障类型进行统计。制定整改方案或申报作业计划进行整改。根据巡检中发现的问题，对巡检方案、巡检卡的内容、要求、频次等进行调整完善。</w:t>
      </w:r>
    </w:p>
    <w:p w14:paraId="5CB98EAC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三、术语</w:t>
      </w:r>
    </w:p>
    <w:p w14:paraId="343D18E0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default" w:ascii="方正仿宋简体" w:hAnsi="Times New Roman" w:eastAsia="方正仿宋简体" w:cs="Times New Roman"/>
          <w:sz w:val="32"/>
          <w:szCs w:val="32"/>
          <w:lang w:val="en-US" w:eastAsia="zh-CN"/>
        </w:rPr>
        <w:t>名称</w:t>
      </w: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：巡检；定义：由作业区专业岗或作业区运维岗对所辖站场、阀室的设备设施开展的检查。</w:t>
      </w:r>
    </w:p>
    <w:p w14:paraId="1B953B6F">
      <w:pPr>
        <w:numPr>
          <w:ilvl w:val="0"/>
          <w:numId w:val="1"/>
        </w:num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角色与职责</w:t>
      </w:r>
    </w:p>
    <w:p w14:paraId="7E2E2D14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角色：作业区运维岗</w:t>
      </w:r>
    </w:p>
    <w:p w14:paraId="438D953D">
      <w:pPr>
        <w:numPr>
          <w:ilvl w:val="0"/>
          <w:numId w:val="0"/>
        </w:numPr>
        <w:spacing w:line="560" w:lineRule="exact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职责：编制日常巡检标准和特殊巡检标准，对现场设备设施运行状况、工艺参数等进行巡检。对巡检中过程中发现的异常在IMS上进行上报，并根据巡检中发现的问题，对巡检标准的内容、要求、频次等进行调整完善。因事暂停巡检需填写因事暂停巡检登记表并汇报生产部专业岗。</w:t>
      </w:r>
    </w:p>
    <w:p w14:paraId="3DB5E0B5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角色：作业区专业岗</w:t>
      </w:r>
    </w:p>
    <w:p w14:paraId="5121460A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职责：编制作业区巡检方案、专业巡检标准和联合巡检标准，并根据巡检中发现的问题，对巡检标准的内容、要求、频次等进行调整完善。</w:t>
      </w:r>
    </w:p>
    <w:p w14:paraId="27BF3E61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角色：生产部专业岗</w:t>
      </w:r>
    </w:p>
    <w:p w14:paraId="68E2F396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职责：编制湖南公司巡检方案模版和湖南公司油气站场、阀室通用巡检标准，对巡检方案、巡检卡进行评价。</w:t>
      </w:r>
    </w:p>
    <w:p w14:paraId="4C31A6E2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角色：生产监视与应急指挥中心监视岗</w:t>
      </w:r>
    </w:p>
    <w:p w14:paraId="1AD12687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职责：对站场、阀室开展视频巡检并做好记录，对巡检方案、巡检卡进行评价。</w:t>
      </w:r>
    </w:p>
    <w:p w14:paraId="25C3634F">
      <w:pPr>
        <w:numPr>
          <w:ilvl w:val="0"/>
          <w:numId w:val="2"/>
        </w:num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流程图</w:t>
      </w:r>
    </w:p>
    <w:p w14:paraId="54985822">
      <w:pPr>
        <w:numPr>
          <w:ilvl w:val="0"/>
          <w:numId w:val="0"/>
        </w:numPr>
        <w:spacing w:line="560" w:lineRule="exact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153670</wp:posOffset>
            </wp:positionV>
            <wp:extent cx="6010275" cy="4080510"/>
            <wp:effectExtent l="0" t="0" r="9525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A7882">
      <w:pPr>
        <w:spacing w:line="560" w:lineRule="exact"/>
        <w:ind w:firstLine="960" w:firstLineChars="3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六、流程说明</w:t>
      </w:r>
    </w:p>
    <w:p w14:paraId="3ACB8F4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40" w:firstLineChars="200"/>
        <w:rPr>
          <w:rFonts w:hint="eastAsia" w:ascii="方正仿宋简体" w:hAnsi="Times New Roman" w:eastAsia="方正仿宋简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简体" w:hAnsi="Times New Roman" w:eastAsia="方正仿宋简体" w:cs="Times New Roman"/>
          <w:kern w:val="2"/>
          <w:sz w:val="32"/>
          <w:szCs w:val="32"/>
          <w:lang w:val="en-US" w:eastAsia="zh-CN" w:bidi="ar-SA"/>
        </w:rPr>
        <w:t>见附件业务场景重塑工作流程分解表</w:t>
      </w:r>
    </w:p>
    <w:p w14:paraId="26B751AC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七、党建融合</w:t>
      </w:r>
    </w:p>
    <w:p w14:paraId="243154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方正楷体_GBK" w:hAnsi="方正楷体_GBK" w:eastAsia="方正楷体_GBK" w:cs="方正楷体_GBK"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  <w:lang w:val="en-US" w:eastAsia="zh-CN"/>
        </w:rPr>
        <w:t>流程 005 巡检方案实施</w:t>
      </w:r>
    </w:p>
    <w:p w14:paraId="51C2466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40" w:firstLineChars="200"/>
        <w:rPr>
          <w:rFonts w:hint="eastAsia" w:ascii="方正仿宋简体" w:hAnsi="Times New Roman" w:eastAsia="方正仿宋简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简体" w:hAnsi="Times New Roman" w:eastAsia="方正仿宋简体" w:cs="Times New Roman"/>
          <w:kern w:val="2"/>
          <w:sz w:val="32"/>
          <w:szCs w:val="32"/>
          <w:lang w:val="en-US" w:eastAsia="zh-CN" w:bidi="ar-SA"/>
        </w:rPr>
        <w:t>成立</w:t>
      </w:r>
      <w:r>
        <w:rPr>
          <w:rFonts w:hint="eastAsia" w:ascii="方正仿宋简体" w:hAnsi="Times New Roman" w:eastAsia="方正仿宋简体" w:cs="Times New Roman"/>
          <w:kern w:val="2"/>
          <w:sz w:val="32"/>
          <w:szCs w:val="32"/>
          <w:lang w:val="en-US" w:eastAsia="zh-CN" w:bidi="ar-SA"/>
        </w:rPr>
        <w:t>党员责任区，将各场站阀室运行的设备巡检质量与党员责任区挂钩，发挥党员先锋作用。</w:t>
      </w:r>
    </w:p>
    <w:p w14:paraId="4D5EC415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八、裁剪指南</w:t>
      </w:r>
    </w:p>
    <w:p w14:paraId="51179C51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本流程不可裁剪。</w:t>
      </w:r>
    </w:p>
    <w:p w14:paraId="0E561D9A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九、流程范围</w:t>
      </w:r>
    </w:p>
    <w:p w14:paraId="39E6E631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开始流程：场站阀室设备已投产运行</w:t>
      </w:r>
    </w:p>
    <w:p w14:paraId="6E13CED9">
      <w:pPr>
        <w:spacing w:line="560" w:lineRule="exact"/>
        <w:ind w:firstLine="640" w:firstLineChars="200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终止流程：新的专业巡检表已上传IMS系统</w:t>
      </w:r>
    </w:p>
    <w:p w14:paraId="07B68D48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十、适用范围</w:t>
      </w:r>
    </w:p>
    <w:p w14:paraId="76409A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湖南公司所辖作业区及站场</w:t>
      </w:r>
    </w:p>
    <w:p w14:paraId="1EE7263B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十一、支持文件</w:t>
      </w:r>
    </w:p>
    <w:p w14:paraId="2F0727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《国家管网集团生产运维管理办法》</w:t>
      </w:r>
    </w:p>
    <w:p w14:paraId="3AC02A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《国家管网集团站场完整性管理规定》</w:t>
      </w:r>
    </w:p>
    <w:p w14:paraId="60C0EA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left"/>
        <w:textAlignment w:val="auto"/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</w:pPr>
      <w:r>
        <w:rPr>
          <w:rFonts w:hint="eastAsia" w:ascii="方正仿宋简体" w:hAnsi="Times New Roman" w:eastAsia="方正仿宋简体" w:cs="Times New Roman"/>
          <w:sz w:val="32"/>
          <w:szCs w:val="32"/>
          <w:lang w:val="en-US" w:eastAsia="zh-CN"/>
        </w:rPr>
        <w:t>《湖南公司油气站场巡检及值班值守工作指引（试行）》</w:t>
      </w:r>
    </w:p>
    <w:p w14:paraId="020B4EAF">
      <w:pPr>
        <w:spacing w:line="560" w:lineRule="exact"/>
        <w:ind w:firstLine="640" w:firstLineChars="200"/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十二、记录的保存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7"/>
        <w:gridCol w:w="1722"/>
        <w:gridCol w:w="1421"/>
        <w:gridCol w:w="1235"/>
        <w:gridCol w:w="1226"/>
        <w:gridCol w:w="1801"/>
      </w:tblGrid>
      <w:tr w14:paraId="65B2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655" w:type="pct"/>
          </w:tcPr>
          <w:p w14:paraId="46B74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记录名称</w:t>
            </w:r>
          </w:p>
        </w:tc>
        <w:tc>
          <w:tcPr>
            <w:tcW w:w="1010" w:type="pct"/>
          </w:tcPr>
          <w:p w14:paraId="71AF4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保存责任人</w:t>
            </w:r>
          </w:p>
        </w:tc>
        <w:tc>
          <w:tcPr>
            <w:tcW w:w="833" w:type="pct"/>
          </w:tcPr>
          <w:p w14:paraId="03335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220" w:firstLineChars="100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保存场所</w:t>
            </w:r>
          </w:p>
        </w:tc>
        <w:tc>
          <w:tcPr>
            <w:tcW w:w="724" w:type="pct"/>
          </w:tcPr>
          <w:p w14:paraId="44FD9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归档时间</w:t>
            </w:r>
          </w:p>
        </w:tc>
        <w:tc>
          <w:tcPr>
            <w:tcW w:w="719" w:type="pct"/>
          </w:tcPr>
          <w:p w14:paraId="6C7C6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保存期限</w:t>
            </w:r>
          </w:p>
        </w:tc>
        <w:tc>
          <w:tcPr>
            <w:tcW w:w="1056" w:type="pct"/>
          </w:tcPr>
          <w:p w14:paraId="099F7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到期处理方式</w:t>
            </w:r>
          </w:p>
        </w:tc>
      </w:tr>
      <w:tr w14:paraId="64D7B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</w:tcPr>
          <w:p w14:paraId="40603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巡检记录</w:t>
            </w:r>
          </w:p>
        </w:tc>
        <w:tc>
          <w:tcPr>
            <w:tcW w:w="1010" w:type="pct"/>
          </w:tcPr>
          <w:p w14:paraId="10DDE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作业区专业岗、作业区运维岗</w:t>
            </w:r>
          </w:p>
        </w:tc>
        <w:tc>
          <w:tcPr>
            <w:tcW w:w="833" w:type="pct"/>
          </w:tcPr>
          <w:p w14:paraId="71007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巡检对应系统</w:t>
            </w:r>
          </w:p>
        </w:tc>
        <w:tc>
          <w:tcPr>
            <w:tcW w:w="724" w:type="pct"/>
          </w:tcPr>
          <w:p w14:paraId="6B7D0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巡检结束当天</w:t>
            </w:r>
          </w:p>
        </w:tc>
        <w:tc>
          <w:tcPr>
            <w:tcW w:w="719" w:type="pct"/>
          </w:tcPr>
          <w:p w14:paraId="498AC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/</w:t>
            </w:r>
          </w:p>
        </w:tc>
        <w:tc>
          <w:tcPr>
            <w:tcW w:w="1056" w:type="pct"/>
          </w:tcPr>
          <w:p w14:paraId="32E129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/</w:t>
            </w:r>
          </w:p>
        </w:tc>
      </w:tr>
    </w:tbl>
    <w:p w14:paraId="4983BC24">
      <w:pPr>
        <w:spacing w:line="560" w:lineRule="exact"/>
        <w:ind w:firstLine="640" w:firstLineChars="200"/>
        <w:rPr>
          <w:rFonts w:hint="default" w:ascii="方正黑体简体" w:hAnsi="Times New Roman" w:eastAsia="方正黑体简体" w:cs="Times New Roman"/>
          <w:sz w:val="32"/>
          <w:szCs w:val="32"/>
          <w:lang w:val="en-US" w:eastAsia="zh-CN"/>
        </w:rPr>
      </w:pPr>
      <w:r>
        <w:rPr>
          <w:rFonts w:hint="eastAsia" w:ascii="方正黑体简体" w:hAnsi="Times New Roman" w:eastAsia="方正黑体简体" w:cs="Times New Roman"/>
          <w:sz w:val="32"/>
          <w:szCs w:val="32"/>
          <w:lang w:val="en-US" w:eastAsia="zh-CN"/>
        </w:rPr>
        <w:t>文件拟制/修订记录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785"/>
        <w:gridCol w:w="1795"/>
        <w:gridCol w:w="973"/>
        <w:gridCol w:w="950"/>
        <w:gridCol w:w="950"/>
      </w:tblGrid>
      <w:tr w14:paraId="0241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212" w:type="pct"/>
            <w:vAlign w:val="top"/>
          </w:tcPr>
          <w:p w14:paraId="660A65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版本号</w:t>
            </w:r>
          </w:p>
        </w:tc>
        <w:tc>
          <w:tcPr>
            <w:tcW w:w="1047" w:type="pct"/>
            <w:vAlign w:val="top"/>
          </w:tcPr>
          <w:p w14:paraId="51ECA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变更说明</w:t>
            </w:r>
          </w:p>
        </w:tc>
        <w:tc>
          <w:tcPr>
            <w:tcW w:w="1053" w:type="pct"/>
            <w:vAlign w:val="top"/>
          </w:tcPr>
          <w:p w14:paraId="2213C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220" w:firstLineChars="100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发布日期</w:t>
            </w:r>
          </w:p>
        </w:tc>
        <w:tc>
          <w:tcPr>
            <w:tcW w:w="571" w:type="pct"/>
            <w:vAlign w:val="top"/>
          </w:tcPr>
          <w:p w14:paraId="5C682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拟稿人</w:t>
            </w:r>
          </w:p>
        </w:tc>
        <w:tc>
          <w:tcPr>
            <w:tcW w:w="557" w:type="pct"/>
            <w:vAlign w:val="top"/>
          </w:tcPr>
          <w:p w14:paraId="516E5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审核人</w:t>
            </w:r>
          </w:p>
        </w:tc>
        <w:tc>
          <w:tcPr>
            <w:tcW w:w="557" w:type="pct"/>
            <w:vAlign w:val="top"/>
          </w:tcPr>
          <w:p w14:paraId="74ABB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审批人</w:t>
            </w:r>
          </w:p>
        </w:tc>
      </w:tr>
      <w:tr w14:paraId="7228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212" w:type="pct"/>
            <w:vAlign w:val="top"/>
          </w:tcPr>
          <w:p w14:paraId="491287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V01.00</w:t>
            </w:r>
          </w:p>
        </w:tc>
        <w:tc>
          <w:tcPr>
            <w:tcW w:w="1047" w:type="pct"/>
            <w:vAlign w:val="top"/>
          </w:tcPr>
          <w:p w14:paraId="57748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新建</w:t>
            </w:r>
          </w:p>
        </w:tc>
        <w:tc>
          <w:tcPr>
            <w:tcW w:w="1053" w:type="pct"/>
            <w:vAlign w:val="top"/>
          </w:tcPr>
          <w:p w14:paraId="1578E7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2026-2-2</w:t>
            </w:r>
            <w:bookmarkStart w:id="0" w:name="_GoBack"/>
            <w:bookmarkEnd w:id="0"/>
          </w:p>
        </w:tc>
        <w:tc>
          <w:tcPr>
            <w:tcW w:w="571" w:type="pct"/>
            <w:vAlign w:val="top"/>
          </w:tcPr>
          <w:p w14:paraId="60A05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  <w:t>李子咏</w:t>
            </w:r>
          </w:p>
        </w:tc>
        <w:tc>
          <w:tcPr>
            <w:tcW w:w="557" w:type="pct"/>
            <w:vAlign w:val="top"/>
          </w:tcPr>
          <w:p w14:paraId="5826E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557" w:type="pct"/>
            <w:vAlign w:val="top"/>
          </w:tcPr>
          <w:p w14:paraId="2CDFF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方正仿宋简体" w:hAnsi="Times New Roman" w:eastAsia="方正仿宋简体" w:cs="Times New Roman"/>
                <w:sz w:val="22"/>
                <w:szCs w:val="22"/>
                <w:lang w:val="en-US" w:eastAsia="zh-CN"/>
              </w:rPr>
            </w:pPr>
          </w:p>
        </w:tc>
      </w:tr>
    </w:tbl>
    <w:p w14:paraId="3ACA7F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left"/>
        <w:textAlignment w:val="auto"/>
        <w:rPr>
          <w:rFonts w:hint="default" w:ascii="Noto Sans" w:hAnsi="Noto Sans" w:eastAsia="Noto Sans" w:cs="Noto Sans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Noto Sans">
    <w:altName w:val="Noto Sans SC"/>
    <w:panose1 w:val="020B0502040504020204"/>
    <w:charset w:val="00"/>
    <w:family w:val="auto"/>
    <w:pitch w:val="default"/>
    <w:sig w:usb0="00000000" w:usb1="00000000" w:usb2="08000029" w:usb3="00100000" w:csb0="0000019F" w:csb1="00000000"/>
    <w:embedRegular r:id="rId1" w:fontKey="{EB12D557-656B-4517-B5D9-984E0CA8FBB6}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方正黑体简体">
    <w:panose1 w:val="03000509000000000000"/>
    <w:charset w:val="86"/>
    <w:family w:val="roman"/>
    <w:pitch w:val="default"/>
    <w:sig w:usb0="00000001" w:usb1="080E0000" w:usb2="00000000" w:usb3="00000000" w:csb0="00040000" w:csb1="00000000"/>
    <w:embedRegular r:id="rId2" w:fontKey="{3E6E7C77-C908-4B99-A963-1CC8C3180CD9}"/>
  </w:font>
  <w:font w:name="方正仿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51950F51-5DF5-4722-8017-6F9B4518139D}"/>
  </w:font>
  <w:font w:name="方正楷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4" w:fontKey="{6FDCE913-CC64-45BA-9DA6-8FA4C5DFCE4F}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82E1F8"/>
    <w:multiLevelType w:val="singleLevel"/>
    <w:tmpl w:val="ED82E1F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CA2F1BA"/>
    <w:multiLevelType w:val="singleLevel"/>
    <w:tmpl w:val="2CA2F1B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00825A70"/>
    <w:rsid w:val="17092996"/>
    <w:rsid w:val="17DC6F49"/>
    <w:rsid w:val="1D013C09"/>
    <w:rsid w:val="1FE403CA"/>
    <w:rsid w:val="2013518D"/>
    <w:rsid w:val="315A40C3"/>
    <w:rsid w:val="3F75C939"/>
    <w:rsid w:val="4A1947CF"/>
    <w:rsid w:val="4BF5CD59"/>
    <w:rsid w:val="57711F68"/>
    <w:rsid w:val="5E6B6CD5"/>
    <w:rsid w:val="5FBB1AB3"/>
    <w:rsid w:val="64D84684"/>
    <w:rsid w:val="656219E6"/>
    <w:rsid w:val="688C29A0"/>
    <w:rsid w:val="740C460E"/>
    <w:rsid w:val="DF9F4EFC"/>
    <w:rsid w:val="E0FC1462"/>
    <w:rsid w:val="ED1E301F"/>
    <w:rsid w:val="FB7F7AF8"/>
    <w:rsid w:val="FFD8D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969</Words>
  <Characters>987</Characters>
  <Lines>0</Lines>
  <Paragraphs>0</Paragraphs>
  <TotalTime>18</TotalTime>
  <ScaleCrop>false</ScaleCrop>
  <LinksUpToDate>false</LinksUpToDate>
  <CharactersWithSpaces>989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2018-07-12T07:11:00Z</dcterms:created>
  <dc:creator>d</dc:creator>
  <cp:lastModifiedBy>zk</cp:lastModifiedBy>
  <dcterms:modified xsi:type="dcterms:W3CDTF">2026-02-08T14:16:33Z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4457F2040BDF4319ABEB07C42F0A49DF_13</vt:lpwstr>
  </property>
  <property fmtid="{D5CDD505-2E9C-101B-9397-08002B2CF9AE}" pid="4" name="KSOTemplateDocerSaveRecord">
    <vt:lpwstr>eyJoZGlkIjoiMzEwNTM5NzYwMDRjMzkwZTVkZjY2ODkwMGIxNGU0OTUiLCJ1c2VySWQiOiI1MjA2NDI3NDcifQ==</vt:lpwstr>
  </property>
</Properties>
</file>