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89CA27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00000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color w:val="000000"/>
          <w:sz w:val="44"/>
          <w:szCs w:val="44"/>
          <w:lang w:val="en-US" w:eastAsia="zh-CN"/>
        </w:rPr>
        <w:t>日仪线日照站4.1晃电</w:t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000000"/>
          <w:sz w:val="44"/>
          <w:szCs w:val="44"/>
          <w:lang w:val="en-US" w:eastAsia="zh-CN"/>
        </w:rPr>
        <w:t>停泵</w:t>
      </w:r>
      <w:r>
        <w:rPr>
          <w:rFonts w:hint="eastAsia" w:ascii="方正小标宋简体" w:hAnsi="方正小标宋简体" w:eastAsia="方正小标宋简体" w:cs="方正小标宋简体"/>
          <w:color w:val="000000"/>
          <w:sz w:val="44"/>
          <w:szCs w:val="44"/>
        </w:rPr>
        <w:t>事件</w:t>
      </w:r>
    </w:p>
    <w:p w14:paraId="27D4B8E4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00000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color w:val="000000"/>
          <w:sz w:val="44"/>
          <w:szCs w:val="44"/>
          <w:lang w:val="en-US" w:eastAsia="zh-CN"/>
        </w:rPr>
        <w:t>分析</w:t>
      </w:r>
      <w:r>
        <w:rPr>
          <w:rFonts w:hint="eastAsia" w:ascii="方正小标宋简体" w:hAnsi="方正小标宋简体" w:eastAsia="方正小标宋简体" w:cs="方正小标宋简体"/>
          <w:color w:val="000000"/>
          <w:sz w:val="44"/>
          <w:szCs w:val="44"/>
        </w:rPr>
        <w:t>报告</w:t>
      </w:r>
    </w:p>
    <w:p w14:paraId="39D67873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方正黑体简体" w:eastAsia="方正黑体简体"/>
          <w:sz w:val="32"/>
          <w:szCs w:val="32"/>
        </w:rPr>
      </w:pPr>
      <w:r>
        <w:rPr>
          <w:rFonts w:hint="eastAsia" w:ascii="方正黑体简体" w:eastAsia="方正黑体简体"/>
          <w:sz w:val="32"/>
          <w:szCs w:val="32"/>
        </w:rPr>
        <w:t>一、概况</w:t>
      </w:r>
    </w:p>
    <w:p w14:paraId="336BC0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  <w:t>10时32分，日仪线日照站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 w:eastAsia="zh-CN"/>
        </w:rPr>
        <w:t>站控室</w:t>
      </w:r>
      <w:r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  <w:t>SCADA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 w:eastAsia="zh-CN"/>
        </w:rPr>
        <w:t>系统显示“</w:t>
      </w:r>
      <w:r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  <w:t>1#变频器重故障、1P-9输油泵逻辑故障、1P-6输油泵逻辑故障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 w:eastAsia="zh-CN"/>
        </w:rPr>
        <w:t>”</w:t>
      </w:r>
      <w:r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  <w:t>，现场1P-9、1P-6输油泵停运，随即汇报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 w:eastAsia="zh-CN"/>
        </w:rPr>
        <w:t>华</w:t>
      </w:r>
      <w:r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  <w:t>东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 w:eastAsia="zh-CN"/>
        </w:rPr>
        <w:t>分控中心、山东</w:t>
      </w:r>
      <w:r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  <w:t>公司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 w:eastAsia="zh-CN"/>
        </w:rPr>
        <w:t>监视中心</w:t>
      </w:r>
      <w:r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  <w:t>。接到汇报后，华东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 w:eastAsia="zh-CN"/>
        </w:rPr>
        <w:t>分控中心</w:t>
      </w:r>
      <w:r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  <w:t>于10时36分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 w:eastAsia="zh-CN"/>
        </w:rPr>
        <w:t>停运</w:t>
      </w:r>
      <w:r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  <w:t>B-1、B-3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 w:eastAsia="zh-CN"/>
        </w:rPr>
        <w:t>给油泵，</w:t>
      </w:r>
      <w:r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  <w:t>日仪线全线停输。11时05分，查明故障原因为上级变电所高压供电回路晃电，汇报华东分控中心后，于11时19分，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 w:eastAsia="zh-CN"/>
        </w:rPr>
        <w:t>启运</w:t>
      </w:r>
      <w:r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  <w:t>B-1、B-3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 w:eastAsia="zh-CN"/>
        </w:rPr>
        <w:t>给油泵</w:t>
      </w:r>
      <w:r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  <w:t>，1P-8、1P-5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 w:eastAsia="zh-CN"/>
        </w:rPr>
        <w:t>输油泵</w:t>
      </w:r>
      <w:r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  <w:t>，历时47分钟。</w:t>
      </w:r>
    </w:p>
    <w:p w14:paraId="398615F9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jc w:val="left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 w:eastAsia="zh-CN"/>
        </w:rPr>
      </w:pPr>
      <w:r>
        <w:rPr>
          <w:rFonts w:hint="eastAsia" w:ascii="方正黑体简体" w:eastAsia="方正黑体简体"/>
          <w:sz w:val="32"/>
          <w:szCs w:val="32"/>
        </w:rPr>
        <w:t>二、处理经过与运行调整</w:t>
      </w:r>
    </w:p>
    <w:p w14:paraId="1C852E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 w:eastAsia="zh-CN"/>
        </w:rPr>
      </w:pPr>
      <w:r>
        <w:rPr>
          <w:rFonts w:hint="eastAsia" w:ascii="方正黑体简体" w:eastAsia="方正黑体简体"/>
          <w:sz w:val="32"/>
          <w:szCs w:val="32"/>
          <w:lang w:val="en-US" w:eastAsia="zh-CN"/>
        </w:rPr>
        <w:t>1.</w:t>
      </w:r>
      <w:r>
        <w:rPr>
          <w:rFonts w:hint="eastAsia" w:ascii="方正黑体简体" w:eastAsia="方正黑体简体"/>
          <w:sz w:val="32"/>
          <w:szCs w:val="32"/>
        </w:rPr>
        <w:t>处理经过</w:t>
      </w:r>
    </w:p>
    <w:p w14:paraId="29DD34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  <w:t>（1）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 w:eastAsia="zh-CN"/>
        </w:rPr>
        <w:t>1</w:t>
      </w:r>
      <w:r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  <w:t>0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 w:eastAsia="zh-CN"/>
        </w:rPr>
        <w:t>时3</w:t>
      </w:r>
      <w:r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  <w:t>2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 w:eastAsia="zh-CN"/>
        </w:rPr>
        <w:t>分：站控室</w:t>
      </w:r>
      <w:r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  <w:t>SCADA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 w:eastAsia="zh-CN"/>
        </w:rPr>
        <w:t>系统显示“</w:t>
      </w:r>
      <w:r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  <w:t>1#变频器重故障、1P-9输油泵逻辑故障、1P-6输油泵逻辑故障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 w:eastAsia="zh-CN"/>
        </w:rPr>
        <w:t>”，现场</w:t>
      </w:r>
      <w:r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  <w:t>1P-9输油泵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 w:eastAsia="zh-CN"/>
        </w:rPr>
        <w:t>停运</w:t>
      </w:r>
      <w:r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  <w:t>，随即1P-6输油泵停运；</w:t>
      </w:r>
    </w:p>
    <w:p w14:paraId="26E08F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highlight w:val="none"/>
          <w:lang w:eastAsia="zh-CN"/>
        </w:rPr>
      </w:pPr>
      <w:r>
        <w:drawing>
          <wp:inline distT="0" distB="0" distL="114300" distR="114300">
            <wp:extent cx="4950460" cy="1999615"/>
            <wp:effectExtent l="0" t="0" r="2540" b="63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0460" cy="199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55E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cs="Times New Roman"/>
          <w:b/>
          <w:bCs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highlight w:val="none"/>
          <w:lang w:val="en-US" w:eastAsia="zh-CN"/>
        </w:rPr>
        <w:t>图</w:t>
      </w:r>
      <w:r>
        <w:rPr>
          <w:rFonts w:hint="eastAsia" w:ascii="Times New Roman" w:hAnsi="Times New Roman" w:cs="Times New Roman"/>
          <w:b/>
          <w:bCs/>
          <w:highlight w:val="none"/>
          <w:lang w:val="en-US" w:eastAsia="zh-CN"/>
        </w:rPr>
        <w:t>1</w:t>
      </w:r>
      <w:r>
        <w:rPr>
          <w:rFonts w:hint="default" w:ascii="Times New Roman" w:hAnsi="Times New Roman" w:cs="Times New Roman"/>
          <w:b/>
          <w:bCs/>
          <w:highlight w:val="none"/>
          <w:lang w:val="en-US" w:eastAsia="zh-CN"/>
        </w:rPr>
        <w:t xml:space="preserve"> 上位机</w:t>
      </w:r>
      <w:r>
        <w:rPr>
          <w:rFonts w:hint="eastAsia" w:ascii="Times New Roman" w:hAnsi="Times New Roman" w:cs="Times New Roman"/>
          <w:b/>
          <w:bCs/>
          <w:highlight w:val="none"/>
          <w:lang w:val="en-US" w:eastAsia="zh-CN"/>
        </w:rPr>
        <w:t>SCADA系统</w:t>
      </w:r>
      <w:r>
        <w:rPr>
          <w:rFonts w:hint="default" w:ascii="Times New Roman" w:hAnsi="Times New Roman" w:cs="Times New Roman"/>
          <w:b/>
          <w:bCs/>
          <w:highlight w:val="none"/>
          <w:lang w:val="en-US" w:eastAsia="zh-CN"/>
        </w:rPr>
        <w:t>报警</w:t>
      </w:r>
    </w:p>
    <w:p w14:paraId="31D54B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  <w:t>（2）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 w:eastAsia="zh-CN"/>
        </w:rPr>
        <w:t>1</w:t>
      </w:r>
      <w:r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  <w:t>0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 w:eastAsia="zh-CN"/>
        </w:rPr>
        <w:t>时3</w:t>
      </w:r>
      <w:r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  <w:t>3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 w:eastAsia="zh-CN"/>
        </w:rPr>
        <w:t>分，站控室先后向</w:t>
      </w:r>
      <w:r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  <w:t>值班干部、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 w:eastAsia="zh-CN"/>
        </w:rPr>
        <w:t>华</w:t>
      </w:r>
      <w:r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  <w:t>东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 w:eastAsia="zh-CN"/>
        </w:rPr>
        <w:t>分控中心、山东</w:t>
      </w:r>
      <w:r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  <w:t>公司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 w:eastAsia="zh-CN"/>
        </w:rPr>
        <w:t>监视中心汇报异常停泵情况；</w:t>
      </w:r>
    </w:p>
    <w:p w14:paraId="2C932C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  <w:t>（3）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 w:eastAsia="zh-CN"/>
        </w:rPr>
        <w:t>1</w:t>
      </w:r>
      <w:r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  <w:t>0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 w:eastAsia="zh-CN"/>
        </w:rPr>
        <w:t>时</w:t>
      </w:r>
      <w:r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  <w:t>36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 w:eastAsia="zh-CN"/>
        </w:rPr>
        <w:t>分：</w:t>
      </w:r>
      <w:r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  <w:t>华东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 w:eastAsia="zh-CN"/>
        </w:rPr>
        <w:t>分控中心停运</w:t>
      </w:r>
      <w:r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  <w:t>B-1、B-3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 w:eastAsia="zh-CN"/>
        </w:rPr>
        <w:t>给油泵，随后</w:t>
      </w:r>
      <w:r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  <w:t>日仪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 w:eastAsia="zh-CN"/>
        </w:rPr>
        <w:t>线全线停输；</w:t>
      </w:r>
    </w:p>
    <w:p w14:paraId="353F5C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cs="Times New Roman"/>
          <w:b/>
          <w:bCs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 w:eastAsia="zh-CN"/>
        </w:rPr>
        <w:drawing>
          <wp:inline distT="0" distB="0" distL="114300" distR="114300">
            <wp:extent cx="5197475" cy="2192655"/>
            <wp:effectExtent l="0" t="0" r="3175" b="17145"/>
            <wp:docPr id="7" name="图片 7" descr="img_v3_02ku_57f768b1-8f3a-45bb-b7bf-894c6c235c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v3_02ku_57f768b1-8f3a-45bb-b7bf-894c6c235cli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7475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3F1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cs="Times New Roman"/>
          <w:b/>
          <w:bCs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highlight w:val="none"/>
          <w:lang w:val="en-US" w:eastAsia="zh-CN"/>
        </w:rPr>
        <w:t>图</w:t>
      </w:r>
      <w:r>
        <w:rPr>
          <w:rFonts w:hint="eastAsia" w:ascii="Times New Roman" w:hAnsi="Times New Roman" w:cs="Times New Roman"/>
          <w:b/>
          <w:bCs/>
          <w:highlight w:val="none"/>
          <w:lang w:val="en-US" w:eastAsia="zh-CN"/>
        </w:rPr>
        <w:t xml:space="preserve">2 </w:t>
      </w:r>
      <w:r>
        <w:rPr>
          <w:rFonts w:hint="default" w:ascii="Times New Roman" w:hAnsi="Times New Roman" w:cs="Times New Roman"/>
          <w:b/>
          <w:bCs/>
          <w:highlight w:val="none"/>
          <w:lang w:val="en-US" w:eastAsia="zh-CN"/>
        </w:rPr>
        <w:t>上位机</w:t>
      </w:r>
      <w:r>
        <w:rPr>
          <w:rFonts w:hint="eastAsia" w:ascii="Times New Roman" w:hAnsi="Times New Roman" w:cs="Times New Roman"/>
          <w:b/>
          <w:bCs/>
          <w:highlight w:val="none"/>
          <w:lang w:val="en-US" w:eastAsia="zh-CN"/>
        </w:rPr>
        <w:t>SCADA系统</w:t>
      </w:r>
      <w:r>
        <w:rPr>
          <w:rFonts w:hint="default" w:ascii="Times New Roman" w:hAnsi="Times New Roman" w:cs="Times New Roman"/>
          <w:b/>
          <w:bCs/>
          <w:highlight w:val="none"/>
          <w:lang w:val="en-US" w:eastAsia="zh-CN"/>
        </w:rPr>
        <w:t>报警</w:t>
      </w:r>
    </w:p>
    <w:p w14:paraId="6ACDC7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  <w:t>（4）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 w:eastAsia="zh-CN"/>
        </w:rPr>
        <w:t>1</w:t>
      </w:r>
      <w:r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  <w:t>1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 w:eastAsia="zh-CN"/>
        </w:rPr>
        <w:t>时</w:t>
      </w:r>
      <w:r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  <w:t>05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 w:eastAsia="zh-CN"/>
        </w:rPr>
        <w:t>分：故障具体原因已查明，现场具备启输条件，向华</w:t>
      </w:r>
      <w:r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  <w:t>东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 w:eastAsia="zh-CN"/>
        </w:rPr>
        <w:t>分控中心申请</w:t>
      </w:r>
      <w:r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  <w:t>日仪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 w:eastAsia="zh-CN"/>
        </w:rPr>
        <w:t>线启输；</w:t>
      </w:r>
    </w:p>
    <w:p w14:paraId="536891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  <w:t>（5）11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 w:eastAsia="zh-CN"/>
        </w:rPr>
        <w:t>时</w:t>
      </w:r>
      <w:r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  <w:t>19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 w:eastAsia="zh-CN"/>
        </w:rPr>
        <w:t>分：</w:t>
      </w:r>
      <w:r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  <w:t>日仪线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 w:eastAsia="zh-CN"/>
        </w:rPr>
        <w:t>启输，运行</w:t>
      </w:r>
      <w:r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  <w:t>B-1、B-3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 w:eastAsia="zh-CN"/>
        </w:rPr>
        <w:t>给油泵</w:t>
      </w:r>
      <w:r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  <w:t>，1P-8、1P-5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 w:eastAsia="zh-CN"/>
        </w:rPr>
        <w:t>输油泵。</w:t>
      </w:r>
    </w:p>
    <w:p w14:paraId="10DA34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/>
        <w:jc w:val="both"/>
        <w:textAlignment w:val="auto"/>
        <w:rPr>
          <w:rFonts w:hint="default" w:ascii="方正黑体简体" w:eastAsia="方正黑体简体"/>
          <w:sz w:val="32"/>
          <w:szCs w:val="32"/>
          <w:lang w:val="en-US" w:eastAsia="zh-CN"/>
        </w:rPr>
      </w:pPr>
      <w:r>
        <w:rPr>
          <w:rFonts w:hint="eastAsia" w:ascii="方正黑体简体" w:eastAsia="方正黑体简体"/>
          <w:sz w:val="32"/>
          <w:szCs w:val="32"/>
          <w:lang w:val="en-US" w:eastAsia="zh-CN"/>
        </w:rPr>
        <w:t>2.故障排查</w:t>
      </w:r>
    </w:p>
    <w:p w14:paraId="4C1C68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  <w:t xml:space="preserve">（1）检查变频器控制系统历史故障信息，发现10时32分变频器报高压意外跳闸报警，站内人员点击复位键后1#变频器重故障状态消失，恢复备用。由此判断重故障状态不是由1#变频器设备本体故障导致。 </w:t>
      </w:r>
    </w:p>
    <w:p w14:paraId="7A5DFA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cs="Times New Roman"/>
          <w:b/>
          <w:bCs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highlight w:val="none"/>
          <w:lang w:val="en-US" w:eastAsia="zh-CN"/>
        </w:rPr>
        <w:drawing>
          <wp:inline distT="0" distB="0" distL="114300" distR="114300">
            <wp:extent cx="2961005" cy="2503805"/>
            <wp:effectExtent l="0" t="0" r="10795" b="10795"/>
            <wp:docPr id="1" name="图片 22" descr="img_v3_02ku_0b989370-21e4-476f-a259-48836202f9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2" descr="img_v3_02ku_0b989370-21e4-476f-a259-48836202f9li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1005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b/>
          <w:bCs/>
          <w:highlight w:val="none"/>
          <w:lang w:val="en-US" w:eastAsia="zh-CN"/>
        </w:rPr>
        <w:drawing>
          <wp:inline distT="0" distB="0" distL="114300" distR="114300">
            <wp:extent cx="3003550" cy="2503805"/>
            <wp:effectExtent l="0" t="0" r="6350" b="10795"/>
            <wp:docPr id="2" name="图片 23" descr="img_v3_02ku_88782ed2-e0e9-44e9-97b5-b48a4c142c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3" descr="img_v3_02ku_88782ed2-e0e9-44e9-97b5-b48a4c142cli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3550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B82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cs="Times New Roman"/>
          <w:b/>
          <w:bCs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highlight w:val="none"/>
          <w:lang w:val="en-US" w:eastAsia="zh-CN"/>
        </w:rPr>
        <w:t>图3 变频器报警及复位后恢复备用</w:t>
      </w:r>
    </w:p>
    <w:p w14:paraId="381C58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eastAsia" w:ascii="Times New Roman" w:hAnsi="Times New Roman" w:cs="Times New Roman"/>
          <w:b/>
          <w:bCs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  <w:t>（2）检查变频器进线柜、出线柜开关状态，未发现跳闸。</w:t>
      </w:r>
    </w:p>
    <w:p w14:paraId="547DB6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/>
          <w:bCs/>
          <w:highlight w:val="none"/>
          <w:lang w:val="en-US" w:eastAsia="zh-CN"/>
        </w:rPr>
      </w:pPr>
      <w:r>
        <w:drawing>
          <wp:inline distT="0" distB="0" distL="114300" distR="114300">
            <wp:extent cx="3053080" cy="2767330"/>
            <wp:effectExtent l="0" t="0" r="13970" b="1397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3080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970530" cy="2771775"/>
            <wp:effectExtent l="0" t="0" r="1270" b="952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053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7EF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highlight w:val="none"/>
          <w:lang w:val="en-US" w:eastAsia="zh-CN"/>
        </w:rPr>
        <w:t xml:space="preserve">图4 变频器进线柜、出线柜未跳闸 </w:t>
      </w:r>
      <w:r>
        <w:rPr>
          <w:rFonts w:hint="default" w:ascii="Times New Roman" w:hAnsi="Times New Roman" w:cs="Times New Roman"/>
          <w:b/>
          <w:bCs/>
          <w:highlight w:val="none"/>
          <w:lang w:val="en-US" w:eastAsia="zh-CN"/>
        </w:rPr>
        <w:t xml:space="preserve"> </w:t>
      </w:r>
    </w:p>
    <w:p w14:paraId="7A0B02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/>
        <w:jc w:val="both"/>
        <w:textAlignment w:val="auto"/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  <w:t>（3）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 w:eastAsia="zh-CN"/>
        </w:rPr>
        <w:t>排查</w:t>
      </w:r>
      <w:r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  <w:t>软起动未发现有异常报警，为备用状态。</w:t>
      </w:r>
    </w:p>
    <w:p w14:paraId="68D50C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cs="Times New Roman"/>
          <w:b/>
          <w:bCs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highlight w:val="none"/>
          <w:lang w:val="en-US" w:eastAsia="zh-CN"/>
        </w:rPr>
        <w:drawing>
          <wp:inline distT="0" distB="0" distL="114300" distR="114300">
            <wp:extent cx="3521075" cy="3603625"/>
            <wp:effectExtent l="0" t="0" r="3175" b="15875"/>
            <wp:docPr id="5" name="图片 27" descr="img_v3_02ku_8a322eae-20b0-43ea-a29d-7dfd437c65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7" descr="img_v3_02ku_8a322eae-20b0-43ea-a29d-7dfd437c65li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1075" cy="360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F9B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cs="Times New Roman"/>
          <w:b/>
          <w:bCs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highlight w:val="none"/>
          <w:lang w:val="en-US" w:eastAsia="zh-CN"/>
        </w:rPr>
        <w:t>图5 软起动未报警，为备用状态</w:t>
      </w:r>
    </w:p>
    <w:p w14:paraId="0C50F6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b/>
          <w:bCs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  <w:t>（4）询问上级变电所，查看录波器未发现告警（2024年6月29日晃电该录波器也未产生告警），得知港区内大型企业较多，近期为用电高峰期，由于大型设备启、停，导致电网电压瞬间下降。</w:t>
      </w:r>
    </w:p>
    <w:p w14:paraId="07934656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jc w:val="left"/>
        <w:textAlignment w:val="auto"/>
        <w:rPr>
          <w:rFonts w:hint="eastAsia" w:ascii="方正黑体简体" w:eastAsia="方正黑体简体"/>
          <w:sz w:val="32"/>
          <w:szCs w:val="32"/>
        </w:rPr>
      </w:pPr>
      <w:r>
        <w:rPr>
          <w:rFonts w:hint="eastAsia" w:ascii="方正黑体简体" w:eastAsia="方正黑体简体"/>
          <w:sz w:val="32"/>
          <w:szCs w:val="32"/>
        </w:rPr>
        <w:t>三、对生产运行的影响</w:t>
      </w:r>
    </w:p>
    <w:p w14:paraId="4C2B8E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  <w:t>造成日仪线停输47分钟。</w:t>
      </w:r>
    </w:p>
    <w:p w14:paraId="2009D571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jc w:val="left"/>
        <w:textAlignment w:val="auto"/>
        <w:rPr>
          <w:rFonts w:hint="eastAsia" w:ascii="方正黑体简体" w:eastAsia="方正黑体简体"/>
          <w:sz w:val="32"/>
          <w:szCs w:val="32"/>
        </w:rPr>
      </w:pPr>
      <w:r>
        <w:rPr>
          <w:rFonts w:hint="eastAsia" w:ascii="方正黑体简体" w:eastAsia="方正黑体简体"/>
          <w:sz w:val="32"/>
          <w:szCs w:val="32"/>
        </w:rPr>
        <w:t>四、原因分析</w:t>
      </w:r>
    </w:p>
    <w:p w14:paraId="36B499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  <w:t>确定故障原因为港区内大型企业设备启停造成晃电，当供电回路电压小于80%，1#变频器重故障及6#软起动故障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 w:eastAsia="zh-CN"/>
        </w:rPr>
        <w:t>，进而逻辑停运</w:t>
      </w:r>
      <w:r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  <w:t>1P-9、1P-6输油泵。</w:t>
      </w:r>
    </w:p>
    <w:p w14:paraId="020C910D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jc w:val="left"/>
        <w:textAlignment w:val="auto"/>
        <w:rPr>
          <w:rFonts w:hint="eastAsia" w:ascii="方正黑体简体" w:eastAsia="方正黑体简体"/>
          <w:sz w:val="32"/>
          <w:szCs w:val="32"/>
        </w:rPr>
      </w:pPr>
      <w:r>
        <w:rPr>
          <w:rFonts w:hint="eastAsia" w:ascii="方正黑体简体" w:eastAsia="方正黑体简体"/>
          <w:sz w:val="32"/>
          <w:szCs w:val="32"/>
          <w:lang w:val="en-US" w:eastAsia="zh-CN"/>
        </w:rPr>
        <w:t>五</w:t>
      </w:r>
      <w:r>
        <w:rPr>
          <w:rFonts w:hint="eastAsia" w:ascii="方正黑体简体" w:eastAsia="方正黑体简体"/>
          <w:sz w:val="32"/>
          <w:szCs w:val="32"/>
        </w:rPr>
        <w:t>、经验总结</w:t>
      </w:r>
    </w:p>
    <w:p w14:paraId="1BC961E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  <w:t>与上级变电所建立沟通机制，提高供电线路的可靠性；</w:t>
      </w:r>
    </w:p>
    <w:p w14:paraId="555FD88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  <w:t>结合日仪线停输窗口期，要求上级变电所对其高压开关柜开展电气预防性试验，并对录波器进行维护保养，确保设备无异常；</w:t>
      </w:r>
    </w:p>
    <w:p w14:paraId="4B3867D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  <w:t>尽快推进日仪线变频器更新改造投资项目，对变频器增加低电压穿越功能，防止因为晃电造成设备停运；</w:t>
      </w:r>
    </w:p>
    <w:p w14:paraId="5E63D76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  <w:t>开展全员电气设备原理培训，提高故障处置效率。</w:t>
      </w:r>
    </w:p>
    <w:p w14:paraId="72B93D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/>
        <w:jc w:val="both"/>
        <w:textAlignment w:val="auto"/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</w:pPr>
    </w:p>
    <w:p w14:paraId="30CD37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/>
        <w:jc w:val="both"/>
        <w:textAlignment w:val="auto"/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</w:pPr>
    </w:p>
    <w:p w14:paraId="7B0BC1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right"/>
        <w:textAlignment w:val="auto"/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  <w:t xml:space="preserve">报告人：迟百川 </w:t>
      </w:r>
    </w:p>
    <w:p w14:paraId="2E9BE1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right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  <w:t>审核人：王  鑫</w:t>
      </w:r>
    </w:p>
    <w:p w14:paraId="79E6B8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right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highlight w:val="none"/>
          <w:lang w:val="en-US" w:eastAsia="zh-CN"/>
        </w:rPr>
        <w:t>2025年4月1日</w:t>
      </w:r>
    </w:p>
    <w:p w14:paraId="7E74A37D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sectPr>
      <w:footerReference r:id="rId3" w:type="default"/>
      <w:pgSz w:w="11906" w:h="16838"/>
      <w:pgMar w:top="1134" w:right="1134" w:bottom="1134" w:left="113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黑体简体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85D602">
    <w:pPr>
      <w:pStyle w:val="3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824B23B"/>
    <w:multiLevelType w:val="singleLevel"/>
    <w:tmpl w:val="7824B23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  <w:docVar w:name="KSO_WPS_MARK_KEY" w:val="4a18e3c1-1873-4518-be15-b2dc06692781"/>
  </w:docVars>
  <w:rsids>
    <w:rsidRoot w:val="00000000"/>
    <w:rsid w:val="002F41DB"/>
    <w:rsid w:val="01626778"/>
    <w:rsid w:val="022F37AC"/>
    <w:rsid w:val="029D540F"/>
    <w:rsid w:val="02BB407F"/>
    <w:rsid w:val="02CA0178"/>
    <w:rsid w:val="03F31019"/>
    <w:rsid w:val="04FF1240"/>
    <w:rsid w:val="05E45979"/>
    <w:rsid w:val="067D0E51"/>
    <w:rsid w:val="06880B97"/>
    <w:rsid w:val="06DD4C4F"/>
    <w:rsid w:val="07B32386"/>
    <w:rsid w:val="07EF2B16"/>
    <w:rsid w:val="08F373B9"/>
    <w:rsid w:val="098F014B"/>
    <w:rsid w:val="0A5B2692"/>
    <w:rsid w:val="0A6B6825"/>
    <w:rsid w:val="0AEF7BFC"/>
    <w:rsid w:val="0B6C590F"/>
    <w:rsid w:val="0B9C3A75"/>
    <w:rsid w:val="0BEE098A"/>
    <w:rsid w:val="0C2C3BD1"/>
    <w:rsid w:val="0D0F27F6"/>
    <w:rsid w:val="0DEC7449"/>
    <w:rsid w:val="0E06694A"/>
    <w:rsid w:val="0E140127"/>
    <w:rsid w:val="0E2B5E95"/>
    <w:rsid w:val="0E2F6667"/>
    <w:rsid w:val="0EAD4CA0"/>
    <w:rsid w:val="10122DD5"/>
    <w:rsid w:val="10E56D04"/>
    <w:rsid w:val="11074834"/>
    <w:rsid w:val="11285732"/>
    <w:rsid w:val="11EA2E50"/>
    <w:rsid w:val="13F74556"/>
    <w:rsid w:val="14B91406"/>
    <w:rsid w:val="151C493C"/>
    <w:rsid w:val="15691484"/>
    <w:rsid w:val="1575242B"/>
    <w:rsid w:val="157F5D0F"/>
    <w:rsid w:val="15C753B5"/>
    <w:rsid w:val="17032EDF"/>
    <w:rsid w:val="170D2B34"/>
    <w:rsid w:val="17195806"/>
    <w:rsid w:val="178A6242"/>
    <w:rsid w:val="17A64EC4"/>
    <w:rsid w:val="182C6B7B"/>
    <w:rsid w:val="18C02894"/>
    <w:rsid w:val="19126D13"/>
    <w:rsid w:val="198D6377"/>
    <w:rsid w:val="1A7D2F45"/>
    <w:rsid w:val="1B29526A"/>
    <w:rsid w:val="1B3975CA"/>
    <w:rsid w:val="1B5D1AF3"/>
    <w:rsid w:val="1B680C8B"/>
    <w:rsid w:val="1B940960"/>
    <w:rsid w:val="1BFD59AA"/>
    <w:rsid w:val="1C7826DA"/>
    <w:rsid w:val="1CD479B5"/>
    <w:rsid w:val="1CE43577"/>
    <w:rsid w:val="1D162C5B"/>
    <w:rsid w:val="1D1E6CC8"/>
    <w:rsid w:val="1D83085C"/>
    <w:rsid w:val="1DC06D05"/>
    <w:rsid w:val="1E2B5808"/>
    <w:rsid w:val="1E936F53"/>
    <w:rsid w:val="1E9D5EA5"/>
    <w:rsid w:val="1FBC24B7"/>
    <w:rsid w:val="203D653B"/>
    <w:rsid w:val="209E5BA0"/>
    <w:rsid w:val="20A3434C"/>
    <w:rsid w:val="211207F7"/>
    <w:rsid w:val="21346B9E"/>
    <w:rsid w:val="21760090"/>
    <w:rsid w:val="21A80D94"/>
    <w:rsid w:val="22650BD4"/>
    <w:rsid w:val="22CB357D"/>
    <w:rsid w:val="239612D3"/>
    <w:rsid w:val="23C85BD7"/>
    <w:rsid w:val="241D7C85"/>
    <w:rsid w:val="24346096"/>
    <w:rsid w:val="24EB7067"/>
    <w:rsid w:val="25EB0A4E"/>
    <w:rsid w:val="27753932"/>
    <w:rsid w:val="27AE146C"/>
    <w:rsid w:val="27DE363B"/>
    <w:rsid w:val="288C74E7"/>
    <w:rsid w:val="289E40D7"/>
    <w:rsid w:val="294A3A96"/>
    <w:rsid w:val="29AD0BE0"/>
    <w:rsid w:val="2AFE6551"/>
    <w:rsid w:val="2BED28AD"/>
    <w:rsid w:val="2C7B5016"/>
    <w:rsid w:val="2C8331DF"/>
    <w:rsid w:val="2C87401F"/>
    <w:rsid w:val="2D1948F6"/>
    <w:rsid w:val="2D863FEE"/>
    <w:rsid w:val="2DF64F5B"/>
    <w:rsid w:val="2E1F2536"/>
    <w:rsid w:val="2E492D4B"/>
    <w:rsid w:val="2E7935CC"/>
    <w:rsid w:val="2E9766EA"/>
    <w:rsid w:val="2EB44DA6"/>
    <w:rsid w:val="2EE210A4"/>
    <w:rsid w:val="2FA20FBF"/>
    <w:rsid w:val="305530DF"/>
    <w:rsid w:val="306B45BC"/>
    <w:rsid w:val="30837E5C"/>
    <w:rsid w:val="30B91D09"/>
    <w:rsid w:val="30BB1D5D"/>
    <w:rsid w:val="30C7502E"/>
    <w:rsid w:val="30E51543"/>
    <w:rsid w:val="31501374"/>
    <w:rsid w:val="317C7339"/>
    <w:rsid w:val="321331B3"/>
    <w:rsid w:val="34605C77"/>
    <w:rsid w:val="348557A4"/>
    <w:rsid w:val="34A8167D"/>
    <w:rsid w:val="34AC4180"/>
    <w:rsid w:val="355E0024"/>
    <w:rsid w:val="35675503"/>
    <w:rsid w:val="35771725"/>
    <w:rsid w:val="35FD67FD"/>
    <w:rsid w:val="362D59DF"/>
    <w:rsid w:val="366B4731"/>
    <w:rsid w:val="36D06B6F"/>
    <w:rsid w:val="386C41C4"/>
    <w:rsid w:val="387A7460"/>
    <w:rsid w:val="38F55FC6"/>
    <w:rsid w:val="39105406"/>
    <w:rsid w:val="3A9561AF"/>
    <w:rsid w:val="3AC91335"/>
    <w:rsid w:val="3B20339D"/>
    <w:rsid w:val="3BCF24A7"/>
    <w:rsid w:val="3C8E447B"/>
    <w:rsid w:val="3D7C4556"/>
    <w:rsid w:val="3DCB552E"/>
    <w:rsid w:val="3EC73C70"/>
    <w:rsid w:val="3F9B1211"/>
    <w:rsid w:val="40F85F9F"/>
    <w:rsid w:val="421A085A"/>
    <w:rsid w:val="436400A7"/>
    <w:rsid w:val="43A52E4C"/>
    <w:rsid w:val="44563A4B"/>
    <w:rsid w:val="44581A64"/>
    <w:rsid w:val="446D7443"/>
    <w:rsid w:val="450E1949"/>
    <w:rsid w:val="454E30AA"/>
    <w:rsid w:val="468426A8"/>
    <w:rsid w:val="471F5C0E"/>
    <w:rsid w:val="48136E44"/>
    <w:rsid w:val="483A7DBE"/>
    <w:rsid w:val="488B6FE7"/>
    <w:rsid w:val="4A4477A0"/>
    <w:rsid w:val="4A471A35"/>
    <w:rsid w:val="4A660EAF"/>
    <w:rsid w:val="4AA85C85"/>
    <w:rsid w:val="4B490B5C"/>
    <w:rsid w:val="4C3269D7"/>
    <w:rsid w:val="4CB41D1C"/>
    <w:rsid w:val="4DB6781E"/>
    <w:rsid w:val="4DF77BB9"/>
    <w:rsid w:val="4F92266C"/>
    <w:rsid w:val="4FB5234C"/>
    <w:rsid w:val="4FBA486A"/>
    <w:rsid w:val="4FF83415"/>
    <w:rsid w:val="504A5CDF"/>
    <w:rsid w:val="505D1DD2"/>
    <w:rsid w:val="513107E0"/>
    <w:rsid w:val="5227274E"/>
    <w:rsid w:val="52BE40B8"/>
    <w:rsid w:val="530C6F86"/>
    <w:rsid w:val="5367446B"/>
    <w:rsid w:val="53E80DA9"/>
    <w:rsid w:val="54CB29E9"/>
    <w:rsid w:val="55090193"/>
    <w:rsid w:val="556266A7"/>
    <w:rsid w:val="56432FC2"/>
    <w:rsid w:val="568518E4"/>
    <w:rsid w:val="56E97EA6"/>
    <w:rsid w:val="576E0920"/>
    <w:rsid w:val="57F471F7"/>
    <w:rsid w:val="587B7A9D"/>
    <w:rsid w:val="598C0985"/>
    <w:rsid w:val="59D01E84"/>
    <w:rsid w:val="5A8D0737"/>
    <w:rsid w:val="5AEC2C8A"/>
    <w:rsid w:val="5AEF64C1"/>
    <w:rsid w:val="5B17059A"/>
    <w:rsid w:val="5B760118"/>
    <w:rsid w:val="5CD00D5C"/>
    <w:rsid w:val="5D4E75CF"/>
    <w:rsid w:val="5D545FBC"/>
    <w:rsid w:val="5D6A3D0B"/>
    <w:rsid w:val="5E930F95"/>
    <w:rsid w:val="5EB70850"/>
    <w:rsid w:val="5EB74C92"/>
    <w:rsid w:val="5ED04F42"/>
    <w:rsid w:val="5ED6602C"/>
    <w:rsid w:val="5F002ED7"/>
    <w:rsid w:val="600D13F2"/>
    <w:rsid w:val="60531757"/>
    <w:rsid w:val="60EA715F"/>
    <w:rsid w:val="6201190C"/>
    <w:rsid w:val="626E685D"/>
    <w:rsid w:val="63496B72"/>
    <w:rsid w:val="63996B0E"/>
    <w:rsid w:val="63C858D3"/>
    <w:rsid w:val="64947F25"/>
    <w:rsid w:val="65A660DF"/>
    <w:rsid w:val="66BE7581"/>
    <w:rsid w:val="672A76FF"/>
    <w:rsid w:val="67CE176F"/>
    <w:rsid w:val="67E273F1"/>
    <w:rsid w:val="690C6731"/>
    <w:rsid w:val="697C66DE"/>
    <w:rsid w:val="69BF1B06"/>
    <w:rsid w:val="6B115CA2"/>
    <w:rsid w:val="6BCC390D"/>
    <w:rsid w:val="6C3C563A"/>
    <w:rsid w:val="6D1C4C24"/>
    <w:rsid w:val="6DC832C1"/>
    <w:rsid w:val="6DDE441B"/>
    <w:rsid w:val="6E062BA8"/>
    <w:rsid w:val="6F1279E5"/>
    <w:rsid w:val="6F7A7812"/>
    <w:rsid w:val="70635062"/>
    <w:rsid w:val="7096061C"/>
    <w:rsid w:val="70CA41A5"/>
    <w:rsid w:val="7160071D"/>
    <w:rsid w:val="718F5396"/>
    <w:rsid w:val="71A37A1F"/>
    <w:rsid w:val="71C67F65"/>
    <w:rsid w:val="71EA6220"/>
    <w:rsid w:val="7251481E"/>
    <w:rsid w:val="72526CDB"/>
    <w:rsid w:val="72565872"/>
    <w:rsid w:val="72C76A31"/>
    <w:rsid w:val="730B6ED8"/>
    <w:rsid w:val="73BA067B"/>
    <w:rsid w:val="74383C65"/>
    <w:rsid w:val="748A1CC7"/>
    <w:rsid w:val="753952C2"/>
    <w:rsid w:val="754E5FF8"/>
    <w:rsid w:val="755D74CB"/>
    <w:rsid w:val="75811EC1"/>
    <w:rsid w:val="75B03A43"/>
    <w:rsid w:val="76176D07"/>
    <w:rsid w:val="762F4000"/>
    <w:rsid w:val="7652702C"/>
    <w:rsid w:val="766435E0"/>
    <w:rsid w:val="76A01D1C"/>
    <w:rsid w:val="76EF1876"/>
    <w:rsid w:val="773312E4"/>
    <w:rsid w:val="77595D8D"/>
    <w:rsid w:val="77942816"/>
    <w:rsid w:val="77A20166"/>
    <w:rsid w:val="788C34B4"/>
    <w:rsid w:val="78A856B4"/>
    <w:rsid w:val="794369F3"/>
    <w:rsid w:val="79792AB9"/>
    <w:rsid w:val="7A583DAF"/>
    <w:rsid w:val="7A727C60"/>
    <w:rsid w:val="7B16446E"/>
    <w:rsid w:val="7B6702EC"/>
    <w:rsid w:val="7B8D2EB3"/>
    <w:rsid w:val="7C075582"/>
    <w:rsid w:val="7C792D52"/>
    <w:rsid w:val="7CB423B4"/>
    <w:rsid w:val="7DBE15F8"/>
    <w:rsid w:val="7DDF0764"/>
    <w:rsid w:val="7E105D1C"/>
    <w:rsid w:val="7EC561E9"/>
    <w:rsid w:val="7F4017E6"/>
    <w:rsid w:val="7F416FB1"/>
    <w:rsid w:val="7FF776B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line="360" w:lineRule="auto"/>
      <w:ind w:left="420" w:leftChars="200"/>
      <w:jc w:val="left"/>
    </w:pPr>
    <w:rPr>
      <w:rFonts w:ascii="Arial" w:hAnsi="Arial"/>
      <w:sz w:val="24"/>
    </w:rPr>
  </w:style>
  <w:style w:type="paragraph" w:styleId="3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Body Text First Indent 2"/>
    <w:basedOn w:val="2"/>
    <w:qFormat/>
    <w:uiPriority w:val="0"/>
    <w:pPr>
      <w:ind w:firstLine="420" w:firstLineChars="200"/>
    </w:pPr>
    <w:rPr>
      <w:rFonts w:ascii="宋体" w:hAnsi="宋体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974</Words>
  <Characters>1091</Characters>
  <Lines>0</Lines>
  <Paragraphs>0</Paragraphs>
  <TotalTime>29</TotalTime>
  <ScaleCrop>false</ScaleCrop>
  <LinksUpToDate>false</LinksUpToDate>
  <CharactersWithSpaces>1102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2021-07-27T00:53:00Z</dcterms:created>
  <dc:creator>Lenovo</dc:creator>
  <cp:lastModifiedBy> </cp:lastModifiedBy>
  <dcterms:modified xsi:type="dcterms:W3CDTF">2025-04-01T08:01:01Z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CF6396C7831F4224B1080EFC5F3009B8_13</vt:lpwstr>
  </property>
  <property fmtid="{D5CDD505-2E9C-101B-9397-08002B2CF9AE}" pid="4" name="KSOTemplateDocerSaveRecord">
    <vt:lpwstr>eyJoZGlkIjoiODY0MTQ5OWZiNWRkY2ZiNTk5ZDM2ZGVhYjc4ZTUyY2YiLCJ1c2VySWQiOiI2NDI2MDgxMjcifQ==</vt:lpwstr>
  </property>
</Properties>
</file>