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62DC4" w14:textId="77777777" w:rsidR="0072497A" w:rsidRPr="00C3462F" w:rsidRDefault="008F68E5" w:rsidP="0072497A">
      <w:pPr>
        <w:jc w:val="center"/>
        <w:rPr>
          <w:rFonts w:ascii="Book Antiqua" w:hAnsi="Book Antiqua" w:cs="Arial"/>
          <w:caps/>
          <w:color w:val="000000"/>
          <w:sz w:val="16"/>
          <w:szCs w:val="16"/>
        </w:rPr>
      </w:pPr>
      <w:r>
        <w:rPr>
          <w:noProof/>
        </w:rPr>
        <w:drawing>
          <wp:inline distT="0" distB="0" distL="0" distR="0" wp14:anchorId="7DD3724E" wp14:editId="33D51DE9">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7D669EA0" w14:textId="77777777" w:rsidR="00D94AFC" w:rsidRDefault="00D94AFC">
      <w:pPr>
        <w:rPr>
          <w:rFonts w:ascii="Book Antiqua" w:hAnsi="Book Antiqua" w:cs="Arial"/>
          <w:color w:val="000000"/>
        </w:rPr>
      </w:pPr>
    </w:p>
    <w:p w14:paraId="64E06BF0" w14:textId="77777777" w:rsidR="008F68E5" w:rsidRPr="00C3462F" w:rsidRDefault="008F68E5">
      <w:pPr>
        <w:rPr>
          <w:rFonts w:ascii="Book Antiqua" w:hAnsi="Book Antiqua" w:cs="Arial"/>
          <w:color w:val="000000"/>
        </w:rPr>
      </w:pPr>
    </w:p>
    <w:p w14:paraId="1099D44C" w14:textId="77777777" w:rsidR="0072497A" w:rsidRPr="00C3462F" w:rsidRDefault="0072497A" w:rsidP="00780F86">
      <w:pPr>
        <w:tabs>
          <w:tab w:val="right" w:pos="9720"/>
        </w:tabs>
        <w:ind w:right="-82"/>
        <w:rPr>
          <w:rFonts w:ascii="Book Antiqua" w:hAnsi="Book Antiqua" w:cs="Arial"/>
          <w:b/>
          <w:color w:val="000000"/>
        </w:rPr>
      </w:pPr>
      <w:r w:rsidRPr="00C3462F">
        <w:rPr>
          <w:rFonts w:ascii="Book Antiqua" w:hAnsi="Book Antiqua" w:cs="Arial"/>
          <w:b/>
          <w:color w:val="000000"/>
        </w:rPr>
        <w:t xml:space="preserve">Upper Tribunal </w:t>
      </w:r>
    </w:p>
    <w:p w14:paraId="42AAAFA5" w14:textId="77777777" w:rsidR="001C0878" w:rsidRDefault="0072497A" w:rsidP="00780F86">
      <w:pPr>
        <w:tabs>
          <w:tab w:val="right" w:pos="9720"/>
        </w:tabs>
        <w:ind w:right="-82"/>
        <w:rPr>
          <w:rFonts w:ascii="Book Antiqua" w:hAnsi="Book Antiqua" w:cs="Arial"/>
          <w:b/>
          <w:color w:val="000000"/>
        </w:rPr>
      </w:pPr>
      <w:r w:rsidRPr="00C3462F">
        <w:rPr>
          <w:rFonts w:ascii="Book Antiqua" w:hAnsi="Book Antiqua" w:cs="Arial"/>
          <w:b/>
          <w:color w:val="000000"/>
        </w:rPr>
        <w:t>(Immigration and Asylum Chamber)</w:t>
      </w:r>
      <w:r w:rsidR="00DB70AE" w:rsidRPr="00C3462F">
        <w:rPr>
          <w:rFonts w:ascii="Book Antiqua" w:hAnsi="Book Antiqua" w:cs="Arial"/>
          <w:b/>
          <w:color w:val="000000"/>
        </w:rPr>
        <w:tab/>
      </w:r>
    </w:p>
    <w:p w14:paraId="45A496E5" w14:textId="77777777" w:rsidR="00DB3E68" w:rsidRDefault="00DB3E68" w:rsidP="001C0878">
      <w:pPr>
        <w:tabs>
          <w:tab w:val="right" w:pos="9720"/>
        </w:tabs>
        <w:ind w:right="-82"/>
        <w:jc w:val="right"/>
        <w:rPr>
          <w:rFonts w:ascii="Book Antiqua" w:hAnsi="Book Antiqua" w:cs="Arial"/>
          <w:color w:val="000000"/>
        </w:rPr>
      </w:pPr>
    </w:p>
    <w:p w14:paraId="78720F9E" w14:textId="0716B7C8" w:rsidR="007B0824" w:rsidRPr="00DB3E68" w:rsidRDefault="001C0878" w:rsidP="00DB3E68">
      <w:pPr>
        <w:tabs>
          <w:tab w:val="right" w:pos="9720"/>
        </w:tabs>
        <w:ind w:right="-82"/>
        <w:jc w:val="both"/>
        <w:rPr>
          <w:rFonts w:ascii="Book Antiqua" w:hAnsi="Book Antiqua" w:cs="Arial"/>
          <w:color w:val="000000"/>
        </w:rPr>
      </w:pPr>
      <w:bookmarkStart w:id="0" w:name="_Hlk63944402"/>
      <w:r>
        <w:rPr>
          <w:rFonts w:ascii="Book Antiqua" w:hAnsi="Book Antiqua" w:cs="Arial"/>
          <w:color w:val="000000"/>
        </w:rPr>
        <w:t xml:space="preserve">QC (verification of documents; </w:t>
      </w:r>
      <w:proofErr w:type="spellStart"/>
      <w:r w:rsidRPr="000D27E0">
        <w:rPr>
          <w:rFonts w:ascii="Book Antiqua" w:hAnsi="Book Antiqua" w:cs="Arial"/>
          <w:i/>
          <w:iCs/>
          <w:color w:val="000000"/>
        </w:rPr>
        <w:t>Mibanga</w:t>
      </w:r>
      <w:proofErr w:type="spellEnd"/>
      <w:r>
        <w:rPr>
          <w:rFonts w:ascii="Book Antiqua" w:hAnsi="Book Antiqua" w:cs="Arial"/>
          <w:color w:val="000000"/>
        </w:rPr>
        <w:t xml:space="preserve"> duty) China</w:t>
      </w:r>
      <w:r w:rsidR="000D27E0">
        <w:rPr>
          <w:rFonts w:ascii="Book Antiqua" w:hAnsi="Book Antiqua" w:cs="Arial"/>
          <w:color w:val="000000"/>
        </w:rPr>
        <w:t xml:space="preserve"> [2021] UKUT </w:t>
      </w:r>
      <w:r w:rsidR="00457032">
        <w:rPr>
          <w:rFonts w:ascii="Book Antiqua" w:hAnsi="Book Antiqua" w:cs="Arial"/>
          <w:color w:val="000000"/>
        </w:rPr>
        <w:t>00033</w:t>
      </w:r>
      <w:r w:rsidR="000D27E0">
        <w:rPr>
          <w:rFonts w:ascii="Book Antiqua" w:hAnsi="Book Antiqua" w:cs="Arial"/>
          <w:color w:val="000000"/>
        </w:rPr>
        <w:t xml:space="preserve"> (IAC)</w:t>
      </w:r>
    </w:p>
    <w:bookmarkEnd w:id="0"/>
    <w:p w14:paraId="70717E3F" w14:textId="62D4AEFC" w:rsidR="00117338" w:rsidRDefault="00117338" w:rsidP="00780F86">
      <w:pPr>
        <w:tabs>
          <w:tab w:val="right" w:pos="9720"/>
        </w:tabs>
        <w:ind w:right="-82"/>
        <w:rPr>
          <w:rFonts w:ascii="Book Antiqua" w:hAnsi="Book Antiqua" w:cs="Arial"/>
          <w:caps/>
          <w:color w:val="000000"/>
        </w:rPr>
      </w:pPr>
    </w:p>
    <w:p w14:paraId="1449E2AD" w14:textId="246CE507" w:rsidR="00117338" w:rsidRDefault="00117338" w:rsidP="00780F86">
      <w:pPr>
        <w:tabs>
          <w:tab w:val="right" w:pos="9720"/>
        </w:tabs>
        <w:ind w:right="-82"/>
        <w:rPr>
          <w:rFonts w:ascii="Book Antiqua" w:hAnsi="Book Antiqua" w:cs="Arial"/>
          <w:caps/>
          <w:color w:val="000000"/>
        </w:rPr>
      </w:pPr>
    </w:p>
    <w:p w14:paraId="3819E3E1" w14:textId="77777777" w:rsidR="00C345E1" w:rsidRPr="00C3462F" w:rsidRDefault="00C345E1" w:rsidP="00C345E1">
      <w:pPr>
        <w:jc w:val="center"/>
        <w:rPr>
          <w:rFonts w:ascii="Book Antiqua" w:hAnsi="Book Antiqua" w:cs="Arial"/>
          <w:b/>
          <w:color w:val="000000"/>
          <w:u w:val="single"/>
        </w:rPr>
      </w:pPr>
      <w:r w:rsidRPr="00C3462F">
        <w:rPr>
          <w:rFonts w:ascii="Book Antiqua" w:hAnsi="Book Antiqua" w:cs="Arial"/>
          <w:b/>
          <w:color w:val="000000"/>
          <w:u w:val="single"/>
        </w:rPr>
        <w:t>THE IMMIGRATION ACTS</w:t>
      </w:r>
    </w:p>
    <w:p w14:paraId="5447F818" w14:textId="77777777" w:rsidR="00C345E1" w:rsidRPr="00C3462F" w:rsidRDefault="00C345E1" w:rsidP="00C345E1">
      <w:pPr>
        <w:jc w:val="center"/>
        <w:rPr>
          <w:rFonts w:ascii="Book Antiqua" w:hAnsi="Book Antiqua" w:cs="Arial"/>
          <w:b/>
          <w:u w:val="single"/>
        </w:rPr>
      </w:pPr>
    </w:p>
    <w:p w14:paraId="680583E3" w14:textId="77777777" w:rsidR="00C345E1" w:rsidRPr="00C3462F"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D5A15" w14:paraId="74DDC658" w14:textId="77777777" w:rsidTr="00ED5A15">
        <w:tc>
          <w:tcPr>
            <w:tcW w:w="6048" w:type="dxa"/>
            <w:shd w:val="clear" w:color="auto" w:fill="auto"/>
          </w:tcPr>
          <w:p w14:paraId="36A18D22" w14:textId="77777777" w:rsidR="00D22636" w:rsidRPr="00ED5A15" w:rsidRDefault="00D22636" w:rsidP="00ED5A15">
            <w:pPr>
              <w:jc w:val="both"/>
              <w:rPr>
                <w:rFonts w:ascii="Book Antiqua" w:hAnsi="Book Antiqua" w:cs="Arial"/>
                <w:b/>
              </w:rPr>
            </w:pPr>
            <w:r w:rsidRPr="00ED5A15">
              <w:rPr>
                <w:rFonts w:ascii="Book Antiqua" w:hAnsi="Book Antiqua" w:cs="Arial"/>
                <w:b/>
              </w:rPr>
              <w:t xml:space="preserve">Heard at </w:t>
            </w:r>
            <w:r w:rsidR="0090689A">
              <w:rPr>
                <w:rFonts w:ascii="Book Antiqua" w:hAnsi="Book Antiqua" w:cs="Arial"/>
                <w:b/>
              </w:rPr>
              <w:t>Field House by Skype</w:t>
            </w:r>
          </w:p>
        </w:tc>
        <w:tc>
          <w:tcPr>
            <w:tcW w:w="3960" w:type="dxa"/>
            <w:shd w:val="clear" w:color="auto" w:fill="auto"/>
          </w:tcPr>
          <w:p w14:paraId="6EB019E1" w14:textId="77777777" w:rsidR="00D22636" w:rsidRPr="00ED5A15" w:rsidRDefault="002D7D7C" w:rsidP="00ED5A15">
            <w:pPr>
              <w:jc w:val="both"/>
              <w:rPr>
                <w:rFonts w:ascii="Book Antiqua" w:hAnsi="Book Antiqua" w:cs="Arial"/>
                <w:b/>
                <w:color w:val="000000"/>
              </w:rPr>
            </w:pPr>
            <w:r w:rsidRPr="00ED5A15">
              <w:rPr>
                <w:rFonts w:ascii="Book Antiqua" w:hAnsi="Book Antiqua" w:cs="Arial"/>
                <w:b/>
                <w:color w:val="000000"/>
              </w:rPr>
              <w:t>Decision &amp; Reasons</w:t>
            </w:r>
            <w:r w:rsidR="00283659" w:rsidRPr="00ED5A15">
              <w:rPr>
                <w:rFonts w:ascii="Book Antiqua" w:hAnsi="Book Antiqua" w:cs="Arial"/>
                <w:b/>
                <w:color w:val="000000"/>
              </w:rPr>
              <w:t xml:space="preserve"> Promulgated</w:t>
            </w:r>
          </w:p>
        </w:tc>
      </w:tr>
      <w:tr w:rsidR="00D22636" w:rsidRPr="00ED5A15" w14:paraId="694F3C4C" w14:textId="77777777" w:rsidTr="00ED5A15">
        <w:tc>
          <w:tcPr>
            <w:tcW w:w="6048" w:type="dxa"/>
            <w:shd w:val="clear" w:color="auto" w:fill="auto"/>
          </w:tcPr>
          <w:p w14:paraId="7B0F16AD" w14:textId="77777777" w:rsidR="00D22636" w:rsidRPr="00ED5A15" w:rsidRDefault="00D22636" w:rsidP="00ED5A15">
            <w:pPr>
              <w:jc w:val="both"/>
              <w:rPr>
                <w:rFonts w:ascii="Book Antiqua" w:hAnsi="Book Antiqua" w:cs="Arial"/>
                <w:b/>
              </w:rPr>
            </w:pPr>
            <w:r w:rsidRPr="00ED5A15">
              <w:rPr>
                <w:rFonts w:ascii="Book Antiqua" w:hAnsi="Book Antiqua" w:cs="Arial"/>
                <w:b/>
              </w:rPr>
              <w:t xml:space="preserve">On </w:t>
            </w:r>
            <w:r w:rsidR="0090689A">
              <w:rPr>
                <w:rFonts w:ascii="Book Antiqua" w:hAnsi="Book Antiqua" w:cs="Arial"/>
                <w:b/>
              </w:rPr>
              <w:t>15 December 2020</w:t>
            </w:r>
          </w:p>
        </w:tc>
        <w:tc>
          <w:tcPr>
            <w:tcW w:w="3960" w:type="dxa"/>
            <w:shd w:val="clear" w:color="auto" w:fill="auto"/>
          </w:tcPr>
          <w:p w14:paraId="0CE5DCAB" w14:textId="77777777" w:rsidR="00D22636" w:rsidRPr="00ED5A15" w:rsidRDefault="00D22636" w:rsidP="00ED5A15">
            <w:pPr>
              <w:jc w:val="both"/>
              <w:rPr>
                <w:rFonts w:ascii="Book Antiqua" w:hAnsi="Book Antiqua" w:cs="Arial"/>
                <w:b/>
              </w:rPr>
            </w:pPr>
          </w:p>
        </w:tc>
      </w:tr>
      <w:tr w:rsidR="00D22636" w:rsidRPr="00ED5A15" w14:paraId="546638AA" w14:textId="77777777" w:rsidTr="00ED5A15">
        <w:tc>
          <w:tcPr>
            <w:tcW w:w="6048" w:type="dxa"/>
            <w:shd w:val="clear" w:color="auto" w:fill="auto"/>
          </w:tcPr>
          <w:p w14:paraId="1FC927F2" w14:textId="77777777" w:rsidR="00D22636" w:rsidRPr="00ED5A15" w:rsidRDefault="00D22636" w:rsidP="00ED5A15">
            <w:pPr>
              <w:jc w:val="both"/>
              <w:rPr>
                <w:rFonts w:ascii="Book Antiqua" w:hAnsi="Book Antiqua" w:cs="Arial"/>
                <w:b/>
              </w:rPr>
            </w:pPr>
          </w:p>
        </w:tc>
        <w:tc>
          <w:tcPr>
            <w:tcW w:w="3960" w:type="dxa"/>
            <w:shd w:val="clear" w:color="auto" w:fill="auto"/>
          </w:tcPr>
          <w:p w14:paraId="6DA9637E" w14:textId="77777777" w:rsidR="00D22636" w:rsidRDefault="00283659" w:rsidP="00ED5A15">
            <w:pPr>
              <w:jc w:val="both"/>
              <w:rPr>
                <w:rFonts w:ascii="Book Antiqua" w:hAnsi="Book Antiqua" w:cs="Arial"/>
              </w:rPr>
            </w:pPr>
            <w:r w:rsidRPr="00ED5A15">
              <w:rPr>
                <w:rFonts w:ascii="Book Antiqua" w:hAnsi="Book Antiqua" w:cs="Arial"/>
              </w:rPr>
              <w:t>…………………………………</w:t>
            </w:r>
          </w:p>
          <w:p w14:paraId="3299AABA" w14:textId="77777777" w:rsidR="00117338" w:rsidRDefault="00117338" w:rsidP="00ED5A15">
            <w:pPr>
              <w:jc w:val="both"/>
              <w:rPr>
                <w:rFonts w:ascii="Book Antiqua" w:hAnsi="Book Antiqua" w:cs="Arial"/>
                <w:b/>
              </w:rPr>
            </w:pPr>
          </w:p>
          <w:p w14:paraId="030E3DD1" w14:textId="165AC08D" w:rsidR="00117338" w:rsidRPr="00ED5A15" w:rsidRDefault="00117338" w:rsidP="00ED5A15">
            <w:pPr>
              <w:jc w:val="both"/>
              <w:rPr>
                <w:rFonts w:ascii="Book Antiqua" w:hAnsi="Book Antiqua" w:cs="Arial"/>
                <w:b/>
              </w:rPr>
            </w:pPr>
          </w:p>
        </w:tc>
      </w:tr>
    </w:tbl>
    <w:p w14:paraId="7098C55F" w14:textId="77777777" w:rsidR="00A15234" w:rsidRPr="00C3462F" w:rsidRDefault="00A15234" w:rsidP="00A15234">
      <w:pPr>
        <w:jc w:val="center"/>
        <w:rPr>
          <w:rFonts w:ascii="Book Antiqua" w:hAnsi="Book Antiqua" w:cs="Arial"/>
        </w:rPr>
      </w:pPr>
    </w:p>
    <w:p w14:paraId="2FD8C8C5" w14:textId="77777777" w:rsidR="00A15234" w:rsidRPr="00C3462F" w:rsidRDefault="00A15234" w:rsidP="00A15234">
      <w:pPr>
        <w:jc w:val="center"/>
        <w:rPr>
          <w:rFonts w:ascii="Book Antiqua" w:hAnsi="Book Antiqua" w:cs="Arial"/>
        </w:rPr>
      </w:pPr>
    </w:p>
    <w:p w14:paraId="2A9AFFC4" w14:textId="77777777" w:rsidR="00A15234" w:rsidRPr="00C3462F" w:rsidRDefault="00207617" w:rsidP="00A15234">
      <w:pPr>
        <w:jc w:val="center"/>
        <w:rPr>
          <w:rFonts w:ascii="Book Antiqua" w:hAnsi="Book Antiqua" w:cs="Arial"/>
          <w:b/>
        </w:rPr>
      </w:pPr>
      <w:r w:rsidRPr="00C3462F">
        <w:rPr>
          <w:rFonts w:ascii="Book Antiqua" w:hAnsi="Book Antiqua" w:cs="Arial"/>
          <w:b/>
        </w:rPr>
        <w:t>Befo</w:t>
      </w:r>
      <w:r w:rsidR="00A15234" w:rsidRPr="00C3462F">
        <w:rPr>
          <w:rFonts w:ascii="Book Antiqua" w:hAnsi="Book Antiqua" w:cs="Arial"/>
          <w:b/>
        </w:rPr>
        <w:t>re</w:t>
      </w:r>
    </w:p>
    <w:p w14:paraId="1752BFA6" w14:textId="77777777" w:rsidR="00A15234" w:rsidRPr="00C3462F" w:rsidRDefault="00A15234" w:rsidP="00A15234">
      <w:pPr>
        <w:jc w:val="center"/>
        <w:rPr>
          <w:rFonts w:ascii="Book Antiqua" w:hAnsi="Book Antiqua" w:cs="Arial"/>
          <w:b/>
        </w:rPr>
      </w:pPr>
    </w:p>
    <w:p w14:paraId="5C8EF4AE" w14:textId="77777777" w:rsidR="00D20757" w:rsidRPr="00C3462F" w:rsidRDefault="00CA3919" w:rsidP="00A15234">
      <w:pPr>
        <w:jc w:val="center"/>
        <w:rPr>
          <w:rFonts w:ascii="Book Antiqua" w:hAnsi="Book Antiqua" w:cs="Arial"/>
          <w:b/>
          <w:color w:val="000000"/>
        </w:rPr>
      </w:pPr>
      <w:r>
        <w:rPr>
          <w:rFonts w:ascii="Book Antiqua" w:hAnsi="Book Antiqua" w:cs="Arial"/>
          <w:b/>
          <w:color w:val="000000"/>
        </w:rPr>
        <w:t xml:space="preserve">THE HON. MR JUSTICE </w:t>
      </w:r>
      <w:r w:rsidR="005035E7" w:rsidRPr="00C3462F">
        <w:rPr>
          <w:rFonts w:ascii="Book Antiqua" w:hAnsi="Book Antiqua" w:cs="Arial"/>
          <w:b/>
          <w:color w:val="000000"/>
        </w:rPr>
        <w:t>LANE</w:t>
      </w:r>
      <w:r>
        <w:rPr>
          <w:rFonts w:ascii="Book Antiqua" w:hAnsi="Book Antiqua" w:cs="Arial"/>
          <w:b/>
          <w:color w:val="000000"/>
        </w:rPr>
        <w:t>, PRESIDENT</w:t>
      </w:r>
    </w:p>
    <w:p w14:paraId="734DABF2" w14:textId="77777777" w:rsidR="001B186A" w:rsidRPr="00C3462F" w:rsidRDefault="0090689A" w:rsidP="00A15234">
      <w:pPr>
        <w:jc w:val="center"/>
        <w:rPr>
          <w:rFonts w:ascii="Book Antiqua" w:hAnsi="Book Antiqua" w:cs="Arial"/>
          <w:b/>
          <w:color w:val="000000"/>
        </w:rPr>
      </w:pPr>
      <w:r>
        <w:rPr>
          <w:rFonts w:ascii="Book Antiqua" w:hAnsi="Book Antiqua" w:cs="Arial"/>
          <w:b/>
          <w:color w:val="000000"/>
        </w:rPr>
        <w:t>MR C M G OCKELTON, VICE PRESIDENT</w:t>
      </w:r>
    </w:p>
    <w:p w14:paraId="05CA62F8" w14:textId="77777777" w:rsidR="00D20757" w:rsidRPr="00C3462F" w:rsidRDefault="00D20757" w:rsidP="00A15234">
      <w:pPr>
        <w:jc w:val="center"/>
        <w:rPr>
          <w:rFonts w:ascii="Book Antiqua" w:hAnsi="Book Antiqua" w:cs="Arial"/>
          <w:b/>
        </w:rPr>
      </w:pPr>
    </w:p>
    <w:p w14:paraId="404387E7" w14:textId="77777777" w:rsidR="00A845DC" w:rsidRPr="00C3462F" w:rsidRDefault="00A845DC" w:rsidP="00A15234">
      <w:pPr>
        <w:jc w:val="center"/>
        <w:rPr>
          <w:rFonts w:ascii="Book Antiqua" w:hAnsi="Book Antiqua" w:cs="Arial"/>
          <w:b/>
        </w:rPr>
      </w:pPr>
      <w:r w:rsidRPr="00C3462F">
        <w:rPr>
          <w:rFonts w:ascii="Book Antiqua" w:hAnsi="Book Antiqua" w:cs="Arial"/>
          <w:b/>
        </w:rPr>
        <w:t>Between</w:t>
      </w:r>
    </w:p>
    <w:p w14:paraId="79C19184" w14:textId="77777777" w:rsidR="00A845DC" w:rsidRPr="00C3462F" w:rsidRDefault="00A845DC" w:rsidP="00A15234">
      <w:pPr>
        <w:jc w:val="center"/>
        <w:rPr>
          <w:rFonts w:ascii="Book Antiqua" w:hAnsi="Book Antiqua" w:cs="Arial"/>
          <w:b/>
        </w:rPr>
      </w:pPr>
    </w:p>
    <w:p w14:paraId="11F864AD" w14:textId="77777777" w:rsidR="00A845DC" w:rsidRPr="002D7D7C" w:rsidRDefault="0090689A" w:rsidP="00A15234">
      <w:pPr>
        <w:jc w:val="center"/>
        <w:rPr>
          <w:rFonts w:ascii="Book Antiqua" w:hAnsi="Book Antiqua" w:cs="Arial"/>
          <w:b/>
          <w:caps/>
        </w:rPr>
      </w:pPr>
      <w:r>
        <w:rPr>
          <w:rFonts w:ascii="Book Antiqua" w:hAnsi="Book Antiqua" w:cs="Arial"/>
          <w:b/>
          <w:caps/>
        </w:rPr>
        <w:t>qc</w:t>
      </w:r>
    </w:p>
    <w:p w14:paraId="013AEDBC" w14:textId="77777777" w:rsidR="002D7D7C" w:rsidRPr="00F5752F" w:rsidRDefault="002D7D7C" w:rsidP="002D7D7C">
      <w:pPr>
        <w:jc w:val="center"/>
        <w:rPr>
          <w:rFonts w:ascii="Book Antiqua" w:hAnsi="Book Antiqua" w:cs="Arial"/>
          <w:caps/>
        </w:rPr>
      </w:pPr>
      <w:r w:rsidRPr="00F5752F">
        <w:rPr>
          <w:rFonts w:ascii="Book Antiqua" w:hAnsi="Book Antiqua" w:cs="Arial"/>
          <w:caps/>
        </w:rPr>
        <w:t>(ANONYMITY DIRECTION</w:t>
      </w:r>
      <w:r w:rsidR="0090689A" w:rsidRPr="00F5752F">
        <w:rPr>
          <w:rFonts w:ascii="Book Antiqua" w:hAnsi="Book Antiqua" w:cs="Arial"/>
          <w:caps/>
        </w:rPr>
        <w:t xml:space="preserve"> MADE</w:t>
      </w:r>
      <w:r w:rsidRPr="00F5752F">
        <w:rPr>
          <w:rFonts w:ascii="Book Antiqua" w:hAnsi="Book Antiqua" w:cs="Arial"/>
          <w:caps/>
        </w:rPr>
        <w:t>)</w:t>
      </w:r>
    </w:p>
    <w:p w14:paraId="4CBEF134" w14:textId="77777777" w:rsidR="00704B61" w:rsidRPr="00C3462F" w:rsidRDefault="00704B61" w:rsidP="00704B61">
      <w:pPr>
        <w:jc w:val="right"/>
        <w:rPr>
          <w:rFonts w:ascii="Book Antiqua" w:hAnsi="Book Antiqua" w:cs="Arial"/>
          <w:u w:val="single"/>
        </w:rPr>
      </w:pPr>
      <w:r w:rsidRPr="00C3462F">
        <w:rPr>
          <w:rFonts w:ascii="Book Antiqua" w:hAnsi="Book Antiqua" w:cs="Arial"/>
          <w:u w:val="single"/>
        </w:rPr>
        <w:t>Appellant</w:t>
      </w:r>
    </w:p>
    <w:p w14:paraId="5704BB92" w14:textId="77777777" w:rsidR="00F5752F" w:rsidRDefault="00F5752F" w:rsidP="00704B61">
      <w:pPr>
        <w:jc w:val="center"/>
        <w:rPr>
          <w:rFonts w:ascii="Book Antiqua" w:hAnsi="Book Antiqua" w:cs="Arial"/>
          <w:b/>
        </w:rPr>
      </w:pPr>
    </w:p>
    <w:p w14:paraId="543842AA" w14:textId="3560A0C7" w:rsidR="00704B61" w:rsidRPr="00C3462F" w:rsidRDefault="00DD5071" w:rsidP="00704B61">
      <w:pPr>
        <w:jc w:val="center"/>
        <w:rPr>
          <w:rFonts w:ascii="Book Antiqua" w:hAnsi="Book Antiqua" w:cs="Arial"/>
          <w:b/>
        </w:rPr>
      </w:pPr>
      <w:r w:rsidRPr="00C3462F">
        <w:rPr>
          <w:rFonts w:ascii="Book Antiqua" w:hAnsi="Book Antiqua" w:cs="Arial"/>
          <w:b/>
        </w:rPr>
        <w:t>and</w:t>
      </w:r>
    </w:p>
    <w:p w14:paraId="0D6252D8" w14:textId="6B9CC29A" w:rsidR="00DD5071" w:rsidRDefault="00DD5071" w:rsidP="00704B61">
      <w:pPr>
        <w:jc w:val="center"/>
        <w:rPr>
          <w:rFonts w:ascii="Book Antiqua" w:hAnsi="Book Antiqua" w:cs="Arial"/>
          <w:b/>
        </w:rPr>
      </w:pPr>
    </w:p>
    <w:p w14:paraId="77E283BB" w14:textId="47038696" w:rsidR="00F5752F" w:rsidRPr="00C3462F" w:rsidRDefault="00F5752F" w:rsidP="00704B61">
      <w:pPr>
        <w:jc w:val="center"/>
        <w:rPr>
          <w:rFonts w:ascii="Book Antiqua" w:hAnsi="Book Antiqua" w:cs="Arial"/>
          <w:b/>
        </w:rPr>
      </w:pPr>
      <w:r>
        <w:rPr>
          <w:rFonts w:ascii="Book Antiqua" w:hAnsi="Book Antiqua" w:cs="Arial"/>
          <w:b/>
        </w:rPr>
        <w:t>THE SECRETARY OF STATE FOR THE HOME DEPARTMENT</w:t>
      </w:r>
    </w:p>
    <w:p w14:paraId="6DB135C8" w14:textId="77777777" w:rsidR="00DD5071" w:rsidRPr="00C3462F" w:rsidRDefault="00DD5071" w:rsidP="00DD5071">
      <w:pPr>
        <w:jc w:val="right"/>
        <w:rPr>
          <w:rFonts w:ascii="Book Antiqua" w:hAnsi="Book Antiqua" w:cs="Arial"/>
          <w:u w:val="single"/>
        </w:rPr>
      </w:pPr>
      <w:r w:rsidRPr="00C3462F">
        <w:rPr>
          <w:rFonts w:ascii="Book Antiqua" w:hAnsi="Book Antiqua" w:cs="Arial"/>
          <w:u w:val="single"/>
        </w:rPr>
        <w:t>Respondent</w:t>
      </w:r>
    </w:p>
    <w:p w14:paraId="42691B96" w14:textId="77777777" w:rsidR="00DD5071" w:rsidRPr="00C3462F" w:rsidRDefault="00DD5071" w:rsidP="00DD5071">
      <w:pPr>
        <w:rPr>
          <w:rFonts w:ascii="Book Antiqua" w:hAnsi="Book Antiqua" w:cs="Arial"/>
          <w:u w:val="single"/>
        </w:rPr>
      </w:pPr>
    </w:p>
    <w:p w14:paraId="555432EA" w14:textId="77777777" w:rsidR="00DD5071" w:rsidRPr="00C3462F" w:rsidRDefault="00DD5071" w:rsidP="00DD5071">
      <w:pPr>
        <w:rPr>
          <w:rFonts w:ascii="Book Antiqua" w:hAnsi="Book Antiqua" w:cs="Arial"/>
          <w:u w:val="single"/>
        </w:rPr>
      </w:pPr>
    </w:p>
    <w:p w14:paraId="1A322AA7" w14:textId="77777777" w:rsidR="00DD5071" w:rsidRPr="00C3462F" w:rsidRDefault="00DE7DB7" w:rsidP="00DD5071">
      <w:pPr>
        <w:rPr>
          <w:rFonts w:ascii="Book Antiqua" w:hAnsi="Book Antiqua" w:cs="Arial"/>
        </w:rPr>
      </w:pPr>
      <w:r w:rsidRPr="00C3462F">
        <w:rPr>
          <w:rFonts w:ascii="Book Antiqua" w:hAnsi="Book Antiqua" w:cs="Arial"/>
          <w:b/>
          <w:u w:val="single"/>
        </w:rPr>
        <w:t>Representation</w:t>
      </w:r>
      <w:r w:rsidRPr="00C3462F">
        <w:rPr>
          <w:rFonts w:ascii="Book Antiqua" w:hAnsi="Book Antiqua" w:cs="Arial"/>
          <w:b/>
        </w:rPr>
        <w:t>:</w:t>
      </w:r>
    </w:p>
    <w:p w14:paraId="119B14E0" w14:textId="77777777" w:rsidR="00DE7DB7" w:rsidRPr="00C3462F" w:rsidRDefault="00DE7DB7" w:rsidP="00DD5071">
      <w:pPr>
        <w:rPr>
          <w:rFonts w:ascii="Book Antiqua" w:hAnsi="Book Antiqua" w:cs="Arial"/>
        </w:rPr>
      </w:pPr>
    </w:p>
    <w:p w14:paraId="057C7E71" w14:textId="77777777" w:rsidR="00DE7DB7" w:rsidRPr="00C3462F" w:rsidRDefault="00DE7DB7" w:rsidP="00DE7DB7">
      <w:pPr>
        <w:tabs>
          <w:tab w:val="left" w:pos="2520"/>
        </w:tabs>
        <w:rPr>
          <w:rFonts w:ascii="Book Antiqua" w:hAnsi="Book Antiqua" w:cs="Arial"/>
        </w:rPr>
      </w:pPr>
      <w:r w:rsidRPr="00C3462F">
        <w:rPr>
          <w:rFonts w:ascii="Book Antiqua" w:hAnsi="Book Antiqua" w:cs="Arial"/>
        </w:rPr>
        <w:t>For the Appellant:</w:t>
      </w:r>
      <w:r w:rsidRPr="00C3462F">
        <w:rPr>
          <w:rFonts w:ascii="Book Antiqua" w:hAnsi="Book Antiqua" w:cs="Arial"/>
        </w:rPr>
        <w:tab/>
      </w:r>
      <w:r w:rsidR="00CB7511">
        <w:rPr>
          <w:rFonts w:ascii="Book Antiqua" w:hAnsi="Book Antiqua" w:cs="Arial"/>
        </w:rPr>
        <w:t>Mr S Winter, Advocate, instructed by Katani &amp; Co Solicitors</w:t>
      </w:r>
    </w:p>
    <w:p w14:paraId="140B56D9" w14:textId="77777777" w:rsidR="00DE7DB7" w:rsidRPr="00C3462F" w:rsidRDefault="00DE7DB7" w:rsidP="00DE7DB7">
      <w:pPr>
        <w:tabs>
          <w:tab w:val="left" w:pos="2520"/>
        </w:tabs>
        <w:rPr>
          <w:rFonts w:ascii="Book Antiqua" w:hAnsi="Book Antiqua" w:cs="Arial"/>
        </w:rPr>
      </w:pPr>
      <w:r w:rsidRPr="00C3462F">
        <w:rPr>
          <w:rFonts w:ascii="Book Antiqua" w:hAnsi="Book Antiqua" w:cs="Arial"/>
        </w:rPr>
        <w:t>For the Respondent:</w:t>
      </w:r>
      <w:r w:rsidRPr="00C3462F">
        <w:rPr>
          <w:rFonts w:ascii="Book Antiqua" w:hAnsi="Book Antiqua" w:cs="Arial"/>
        </w:rPr>
        <w:tab/>
      </w:r>
      <w:r w:rsidR="00CB7511">
        <w:rPr>
          <w:rFonts w:ascii="Book Antiqua" w:hAnsi="Book Antiqua" w:cs="Arial"/>
        </w:rPr>
        <w:t>Mr D Clarke, Senior Home Office Presenting Officer</w:t>
      </w:r>
    </w:p>
    <w:p w14:paraId="232F8CEF" w14:textId="77777777" w:rsidR="00616FA4" w:rsidRDefault="00FC1403" w:rsidP="000D27E0">
      <w:pPr>
        <w:tabs>
          <w:tab w:val="left" w:pos="2520"/>
        </w:tabs>
        <w:jc w:val="both"/>
        <w:rPr>
          <w:rFonts w:ascii="Book Antiqua" w:hAnsi="Book Antiqua" w:cs="Arial"/>
          <w:b/>
          <w:bCs/>
          <w:i/>
          <w:iCs/>
        </w:rPr>
      </w:pPr>
      <w:r>
        <w:rPr>
          <w:rFonts w:ascii="Book Antiqua" w:hAnsi="Book Antiqua" w:cs="Arial"/>
          <w:b/>
          <w:bCs/>
          <w:i/>
          <w:iCs/>
        </w:rPr>
        <w:t xml:space="preserve">     </w:t>
      </w:r>
    </w:p>
    <w:p w14:paraId="6298E6C0" w14:textId="77777777" w:rsidR="00616FA4" w:rsidRDefault="00616FA4" w:rsidP="000D27E0">
      <w:pPr>
        <w:tabs>
          <w:tab w:val="left" w:pos="2520"/>
        </w:tabs>
        <w:jc w:val="both"/>
        <w:rPr>
          <w:rFonts w:ascii="Book Antiqua" w:hAnsi="Book Antiqua" w:cs="Arial"/>
          <w:b/>
          <w:bCs/>
          <w:i/>
          <w:iCs/>
        </w:rPr>
      </w:pPr>
    </w:p>
    <w:p w14:paraId="0D0747E9" w14:textId="77777777" w:rsidR="00616FA4" w:rsidRDefault="00616FA4" w:rsidP="000D27E0">
      <w:pPr>
        <w:tabs>
          <w:tab w:val="left" w:pos="2520"/>
        </w:tabs>
        <w:jc w:val="both"/>
        <w:rPr>
          <w:rFonts w:ascii="Book Antiqua" w:hAnsi="Book Antiqua" w:cs="Arial"/>
          <w:b/>
          <w:bCs/>
          <w:i/>
          <w:iCs/>
        </w:rPr>
      </w:pPr>
    </w:p>
    <w:p w14:paraId="120F733D" w14:textId="1ED92FB0" w:rsidR="00DE7DB7" w:rsidRDefault="00566B8F" w:rsidP="00616FA4">
      <w:pPr>
        <w:tabs>
          <w:tab w:val="left" w:pos="2520"/>
        </w:tabs>
        <w:ind w:left="426"/>
        <w:jc w:val="both"/>
        <w:rPr>
          <w:rFonts w:ascii="Book Antiqua" w:hAnsi="Book Antiqua" w:cs="Arial"/>
          <w:b/>
          <w:bCs/>
          <w:i/>
          <w:iCs/>
        </w:rPr>
      </w:pPr>
      <w:bookmarkStart w:id="1" w:name="_Hlk63945385"/>
      <w:r>
        <w:rPr>
          <w:rFonts w:ascii="Book Antiqua" w:hAnsi="Book Antiqua" w:cs="Arial"/>
          <w:b/>
          <w:bCs/>
          <w:i/>
          <w:iCs/>
        </w:rPr>
        <w:lastRenderedPageBreak/>
        <w:t>Verification of documents</w:t>
      </w:r>
    </w:p>
    <w:p w14:paraId="396BDC2B" w14:textId="77777777" w:rsidR="00566B8F" w:rsidRDefault="00566B8F" w:rsidP="000D27E0">
      <w:pPr>
        <w:tabs>
          <w:tab w:val="left" w:pos="2520"/>
        </w:tabs>
        <w:jc w:val="both"/>
        <w:rPr>
          <w:rFonts w:ascii="Book Antiqua" w:hAnsi="Book Antiqua" w:cs="Arial"/>
          <w:b/>
          <w:bCs/>
          <w:i/>
          <w:iCs/>
        </w:rPr>
      </w:pPr>
    </w:p>
    <w:p w14:paraId="309F0BCC" w14:textId="6085F544" w:rsidR="00BA4EBB" w:rsidRDefault="00566B8F" w:rsidP="00540EB7">
      <w:pPr>
        <w:spacing w:after="240"/>
        <w:ind w:left="360"/>
        <w:jc w:val="both"/>
        <w:rPr>
          <w:rFonts w:ascii="Book Antiqua" w:hAnsi="Book Antiqua" w:cs="Arial"/>
          <w:i/>
          <w:iCs/>
        </w:rPr>
      </w:pPr>
      <w:r w:rsidRPr="00540EB7">
        <w:rPr>
          <w:rFonts w:ascii="Book Antiqua" w:hAnsi="Book Antiqua" w:cs="Arial"/>
          <w:i/>
          <w:iCs/>
        </w:rPr>
        <w:t xml:space="preserve">(1) </w:t>
      </w:r>
      <w:r w:rsidR="00481D8B" w:rsidRPr="00540EB7">
        <w:rPr>
          <w:rFonts w:ascii="Book Antiqua" w:hAnsi="Book Antiqua" w:cs="Arial"/>
          <w:i/>
          <w:iCs/>
        </w:rPr>
        <w:t>The decision of the Immigration Appeal Tribunal in</w:t>
      </w:r>
      <w:r w:rsidR="00141F75" w:rsidRPr="00540EB7">
        <w:rPr>
          <w:rFonts w:ascii="Book Antiqua" w:hAnsi="Book Antiqua" w:cs="Arial"/>
          <w:i/>
          <w:iCs/>
        </w:rPr>
        <w:t xml:space="preserve"> </w:t>
      </w:r>
      <w:r w:rsidR="00141F75" w:rsidRPr="00856B5B">
        <w:rPr>
          <w:rFonts w:ascii="Book Antiqua" w:hAnsi="Book Antiqua" w:cs="Arial"/>
          <w:i/>
          <w:iCs/>
          <w:u w:val="single"/>
        </w:rPr>
        <w:t>Tanveer Ahmed</w:t>
      </w:r>
      <w:r w:rsidR="00141F75" w:rsidRPr="00540EB7">
        <w:rPr>
          <w:rFonts w:ascii="Book Antiqua" w:hAnsi="Book Antiqua" w:cs="Arial"/>
          <w:i/>
          <w:iCs/>
        </w:rPr>
        <w:t xml:space="preserve"> [2002] UKIAT 00439 remains good law</w:t>
      </w:r>
      <w:r w:rsidR="0073749A" w:rsidRPr="00540EB7">
        <w:rPr>
          <w:rFonts w:ascii="Book Antiqua" w:hAnsi="Book Antiqua" w:cs="Arial"/>
          <w:i/>
          <w:iCs/>
        </w:rPr>
        <w:t xml:space="preserve"> as regards the correct approach to</w:t>
      </w:r>
      <w:r w:rsidR="001C4D03" w:rsidRPr="00540EB7">
        <w:rPr>
          <w:rFonts w:ascii="Book Antiqua" w:hAnsi="Book Antiqua" w:cs="Arial"/>
          <w:i/>
          <w:iCs/>
        </w:rPr>
        <w:t xml:space="preserve"> documents adduced in immigration </w:t>
      </w:r>
      <w:r w:rsidR="0056190E" w:rsidRPr="00540EB7">
        <w:rPr>
          <w:rFonts w:ascii="Book Antiqua" w:hAnsi="Book Antiqua" w:cs="Arial"/>
          <w:i/>
          <w:iCs/>
        </w:rPr>
        <w:t>appeals</w:t>
      </w:r>
      <w:r w:rsidR="00BA4EBB" w:rsidRPr="00540EB7">
        <w:rPr>
          <w:rFonts w:ascii="Book Antiqua" w:hAnsi="Book Antiqua" w:cs="Arial"/>
          <w:i/>
          <w:iCs/>
        </w:rPr>
        <w:t>. The overarching question for the judicial fact-finder will be whether the document in question can be regarded as reliable.  An obligation on the respondent to take steps to verify the authenticity of the document</w:t>
      </w:r>
      <w:r w:rsidR="00DA7497" w:rsidRPr="00540EB7">
        <w:rPr>
          <w:rFonts w:ascii="Book Antiqua" w:hAnsi="Book Antiqua" w:cs="Arial"/>
          <w:i/>
          <w:iCs/>
        </w:rPr>
        <w:t xml:space="preserve"> relied on by an appellant</w:t>
      </w:r>
      <w:r w:rsidR="00BA4EBB" w:rsidRPr="00540EB7">
        <w:rPr>
          <w:rFonts w:ascii="Book Antiqua" w:hAnsi="Book Antiqua" w:cs="Arial"/>
          <w:i/>
          <w:iCs/>
        </w:rPr>
        <w:t xml:space="preserve"> will arise only exceptionally (in the sense of rarely).  This will be where the document is central to the claim; can easily be authenticated; and where (as in </w:t>
      </w:r>
      <w:r w:rsidR="00BA4EBB" w:rsidRPr="00540EB7">
        <w:rPr>
          <w:rFonts w:ascii="Book Antiqua" w:hAnsi="Book Antiqua" w:cs="Arial"/>
          <w:i/>
          <w:iCs/>
          <w:u w:val="single"/>
        </w:rPr>
        <w:t>Singh v Belgium</w:t>
      </w:r>
      <w:r w:rsidR="0073357D" w:rsidRPr="00540EB7">
        <w:rPr>
          <w:rFonts w:ascii="Book Antiqua" w:hAnsi="Book Antiqua" w:cs="Arial"/>
          <w:i/>
          <w:iCs/>
        </w:rPr>
        <w:t xml:space="preserve"> (Application No. 33210/11</w:t>
      </w:r>
      <w:r w:rsidR="00BA4EBB" w:rsidRPr="00540EB7">
        <w:rPr>
          <w:rFonts w:ascii="Book Antiqua" w:hAnsi="Book Antiqua" w:cs="Arial"/>
          <w:i/>
          <w:iCs/>
        </w:rPr>
        <w:t>)</w:t>
      </w:r>
      <w:r w:rsidR="00540EB7" w:rsidRPr="00540EB7">
        <w:rPr>
          <w:rFonts w:ascii="Book Antiqua" w:hAnsi="Book Antiqua" w:cs="Arial"/>
          <w:i/>
          <w:iCs/>
        </w:rPr>
        <w:t>),</w:t>
      </w:r>
      <w:r w:rsidR="00BA4EBB" w:rsidRPr="00540EB7">
        <w:rPr>
          <w:rFonts w:ascii="Book Antiqua" w:hAnsi="Book Antiqua" w:cs="Arial"/>
          <w:i/>
          <w:iCs/>
        </w:rPr>
        <w:t xml:space="preserve"> authentication is unlikely to leave any “live” issue as to the reliability of its contents.  It is for the </w:t>
      </w:r>
      <w:r w:rsidR="00CB6C15">
        <w:rPr>
          <w:rFonts w:ascii="Book Antiqua" w:hAnsi="Book Antiqua" w:cs="Arial"/>
          <w:i/>
          <w:iCs/>
        </w:rPr>
        <w:t>t</w:t>
      </w:r>
      <w:r w:rsidR="00BA4EBB" w:rsidRPr="00540EB7">
        <w:rPr>
          <w:rFonts w:ascii="Book Antiqua" w:hAnsi="Book Antiqua" w:cs="Arial"/>
          <w:i/>
          <w:iCs/>
        </w:rPr>
        <w:t>ribunal to decide, in all the circumstances of the case, whether the obligation arises.  If</w:t>
      </w:r>
      <w:r w:rsidR="004576C7">
        <w:rPr>
          <w:rFonts w:ascii="Book Antiqua" w:hAnsi="Book Antiqua" w:cs="Arial"/>
          <w:i/>
          <w:iCs/>
        </w:rPr>
        <w:t xml:space="preserve"> the respondent</w:t>
      </w:r>
      <w:r w:rsidR="001212AB">
        <w:rPr>
          <w:rFonts w:ascii="Book Antiqua" w:hAnsi="Book Antiqua" w:cs="Arial"/>
          <w:i/>
          <w:iCs/>
        </w:rPr>
        <w:t xml:space="preserve"> does not fulfil the obligation</w:t>
      </w:r>
      <w:r w:rsidR="00BA4EBB" w:rsidRPr="00540EB7">
        <w:rPr>
          <w:rFonts w:ascii="Book Antiqua" w:hAnsi="Book Antiqua" w:cs="Arial"/>
          <w:i/>
          <w:iCs/>
        </w:rPr>
        <w:t>, the respondent cannot challenge the authenticity of the document in the proceedings; but that does not necessarily mean the respondent cannot question the reliability of what the document says.  In all cases, it remains the task of the judicial fact-finder to assess the document’s relevance to the claim in the light of, and by reference to, the rest of the evidence.</w:t>
      </w:r>
    </w:p>
    <w:p w14:paraId="195A2173" w14:textId="15D95438" w:rsidR="007E1497" w:rsidRDefault="00AC7B88" w:rsidP="00AC7B88">
      <w:pPr>
        <w:ind w:left="360"/>
        <w:jc w:val="both"/>
        <w:rPr>
          <w:rFonts w:ascii="Book Antiqua" w:hAnsi="Book Antiqua" w:cs="Arial"/>
          <w:b/>
          <w:bCs/>
          <w:i/>
          <w:iCs/>
        </w:rPr>
      </w:pPr>
      <w:r>
        <w:rPr>
          <w:rFonts w:ascii="Book Antiqua" w:hAnsi="Book Antiqua" w:cs="Arial"/>
          <w:b/>
          <w:bCs/>
          <w:i/>
          <w:iCs/>
        </w:rPr>
        <w:t xml:space="preserve">The </w:t>
      </w:r>
      <w:r w:rsidRPr="001B2A8A">
        <w:rPr>
          <w:rFonts w:ascii="Book Antiqua" w:hAnsi="Book Antiqua" w:cs="Arial"/>
          <w:b/>
          <w:bCs/>
          <w:i/>
          <w:iCs/>
          <w:u w:val="single"/>
        </w:rPr>
        <w:t>Mibanga</w:t>
      </w:r>
      <w:r>
        <w:rPr>
          <w:rFonts w:ascii="Book Antiqua" w:hAnsi="Book Antiqua" w:cs="Arial"/>
          <w:b/>
          <w:bCs/>
          <w:i/>
          <w:iCs/>
        </w:rPr>
        <w:t xml:space="preserve"> duty</w:t>
      </w:r>
    </w:p>
    <w:p w14:paraId="4D809BBE" w14:textId="59E3B917" w:rsidR="00AC7B88" w:rsidRDefault="00AC7B88" w:rsidP="00AC7B88">
      <w:pPr>
        <w:ind w:left="360"/>
        <w:jc w:val="both"/>
        <w:rPr>
          <w:rFonts w:ascii="Book Antiqua" w:hAnsi="Book Antiqua" w:cs="Arial"/>
          <w:b/>
          <w:bCs/>
          <w:i/>
          <w:iCs/>
        </w:rPr>
      </w:pPr>
    </w:p>
    <w:p w14:paraId="104084DF" w14:textId="54E798C1" w:rsidR="00AC7B88" w:rsidRDefault="00AC7B88" w:rsidP="00AC7B88">
      <w:pPr>
        <w:ind w:left="360"/>
        <w:jc w:val="both"/>
        <w:rPr>
          <w:rFonts w:ascii="Book Antiqua" w:hAnsi="Book Antiqua" w:cs="Arial"/>
          <w:i/>
          <w:iCs/>
        </w:rPr>
      </w:pPr>
      <w:r>
        <w:rPr>
          <w:rFonts w:ascii="Book Antiqua" w:hAnsi="Book Antiqua" w:cs="Arial"/>
          <w:i/>
          <w:iCs/>
        </w:rPr>
        <w:t xml:space="preserve">(2) </w:t>
      </w:r>
      <w:r w:rsidR="009F0D09">
        <w:rPr>
          <w:rFonts w:ascii="Book Antiqua" w:hAnsi="Book Antiqua" w:cs="Arial"/>
          <w:i/>
          <w:iCs/>
        </w:rPr>
        <w:t>Credibility is not</w:t>
      </w:r>
      <w:r w:rsidR="003E4429">
        <w:rPr>
          <w:rFonts w:ascii="Book Antiqua" w:hAnsi="Book Antiqua" w:cs="Arial"/>
          <w:i/>
          <w:iCs/>
        </w:rPr>
        <w:t xml:space="preserve"> necessarily an essential component of a successful claim to </w:t>
      </w:r>
      <w:proofErr w:type="gramStart"/>
      <w:r w:rsidR="003E4429">
        <w:rPr>
          <w:rFonts w:ascii="Book Antiqua" w:hAnsi="Book Antiqua" w:cs="Arial"/>
          <w:i/>
          <w:iCs/>
        </w:rPr>
        <w:t>be in need of</w:t>
      </w:r>
      <w:proofErr w:type="gramEnd"/>
      <w:r w:rsidR="003E4429">
        <w:rPr>
          <w:rFonts w:ascii="Book Antiqua" w:hAnsi="Book Antiqua" w:cs="Arial"/>
          <w:i/>
          <w:iCs/>
        </w:rPr>
        <w:t xml:space="preserve"> international protection.</w:t>
      </w:r>
      <w:r w:rsidR="00BC2956">
        <w:rPr>
          <w:rFonts w:ascii="Book Antiqua" w:hAnsi="Book Antiqua" w:cs="Arial"/>
          <w:i/>
          <w:iCs/>
        </w:rPr>
        <w:t xml:space="preserve"> Where</w:t>
      </w:r>
      <w:r w:rsidR="000B00FF">
        <w:rPr>
          <w:rFonts w:ascii="Book Antiqua" w:hAnsi="Book Antiqua" w:cs="Arial"/>
          <w:i/>
          <w:iCs/>
        </w:rPr>
        <w:t xml:space="preserve"> credibility has a role to play, its </w:t>
      </w:r>
      <w:r w:rsidR="00960994">
        <w:rPr>
          <w:rFonts w:ascii="Book Antiqua" w:hAnsi="Book Antiqua" w:cs="Arial"/>
          <w:i/>
          <w:iCs/>
        </w:rPr>
        <w:t>relevance</w:t>
      </w:r>
      <w:r w:rsidR="000B00FF">
        <w:rPr>
          <w:rFonts w:ascii="Book Antiqua" w:hAnsi="Book Antiqua" w:cs="Arial"/>
          <w:i/>
          <w:iCs/>
        </w:rPr>
        <w:t xml:space="preserve"> </w:t>
      </w:r>
      <w:r w:rsidR="006553D9">
        <w:rPr>
          <w:rFonts w:ascii="Book Antiqua" w:hAnsi="Book Antiqua" w:cs="Arial"/>
          <w:i/>
          <w:iCs/>
        </w:rPr>
        <w:t>to the overall outcome</w:t>
      </w:r>
      <w:r w:rsidR="00960994">
        <w:rPr>
          <w:rFonts w:ascii="Book Antiqua" w:hAnsi="Book Antiqua" w:cs="Arial"/>
          <w:i/>
          <w:iCs/>
        </w:rPr>
        <w:t xml:space="preserve"> </w:t>
      </w:r>
      <w:r w:rsidR="004009A8">
        <w:rPr>
          <w:rFonts w:ascii="Book Antiqua" w:hAnsi="Book Antiqua" w:cs="Arial"/>
          <w:i/>
          <w:iCs/>
        </w:rPr>
        <w:t>will vary, depending on the nature of the case.</w:t>
      </w:r>
      <w:r w:rsidR="002833F9">
        <w:rPr>
          <w:rFonts w:ascii="Book Antiqua" w:hAnsi="Book Antiqua" w:cs="Arial"/>
          <w:i/>
          <w:iCs/>
        </w:rPr>
        <w:t xml:space="preserve"> </w:t>
      </w:r>
      <w:r w:rsidR="00ED3068">
        <w:rPr>
          <w:rFonts w:ascii="Book Antiqua" w:hAnsi="Book Antiqua" w:cs="Arial"/>
          <w:i/>
          <w:iCs/>
        </w:rPr>
        <w:t xml:space="preserve">What that relevance is to a </w:t>
      </w:r>
      <w:proofErr w:type="gramStart"/>
      <w:r w:rsidR="00ED3068">
        <w:rPr>
          <w:rFonts w:ascii="Book Antiqua" w:hAnsi="Book Antiqua" w:cs="Arial"/>
          <w:i/>
          <w:iCs/>
        </w:rPr>
        <w:t>particular claim</w:t>
      </w:r>
      <w:proofErr w:type="gramEnd"/>
      <w:r w:rsidR="00067738">
        <w:rPr>
          <w:rFonts w:ascii="Book Antiqua" w:hAnsi="Book Antiqua" w:cs="Arial"/>
          <w:i/>
          <w:iCs/>
        </w:rPr>
        <w:t xml:space="preserve"> needs to be established with some care by the judicial fact-finder.</w:t>
      </w:r>
      <w:r w:rsidR="000662E2">
        <w:rPr>
          <w:rFonts w:ascii="Book Antiqua" w:hAnsi="Book Antiqua" w:cs="Arial"/>
          <w:i/>
          <w:iCs/>
        </w:rPr>
        <w:t xml:space="preserve"> It is only once this is done that the practical application of the</w:t>
      </w:r>
      <w:r w:rsidR="00990A3E">
        <w:rPr>
          <w:rFonts w:ascii="Book Antiqua" w:hAnsi="Book Antiqua" w:cs="Arial"/>
          <w:i/>
          <w:iCs/>
        </w:rPr>
        <w:t xml:space="preserve"> “</w:t>
      </w:r>
      <w:r w:rsidR="00990A3E" w:rsidRPr="00990A3E">
        <w:rPr>
          <w:rFonts w:ascii="Book Antiqua" w:hAnsi="Book Antiqua" w:cs="Arial"/>
          <w:i/>
          <w:iCs/>
          <w:u w:val="single"/>
        </w:rPr>
        <w:t>Mibanga</w:t>
      </w:r>
      <w:r w:rsidR="000662E2">
        <w:rPr>
          <w:rFonts w:ascii="Book Antiqua" w:hAnsi="Book Antiqua" w:cs="Arial"/>
          <w:i/>
          <w:iCs/>
        </w:rPr>
        <w:t xml:space="preserve"> duty</w:t>
      </w:r>
      <w:r w:rsidR="00990A3E">
        <w:rPr>
          <w:rFonts w:ascii="Book Antiqua" w:hAnsi="Book Antiqua" w:cs="Arial"/>
          <w:i/>
          <w:iCs/>
        </w:rPr>
        <w:t>”</w:t>
      </w:r>
      <w:r w:rsidR="000662E2">
        <w:rPr>
          <w:rFonts w:ascii="Book Antiqua" w:hAnsi="Book Antiqua" w:cs="Arial"/>
          <w:i/>
          <w:iCs/>
        </w:rPr>
        <w:t xml:space="preserve"> to consider credibility “in the round”</w:t>
      </w:r>
      <w:r w:rsidR="00575C60">
        <w:rPr>
          <w:rFonts w:ascii="Book Antiqua" w:hAnsi="Book Antiqua" w:cs="Arial"/>
          <w:i/>
          <w:iCs/>
        </w:rPr>
        <w:t xml:space="preserve"> can be understood </w:t>
      </w:r>
      <w:r w:rsidR="00BE567A">
        <w:rPr>
          <w:rFonts w:ascii="Book Antiqua" w:hAnsi="Book Antiqua" w:cs="Arial"/>
          <w:i/>
          <w:iCs/>
        </w:rPr>
        <w:t>(</w:t>
      </w:r>
      <w:r w:rsidR="00BE567A" w:rsidRPr="00BE567A">
        <w:rPr>
          <w:rFonts w:ascii="Book Antiqua" w:hAnsi="Book Antiqua" w:cs="Arial"/>
          <w:i/>
          <w:iCs/>
          <w:u w:val="single"/>
        </w:rPr>
        <w:t xml:space="preserve">Francois </w:t>
      </w:r>
      <w:r w:rsidR="00575C60" w:rsidRPr="00BE567A">
        <w:rPr>
          <w:rFonts w:ascii="Book Antiqua" w:hAnsi="Book Antiqua" w:cs="Arial"/>
          <w:i/>
          <w:iCs/>
          <w:u w:val="single"/>
        </w:rPr>
        <w:t xml:space="preserve">Mibanga v Secretary of State for the Home </w:t>
      </w:r>
      <w:proofErr w:type="gramStart"/>
      <w:r w:rsidR="00575C60" w:rsidRPr="00BE567A">
        <w:rPr>
          <w:rFonts w:ascii="Book Antiqua" w:hAnsi="Book Antiqua" w:cs="Arial"/>
          <w:i/>
          <w:iCs/>
          <w:u w:val="single"/>
        </w:rPr>
        <w:t>Departme</w:t>
      </w:r>
      <w:r w:rsidR="00575C60">
        <w:rPr>
          <w:rFonts w:ascii="Book Antiqua" w:hAnsi="Book Antiqua" w:cs="Arial"/>
          <w:i/>
          <w:iCs/>
        </w:rPr>
        <w:t xml:space="preserve">nt </w:t>
      </w:r>
      <w:r w:rsidR="00BE567A">
        <w:rPr>
          <w:rFonts w:ascii="Book Antiqua" w:hAnsi="Book Antiqua" w:cs="Arial"/>
          <w:i/>
          <w:iCs/>
        </w:rPr>
        <w:t xml:space="preserve"> [</w:t>
      </w:r>
      <w:proofErr w:type="gramEnd"/>
      <w:r w:rsidR="00BE567A">
        <w:rPr>
          <w:rFonts w:ascii="Book Antiqua" w:hAnsi="Book Antiqua" w:cs="Arial"/>
          <w:i/>
          <w:iCs/>
        </w:rPr>
        <w:t>2005] EWCA Civ 367).</w:t>
      </w:r>
      <w:r w:rsidR="008F3A0B">
        <w:rPr>
          <w:rFonts w:ascii="Book Antiqua" w:hAnsi="Book Antiqua" w:cs="Arial"/>
          <w:i/>
          <w:iCs/>
        </w:rPr>
        <w:t xml:space="preserve"> The significance of</w:t>
      </w:r>
      <w:r w:rsidR="00933076">
        <w:rPr>
          <w:rFonts w:ascii="Book Antiqua" w:hAnsi="Book Antiqua" w:cs="Arial"/>
          <w:i/>
          <w:iCs/>
        </w:rPr>
        <w:t xml:space="preserve"> a piece of evidence that emanates from a </w:t>
      </w:r>
      <w:proofErr w:type="gramStart"/>
      <w:r w:rsidR="00933076">
        <w:rPr>
          <w:rFonts w:ascii="Book Antiqua" w:hAnsi="Book Antiqua" w:cs="Arial"/>
          <w:i/>
          <w:iCs/>
        </w:rPr>
        <w:t>third party</w:t>
      </w:r>
      <w:proofErr w:type="gramEnd"/>
      <w:r w:rsidR="00933076">
        <w:rPr>
          <w:rFonts w:ascii="Book Antiqua" w:hAnsi="Book Antiqua" w:cs="Arial"/>
          <w:i/>
          <w:iCs/>
        </w:rPr>
        <w:t xml:space="preserve"> source may well depend upon what is at stake in terms of the individual’s credibility.</w:t>
      </w:r>
    </w:p>
    <w:p w14:paraId="00C00C06" w14:textId="6299F3EE" w:rsidR="00EF7879" w:rsidRDefault="00EF7879" w:rsidP="00AC7B88">
      <w:pPr>
        <w:ind w:left="360"/>
        <w:jc w:val="both"/>
        <w:rPr>
          <w:rFonts w:ascii="Book Antiqua" w:hAnsi="Book Antiqua" w:cs="Arial"/>
          <w:i/>
          <w:iCs/>
        </w:rPr>
      </w:pPr>
    </w:p>
    <w:p w14:paraId="4FD8887D" w14:textId="714960D6" w:rsidR="00AC7B88" w:rsidRPr="00AC7B88" w:rsidRDefault="00EF7879" w:rsidP="00FC1403">
      <w:pPr>
        <w:pStyle w:val="ListParagraph"/>
        <w:spacing w:after="240"/>
        <w:ind w:left="360"/>
        <w:jc w:val="both"/>
        <w:rPr>
          <w:rFonts w:ascii="Book Antiqua" w:hAnsi="Book Antiqua" w:cs="Arial"/>
          <w:b/>
          <w:bCs/>
          <w:i/>
          <w:iCs/>
        </w:rPr>
      </w:pPr>
      <w:r w:rsidRPr="00237A68">
        <w:rPr>
          <w:rFonts w:ascii="Book Antiqua" w:hAnsi="Book Antiqua" w:cs="Arial"/>
          <w:i/>
          <w:iCs/>
        </w:rPr>
        <w:t xml:space="preserve">(3) </w:t>
      </w:r>
      <w:r w:rsidR="004722EB">
        <w:rPr>
          <w:rFonts w:ascii="Book Antiqua" w:hAnsi="Book Antiqua" w:cs="Arial"/>
          <w:i/>
          <w:iCs/>
        </w:rPr>
        <w:t>What the</w:t>
      </w:r>
      <w:r w:rsidR="00F55D5E">
        <w:rPr>
          <w:rFonts w:ascii="Book Antiqua" w:hAnsi="Book Antiqua" w:cs="Arial"/>
          <w:i/>
          <w:iCs/>
        </w:rPr>
        <w:t xml:space="preserve"> case law</w:t>
      </w:r>
      <w:r w:rsidR="0097596E">
        <w:rPr>
          <w:rFonts w:ascii="Book Antiqua" w:hAnsi="Book Antiqua" w:cs="Arial"/>
          <w:i/>
          <w:iCs/>
        </w:rPr>
        <w:t xml:space="preserve"> reveals is that t</w:t>
      </w:r>
      <w:r w:rsidRPr="00237A68">
        <w:rPr>
          <w:rFonts w:ascii="Book Antiqua" w:hAnsi="Book Antiqua" w:cs="Arial"/>
          <w:i/>
          <w:iCs/>
        </w:rPr>
        <w:t xml:space="preserve">he judicial fact-finder has a duty to make his or her decision by reference to all the relevant evidence and needs to show in their decision that they have done so.  The actual way in which the fact-finder goes about this task is a matter for them.  As has been pointed out, one </w:t>
      </w:r>
      <w:proofErr w:type="gramStart"/>
      <w:r w:rsidRPr="00237A68">
        <w:rPr>
          <w:rFonts w:ascii="Book Antiqua" w:hAnsi="Book Antiqua" w:cs="Arial"/>
          <w:i/>
          <w:iCs/>
        </w:rPr>
        <w:t>has to</w:t>
      </w:r>
      <w:proofErr w:type="gramEnd"/>
      <w:r w:rsidRPr="00237A68">
        <w:rPr>
          <w:rFonts w:ascii="Book Antiqua" w:hAnsi="Book Antiqua" w:cs="Arial"/>
          <w:i/>
          <w:iCs/>
        </w:rPr>
        <w:t xml:space="preserve"> start somewhere.  At the end of the day, what matters is whether the decision contains legally adequate reasons for the outcome.  The greater the apparent cogency and relevance of a particular piece of evidence, the greater is the need for the judicial fact-finder to show that they have had due regard to that evidence; and, if the fact-finder’s overall conclusion is contrary to the apparent thrust of that evidence, the greater is the need to explain why that evidence has not brought about a different outcome. </w:t>
      </w:r>
    </w:p>
    <w:bookmarkEnd w:id="1"/>
    <w:p w14:paraId="2DDA105D" w14:textId="60946EFE" w:rsidR="00566B8F" w:rsidRPr="00566B8F" w:rsidRDefault="00566B8F" w:rsidP="000D27E0">
      <w:pPr>
        <w:tabs>
          <w:tab w:val="left" w:pos="2520"/>
        </w:tabs>
        <w:jc w:val="both"/>
        <w:rPr>
          <w:rFonts w:ascii="Book Antiqua" w:hAnsi="Book Antiqua" w:cs="Arial"/>
          <w:i/>
          <w:iCs/>
        </w:rPr>
      </w:pPr>
    </w:p>
    <w:p w14:paraId="75C4ABAC" w14:textId="77777777" w:rsidR="00DE7DB7" w:rsidRPr="00C3462F" w:rsidRDefault="00DE7DB7" w:rsidP="00402B9E">
      <w:pPr>
        <w:tabs>
          <w:tab w:val="left" w:pos="2520"/>
        </w:tabs>
        <w:jc w:val="center"/>
        <w:rPr>
          <w:rFonts w:ascii="Book Antiqua" w:hAnsi="Book Antiqua" w:cs="Arial"/>
        </w:rPr>
      </w:pPr>
    </w:p>
    <w:p w14:paraId="14FACE63" w14:textId="77777777" w:rsidR="00DE7DB7" w:rsidRPr="00C3462F" w:rsidRDefault="002D7D7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3462F">
        <w:rPr>
          <w:rFonts w:ascii="Book Antiqua" w:hAnsi="Book Antiqua" w:cs="Arial"/>
          <w:b/>
          <w:u w:val="single"/>
        </w:rPr>
        <w:t>AND REASONS</w:t>
      </w:r>
    </w:p>
    <w:p w14:paraId="74CC6AD4" w14:textId="4C3782AD" w:rsidR="002D7D7C" w:rsidRDefault="002D7D7C" w:rsidP="00BB63E7">
      <w:pPr>
        <w:tabs>
          <w:tab w:val="left" w:pos="2520"/>
        </w:tabs>
        <w:spacing w:after="240"/>
        <w:jc w:val="both"/>
        <w:rPr>
          <w:rFonts w:ascii="Book Antiqua" w:hAnsi="Book Antiqua" w:cs="Arial"/>
        </w:rPr>
      </w:pPr>
    </w:p>
    <w:p w14:paraId="79A8F167" w14:textId="6347E2F6" w:rsidR="003E030C" w:rsidRPr="00C3462F" w:rsidRDefault="00117338" w:rsidP="00BB63E7">
      <w:pPr>
        <w:tabs>
          <w:tab w:val="left" w:pos="2520"/>
        </w:tabs>
        <w:spacing w:after="240"/>
        <w:jc w:val="both"/>
        <w:rPr>
          <w:rFonts w:ascii="Book Antiqua" w:hAnsi="Book Antiqua" w:cs="Arial"/>
        </w:rPr>
      </w:pPr>
      <w:r>
        <w:rPr>
          <w:rFonts w:ascii="Book Antiqua" w:hAnsi="Book Antiqua" w:cs="Arial"/>
          <w:b/>
          <w:bCs/>
          <w:i/>
          <w:iCs/>
        </w:rPr>
        <w:t xml:space="preserve">A.  </w:t>
      </w:r>
      <w:r w:rsidR="002B24DE">
        <w:rPr>
          <w:rFonts w:ascii="Book Antiqua" w:hAnsi="Book Antiqua" w:cs="Arial"/>
          <w:b/>
          <w:bCs/>
          <w:i/>
          <w:iCs/>
        </w:rPr>
        <w:t>THE ISSUES</w:t>
      </w:r>
    </w:p>
    <w:p w14:paraId="02677B1C" w14:textId="28ED30B3" w:rsidR="002B24DE" w:rsidRDefault="00CB7511" w:rsidP="00BB63E7">
      <w:pPr>
        <w:pStyle w:val="ListParagraph"/>
        <w:numPr>
          <w:ilvl w:val="0"/>
          <w:numId w:val="1"/>
        </w:numPr>
        <w:spacing w:before="240" w:after="240"/>
        <w:ind w:left="567" w:hanging="567"/>
        <w:jc w:val="both"/>
        <w:rPr>
          <w:rFonts w:ascii="Book Antiqua" w:hAnsi="Book Antiqua" w:cs="Arial"/>
        </w:rPr>
      </w:pPr>
      <w:r w:rsidRPr="00BB63E7">
        <w:rPr>
          <w:rFonts w:ascii="Book Antiqua" w:hAnsi="Book Antiqua" w:cs="Arial"/>
        </w:rPr>
        <w:t xml:space="preserve">This case concerns two related issues.  The first </w:t>
      </w:r>
      <w:r w:rsidR="00EB77C2">
        <w:rPr>
          <w:rFonts w:ascii="Book Antiqua" w:hAnsi="Book Antiqua" w:cs="Arial"/>
        </w:rPr>
        <w:t>is about</w:t>
      </w:r>
      <w:r w:rsidRPr="00BB63E7">
        <w:rPr>
          <w:rFonts w:ascii="Book Antiqua" w:hAnsi="Book Antiqua" w:cs="Arial"/>
        </w:rPr>
        <w:t xml:space="preserve"> the circumstances in which the Secretary of State may have an obligation to make enquiry in order to verify the authenticity </w:t>
      </w:r>
      <w:r w:rsidR="00BB63E7" w:rsidRPr="00BB63E7">
        <w:rPr>
          <w:rFonts w:ascii="Book Antiqua" w:hAnsi="Book Antiqua" w:cs="Arial"/>
        </w:rPr>
        <w:t xml:space="preserve">and reliability of a document; and the consequences of her not doing so.  </w:t>
      </w:r>
      <w:r w:rsidR="00BB63E7" w:rsidRPr="00BB63E7">
        <w:rPr>
          <w:rFonts w:ascii="Book Antiqua" w:hAnsi="Book Antiqua" w:cs="Arial"/>
        </w:rPr>
        <w:lastRenderedPageBreak/>
        <w:t>The second</w:t>
      </w:r>
      <w:r w:rsidR="00CB1275">
        <w:rPr>
          <w:rFonts w:ascii="Book Antiqua" w:hAnsi="Book Antiqua" w:cs="Arial"/>
        </w:rPr>
        <w:t xml:space="preserve"> issue</w:t>
      </w:r>
      <w:r w:rsidR="00BB63E7" w:rsidRPr="00BB63E7">
        <w:rPr>
          <w:rFonts w:ascii="Book Antiqua" w:hAnsi="Book Antiqua" w:cs="Arial"/>
        </w:rPr>
        <w:t xml:space="preserve"> </w:t>
      </w:r>
      <w:r w:rsidR="00CB1275">
        <w:rPr>
          <w:rFonts w:ascii="Book Antiqua" w:hAnsi="Book Antiqua" w:cs="Arial"/>
        </w:rPr>
        <w:t>is</w:t>
      </w:r>
      <w:r w:rsidR="00BB63E7" w:rsidRPr="00BB63E7">
        <w:rPr>
          <w:rFonts w:ascii="Book Antiqua" w:hAnsi="Book Antiqua" w:cs="Arial"/>
        </w:rPr>
        <w:t xml:space="preserve"> the nature of the obligation on judicial fact-finders to consider the evidence before them “in the round”. </w:t>
      </w:r>
    </w:p>
    <w:p w14:paraId="2E720497" w14:textId="77777777" w:rsidR="002B24DE" w:rsidRDefault="002B24DE" w:rsidP="002B24DE">
      <w:pPr>
        <w:pStyle w:val="ListParagraph"/>
        <w:spacing w:before="240" w:after="240"/>
        <w:ind w:left="567"/>
        <w:jc w:val="both"/>
        <w:rPr>
          <w:rFonts w:ascii="Book Antiqua" w:hAnsi="Book Antiqua" w:cs="Arial"/>
        </w:rPr>
      </w:pPr>
    </w:p>
    <w:p w14:paraId="7E922A48" w14:textId="77777777" w:rsidR="002B24DE" w:rsidRDefault="002B24DE" w:rsidP="002B24DE">
      <w:pPr>
        <w:pStyle w:val="ListParagraph"/>
        <w:spacing w:before="240" w:after="240"/>
        <w:ind w:left="567"/>
        <w:jc w:val="both"/>
        <w:rPr>
          <w:rFonts w:ascii="Book Antiqua" w:hAnsi="Book Antiqua" w:cs="Arial"/>
        </w:rPr>
      </w:pPr>
    </w:p>
    <w:p w14:paraId="612B3010" w14:textId="30A3CE4A" w:rsidR="00BF23BB" w:rsidRDefault="002B24DE" w:rsidP="002B24DE">
      <w:pPr>
        <w:pStyle w:val="ListParagraph"/>
        <w:spacing w:before="240" w:after="240"/>
        <w:ind w:left="0"/>
        <w:jc w:val="both"/>
        <w:rPr>
          <w:rFonts w:ascii="Book Antiqua" w:hAnsi="Book Antiqua" w:cs="Arial"/>
        </w:rPr>
      </w:pPr>
      <w:r>
        <w:rPr>
          <w:rFonts w:ascii="Book Antiqua" w:hAnsi="Book Antiqua" w:cs="Arial"/>
          <w:b/>
          <w:bCs/>
          <w:i/>
          <w:iCs/>
        </w:rPr>
        <w:t>B.  THE APPELLANT AND HIS CLAIM</w:t>
      </w:r>
      <w:r w:rsidR="00BB63E7" w:rsidRPr="00BB63E7">
        <w:rPr>
          <w:rFonts w:ascii="Book Antiqua" w:hAnsi="Book Antiqua" w:cs="Arial"/>
        </w:rPr>
        <w:t xml:space="preserve"> </w:t>
      </w:r>
    </w:p>
    <w:p w14:paraId="50DFC920" w14:textId="77777777" w:rsidR="00BB63E7" w:rsidRDefault="00BB63E7" w:rsidP="00BB63E7">
      <w:pPr>
        <w:pStyle w:val="ListParagraph"/>
        <w:spacing w:before="240" w:after="240"/>
        <w:ind w:left="567"/>
        <w:jc w:val="both"/>
        <w:rPr>
          <w:rFonts w:ascii="Book Antiqua" w:hAnsi="Book Antiqua" w:cs="Arial"/>
        </w:rPr>
      </w:pPr>
    </w:p>
    <w:p w14:paraId="3433BF5F" w14:textId="0EE36F97" w:rsidR="00BB63E7" w:rsidRDefault="00BB63E7" w:rsidP="00BB63E7">
      <w:pPr>
        <w:pStyle w:val="ListParagraph"/>
        <w:numPr>
          <w:ilvl w:val="0"/>
          <w:numId w:val="1"/>
        </w:numPr>
        <w:spacing w:after="240"/>
        <w:ind w:left="567" w:hanging="567"/>
        <w:jc w:val="both"/>
        <w:rPr>
          <w:rFonts w:ascii="Book Antiqua" w:hAnsi="Book Antiqua" w:cs="Arial"/>
        </w:rPr>
      </w:pPr>
      <w:r>
        <w:rPr>
          <w:rFonts w:ascii="Book Antiqua" w:hAnsi="Book Antiqua" w:cs="Arial"/>
        </w:rPr>
        <w:t>The appellant is a citizen of China</w:t>
      </w:r>
      <w:r w:rsidR="008C0981">
        <w:rPr>
          <w:rFonts w:ascii="Book Antiqua" w:hAnsi="Book Antiqua" w:cs="Arial"/>
        </w:rPr>
        <w:t>,</w:t>
      </w:r>
      <w:r>
        <w:rPr>
          <w:rFonts w:ascii="Book Antiqua" w:hAnsi="Book Antiqua" w:cs="Arial"/>
        </w:rPr>
        <w:t xml:space="preserve"> born in 1979.  He arrived in the United Kingdom in February 2014 but did not claim asylum until October 2018, following his arrest.  On 19 March 2019</w:t>
      </w:r>
      <w:r w:rsidR="008C0981">
        <w:rPr>
          <w:rFonts w:ascii="Book Antiqua" w:hAnsi="Book Antiqua" w:cs="Arial"/>
        </w:rPr>
        <w:t>,</w:t>
      </w:r>
      <w:r>
        <w:rPr>
          <w:rFonts w:ascii="Book Antiqua" w:hAnsi="Book Antiqua" w:cs="Arial"/>
        </w:rPr>
        <w:t xml:space="preserve"> the respondent refused the appellant’s protection claim.  The appellant exercised his right of appeal to the First-tier Tribunal and his appeal was heard in Glasgow on 17 July 2019 by First-tier Tribunal Judge Doyle.  </w:t>
      </w:r>
    </w:p>
    <w:p w14:paraId="404164D2" w14:textId="77777777" w:rsidR="00BB63E7" w:rsidRPr="00BB63E7" w:rsidRDefault="00BB63E7" w:rsidP="00BB63E7">
      <w:pPr>
        <w:pStyle w:val="ListParagraph"/>
        <w:rPr>
          <w:rFonts w:ascii="Book Antiqua" w:hAnsi="Book Antiqua" w:cs="Arial"/>
        </w:rPr>
      </w:pPr>
    </w:p>
    <w:p w14:paraId="27C5A6CE" w14:textId="6737C9C2" w:rsidR="00BB63E7" w:rsidRDefault="00BB63E7" w:rsidP="00BB63E7">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Before the First-tier Tribunal Judge, the appellant advanced two discrete reasons to </w:t>
      </w:r>
      <w:proofErr w:type="gramStart"/>
      <w:r>
        <w:rPr>
          <w:rFonts w:ascii="Book Antiqua" w:hAnsi="Book Antiqua" w:cs="Arial"/>
        </w:rPr>
        <w:t>be in need of</w:t>
      </w:r>
      <w:proofErr w:type="gramEnd"/>
      <w:r>
        <w:rPr>
          <w:rFonts w:ascii="Book Antiqua" w:hAnsi="Book Antiqua" w:cs="Arial"/>
        </w:rPr>
        <w:t xml:space="preserve"> international protection.  His family home had been demolished in 2009 by the Chinese authorities, in order to build a new road.  The appellant and his father were beaten when they sought to resist the acquisition of their</w:t>
      </w:r>
      <w:r w:rsidR="00183A6D">
        <w:rPr>
          <w:rFonts w:ascii="Book Antiqua" w:hAnsi="Book Antiqua" w:cs="Arial"/>
        </w:rPr>
        <w:t xml:space="preserve"> property</w:t>
      </w:r>
      <w:r>
        <w:rPr>
          <w:rFonts w:ascii="Book Antiqua" w:hAnsi="Book Antiqua" w:cs="Arial"/>
        </w:rPr>
        <w:t>.  The father suffered a heart attack and died, following which the appellant’s mother committed suicide.  The appellant sought compensation from the authorities but was beaten by them and his collar bone broken.</w:t>
      </w:r>
    </w:p>
    <w:p w14:paraId="649CF07F" w14:textId="77777777" w:rsidR="00BB63E7" w:rsidRPr="00BB63E7" w:rsidRDefault="00BB63E7" w:rsidP="00BB63E7">
      <w:pPr>
        <w:pStyle w:val="ListParagraph"/>
        <w:rPr>
          <w:rFonts w:ascii="Book Antiqua" w:hAnsi="Book Antiqua" w:cs="Arial"/>
        </w:rPr>
      </w:pPr>
    </w:p>
    <w:p w14:paraId="73C312CC" w14:textId="172DC5C0" w:rsidR="00BB63E7" w:rsidRDefault="00BB63E7" w:rsidP="00BB63E7">
      <w:pPr>
        <w:pStyle w:val="ListParagraph"/>
        <w:numPr>
          <w:ilvl w:val="0"/>
          <w:numId w:val="1"/>
        </w:numPr>
        <w:spacing w:after="240"/>
        <w:ind w:left="567" w:hanging="567"/>
        <w:jc w:val="both"/>
        <w:rPr>
          <w:rFonts w:ascii="Book Antiqua" w:hAnsi="Book Antiqua" w:cs="Arial"/>
        </w:rPr>
      </w:pPr>
      <w:r>
        <w:rPr>
          <w:rFonts w:ascii="Book Antiqua" w:hAnsi="Book Antiqua" w:cs="Arial"/>
        </w:rPr>
        <w:t>In April 2010, the appellant was living in another area of China.  There he said he was introduced to Tibetan Buddhism.  He attended public events recounting the cruel treatment and injustice meted out to the Tibetan people</w:t>
      </w:r>
      <w:r w:rsidR="00C20365">
        <w:rPr>
          <w:rFonts w:ascii="Book Antiqua" w:hAnsi="Book Antiqua" w:cs="Arial"/>
        </w:rPr>
        <w:t xml:space="preserve"> by the Chines authorities</w:t>
      </w:r>
      <w:r>
        <w:rPr>
          <w:rFonts w:ascii="Book Antiqua" w:hAnsi="Book Antiqua" w:cs="Arial"/>
        </w:rPr>
        <w:t>.  When th</w:t>
      </w:r>
      <w:r w:rsidR="00164FF9">
        <w:rPr>
          <w:rFonts w:ascii="Book Antiqua" w:hAnsi="Book Antiqua" w:cs="Arial"/>
        </w:rPr>
        <w:t>ose</w:t>
      </w:r>
      <w:r>
        <w:rPr>
          <w:rFonts w:ascii="Book Antiqua" w:hAnsi="Book Antiqua" w:cs="Arial"/>
        </w:rPr>
        <w:t xml:space="preserve"> authorities raided the premises in which the appellant was living, they arrested his </w:t>
      </w:r>
      <w:proofErr w:type="gramStart"/>
      <w:r>
        <w:rPr>
          <w:rFonts w:ascii="Book Antiqua" w:hAnsi="Book Antiqua" w:cs="Arial"/>
        </w:rPr>
        <w:t>friend</w:t>
      </w:r>
      <w:proofErr w:type="gramEnd"/>
      <w:r>
        <w:rPr>
          <w:rFonts w:ascii="Book Antiqua" w:hAnsi="Book Antiqua" w:cs="Arial"/>
        </w:rPr>
        <w:t xml:space="preserve"> but the appellant managed to hide himself.  The appellant said that the Chinese authorities were now aware that he is a Tibetan Buddhist.  He fled China because he feared </w:t>
      </w:r>
      <w:r w:rsidR="009D6263">
        <w:rPr>
          <w:rFonts w:ascii="Book Antiqua" w:hAnsi="Book Antiqua" w:cs="Arial"/>
        </w:rPr>
        <w:t>what might happen to him as</w:t>
      </w:r>
      <w:r w:rsidR="001C3699">
        <w:rPr>
          <w:rFonts w:ascii="Book Antiqua" w:hAnsi="Book Antiqua" w:cs="Arial"/>
        </w:rPr>
        <w:t xml:space="preserve"> a Tibetan Buddhist who supports Tibetan independence.</w:t>
      </w:r>
    </w:p>
    <w:p w14:paraId="52081A8F" w14:textId="0EB8C996" w:rsidR="002B24DE" w:rsidRDefault="002B24DE" w:rsidP="002B24DE">
      <w:pPr>
        <w:spacing w:after="240"/>
        <w:jc w:val="both"/>
        <w:rPr>
          <w:rFonts w:ascii="Book Antiqua" w:hAnsi="Book Antiqua" w:cs="Arial"/>
        </w:rPr>
      </w:pPr>
    </w:p>
    <w:p w14:paraId="1DB51412" w14:textId="336AAE30" w:rsidR="001C3699" w:rsidRPr="001C3699" w:rsidRDefault="002B24DE" w:rsidP="0089562A">
      <w:pPr>
        <w:spacing w:after="240"/>
        <w:jc w:val="both"/>
        <w:rPr>
          <w:rFonts w:ascii="Book Antiqua" w:hAnsi="Book Antiqua" w:cs="Arial"/>
        </w:rPr>
      </w:pPr>
      <w:r>
        <w:rPr>
          <w:rFonts w:ascii="Book Antiqua" w:hAnsi="Book Antiqua" w:cs="Arial"/>
          <w:b/>
          <w:bCs/>
          <w:i/>
          <w:iCs/>
        </w:rPr>
        <w:t>C.  THE FIRST</w:t>
      </w:r>
      <w:r w:rsidR="0089562A">
        <w:rPr>
          <w:rFonts w:ascii="Book Antiqua" w:hAnsi="Book Antiqua" w:cs="Arial"/>
          <w:b/>
          <w:bCs/>
          <w:i/>
          <w:iCs/>
        </w:rPr>
        <w:t>-</w:t>
      </w:r>
      <w:r>
        <w:rPr>
          <w:rFonts w:ascii="Book Antiqua" w:hAnsi="Book Antiqua" w:cs="Arial"/>
          <w:b/>
          <w:bCs/>
          <w:i/>
          <w:iCs/>
        </w:rPr>
        <w:t>TIE</w:t>
      </w:r>
      <w:r w:rsidR="0089562A">
        <w:rPr>
          <w:rFonts w:ascii="Book Antiqua" w:hAnsi="Book Antiqua" w:cs="Arial"/>
          <w:b/>
          <w:bCs/>
          <w:i/>
          <w:iCs/>
        </w:rPr>
        <w:t>R</w:t>
      </w:r>
      <w:r>
        <w:rPr>
          <w:rFonts w:ascii="Book Antiqua" w:hAnsi="Book Antiqua" w:cs="Arial"/>
          <w:b/>
          <w:bCs/>
          <w:i/>
          <w:iCs/>
        </w:rPr>
        <w:t xml:space="preserve"> TRIBUNAL’S DECISION</w:t>
      </w:r>
    </w:p>
    <w:p w14:paraId="46CFC909" w14:textId="05E27D6B" w:rsidR="001C3699" w:rsidRDefault="001C3699" w:rsidP="00BB63E7">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Having set out the background evidence, so far as it related to these two claims, the First-tier Tribunal Judge’s decision noted the appellant’s oral evidence.  </w:t>
      </w:r>
      <w:r w:rsidR="0001693A">
        <w:rPr>
          <w:rFonts w:ascii="Book Antiqua" w:hAnsi="Book Antiqua" w:cs="Arial"/>
        </w:rPr>
        <w:t>The judge</w:t>
      </w:r>
      <w:r>
        <w:rPr>
          <w:rFonts w:ascii="Book Antiqua" w:hAnsi="Book Antiqua" w:cs="Arial"/>
        </w:rPr>
        <w:t xml:space="preserve"> also </w:t>
      </w:r>
      <w:r w:rsidR="0001693A">
        <w:rPr>
          <w:rFonts w:ascii="Book Antiqua" w:hAnsi="Book Antiqua" w:cs="Arial"/>
        </w:rPr>
        <w:t>had regard to</w:t>
      </w:r>
      <w:r>
        <w:rPr>
          <w:rFonts w:ascii="Book Antiqua" w:hAnsi="Book Antiqua" w:cs="Arial"/>
        </w:rPr>
        <w:t xml:space="preserve"> a medical report</w:t>
      </w:r>
      <w:r w:rsidR="009E11C0">
        <w:rPr>
          <w:rFonts w:ascii="Book Antiqua" w:hAnsi="Book Antiqua" w:cs="Arial"/>
        </w:rPr>
        <w:t>, which described a healed fracture to the appellant’s left cl</w:t>
      </w:r>
      <w:r w:rsidR="001C72C7">
        <w:rPr>
          <w:rFonts w:ascii="Book Antiqua" w:hAnsi="Book Antiqua" w:cs="Arial"/>
        </w:rPr>
        <w:t>a</w:t>
      </w:r>
      <w:r w:rsidR="009E11C0">
        <w:rPr>
          <w:rFonts w:ascii="Book Antiqua" w:hAnsi="Book Antiqua" w:cs="Arial"/>
        </w:rPr>
        <w:t>v</w:t>
      </w:r>
      <w:r w:rsidR="001C72C7">
        <w:rPr>
          <w:rFonts w:ascii="Book Antiqua" w:hAnsi="Book Antiqua" w:cs="Arial"/>
        </w:rPr>
        <w:t>i</w:t>
      </w:r>
      <w:r w:rsidR="009E11C0">
        <w:rPr>
          <w:rFonts w:ascii="Book Antiqua" w:hAnsi="Book Antiqua" w:cs="Arial"/>
        </w:rPr>
        <w:t>cl</w:t>
      </w:r>
      <w:r w:rsidR="001C72C7">
        <w:rPr>
          <w:rFonts w:ascii="Book Antiqua" w:hAnsi="Book Antiqua" w:cs="Arial"/>
        </w:rPr>
        <w:t>e</w:t>
      </w:r>
      <w:r w:rsidR="009E11C0">
        <w:rPr>
          <w:rFonts w:ascii="Book Antiqua" w:hAnsi="Book Antiqua" w:cs="Arial"/>
        </w:rPr>
        <w:t>.  Whilst the doctor concluded that the appellant’s injuries were consistent with the explanation given for them, it was not possible to exclude other injury mechanisms.  The appellant’s account of receiving twenty days’ hospital treatment was regarded by the doctor as “excessive for this type of injury”, were the appellant to have been treated in the United Kingdom.</w:t>
      </w:r>
    </w:p>
    <w:p w14:paraId="2C603796" w14:textId="77777777" w:rsidR="009E11C0" w:rsidRPr="009E11C0" w:rsidRDefault="009E11C0" w:rsidP="009E11C0">
      <w:pPr>
        <w:pStyle w:val="ListParagraph"/>
        <w:rPr>
          <w:rFonts w:ascii="Book Antiqua" w:hAnsi="Book Antiqua" w:cs="Arial"/>
        </w:rPr>
      </w:pPr>
    </w:p>
    <w:p w14:paraId="02413CC1" w14:textId="77777777" w:rsidR="009E11C0" w:rsidRDefault="009E11C0" w:rsidP="00BB63E7">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At his screening interview in October 2018, the appellant was asked about his religion, to which he </w:t>
      </w:r>
      <w:proofErr w:type="gramStart"/>
      <w:r>
        <w:rPr>
          <w:rFonts w:ascii="Book Antiqua" w:hAnsi="Book Antiqua" w:cs="Arial"/>
        </w:rPr>
        <w:t>replied</w:t>
      </w:r>
      <w:proofErr w:type="gramEnd"/>
      <w:r>
        <w:rPr>
          <w:rFonts w:ascii="Book Antiqua" w:hAnsi="Book Antiqua" w:cs="Arial"/>
        </w:rPr>
        <w:t xml:space="preserve"> “</w:t>
      </w:r>
      <w:r w:rsidR="001C72C7">
        <w:rPr>
          <w:rFonts w:ascii="Book Antiqua" w:hAnsi="Book Antiqua" w:cs="Arial"/>
        </w:rPr>
        <w:t>J</w:t>
      </w:r>
      <w:r>
        <w:rPr>
          <w:rFonts w:ascii="Book Antiqua" w:hAnsi="Book Antiqua" w:cs="Arial"/>
        </w:rPr>
        <w:t>ust with Balai [sic] organisation”.  Asked why he had come to the United Kingdom, the appellant replied “</w:t>
      </w:r>
      <w:r w:rsidR="008D021F">
        <w:rPr>
          <w:rFonts w:ascii="Book Antiqua" w:hAnsi="Book Antiqua" w:cs="Arial"/>
        </w:rPr>
        <w:t>H</w:t>
      </w:r>
      <w:r>
        <w:rPr>
          <w:rFonts w:ascii="Book Antiqua" w:hAnsi="Book Antiqua" w:cs="Arial"/>
        </w:rPr>
        <w:t xml:space="preserve">ouse in China taken down.  Chinese government are going to kill me”.  There was no reference made in this interview to </w:t>
      </w:r>
      <w:r>
        <w:rPr>
          <w:rFonts w:ascii="Book Antiqua" w:hAnsi="Book Antiqua" w:cs="Arial"/>
        </w:rPr>
        <w:lastRenderedPageBreak/>
        <w:t xml:space="preserve">the appellant’s involvement with Tibetan Buddhism or support for Tibetan independence.  </w:t>
      </w:r>
    </w:p>
    <w:p w14:paraId="1BC461A0" w14:textId="77777777" w:rsidR="009E11C0" w:rsidRPr="009E11C0" w:rsidRDefault="009E11C0" w:rsidP="009E11C0">
      <w:pPr>
        <w:pStyle w:val="ListParagraph"/>
        <w:rPr>
          <w:rFonts w:ascii="Book Antiqua" w:hAnsi="Book Antiqua" w:cs="Arial"/>
        </w:rPr>
      </w:pPr>
    </w:p>
    <w:p w14:paraId="57E202BB" w14:textId="09D86218" w:rsidR="009E11C0" w:rsidRDefault="009E11C0" w:rsidP="00BB63E7">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In his witness statement of 25 January 2019, </w:t>
      </w:r>
      <w:r w:rsidR="002E2929">
        <w:rPr>
          <w:rFonts w:ascii="Book Antiqua" w:hAnsi="Book Antiqua" w:cs="Arial"/>
        </w:rPr>
        <w:t xml:space="preserve">the appellant </w:t>
      </w:r>
      <w:proofErr w:type="gramStart"/>
      <w:r w:rsidR="002E2929">
        <w:rPr>
          <w:rFonts w:ascii="Book Antiqua" w:hAnsi="Book Antiqua" w:cs="Arial"/>
        </w:rPr>
        <w:t>stated</w:t>
      </w:r>
      <w:proofErr w:type="gramEnd"/>
      <w:r w:rsidR="002E2929">
        <w:rPr>
          <w:rFonts w:ascii="Book Antiqua" w:hAnsi="Book Antiqua" w:cs="Arial"/>
        </w:rPr>
        <w:t xml:space="preserve"> “I am a Tibetan Buddhist”.  </w:t>
      </w:r>
      <w:r w:rsidR="003431E6">
        <w:rPr>
          <w:rFonts w:ascii="Book Antiqua" w:hAnsi="Book Antiqua" w:cs="Arial"/>
        </w:rPr>
        <w:t>Shortly thereafter, t</w:t>
      </w:r>
      <w:r w:rsidR="002E2929">
        <w:rPr>
          <w:rFonts w:ascii="Book Antiqua" w:hAnsi="Book Antiqua" w:cs="Arial"/>
        </w:rPr>
        <w:t>he appellant underwent a substantive asylum interview.  At Q</w:t>
      </w:r>
      <w:r w:rsidR="00F53CC1">
        <w:rPr>
          <w:rFonts w:ascii="Book Antiqua" w:hAnsi="Book Antiqua" w:cs="Arial"/>
        </w:rPr>
        <w:t xml:space="preserve"> </w:t>
      </w:r>
      <w:r w:rsidR="002E2929">
        <w:rPr>
          <w:rFonts w:ascii="Book Antiqua" w:hAnsi="Book Antiqua" w:cs="Arial"/>
        </w:rPr>
        <w:t>109, the appellant was unable to answer questions about Tibetan prayer flags, confusing a central Tibetan Buddhism method of meditation with the colours of the Tibetan flag.  In answer to Q 116, the appellant said he did not use water but prayed to the flag.  According to the judge, this provided “</w:t>
      </w:r>
      <w:r w:rsidR="00F53CC1">
        <w:rPr>
          <w:rFonts w:ascii="Book Antiqua" w:hAnsi="Book Antiqua" w:cs="Arial"/>
        </w:rPr>
        <w:t>N</w:t>
      </w:r>
      <w:r w:rsidR="002E2929">
        <w:rPr>
          <w:rFonts w:ascii="Book Antiqua" w:hAnsi="Book Antiqua" w:cs="Arial"/>
        </w:rPr>
        <w:t xml:space="preserve">o knowledge at all about the spiritual significance of water in Tibetan Buddhism”.  Furthermore, taking </w:t>
      </w:r>
      <w:r w:rsidR="00A36543">
        <w:rPr>
          <w:rFonts w:ascii="Book Antiqua" w:hAnsi="Book Antiqua" w:cs="Arial"/>
        </w:rPr>
        <w:t xml:space="preserve">the appellant’s </w:t>
      </w:r>
      <w:r w:rsidR="002E2929">
        <w:rPr>
          <w:rFonts w:ascii="Book Antiqua" w:hAnsi="Book Antiqua" w:cs="Arial"/>
        </w:rPr>
        <w:t>answers together, the judge considered that the appellant demonstrated that he “does not recognise Tibetan prayer flags, but prays to a symbol of Tibetan nationality.  The appellant demonstrates an inability to distinguish the spiritual from the temp</w:t>
      </w:r>
      <w:r w:rsidR="001C72C7">
        <w:rPr>
          <w:rFonts w:ascii="Book Antiqua" w:hAnsi="Book Antiqua" w:cs="Arial"/>
        </w:rPr>
        <w:t>o</w:t>
      </w:r>
      <w:r w:rsidR="002E2929">
        <w:rPr>
          <w:rFonts w:ascii="Book Antiqua" w:hAnsi="Book Antiqua" w:cs="Arial"/>
        </w:rPr>
        <w:t xml:space="preserve">ral”.  </w:t>
      </w:r>
    </w:p>
    <w:p w14:paraId="148F94FB" w14:textId="77777777" w:rsidR="0091109D" w:rsidRPr="0091109D" w:rsidRDefault="0091109D" w:rsidP="0091109D">
      <w:pPr>
        <w:pStyle w:val="ListParagraph"/>
        <w:rPr>
          <w:rFonts w:ascii="Book Antiqua" w:hAnsi="Book Antiqua" w:cs="Arial"/>
        </w:rPr>
      </w:pPr>
    </w:p>
    <w:p w14:paraId="63531AE0" w14:textId="77777777" w:rsidR="0091109D" w:rsidRDefault="0091109D" w:rsidP="00BB63E7">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Paragraph 12 of the First-tier Tribunal Judge’s decision continues as </w:t>
      </w:r>
      <w:proofErr w:type="gramStart"/>
      <w:r>
        <w:rPr>
          <w:rFonts w:ascii="Book Antiqua" w:hAnsi="Book Antiqua" w:cs="Arial"/>
        </w:rPr>
        <w:t>follows:-</w:t>
      </w:r>
      <w:proofErr w:type="gramEnd"/>
    </w:p>
    <w:p w14:paraId="063AFE56" w14:textId="77777777" w:rsidR="0091109D" w:rsidRPr="0091109D" w:rsidRDefault="0091109D" w:rsidP="0091109D">
      <w:pPr>
        <w:pStyle w:val="ListParagraph"/>
        <w:rPr>
          <w:rFonts w:ascii="Book Antiqua" w:hAnsi="Book Antiqua" w:cs="Arial"/>
        </w:rPr>
      </w:pPr>
    </w:p>
    <w:p w14:paraId="203BDF7E" w14:textId="753BBF3D" w:rsidR="0091109D" w:rsidRPr="00CB1591" w:rsidRDefault="001C72C7" w:rsidP="0091109D">
      <w:pPr>
        <w:pStyle w:val="ListParagraph"/>
        <w:spacing w:after="240"/>
        <w:ind w:left="1701" w:hanging="567"/>
        <w:jc w:val="both"/>
        <w:rPr>
          <w:rFonts w:ascii="Book Antiqua" w:hAnsi="Book Antiqua" w:cs="Arial"/>
          <w:sz w:val="22"/>
          <w:szCs w:val="22"/>
        </w:rPr>
      </w:pPr>
      <w:r w:rsidRPr="00CB1591">
        <w:rPr>
          <w:rFonts w:ascii="Book Antiqua" w:hAnsi="Book Antiqua" w:cs="Arial"/>
          <w:sz w:val="22"/>
          <w:szCs w:val="22"/>
        </w:rPr>
        <w:t>“(h)</w:t>
      </w:r>
      <w:r w:rsidRPr="00CB1591">
        <w:rPr>
          <w:rFonts w:ascii="Book Antiqua" w:hAnsi="Book Antiqua" w:cs="Arial"/>
          <w:sz w:val="22"/>
          <w:szCs w:val="22"/>
        </w:rPr>
        <w:tab/>
      </w:r>
      <w:r w:rsidR="000F7092" w:rsidRPr="00CB1591">
        <w:rPr>
          <w:rFonts w:ascii="Book Antiqua" w:hAnsi="Book Antiqua" w:cs="Arial"/>
          <w:sz w:val="22"/>
          <w:szCs w:val="22"/>
        </w:rPr>
        <w:t>The appellant arrived in the UK in 2014.  On his own evidence, he has not practised Tibetan Buddhism in the UK.  In answer to question 104, the appellant says that there is no Buddhism in the UK.  The appellant could not be more wrong.  The appellant has lived in Glasgow for years.  Glasgow has a Tibetan Buddhist meditation centre.  If the appellant was truly a Tibetan Buddhist, then the practice of his faith would had driven him to find his local Tibetan Buddhist meditation centre.  The appellant claims that h</w:t>
      </w:r>
      <w:r w:rsidR="000A4BA1">
        <w:rPr>
          <w:rFonts w:ascii="Book Antiqua" w:hAnsi="Book Antiqua" w:cs="Arial"/>
          <w:sz w:val="22"/>
          <w:szCs w:val="22"/>
        </w:rPr>
        <w:t>e</w:t>
      </w:r>
      <w:r w:rsidR="000F7092" w:rsidRPr="00CB1591">
        <w:rPr>
          <w:rFonts w:ascii="Book Antiqua" w:hAnsi="Book Antiqua" w:cs="Arial"/>
          <w:sz w:val="22"/>
          <w:szCs w:val="22"/>
        </w:rPr>
        <w:t xml:space="preserve"> is a renowned Tibetan Buddhist in China, </w:t>
      </w:r>
      <w:r w:rsidR="00CB1591" w:rsidRPr="00CB1591">
        <w:rPr>
          <w:rFonts w:ascii="Book Antiqua" w:hAnsi="Book Antiqua" w:cs="Arial"/>
          <w:sz w:val="22"/>
          <w:szCs w:val="22"/>
        </w:rPr>
        <w:t>y</w:t>
      </w:r>
      <w:r w:rsidR="000F7092" w:rsidRPr="00CB1591">
        <w:rPr>
          <w:rFonts w:ascii="Book Antiqua" w:hAnsi="Book Antiqua" w:cs="Arial"/>
          <w:sz w:val="22"/>
          <w:szCs w:val="22"/>
        </w:rPr>
        <w:t>et he is not even known to the Tibetan Buddhists in Glasgow, where h</w:t>
      </w:r>
      <w:r w:rsidR="00F53CC1">
        <w:rPr>
          <w:rFonts w:ascii="Book Antiqua" w:hAnsi="Book Antiqua" w:cs="Arial"/>
          <w:sz w:val="22"/>
          <w:szCs w:val="22"/>
        </w:rPr>
        <w:t>e</w:t>
      </w:r>
      <w:r w:rsidR="000F7092" w:rsidRPr="00CB1591">
        <w:rPr>
          <w:rFonts w:ascii="Book Antiqua" w:hAnsi="Book Antiqua" w:cs="Arial"/>
          <w:sz w:val="22"/>
          <w:szCs w:val="22"/>
        </w:rPr>
        <w:t xml:space="preserve"> has lived for the last 5 years.</w:t>
      </w:r>
    </w:p>
    <w:p w14:paraId="33F9ABBB" w14:textId="77777777" w:rsidR="000F7092" w:rsidRDefault="000F7092" w:rsidP="0091109D">
      <w:pPr>
        <w:pStyle w:val="ListParagraph"/>
        <w:spacing w:after="240"/>
        <w:ind w:left="1701" w:hanging="567"/>
        <w:jc w:val="both"/>
        <w:rPr>
          <w:rFonts w:ascii="Book Antiqua" w:hAnsi="Book Antiqua" w:cs="Arial"/>
        </w:rPr>
      </w:pPr>
    </w:p>
    <w:p w14:paraId="0C3DFF4D" w14:textId="77777777" w:rsidR="000F7092" w:rsidRPr="00CB1591" w:rsidRDefault="00CB1591" w:rsidP="00CB1591">
      <w:pPr>
        <w:pStyle w:val="ListParagraph"/>
        <w:numPr>
          <w:ilvl w:val="0"/>
          <w:numId w:val="5"/>
        </w:numPr>
        <w:spacing w:after="240"/>
        <w:ind w:left="1701" w:hanging="567"/>
        <w:jc w:val="both"/>
        <w:rPr>
          <w:rFonts w:ascii="Book Antiqua" w:hAnsi="Book Antiqua" w:cs="Arial"/>
          <w:sz w:val="22"/>
          <w:szCs w:val="22"/>
        </w:rPr>
      </w:pPr>
      <w:r w:rsidRPr="00CB1591">
        <w:rPr>
          <w:rFonts w:ascii="Book Antiqua" w:hAnsi="Book Antiqua" w:cs="Arial"/>
          <w:sz w:val="22"/>
          <w:szCs w:val="22"/>
        </w:rPr>
        <w:t xml:space="preserve">The appellant’s third inventory of productions contains photographs intended to demonstrate that the appellant worships at a Buddhist Centre in Glasgow.  At paragraph 43 of his witness statement, the appellant claims to have started his search for </w:t>
      </w:r>
      <w:proofErr w:type="gramStart"/>
      <w:r w:rsidRPr="00CB1591">
        <w:rPr>
          <w:rFonts w:ascii="Book Antiqua" w:hAnsi="Book Antiqua" w:cs="Arial"/>
          <w:sz w:val="22"/>
          <w:szCs w:val="22"/>
        </w:rPr>
        <w:t>an</w:t>
      </w:r>
      <w:proofErr w:type="gramEnd"/>
      <w:r w:rsidRPr="00CB1591">
        <w:rPr>
          <w:rFonts w:ascii="Book Antiqua" w:hAnsi="Book Antiqua" w:cs="Arial"/>
          <w:sz w:val="22"/>
          <w:szCs w:val="22"/>
        </w:rPr>
        <w:t xml:space="preserve"> Buddhist Centre in 2017 – but it took him until April 2019 to find a Tibetan Buddhist centre in Glasgow.  His evidence must be viewed against the appellant’s answer to question 14 of the asylum interview (which took place in March 2019).  In March 2019 the appellant said that there is no Buddhism in the UK.  He can’t have it both ways.  He cannot have been worshipping at a Buddhist Centre since 2017 when he says in asylum interview in March 2019 that such a place does not exist.</w:t>
      </w:r>
    </w:p>
    <w:p w14:paraId="4177E2B2" w14:textId="77777777" w:rsidR="00CB1591" w:rsidRDefault="00CB1591" w:rsidP="00CB1591">
      <w:pPr>
        <w:pStyle w:val="ListParagraph"/>
        <w:spacing w:after="240"/>
        <w:ind w:left="1854"/>
        <w:jc w:val="both"/>
        <w:rPr>
          <w:rFonts w:ascii="Book Antiqua" w:hAnsi="Book Antiqua" w:cs="Arial"/>
        </w:rPr>
      </w:pPr>
    </w:p>
    <w:p w14:paraId="2F40A992" w14:textId="77777777" w:rsidR="001C72C7" w:rsidRPr="002D6634" w:rsidRDefault="00CB1591" w:rsidP="0091109D">
      <w:pPr>
        <w:pStyle w:val="ListParagraph"/>
        <w:spacing w:after="240"/>
        <w:ind w:left="1701" w:hanging="567"/>
        <w:jc w:val="both"/>
        <w:rPr>
          <w:rFonts w:ascii="Book Antiqua" w:hAnsi="Book Antiqua" w:cs="Arial"/>
          <w:sz w:val="22"/>
          <w:szCs w:val="22"/>
        </w:rPr>
      </w:pPr>
      <w:r w:rsidRPr="002D6634">
        <w:rPr>
          <w:rFonts w:ascii="Book Antiqua" w:hAnsi="Book Antiqua" w:cs="Arial"/>
          <w:sz w:val="22"/>
          <w:szCs w:val="22"/>
        </w:rPr>
        <w:t>(j)</w:t>
      </w:r>
      <w:r w:rsidRPr="002D6634">
        <w:rPr>
          <w:rFonts w:ascii="Book Antiqua" w:hAnsi="Book Antiqua" w:cs="Arial"/>
          <w:sz w:val="22"/>
          <w:szCs w:val="22"/>
        </w:rPr>
        <w:tab/>
        <w:t>The appellant was asked to identify the photographs now produced.  He said that they were taken earlier this year, but he could only name one person in the photographs.  He said that none of the people depicted in the photographs could come to give evidence to support him because none of them have identification documents in the UK.  The appellant was unable to specify the address of the Buddhist centre that he claims he goes to every week.</w:t>
      </w:r>
    </w:p>
    <w:p w14:paraId="5EB616E3" w14:textId="77777777" w:rsidR="00CB1591" w:rsidRDefault="00CB1591" w:rsidP="0091109D">
      <w:pPr>
        <w:pStyle w:val="ListParagraph"/>
        <w:spacing w:after="240"/>
        <w:ind w:left="1701" w:hanging="567"/>
        <w:jc w:val="both"/>
        <w:rPr>
          <w:rFonts w:ascii="Book Antiqua" w:hAnsi="Book Antiqua" w:cs="Arial"/>
        </w:rPr>
      </w:pPr>
    </w:p>
    <w:p w14:paraId="0A98DBEF" w14:textId="77777777" w:rsidR="00CB1591" w:rsidRPr="009335A0" w:rsidRDefault="00CB1591" w:rsidP="0091109D">
      <w:pPr>
        <w:pStyle w:val="ListParagraph"/>
        <w:spacing w:after="240"/>
        <w:ind w:left="1701" w:hanging="567"/>
        <w:jc w:val="both"/>
        <w:rPr>
          <w:rFonts w:ascii="Book Antiqua" w:hAnsi="Book Antiqua" w:cs="Arial"/>
          <w:sz w:val="22"/>
          <w:szCs w:val="22"/>
        </w:rPr>
      </w:pPr>
      <w:r w:rsidRPr="009335A0">
        <w:rPr>
          <w:rFonts w:ascii="Book Antiqua" w:hAnsi="Book Antiqua" w:cs="Arial"/>
          <w:sz w:val="22"/>
          <w:szCs w:val="22"/>
        </w:rPr>
        <w:t>(k)</w:t>
      </w:r>
      <w:r w:rsidRPr="009335A0">
        <w:rPr>
          <w:rFonts w:ascii="Book Antiqua" w:hAnsi="Book Antiqua" w:cs="Arial"/>
          <w:sz w:val="22"/>
          <w:szCs w:val="22"/>
        </w:rPr>
        <w:tab/>
      </w:r>
      <w:r w:rsidR="00496CFC" w:rsidRPr="009335A0">
        <w:rPr>
          <w:rFonts w:ascii="Book Antiqua" w:hAnsi="Book Antiqua" w:cs="Arial"/>
          <w:sz w:val="22"/>
          <w:szCs w:val="22"/>
        </w:rPr>
        <w:t>Because of the inconsistent account that the appellant gives &amp; because the appellant is not a</w:t>
      </w:r>
      <w:r w:rsidR="00955BED">
        <w:rPr>
          <w:rFonts w:ascii="Book Antiqua" w:hAnsi="Book Antiqua" w:cs="Arial"/>
          <w:sz w:val="22"/>
          <w:szCs w:val="22"/>
        </w:rPr>
        <w:t>b</w:t>
      </w:r>
      <w:r w:rsidR="00496CFC" w:rsidRPr="009335A0">
        <w:rPr>
          <w:rFonts w:ascii="Book Antiqua" w:hAnsi="Book Antiqua" w:cs="Arial"/>
          <w:sz w:val="22"/>
          <w:szCs w:val="22"/>
        </w:rPr>
        <w:t xml:space="preserve">le to demonstrate a fundamental knowledge of the tenets of Tibetan Buddhism, I find that the appellant fails to establish that he is a Tibetan Buddhist.  That finding wholly undermines the appellant’s claim to have </w:t>
      </w:r>
      <w:r w:rsidR="00496CFC" w:rsidRPr="009335A0">
        <w:rPr>
          <w:rFonts w:ascii="Book Antiqua" w:hAnsi="Book Antiqua" w:cs="Arial"/>
          <w:sz w:val="22"/>
          <w:szCs w:val="22"/>
        </w:rPr>
        <w:lastRenderedPageBreak/>
        <w:t>concealed himself in a flat whilst his friend he</w:t>
      </w:r>
      <w:r w:rsidR="00955BED">
        <w:rPr>
          <w:rFonts w:ascii="Book Antiqua" w:hAnsi="Book Antiqua" w:cs="Arial"/>
          <w:sz w:val="22"/>
          <w:szCs w:val="22"/>
        </w:rPr>
        <w:t xml:space="preserve"> </w:t>
      </w:r>
      <w:r w:rsidR="00496CFC" w:rsidRPr="009335A0">
        <w:rPr>
          <w:rFonts w:ascii="Book Antiqua" w:hAnsi="Book Antiqua" w:cs="Arial"/>
          <w:sz w:val="22"/>
          <w:szCs w:val="22"/>
        </w:rPr>
        <w:t>was arrested; it wholly undermined the appellant’s claim that he is wanted by the authorities because he is a Tibetan Buddhist.</w:t>
      </w:r>
    </w:p>
    <w:p w14:paraId="253A0EA8" w14:textId="77777777" w:rsidR="00496CFC" w:rsidRDefault="00496CFC" w:rsidP="0091109D">
      <w:pPr>
        <w:pStyle w:val="ListParagraph"/>
        <w:spacing w:after="240"/>
        <w:ind w:left="1701" w:hanging="567"/>
        <w:jc w:val="both"/>
        <w:rPr>
          <w:rFonts w:ascii="Book Antiqua" w:hAnsi="Book Antiqua" w:cs="Arial"/>
        </w:rPr>
      </w:pPr>
    </w:p>
    <w:p w14:paraId="3F510AAA" w14:textId="77777777" w:rsidR="00496CFC" w:rsidRPr="00954A48" w:rsidRDefault="00496CFC" w:rsidP="0091109D">
      <w:pPr>
        <w:pStyle w:val="ListParagraph"/>
        <w:spacing w:after="240"/>
        <w:ind w:left="1701" w:hanging="567"/>
        <w:jc w:val="both"/>
        <w:rPr>
          <w:rFonts w:ascii="Book Antiqua" w:hAnsi="Book Antiqua" w:cs="Arial"/>
          <w:sz w:val="22"/>
          <w:szCs w:val="22"/>
        </w:rPr>
      </w:pPr>
      <w:r w:rsidRPr="00954A48">
        <w:rPr>
          <w:rFonts w:ascii="Book Antiqua" w:hAnsi="Book Antiqua" w:cs="Arial"/>
          <w:sz w:val="22"/>
          <w:szCs w:val="22"/>
        </w:rPr>
        <w:t>(l)</w:t>
      </w:r>
      <w:r w:rsidRPr="00954A48">
        <w:rPr>
          <w:rFonts w:ascii="Book Antiqua" w:hAnsi="Book Antiqua" w:cs="Arial"/>
          <w:sz w:val="22"/>
          <w:szCs w:val="22"/>
        </w:rPr>
        <w:tab/>
        <w:t xml:space="preserve">The second inventory of productions for the appellant contains </w:t>
      </w:r>
      <w:proofErr w:type="gramStart"/>
      <w:r w:rsidRPr="00954A48">
        <w:rPr>
          <w:rFonts w:ascii="Book Antiqua" w:hAnsi="Book Antiqua" w:cs="Arial"/>
          <w:sz w:val="22"/>
          <w:szCs w:val="22"/>
        </w:rPr>
        <w:t>a number of</w:t>
      </w:r>
      <w:proofErr w:type="gramEnd"/>
      <w:r w:rsidRPr="00954A48">
        <w:rPr>
          <w:rFonts w:ascii="Book Antiqua" w:hAnsi="Book Antiqua" w:cs="Arial"/>
          <w:sz w:val="22"/>
          <w:szCs w:val="22"/>
        </w:rPr>
        <w:t xml:space="preserve"> translated documents, including an item which bears to be an arrest warrant issued in March 2014.  The second inventory also contains a statement from Liwen Zhang which speaks to an arrest warrant being issued and provides details of the political movement the appellant claims he became involved in.  I remind myself of </w:t>
      </w:r>
      <w:r w:rsidRPr="00954A48">
        <w:rPr>
          <w:rFonts w:ascii="Book Antiqua" w:hAnsi="Book Antiqua" w:cs="Arial"/>
          <w:sz w:val="22"/>
          <w:szCs w:val="22"/>
          <w:u w:val="single"/>
        </w:rPr>
        <w:t>Tanveer Ahmed (Starred)</w:t>
      </w:r>
      <w:r w:rsidRPr="00954A48">
        <w:rPr>
          <w:rFonts w:ascii="Book Antiqua" w:hAnsi="Book Antiqua" w:cs="Arial"/>
          <w:sz w:val="22"/>
          <w:szCs w:val="22"/>
        </w:rPr>
        <w:t xml:space="preserve"> 2002 UKIAT 00439 when </w:t>
      </w:r>
      <w:r w:rsidR="003D10AE" w:rsidRPr="00954A48">
        <w:rPr>
          <w:rFonts w:ascii="Book Antiqua" w:hAnsi="Book Antiqua" w:cs="Arial"/>
          <w:sz w:val="22"/>
          <w:szCs w:val="22"/>
        </w:rPr>
        <w:t xml:space="preserve">considering the documentary evidence.  The arrest warrant is clearly designed to corroborate </w:t>
      </w:r>
      <w:r w:rsidRPr="00954A48">
        <w:rPr>
          <w:rFonts w:ascii="Book Antiqua" w:hAnsi="Book Antiqua" w:cs="Arial"/>
          <w:sz w:val="22"/>
          <w:szCs w:val="22"/>
        </w:rPr>
        <w:t>the appellant’s account.  As I find that his account is so fundamentally flawed (because I find he was not involved with Tibetan Buddhism) I find that there is the arrest warrant is evidentially neutral.”</w:t>
      </w:r>
    </w:p>
    <w:p w14:paraId="2312E81D" w14:textId="77777777" w:rsidR="00BB63E7" w:rsidRPr="00BB63E7" w:rsidRDefault="00BB63E7" w:rsidP="00BB63E7">
      <w:pPr>
        <w:pStyle w:val="ListParagraph"/>
        <w:rPr>
          <w:rFonts w:ascii="Book Antiqua" w:hAnsi="Book Antiqua" w:cs="Arial"/>
        </w:rPr>
      </w:pPr>
    </w:p>
    <w:p w14:paraId="275F5789" w14:textId="77777777" w:rsidR="00954A48" w:rsidRDefault="00954A48" w:rsidP="00BB63E7">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At paragraph 12(m), the judge said that, although the appellant said he was involved in the movement for an independent Tibet, </w:t>
      </w:r>
    </w:p>
    <w:p w14:paraId="0FADE2B0" w14:textId="77777777" w:rsidR="00954A48" w:rsidRDefault="00954A48" w:rsidP="00954A48">
      <w:pPr>
        <w:pStyle w:val="ListParagraph"/>
        <w:spacing w:after="240"/>
        <w:ind w:left="567"/>
        <w:jc w:val="both"/>
        <w:rPr>
          <w:rFonts w:ascii="Book Antiqua" w:hAnsi="Book Antiqua" w:cs="Arial"/>
        </w:rPr>
      </w:pPr>
    </w:p>
    <w:p w14:paraId="1CDE2B18" w14:textId="77777777" w:rsidR="00BB63E7" w:rsidRPr="003E379E" w:rsidRDefault="00954A48" w:rsidP="00954A48">
      <w:pPr>
        <w:pStyle w:val="ListParagraph"/>
        <w:spacing w:after="240"/>
        <w:ind w:left="1134"/>
        <w:jc w:val="both"/>
        <w:rPr>
          <w:rFonts w:ascii="Book Antiqua" w:hAnsi="Book Antiqua" w:cs="Arial"/>
          <w:sz w:val="22"/>
          <w:szCs w:val="22"/>
        </w:rPr>
      </w:pPr>
      <w:r w:rsidRPr="003E379E">
        <w:rPr>
          <w:rFonts w:ascii="Book Antiqua" w:hAnsi="Book Antiqua" w:cs="Arial"/>
          <w:sz w:val="22"/>
          <w:szCs w:val="22"/>
        </w:rPr>
        <w:t xml:space="preserve">“the fulcrum of this aspect of the appellant’s asylum claim is that he became involved in a religion and the practice of that religion led towards advocating independence for Tibet.  The dearth of evidence of the practice of religion undermines the appellant’s claim to have been politically involved in an independence movement.  On the facts as I find them to be, the appellant fails to demonstrate that he has had any involvement with Tibetan Buddhism.  As the appellant claims </w:t>
      </w:r>
      <w:r w:rsidR="003E379E" w:rsidRPr="003E379E">
        <w:rPr>
          <w:rFonts w:ascii="Book Antiqua" w:hAnsi="Book Antiqua" w:cs="Arial"/>
          <w:sz w:val="22"/>
          <w:szCs w:val="22"/>
        </w:rPr>
        <w:t xml:space="preserve">… that it was Tibetan Buddhism that </w:t>
      </w:r>
      <w:r w:rsidR="00744F54">
        <w:rPr>
          <w:rFonts w:ascii="Book Antiqua" w:hAnsi="Book Antiqua" w:cs="Arial"/>
          <w:sz w:val="22"/>
          <w:szCs w:val="22"/>
        </w:rPr>
        <w:t>l</w:t>
      </w:r>
      <w:r w:rsidR="003E379E" w:rsidRPr="003E379E">
        <w:rPr>
          <w:rFonts w:ascii="Book Antiqua" w:hAnsi="Book Antiqua" w:cs="Arial"/>
          <w:sz w:val="22"/>
          <w:szCs w:val="22"/>
        </w:rPr>
        <w:t>ed him to his political opinion and advocating an independent nation, then, by analogy, I find that the appellant was not involved with publicly advocating independence for Tibet.”</w:t>
      </w:r>
      <w:r w:rsidRPr="003E379E">
        <w:rPr>
          <w:rFonts w:ascii="Book Antiqua" w:hAnsi="Book Antiqua" w:cs="Arial"/>
          <w:sz w:val="22"/>
          <w:szCs w:val="22"/>
        </w:rPr>
        <w:t xml:space="preserve"> </w:t>
      </w:r>
    </w:p>
    <w:p w14:paraId="1227F131" w14:textId="77777777" w:rsidR="00BB63E7" w:rsidRPr="00BB63E7" w:rsidRDefault="00BB63E7" w:rsidP="00BB63E7">
      <w:pPr>
        <w:pStyle w:val="ListParagraph"/>
        <w:spacing w:after="240"/>
        <w:ind w:left="567" w:hanging="567"/>
        <w:jc w:val="both"/>
        <w:rPr>
          <w:rFonts w:ascii="Book Antiqua" w:hAnsi="Book Antiqua" w:cs="Arial"/>
        </w:rPr>
      </w:pPr>
    </w:p>
    <w:p w14:paraId="215CA47E" w14:textId="6EECBFC3" w:rsidR="003E379E" w:rsidRDefault="00D03B5B" w:rsidP="00D03B5B">
      <w:pPr>
        <w:pStyle w:val="ListParagraph"/>
        <w:numPr>
          <w:ilvl w:val="0"/>
          <w:numId w:val="1"/>
        </w:numPr>
        <w:spacing w:before="240" w:after="240"/>
        <w:ind w:left="567" w:hanging="567"/>
        <w:jc w:val="both"/>
        <w:rPr>
          <w:rFonts w:ascii="Book Antiqua" w:hAnsi="Book Antiqua" w:cs="Arial"/>
        </w:rPr>
      </w:pPr>
      <w:r>
        <w:rPr>
          <w:rFonts w:ascii="Book Antiqua" w:hAnsi="Book Antiqua" w:cs="Arial"/>
        </w:rPr>
        <w:t>At paragraph 12(n) to (s)</w:t>
      </w:r>
      <w:r w:rsidR="009B3757">
        <w:rPr>
          <w:rFonts w:ascii="Book Antiqua" w:hAnsi="Book Antiqua" w:cs="Arial"/>
        </w:rPr>
        <w:t>,</w:t>
      </w:r>
      <w:r>
        <w:rPr>
          <w:rFonts w:ascii="Book Antiqua" w:hAnsi="Book Antiqua" w:cs="Arial"/>
        </w:rPr>
        <w:t xml:space="preserve"> the judge gave his reasons why he did not find that the appellant’s account of being involved in a land dispute with the Chinese authorities was credible.  At paragraph 12(f)</w:t>
      </w:r>
      <w:r w:rsidR="009B3757">
        <w:rPr>
          <w:rFonts w:ascii="Book Antiqua" w:hAnsi="Book Antiqua" w:cs="Arial"/>
        </w:rPr>
        <w:t>,</w:t>
      </w:r>
      <w:r>
        <w:rPr>
          <w:rFonts w:ascii="Book Antiqua" w:hAnsi="Book Antiqua" w:cs="Arial"/>
        </w:rPr>
        <w:t xml:space="preserve"> the judge noted that the appellant had waited four and a half years before claiming asylum.  He had also travelled through Germany, without claiming asylum there.  This conduct damaged the appellant’s overall credibility.  </w:t>
      </w:r>
    </w:p>
    <w:p w14:paraId="7A1F3862" w14:textId="77777777" w:rsidR="00D03B5B" w:rsidRDefault="00D03B5B" w:rsidP="00D03B5B">
      <w:pPr>
        <w:pStyle w:val="ListParagraph"/>
        <w:spacing w:before="240" w:after="240"/>
        <w:ind w:left="567"/>
        <w:jc w:val="both"/>
        <w:rPr>
          <w:rFonts w:ascii="Book Antiqua" w:hAnsi="Book Antiqua" w:cs="Arial"/>
        </w:rPr>
      </w:pPr>
    </w:p>
    <w:p w14:paraId="5AB37B12" w14:textId="77777777" w:rsidR="0089562A" w:rsidRDefault="00D03B5B" w:rsidP="00D03B5B">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In the light of these </w:t>
      </w:r>
      <w:r w:rsidR="00EF1B75">
        <w:rPr>
          <w:rFonts w:ascii="Book Antiqua" w:hAnsi="Book Antiqua" w:cs="Arial"/>
        </w:rPr>
        <w:t>findings</w:t>
      </w:r>
      <w:r>
        <w:rPr>
          <w:rFonts w:ascii="Book Antiqua" w:hAnsi="Book Antiqua" w:cs="Arial"/>
        </w:rPr>
        <w:t xml:space="preserve">, at paragraph 13 the First-tier Tribunal Judge stated that the appellant had not discharged the burden of proof to establish that he was a refugee.  At paragraphs 15 to 17, the judge gave his reasons why the appellant was not entitled to humanitarian protection.  At paragraphs 18 to 23, the judge considered the appellant’s position by reference to Articles 2 and 3 of the Human Rights Convention.  The judge found that those articles were not engaged, given the findings he had made.  The judge ended his decision by giving his reasons why the appellant’s removal would not breach the latter’s right to respect for private and family life under Article 8 of the ECHR. </w:t>
      </w:r>
    </w:p>
    <w:p w14:paraId="6E4DDD8E" w14:textId="556F9FD3" w:rsidR="0089562A" w:rsidRDefault="0089562A" w:rsidP="0089562A">
      <w:pPr>
        <w:spacing w:after="240"/>
        <w:jc w:val="both"/>
        <w:rPr>
          <w:rFonts w:ascii="Book Antiqua" w:hAnsi="Book Antiqua" w:cs="Arial"/>
        </w:rPr>
      </w:pPr>
    </w:p>
    <w:p w14:paraId="36535438" w14:textId="77777777" w:rsidR="000C28D9" w:rsidRDefault="000C28D9" w:rsidP="0089562A">
      <w:pPr>
        <w:spacing w:after="240"/>
        <w:jc w:val="both"/>
        <w:rPr>
          <w:rFonts w:ascii="Book Antiqua" w:hAnsi="Book Antiqua" w:cs="Arial"/>
        </w:rPr>
      </w:pPr>
    </w:p>
    <w:p w14:paraId="440FBE0A" w14:textId="72EC43A2" w:rsidR="00D03B5B" w:rsidRPr="00D03B5B" w:rsidRDefault="002B5BD0" w:rsidP="002B5BD0">
      <w:pPr>
        <w:spacing w:after="240"/>
        <w:jc w:val="both"/>
        <w:rPr>
          <w:rFonts w:ascii="Book Antiqua" w:hAnsi="Book Antiqua" w:cs="Arial"/>
        </w:rPr>
      </w:pPr>
      <w:r>
        <w:rPr>
          <w:rFonts w:ascii="Book Antiqua" w:hAnsi="Book Antiqua" w:cs="Arial"/>
          <w:b/>
          <w:bCs/>
          <w:i/>
          <w:iCs/>
        </w:rPr>
        <w:lastRenderedPageBreak/>
        <w:t>D. THE GROUNDS OF APPEAL</w:t>
      </w:r>
    </w:p>
    <w:p w14:paraId="2AFA52D0" w14:textId="77777777" w:rsidR="00D03B5B" w:rsidRDefault="00D03B5B" w:rsidP="00D03B5B">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The grounds of appeal reads as </w:t>
      </w:r>
      <w:proofErr w:type="gramStart"/>
      <w:r>
        <w:rPr>
          <w:rFonts w:ascii="Book Antiqua" w:hAnsi="Book Antiqua" w:cs="Arial"/>
        </w:rPr>
        <w:t>follows:-</w:t>
      </w:r>
      <w:proofErr w:type="gramEnd"/>
    </w:p>
    <w:p w14:paraId="6047AC7C" w14:textId="77777777" w:rsidR="00D03B5B" w:rsidRPr="00D03B5B" w:rsidRDefault="00D03B5B" w:rsidP="00D03B5B">
      <w:pPr>
        <w:pStyle w:val="ListParagraph"/>
        <w:rPr>
          <w:rFonts w:ascii="Book Antiqua" w:hAnsi="Book Antiqua" w:cs="Arial"/>
        </w:rPr>
      </w:pPr>
    </w:p>
    <w:p w14:paraId="38B0F05B" w14:textId="77777777" w:rsidR="00D03B5B" w:rsidRPr="005D3556" w:rsidRDefault="007B7497" w:rsidP="007B7497">
      <w:pPr>
        <w:pStyle w:val="ListParagraph"/>
        <w:spacing w:after="240"/>
        <w:ind w:left="1701"/>
        <w:jc w:val="both"/>
        <w:rPr>
          <w:rFonts w:ascii="Book Antiqua" w:hAnsi="Book Antiqua" w:cs="Arial"/>
          <w:b/>
          <w:sz w:val="22"/>
          <w:szCs w:val="22"/>
        </w:rPr>
      </w:pPr>
      <w:r w:rsidRPr="005D3556">
        <w:rPr>
          <w:rFonts w:ascii="Book Antiqua" w:hAnsi="Book Antiqua" w:cs="Arial"/>
          <w:b/>
          <w:sz w:val="22"/>
          <w:szCs w:val="22"/>
        </w:rPr>
        <w:t>Ground 1 – errors of law in relation to the documentary evidence</w:t>
      </w:r>
    </w:p>
    <w:p w14:paraId="7701AEB1" w14:textId="77777777" w:rsidR="007B7497" w:rsidRPr="005D3556" w:rsidRDefault="007B7497" w:rsidP="007B7497">
      <w:pPr>
        <w:pStyle w:val="ListParagraph"/>
        <w:spacing w:after="240"/>
        <w:ind w:left="1701" w:hanging="567"/>
        <w:jc w:val="both"/>
        <w:rPr>
          <w:rFonts w:ascii="Book Antiqua" w:hAnsi="Book Antiqua" w:cs="Arial"/>
          <w:sz w:val="22"/>
          <w:szCs w:val="22"/>
        </w:rPr>
      </w:pPr>
    </w:p>
    <w:p w14:paraId="1697C220" w14:textId="77777777" w:rsidR="007B7497" w:rsidRPr="005D3556" w:rsidRDefault="007B7497" w:rsidP="007B7497">
      <w:pPr>
        <w:pStyle w:val="ListParagraph"/>
        <w:spacing w:after="240"/>
        <w:ind w:left="1701" w:hanging="567"/>
        <w:jc w:val="both"/>
        <w:rPr>
          <w:rFonts w:ascii="Book Antiqua" w:hAnsi="Book Antiqua" w:cs="Arial"/>
          <w:sz w:val="22"/>
          <w:szCs w:val="22"/>
        </w:rPr>
      </w:pPr>
      <w:r w:rsidRPr="005D3556">
        <w:rPr>
          <w:rFonts w:ascii="Book Antiqua" w:hAnsi="Book Antiqua" w:cs="Arial"/>
          <w:sz w:val="22"/>
          <w:szCs w:val="22"/>
        </w:rPr>
        <w:t>2.</w:t>
      </w:r>
      <w:r w:rsidRPr="005D3556">
        <w:rPr>
          <w:rFonts w:ascii="Book Antiqua" w:hAnsi="Book Antiqua" w:cs="Arial"/>
          <w:sz w:val="22"/>
          <w:szCs w:val="22"/>
        </w:rPr>
        <w:tab/>
        <w:t>The FTT erred in law when assessing the documentary evidence, at paragraph 12(l), for the following reasons:</w:t>
      </w:r>
    </w:p>
    <w:p w14:paraId="56FF08FC" w14:textId="77777777" w:rsidR="007B7497" w:rsidRPr="000E5B24" w:rsidRDefault="009B1F78" w:rsidP="009B1F78">
      <w:pPr>
        <w:spacing w:after="240"/>
        <w:ind w:left="2268" w:hanging="567"/>
        <w:jc w:val="both"/>
        <w:rPr>
          <w:rFonts w:ascii="Book Antiqua" w:hAnsi="Book Antiqua" w:cs="Arial"/>
          <w:sz w:val="22"/>
          <w:szCs w:val="22"/>
        </w:rPr>
      </w:pPr>
      <w:r w:rsidRPr="000E5B24">
        <w:rPr>
          <w:rFonts w:ascii="Book Antiqua" w:hAnsi="Book Antiqua" w:cs="Arial"/>
          <w:sz w:val="22"/>
          <w:szCs w:val="22"/>
        </w:rPr>
        <w:t>(i)</w:t>
      </w:r>
      <w:r w:rsidRPr="000E5B24">
        <w:rPr>
          <w:rFonts w:ascii="Book Antiqua" w:hAnsi="Book Antiqua" w:cs="Arial"/>
          <w:sz w:val="22"/>
          <w:szCs w:val="22"/>
        </w:rPr>
        <w:tab/>
        <w:t>By misapplying the law and failing to recognise that as the respondent had not carried out any verification checks on the arrest warrant, it was not open to the respondent, or the FTT, to impugn such a document.  The document was central to the claim and it was not said it was not easily verifiable (</w:t>
      </w:r>
      <w:r w:rsidRPr="000E5B24">
        <w:rPr>
          <w:rFonts w:ascii="Book Antiqua" w:hAnsi="Book Antiqua" w:cs="Arial"/>
          <w:i/>
          <w:sz w:val="22"/>
          <w:szCs w:val="22"/>
        </w:rPr>
        <w:t>PJ (Sri Lanka) v Secretary of State for the Home Department [2015] 1 WLR 1322</w:t>
      </w:r>
      <w:r w:rsidRPr="000E5B24">
        <w:rPr>
          <w:rFonts w:ascii="Book Antiqua" w:hAnsi="Book Antiqua" w:cs="Arial"/>
          <w:sz w:val="22"/>
          <w:szCs w:val="22"/>
        </w:rPr>
        <w:t xml:space="preserve"> at paragraphs 30 and 31; </w:t>
      </w:r>
      <w:r w:rsidRPr="000E5B24">
        <w:rPr>
          <w:rFonts w:ascii="Book Antiqua" w:hAnsi="Book Antiqua" w:cs="Arial"/>
          <w:i/>
          <w:sz w:val="22"/>
          <w:szCs w:val="22"/>
        </w:rPr>
        <w:t>AR [2017] CSIH 52</w:t>
      </w:r>
      <w:r w:rsidRPr="000E5B24">
        <w:rPr>
          <w:rFonts w:ascii="Book Antiqua" w:hAnsi="Book Antiqua" w:cs="Arial"/>
          <w:sz w:val="22"/>
          <w:szCs w:val="22"/>
        </w:rPr>
        <w:t xml:space="preserve"> at paragraph 35).  </w:t>
      </w:r>
      <w:r w:rsidRPr="000E5B24">
        <w:rPr>
          <w:rFonts w:ascii="Book Antiqua" w:hAnsi="Book Antiqua" w:cs="Arial"/>
          <w:i/>
          <w:sz w:val="22"/>
          <w:szCs w:val="22"/>
          <w:u w:val="single"/>
        </w:rPr>
        <w:t>Separatim</w:t>
      </w:r>
      <w:r w:rsidRPr="000E5B24">
        <w:rPr>
          <w:rFonts w:ascii="Book Antiqua" w:hAnsi="Book Antiqua" w:cs="Arial"/>
          <w:sz w:val="22"/>
          <w:szCs w:val="22"/>
        </w:rPr>
        <w:t xml:space="preserve"> the FTT erred where the respondent had failed to consider routes which the document could be verified.  Although the document is an arrest warrant, that does not prohibit discrete investigation.  In </w:t>
      </w:r>
      <w:r w:rsidRPr="000E5B24">
        <w:rPr>
          <w:rFonts w:ascii="Book Antiqua" w:hAnsi="Book Antiqua" w:cs="Arial"/>
          <w:i/>
          <w:sz w:val="22"/>
          <w:szCs w:val="22"/>
        </w:rPr>
        <w:t>AR, supra</w:t>
      </w:r>
      <w:r w:rsidRPr="000E5B24">
        <w:rPr>
          <w:rFonts w:ascii="Book Antiqua" w:hAnsi="Book Antiqua" w:cs="Arial"/>
          <w:sz w:val="22"/>
          <w:szCs w:val="22"/>
        </w:rPr>
        <w:t xml:space="preserve"> the respondent was able to carry out verification checks on the FIR at a police station in Pakistan.  Such errors are material where if the document can be relied upon, the adverse credibility findings are otiose; </w:t>
      </w:r>
    </w:p>
    <w:p w14:paraId="110890B4" w14:textId="77777777" w:rsidR="009B1F78" w:rsidRPr="000E5B24" w:rsidRDefault="009B1F78" w:rsidP="009B1F78">
      <w:pPr>
        <w:spacing w:after="240"/>
        <w:ind w:left="2268" w:hanging="567"/>
        <w:jc w:val="both"/>
        <w:rPr>
          <w:rFonts w:ascii="Book Antiqua" w:hAnsi="Book Antiqua" w:cs="Arial"/>
          <w:sz w:val="22"/>
          <w:szCs w:val="22"/>
        </w:rPr>
      </w:pPr>
      <w:r w:rsidRPr="000E5B24">
        <w:rPr>
          <w:rFonts w:ascii="Book Antiqua" w:hAnsi="Book Antiqua" w:cs="Arial"/>
          <w:sz w:val="22"/>
          <w:szCs w:val="22"/>
        </w:rPr>
        <w:t>(ii)</w:t>
      </w:r>
      <w:r w:rsidRPr="000E5B24">
        <w:rPr>
          <w:rFonts w:ascii="Book Antiqua" w:hAnsi="Book Antiqua" w:cs="Arial"/>
          <w:sz w:val="22"/>
          <w:szCs w:val="22"/>
        </w:rPr>
        <w:tab/>
        <w:t xml:space="preserve">further the FTT </w:t>
      </w:r>
      <w:r w:rsidR="000E5B24" w:rsidRPr="000E5B24">
        <w:rPr>
          <w:rFonts w:ascii="Book Antiqua" w:hAnsi="Book Antiqua" w:cs="Arial"/>
          <w:sz w:val="22"/>
          <w:szCs w:val="22"/>
        </w:rPr>
        <w:t xml:space="preserve">has </w:t>
      </w:r>
      <w:r w:rsidRPr="000E5B24">
        <w:rPr>
          <w:rFonts w:ascii="Book Antiqua" w:hAnsi="Book Antiqua" w:cs="Arial"/>
          <w:sz w:val="22"/>
          <w:szCs w:val="22"/>
        </w:rPr>
        <w:t>allowed the adverse credibility findings to sway the assessment of the arrest warrant.  As such this is a misapplication of the law and is a material error of law (</w:t>
      </w:r>
      <w:r w:rsidRPr="000E5B24">
        <w:rPr>
          <w:rFonts w:ascii="Book Antiqua" w:hAnsi="Book Antiqua" w:cs="Arial"/>
          <w:i/>
          <w:sz w:val="22"/>
          <w:szCs w:val="22"/>
        </w:rPr>
        <w:t>TF &amp; MA 2019 SC 81</w:t>
      </w:r>
      <w:r w:rsidRPr="000E5B24">
        <w:rPr>
          <w:rFonts w:ascii="Book Antiqua" w:hAnsi="Book Antiqua" w:cs="Arial"/>
          <w:sz w:val="22"/>
          <w:szCs w:val="22"/>
        </w:rPr>
        <w:t xml:space="preserve"> at paragraph 49 per Lord Glennie);</w:t>
      </w:r>
    </w:p>
    <w:p w14:paraId="10A4051D" w14:textId="34DA4847" w:rsidR="00167054" w:rsidRDefault="009B1F78" w:rsidP="00167054">
      <w:pPr>
        <w:spacing w:after="240"/>
        <w:ind w:left="2268" w:hanging="567"/>
        <w:jc w:val="both"/>
        <w:rPr>
          <w:rFonts w:ascii="Book Antiqua" w:hAnsi="Book Antiqua" w:cs="Arial"/>
          <w:sz w:val="22"/>
          <w:szCs w:val="22"/>
        </w:rPr>
      </w:pPr>
      <w:r w:rsidRPr="000E5B24">
        <w:rPr>
          <w:rFonts w:ascii="Book Antiqua" w:hAnsi="Book Antiqua" w:cs="Arial"/>
          <w:sz w:val="22"/>
          <w:szCs w:val="22"/>
        </w:rPr>
        <w:t>(iii)</w:t>
      </w:r>
      <w:r w:rsidRPr="000E5B24">
        <w:rPr>
          <w:rFonts w:ascii="Book Antiqua" w:hAnsi="Book Antiqua" w:cs="Arial"/>
          <w:sz w:val="22"/>
          <w:szCs w:val="22"/>
        </w:rPr>
        <w:tab/>
      </w:r>
      <w:r w:rsidRPr="000E5B24">
        <w:rPr>
          <w:rFonts w:ascii="Book Antiqua" w:hAnsi="Book Antiqua" w:cs="Arial"/>
          <w:i/>
          <w:sz w:val="22"/>
          <w:szCs w:val="22"/>
        </w:rPr>
        <w:t>separatim</w:t>
      </w:r>
      <w:r w:rsidRPr="000E5B24">
        <w:rPr>
          <w:rFonts w:ascii="Book Antiqua" w:hAnsi="Book Antiqua" w:cs="Arial"/>
          <w:sz w:val="22"/>
          <w:szCs w:val="22"/>
        </w:rPr>
        <w:t xml:space="preserve"> the FTT erred by failing to be slow, at paragraph 12(e), to draw adverse inferences from omissions/inconsistencies arising from the screening interview (</w:t>
      </w:r>
      <w:r w:rsidRPr="000E5B24">
        <w:rPr>
          <w:rFonts w:ascii="Book Antiqua" w:hAnsi="Book Antiqua" w:cs="Arial"/>
          <w:i/>
          <w:sz w:val="22"/>
          <w:szCs w:val="22"/>
        </w:rPr>
        <w:t xml:space="preserve">Kavungu [2002] UKIAT 00243; YL (rely </w:t>
      </w:r>
      <w:r w:rsidR="007C1507">
        <w:rPr>
          <w:rFonts w:ascii="Book Antiqua" w:hAnsi="Book Antiqua" w:cs="Arial"/>
          <w:i/>
          <w:sz w:val="22"/>
          <w:szCs w:val="22"/>
        </w:rPr>
        <w:t xml:space="preserve">on </w:t>
      </w:r>
      <w:r w:rsidRPr="000E5B24">
        <w:rPr>
          <w:rFonts w:ascii="Book Antiqua" w:hAnsi="Book Antiqua" w:cs="Arial"/>
          <w:i/>
          <w:sz w:val="22"/>
          <w:szCs w:val="22"/>
        </w:rPr>
        <w:t>SEF) China [2004] UKIAT 00145</w:t>
      </w:r>
      <w:r w:rsidRPr="000E5B24">
        <w:rPr>
          <w:rFonts w:ascii="Book Antiqua" w:hAnsi="Book Antiqua" w:cs="Arial"/>
          <w:sz w:val="22"/>
          <w:szCs w:val="22"/>
        </w:rPr>
        <w:t xml:space="preserve"> at paragraph 19).”</w:t>
      </w:r>
    </w:p>
    <w:p w14:paraId="249A222A" w14:textId="1951D141" w:rsidR="002B5BD0" w:rsidRDefault="002B5BD0" w:rsidP="002B5BD0">
      <w:pPr>
        <w:spacing w:before="240" w:after="240"/>
        <w:jc w:val="both"/>
        <w:rPr>
          <w:rFonts w:ascii="Book Antiqua" w:hAnsi="Book Antiqua" w:cs="Arial"/>
        </w:rPr>
      </w:pPr>
    </w:p>
    <w:p w14:paraId="72D576D0" w14:textId="496B8B64" w:rsidR="002B5BD0" w:rsidRPr="002B5BD0" w:rsidRDefault="002B5BD0" w:rsidP="002B5BD0">
      <w:pPr>
        <w:spacing w:before="240" w:after="240"/>
        <w:jc w:val="both"/>
        <w:rPr>
          <w:rFonts w:ascii="Book Antiqua" w:hAnsi="Book Antiqua" w:cs="Arial"/>
          <w:b/>
          <w:bCs/>
          <w:i/>
          <w:iCs/>
        </w:rPr>
      </w:pPr>
      <w:r>
        <w:rPr>
          <w:rFonts w:ascii="Book Antiqua" w:hAnsi="Book Antiqua" w:cs="Arial"/>
          <w:b/>
          <w:bCs/>
          <w:i/>
          <w:iCs/>
        </w:rPr>
        <w:t xml:space="preserve">E.  </w:t>
      </w:r>
      <w:r w:rsidR="00012618">
        <w:rPr>
          <w:rFonts w:ascii="Book Antiqua" w:hAnsi="Book Antiqua" w:cs="Arial"/>
          <w:b/>
          <w:bCs/>
          <w:i/>
          <w:iCs/>
        </w:rPr>
        <w:t>VERIFICATION OF DOCUMENTS</w:t>
      </w:r>
    </w:p>
    <w:p w14:paraId="1E9241AE" w14:textId="634E9A9E" w:rsidR="001465EE" w:rsidRDefault="00167054" w:rsidP="00B15AB2">
      <w:pPr>
        <w:pStyle w:val="ListParagraph"/>
        <w:numPr>
          <w:ilvl w:val="0"/>
          <w:numId w:val="1"/>
        </w:numPr>
        <w:spacing w:before="240" w:after="240"/>
        <w:ind w:left="567" w:hanging="567"/>
        <w:jc w:val="both"/>
        <w:rPr>
          <w:rFonts w:ascii="Book Antiqua" w:hAnsi="Book Antiqua" w:cs="Arial"/>
        </w:rPr>
      </w:pPr>
      <w:r w:rsidRPr="00BA7859">
        <w:rPr>
          <w:rFonts w:ascii="Book Antiqua" w:hAnsi="Book Antiqua" w:cs="Arial"/>
        </w:rPr>
        <w:t xml:space="preserve">The leading Tribunal </w:t>
      </w:r>
      <w:r w:rsidR="00D92B0C">
        <w:rPr>
          <w:rFonts w:ascii="Book Antiqua" w:hAnsi="Book Antiqua" w:cs="Arial"/>
        </w:rPr>
        <w:t>authority</w:t>
      </w:r>
      <w:r w:rsidRPr="00BA7859">
        <w:rPr>
          <w:rFonts w:ascii="Book Antiqua" w:hAnsi="Book Antiqua" w:cs="Arial"/>
        </w:rPr>
        <w:t xml:space="preserve"> on the proper approach to documents of the kind with which we are concerned is </w:t>
      </w:r>
      <w:r w:rsidRPr="00BA7859">
        <w:rPr>
          <w:rFonts w:ascii="Book Antiqua" w:hAnsi="Book Antiqua" w:cs="Arial"/>
          <w:u w:val="single"/>
        </w:rPr>
        <w:t>Ahmed (</w:t>
      </w:r>
      <w:r w:rsidR="00FF1338" w:rsidRPr="00BA7859">
        <w:rPr>
          <w:rFonts w:ascii="Book Antiqua" w:hAnsi="Book Antiqua" w:cs="Arial"/>
          <w:u w:val="single"/>
        </w:rPr>
        <w:t>D</w:t>
      </w:r>
      <w:r w:rsidRPr="00BA7859">
        <w:rPr>
          <w:rFonts w:ascii="Book Antiqua" w:hAnsi="Book Antiqua" w:cs="Arial"/>
          <w:u w:val="single"/>
        </w:rPr>
        <w:t>ocuments unreliable and forged) Pakistan*</w:t>
      </w:r>
      <w:r w:rsidRPr="00BA7859">
        <w:rPr>
          <w:rFonts w:ascii="Book Antiqua" w:hAnsi="Book Antiqua" w:cs="Arial"/>
        </w:rPr>
        <w:t xml:space="preserve"> [2002] UKIAT 00439</w:t>
      </w:r>
      <w:r w:rsidR="00E940DE">
        <w:rPr>
          <w:rFonts w:ascii="Book Antiqua" w:hAnsi="Book Antiqua" w:cs="Arial"/>
        </w:rPr>
        <w:t xml:space="preserve"> (hereafter “Tanveer Ahmed”)</w:t>
      </w:r>
      <w:r w:rsidRPr="00BA7859">
        <w:rPr>
          <w:rFonts w:ascii="Book Antiqua" w:hAnsi="Book Antiqua" w:cs="Arial"/>
        </w:rPr>
        <w:t xml:space="preserve">.  In that case, </w:t>
      </w:r>
      <w:r w:rsidR="00107B93" w:rsidRPr="00BA7859">
        <w:rPr>
          <w:rFonts w:ascii="Book Antiqua" w:hAnsi="Book Antiqua" w:cs="Arial"/>
        </w:rPr>
        <w:t xml:space="preserve">a senior panel of the Immigration Appeal Tribunal gave authoritative guidance </w:t>
      </w:r>
      <w:r w:rsidR="00FF1338" w:rsidRPr="00BA7859">
        <w:rPr>
          <w:rFonts w:ascii="Book Antiqua" w:hAnsi="Book Antiqua" w:cs="Arial"/>
        </w:rPr>
        <w:t xml:space="preserve">on the approach to such documents.  It is instructive to return to the actual terms of the Tribunal’s decision in </w:t>
      </w:r>
      <w:r w:rsidR="00DC7D80" w:rsidRPr="00DC7D80">
        <w:rPr>
          <w:rFonts w:ascii="Book Antiqua" w:hAnsi="Book Antiqua" w:cs="Arial"/>
          <w:u w:val="single"/>
        </w:rPr>
        <w:t xml:space="preserve">Tanveer </w:t>
      </w:r>
      <w:r w:rsidR="00FF1338" w:rsidRPr="00DC7D80">
        <w:rPr>
          <w:rFonts w:ascii="Book Antiqua" w:hAnsi="Book Antiqua" w:cs="Arial"/>
          <w:u w:val="single"/>
        </w:rPr>
        <w:t>A</w:t>
      </w:r>
      <w:r w:rsidR="00FF1338" w:rsidRPr="00BA7859">
        <w:rPr>
          <w:rFonts w:ascii="Book Antiqua" w:hAnsi="Book Antiqua" w:cs="Arial"/>
          <w:u w:val="single"/>
        </w:rPr>
        <w:t>hmed</w:t>
      </w:r>
      <w:r w:rsidR="00FF1338" w:rsidRPr="00BA7859">
        <w:rPr>
          <w:rFonts w:ascii="Book Antiqua" w:hAnsi="Book Antiqua" w:cs="Arial"/>
        </w:rPr>
        <w:t xml:space="preserve">, approved as it has been on numerous subsequent occasions in the higher courts. </w:t>
      </w:r>
    </w:p>
    <w:p w14:paraId="34C3797B" w14:textId="77777777" w:rsidR="001465EE" w:rsidRDefault="001465EE" w:rsidP="001465EE">
      <w:pPr>
        <w:pStyle w:val="ListParagraph"/>
        <w:spacing w:before="240" w:after="240"/>
        <w:ind w:left="567"/>
        <w:jc w:val="both"/>
        <w:rPr>
          <w:rFonts w:ascii="Book Antiqua" w:hAnsi="Book Antiqua" w:cs="Arial"/>
        </w:rPr>
      </w:pPr>
    </w:p>
    <w:p w14:paraId="7F64D417" w14:textId="396CD0C7" w:rsidR="00FF1338" w:rsidRPr="00BA7859" w:rsidRDefault="00FF1338" w:rsidP="00B15AB2">
      <w:pPr>
        <w:pStyle w:val="ListParagraph"/>
        <w:numPr>
          <w:ilvl w:val="0"/>
          <w:numId w:val="1"/>
        </w:numPr>
        <w:spacing w:before="240" w:after="240"/>
        <w:ind w:left="567" w:hanging="567"/>
        <w:jc w:val="both"/>
        <w:rPr>
          <w:rFonts w:ascii="Book Antiqua" w:hAnsi="Book Antiqua" w:cs="Arial"/>
        </w:rPr>
      </w:pPr>
      <w:r w:rsidRPr="00BA7859">
        <w:rPr>
          <w:rFonts w:ascii="Book Antiqua" w:hAnsi="Book Antiqua" w:cs="Arial"/>
        </w:rPr>
        <w:t xml:space="preserve"> At paragraph 31, the Tribunal </w:t>
      </w:r>
      <w:proofErr w:type="gramStart"/>
      <w:r w:rsidRPr="00BA7859">
        <w:rPr>
          <w:rFonts w:ascii="Book Antiqua" w:hAnsi="Book Antiqua" w:cs="Arial"/>
        </w:rPr>
        <w:t>said:-</w:t>
      </w:r>
      <w:proofErr w:type="gramEnd"/>
      <w:r w:rsidRPr="00BA7859">
        <w:rPr>
          <w:rFonts w:ascii="Book Antiqua" w:hAnsi="Book Antiqua" w:cs="Arial"/>
        </w:rPr>
        <w:t xml:space="preserve"> </w:t>
      </w:r>
    </w:p>
    <w:p w14:paraId="5A297D26" w14:textId="77777777" w:rsidR="00FF1338" w:rsidRDefault="00FF1338" w:rsidP="00FF1338">
      <w:pPr>
        <w:pStyle w:val="ListParagraph"/>
        <w:spacing w:before="240" w:after="240"/>
        <w:ind w:left="567"/>
        <w:jc w:val="both"/>
        <w:rPr>
          <w:rFonts w:ascii="Book Antiqua" w:hAnsi="Book Antiqua" w:cs="Arial"/>
        </w:rPr>
      </w:pPr>
    </w:p>
    <w:p w14:paraId="04B31252" w14:textId="77777777" w:rsidR="00FF1338" w:rsidRPr="00FE11A9" w:rsidRDefault="00FF1338" w:rsidP="00FF1338">
      <w:pPr>
        <w:pStyle w:val="ListParagraph"/>
        <w:spacing w:before="240" w:after="240"/>
        <w:ind w:left="1701" w:hanging="567"/>
        <w:jc w:val="both"/>
        <w:rPr>
          <w:rFonts w:ascii="Book Antiqua" w:hAnsi="Book Antiqua" w:cs="Arial"/>
          <w:sz w:val="22"/>
          <w:szCs w:val="22"/>
        </w:rPr>
      </w:pPr>
      <w:r w:rsidRPr="00FE11A9">
        <w:rPr>
          <w:rFonts w:ascii="Book Antiqua" w:hAnsi="Book Antiqua" w:cs="Arial"/>
          <w:sz w:val="22"/>
          <w:szCs w:val="22"/>
        </w:rPr>
        <w:t>“</w:t>
      </w:r>
      <w:bookmarkStart w:id="2" w:name="para31"/>
      <w:r w:rsidR="00FE11A9">
        <w:rPr>
          <w:rFonts w:ascii="Book Antiqua" w:hAnsi="Book Antiqua" w:cs="Arial"/>
          <w:sz w:val="22"/>
          <w:szCs w:val="22"/>
        </w:rPr>
        <w:t>31.</w:t>
      </w:r>
      <w:r w:rsidR="00FE11A9">
        <w:rPr>
          <w:rFonts w:ascii="Book Antiqua" w:hAnsi="Book Antiqua" w:cs="Arial"/>
          <w:sz w:val="22"/>
          <w:szCs w:val="22"/>
        </w:rPr>
        <w:tab/>
      </w:r>
      <w:r w:rsidR="00FE11A9" w:rsidRPr="00FE11A9">
        <w:rPr>
          <w:rFonts w:ascii="Book Antiqua" w:hAnsi="Book Antiqua"/>
          <w:sz w:val="22"/>
          <w:szCs w:val="22"/>
        </w:rPr>
        <w:t xml:space="preserve">It is trite immigration and asylum law that we must not judge what is or is not likely to happen in other countries by reference to our perception of what is normal within the United Kingdom. </w:t>
      </w:r>
      <w:r w:rsidR="00FE11A9">
        <w:rPr>
          <w:rFonts w:ascii="Book Antiqua" w:hAnsi="Book Antiqua"/>
          <w:sz w:val="22"/>
          <w:szCs w:val="22"/>
        </w:rPr>
        <w:t xml:space="preserve"> </w:t>
      </w:r>
      <w:r w:rsidR="00FE11A9" w:rsidRPr="00FE11A9">
        <w:rPr>
          <w:rFonts w:ascii="Book Antiqua" w:hAnsi="Book Antiqua"/>
          <w:sz w:val="22"/>
          <w:szCs w:val="22"/>
        </w:rPr>
        <w:t>The principle applies as much to documents as to any other form of evidence.</w:t>
      </w:r>
      <w:r w:rsidR="00FE11A9">
        <w:rPr>
          <w:rFonts w:ascii="Book Antiqua" w:hAnsi="Book Antiqua"/>
          <w:sz w:val="22"/>
          <w:szCs w:val="22"/>
        </w:rPr>
        <w:t xml:space="preserve"> </w:t>
      </w:r>
      <w:r w:rsidR="00FE11A9" w:rsidRPr="00FE11A9">
        <w:rPr>
          <w:rFonts w:ascii="Book Antiqua" w:hAnsi="Book Antiqua"/>
          <w:sz w:val="22"/>
          <w:szCs w:val="22"/>
        </w:rPr>
        <w:t xml:space="preserve"> We know from experience and country information </w:t>
      </w:r>
      <w:r w:rsidR="00FE11A9" w:rsidRPr="00FE11A9">
        <w:rPr>
          <w:rFonts w:ascii="Book Antiqua" w:hAnsi="Book Antiqua"/>
          <w:sz w:val="22"/>
          <w:szCs w:val="22"/>
        </w:rPr>
        <w:lastRenderedPageBreak/>
        <w:t xml:space="preserve">that there are countries where it is easy and often relatively inexpensive to obtain "forged" documents. </w:t>
      </w:r>
      <w:r w:rsidR="00FE11A9">
        <w:rPr>
          <w:rFonts w:ascii="Book Antiqua" w:hAnsi="Book Antiqua"/>
          <w:sz w:val="22"/>
          <w:szCs w:val="22"/>
        </w:rPr>
        <w:t xml:space="preserve"> </w:t>
      </w:r>
      <w:r w:rsidR="00FE11A9" w:rsidRPr="00FE11A9">
        <w:rPr>
          <w:rFonts w:ascii="Book Antiqua" w:hAnsi="Book Antiqua"/>
          <w:sz w:val="22"/>
          <w:szCs w:val="22"/>
        </w:rPr>
        <w:t xml:space="preserve">Some of them are false in that they are not made by whoever purports to be the author and the information they contain is wholly or partially untrue. </w:t>
      </w:r>
      <w:r w:rsidR="00FE11A9">
        <w:rPr>
          <w:rFonts w:ascii="Book Antiqua" w:hAnsi="Book Antiqua"/>
          <w:sz w:val="22"/>
          <w:szCs w:val="22"/>
        </w:rPr>
        <w:t xml:space="preserve"> </w:t>
      </w:r>
      <w:r w:rsidR="00FE11A9" w:rsidRPr="00FE11A9">
        <w:rPr>
          <w:rFonts w:ascii="Book Antiqua" w:hAnsi="Book Antiqua"/>
          <w:sz w:val="22"/>
          <w:szCs w:val="22"/>
        </w:rPr>
        <w:t xml:space="preserve">Some are "genuine" to the extent that they emanate from a proper source, in the proper form, on the proper paper, with the proper seals, but the information they contain is wholly or partially untrue. </w:t>
      </w:r>
      <w:r w:rsidR="00FE11A9">
        <w:rPr>
          <w:rFonts w:ascii="Book Antiqua" w:hAnsi="Book Antiqua"/>
          <w:sz w:val="22"/>
          <w:szCs w:val="22"/>
        </w:rPr>
        <w:t xml:space="preserve"> </w:t>
      </w:r>
      <w:r w:rsidR="00FE11A9" w:rsidRPr="00FE11A9">
        <w:rPr>
          <w:rFonts w:ascii="Book Antiqua" w:hAnsi="Book Antiqua"/>
          <w:sz w:val="22"/>
          <w:szCs w:val="22"/>
        </w:rPr>
        <w:t>Examples are birth, death and marriage certificates from certain countries, which can be obtained from the proper source for a "fee</w:t>
      </w:r>
      <w:proofErr w:type="gramStart"/>
      <w:r w:rsidR="00FE11A9" w:rsidRPr="00FE11A9">
        <w:rPr>
          <w:rFonts w:ascii="Book Antiqua" w:hAnsi="Book Antiqua"/>
          <w:sz w:val="22"/>
          <w:szCs w:val="22"/>
        </w:rPr>
        <w:t>", but</w:t>
      </w:r>
      <w:proofErr w:type="gramEnd"/>
      <w:r w:rsidR="00FE11A9" w:rsidRPr="00FE11A9">
        <w:rPr>
          <w:rFonts w:ascii="Book Antiqua" w:hAnsi="Book Antiqua"/>
          <w:sz w:val="22"/>
          <w:szCs w:val="22"/>
        </w:rPr>
        <w:t xml:space="preserve"> contain information which is wholly or partially untrue. </w:t>
      </w:r>
      <w:r w:rsidR="00FE11A9">
        <w:rPr>
          <w:rFonts w:ascii="Book Antiqua" w:hAnsi="Book Antiqua"/>
          <w:sz w:val="22"/>
          <w:szCs w:val="22"/>
        </w:rPr>
        <w:t xml:space="preserve"> </w:t>
      </w:r>
      <w:r w:rsidR="00FE11A9" w:rsidRPr="00FE11A9">
        <w:rPr>
          <w:rFonts w:ascii="Book Antiqua" w:hAnsi="Book Antiqua"/>
          <w:sz w:val="22"/>
          <w:szCs w:val="22"/>
        </w:rPr>
        <w:t xml:space="preserve">The permutations of truth, untruth, validity and "genuineness" are enormous. </w:t>
      </w:r>
      <w:r w:rsidR="00FE11A9">
        <w:rPr>
          <w:rFonts w:ascii="Book Antiqua" w:hAnsi="Book Antiqua"/>
          <w:sz w:val="22"/>
          <w:szCs w:val="22"/>
        </w:rPr>
        <w:t xml:space="preserve"> </w:t>
      </w:r>
      <w:r w:rsidR="00FE11A9" w:rsidRPr="00FE11A9">
        <w:rPr>
          <w:rFonts w:ascii="Book Antiqua" w:hAnsi="Book Antiqua"/>
          <w:sz w:val="22"/>
          <w:szCs w:val="22"/>
        </w:rPr>
        <w:t xml:space="preserve">At its simplest we need to differentiate between form and content; that is whether a document is properly issued by the purported author and whether the contents are true. </w:t>
      </w:r>
      <w:r w:rsidR="00FE11A9">
        <w:rPr>
          <w:rFonts w:ascii="Book Antiqua" w:hAnsi="Book Antiqua"/>
          <w:sz w:val="22"/>
          <w:szCs w:val="22"/>
        </w:rPr>
        <w:t xml:space="preserve"> </w:t>
      </w:r>
      <w:r w:rsidR="00FE11A9" w:rsidRPr="00FE11A9">
        <w:rPr>
          <w:rFonts w:ascii="Book Antiqua" w:hAnsi="Book Antiqua"/>
          <w:sz w:val="22"/>
          <w:szCs w:val="22"/>
        </w:rPr>
        <w:t xml:space="preserve">They are separate questions. </w:t>
      </w:r>
      <w:r w:rsidR="00FE11A9">
        <w:rPr>
          <w:rFonts w:ascii="Book Antiqua" w:hAnsi="Book Antiqua"/>
          <w:sz w:val="22"/>
          <w:szCs w:val="22"/>
        </w:rPr>
        <w:t xml:space="preserve"> </w:t>
      </w:r>
      <w:r w:rsidR="00FE11A9" w:rsidRPr="00FE11A9">
        <w:rPr>
          <w:rFonts w:ascii="Book Antiqua" w:hAnsi="Book Antiqua"/>
          <w:sz w:val="22"/>
          <w:szCs w:val="22"/>
        </w:rPr>
        <w:t xml:space="preserve">It is a dangerous oversimplification merely to ask whether a document is "forged" or even "not genuine". </w:t>
      </w:r>
      <w:r w:rsidR="00FE11A9">
        <w:rPr>
          <w:rFonts w:ascii="Book Antiqua" w:hAnsi="Book Antiqua"/>
          <w:sz w:val="22"/>
          <w:szCs w:val="22"/>
        </w:rPr>
        <w:t xml:space="preserve"> </w:t>
      </w:r>
      <w:r w:rsidR="00FE11A9" w:rsidRPr="00FE11A9">
        <w:rPr>
          <w:rFonts w:ascii="Book Antiqua" w:hAnsi="Book Antiqua"/>
          <w:sz w:val="22"/>
          <w:szCs w:val="22"/>
        </w:rPr>
        <w:t>It is necessary to shake off any preconception that official looking documents are genuine, based on experience of documents in the United Kingdom, and to approach them with an open mind</w:t>
      </w:r>
      <w:r w:rsidR="00FE11A9">
        <w:rPr>
          <w:rFonts w:ascii="Book Antiqua" w:hAnsi="Book Antiqua"/>
          <w:sz w:val="22"/>
          <w:szCs w:val="22"/>
        </w:rPr>
        <w:t>”</w:t>
      </w:r>
      <w:r w:rsidR="00FE11A9" w:rsidRPr="00FE11A9">
        <w:rPr>
          <w:rFonts w:ascii="Book Antiqua" w:hAnsi="Book Antiqua"/>
          <w:sz w:val="22"/>
          <w:szCs w:val="22"/>
        </w:rPr>
        <w:t>.</w:t>
      </w:r>
      <w:bookmarkEnd w:id="2"/>
    </w:p>
    <w:p w14:paraId="64D27C66" w14:textId="77777777" w:rsidR="00FF1338" w:rsidRDefault="00FF1338" w:rsidP="00FF1338">
      <w:pPr>
        <w:pStyle w:val="ListParagraph"/>
        <w:spacing w:before="240" w:after="240"/>
        <w:ind w:left="567"/>
        <w:jc w:val="both"/>
        <w:rPr>
          <w:rFonts w:ascii="Book Antiqua" w:hAnsi="Book Antiqua" w:cs="Arial"/>
        </w:rPr>
      </w:pPr>
    </w:p>
    <w:p w14:paraId="79FB4020" w14:textId="711C53EB" w:rsidR="00FF1338" w:rsidRDefault="00FE11A9" w:rsidP="00FF1338">
      <w:pPr>
        <w:pStyle w:val="ListParagraph"/>
        <w:numPr>
          <w:ilvl w:val="0"/>
          <w:numId w:val="1"/>
        </w:numPr>
        <w:spacing w:after="240"/>
        <w:ind w:left="567" w:hanging="567"/>
        <w:jc w:val="both"/>
        <w:rPr>
          <w:rFonts w:ascii="Book Antiqua" w:hAnsi="Book Antiqua" w:cs="Arial"/>
        </w:rPr>
      </w:pPr>
      <w:proofErr w:type="gramStart"/>
      <w:r>
        <w:rPr>
          <w:rFonts w:ascii="Book Antiqua" w:hAnsi="Book Antiqua" w:cs="Arial"/>
        </w:rPr>
        <w:t>In light of</w:t>
      </w:r>
      <w:proofErr w:type="gramEnd"/>
      <w:r>
        <w:rPr>
          <w:rFonts w:ascii="Book Antiqua" w:hAnsi="Book Antiqua" w:cs="Arial"/>
        </w:rPr>
        <w:t xml:space="preserve"> the more recent decisions of the Court of Appeal and the Court of Session, to which we shall turn, what the Tribunal said in paragraph 31 is instructive.  What appears to be an official document, emanating from some authority abroad, may not, in truth, emanate from that authority.  But, even if it does, what the document sa</w:t>
      </w:r>
      <w:r w:rsidR="001465EE">
        <w:rPr>
          <w:rFonts w:ascii="Book Antiqua" w:hAnsi="Book Antiqua" w:cs="Arial"/>
        </w:rPr>
        <w:t>ys</w:t>
      </w:r>
      <w:r>
        <w:rPr>
          <w:rFonts w:ascii="Book Antiqua" w:hAnsi="Book Antiqua" w:cs="Arial"/>
        </w:rPr>
        <w:t xml:space="preserve"> (for example, about the person seeking international protection) may not be reliable.  Unlike the position in the United Kingdom where, happily, instances of corrupt</w:t>
      </w:r>
      <w:r w:rsidR="00E3515F">
        <w:rPr>
          <w:rFonts w:ascii="Book Antiqua" w:hAnsi="Book Antiqua" w:cs="Arial"/>
        </w:rPr>
        <w:t xml:space="preserve"> officialdom</w:t>
      </w:r>
      <w:r>
        <w:rPr>
          <w:rFonts w:ascii="Book Antiqua" w:hAnsi="Book Antiqua" w:cs="Arial"/>
        </w:rPr>
        <w:t xml:space="preserve"> are relatively rare, it is possible that the</w:t>
      </w:r>
      <w:r w:rsidR="00C644DA">
        <w:rPr>
          <w:rFonts w:ascii="Book Antiqua" w:hAnsi="Book Antiqua" w:cs="Arial"/>
        </w:rPr>
        <w:t xml:space="preserve"> foreign</w:t>
      </w:r>
      <w:r>
        <w:rPr>
          <w:rFonts w:ascii="Book Antiqua" w:hAnsi="Book Antiqua" w:cs="Arial"/>
        </w:rPr>
        <w:t xml:space="preserve"> official who produced the document may have been </w:t>
      </w:r>
      <w:r w:rsidR="00E81254">
        <w:rPr>
          <w:rFonts w:ascii="Book Antiqua" w:hAnsi="Book Antiqua" w:cs="Arial"/>
        </w:rPr>
        <w:t>suborned</w:t>
      </w:r>
      <w:r>
        <w:rPr>
          <w:rFonts w:ascii="Book Antiqua" w:hAnsi="Book Antiqua" w:cs="Arial"/>
        </w:rPr>
        <w:t xml:space="preserve">.  This explains the Tribunal’s </w:t>
      </w:r>
      <w:r w:rsidR="002E3389">
        <w:rPr>
          <w:rFonts w:ascii="Book Antiqua" w:hAnsi="Book Antiqua" w:cs="Arial"/>
        </w:rPr>
        <w:t>e</w:t>
      </w:r>
      <w:r w:rsidR="00C644DA">
        <w:rPr>
          <w:rFonts w:ascii="Book Antiqua" w:hAnsi="Book Antiqua" w:cs="Arial"/>
        </w:rPr>
        <w:t>xhortation</w:t>
      </w:r>
      <w:r>
        <w:rPr>
          <w:rFonts w:ascii="Book Antiqua" w:hAnsi="Book Antiqua" w:cs="Arial"/>
        </w:rPr>
        <w:t xml:space="preserve"> that one should approach such documents “with an open mind”.</w:t>
      </w:r>
    </w:p>
    <w:p w14:paraId="36D7FB1F" w14:textId="77777777" w:rsidR="00FE11A9" w:rsidRDefault="00FE11A9" w:rsidP="00FE11A9">
      <w:pPr>
        <w:pStyle w:val="ListParagraph"/>
        <w:spacing w:after="240"/>
        <w:ind w:left="567"/>
        <w:jc w:val="both"/>
        <w:rPr>
          <w:rFonts w:ascii="Book Antiqua" w:hAnsi="Book Antiqua" w:cs="Arial"/>
        </w:rPr>
      </w:pPr>
    </w:p>
    <w:p w14:paraId="16C99288" w14:textId="6C88A27B" w:rsidR="00FE11A9" w:rsidRDefault="00775062" w:rsidP="00FE11A9">
      <w:pPr>
        <w:pStyle w:val="ListParagraph"/>
        <w:numPr>
          <w:ilvl w:val="0"/>
          <w:numId w:val="1"/>
        </w:numPr>
        <w:spacing w:before="240" w:after="240"/>
        <w:ind w:left="567" w:hanging="567"/>
        <w:jc w:val="both"/>
        <w:rPr>
          <w:rFonts w:ascii="Book Antiqua" w:hAnsi="Book Antiqua" w:cs="Arial"/>
        </w:rPr>
      </w:pPr>
      <w:r>
        <w:rPr>
          <w:rFonts w:ascii="Book Antiqua" w:hAnsi="Book Antiqua" w:cs="Arial"/>
        </w:rPr>
        <w:t xml:space="preserve">At paragraphs 34 to 36, the Tribunal in </w:t>
      </w:r>
      <w:r w:rsidR="00BA4F02" w:rsidRPr="00BA4F02">
        <w:rPr>
          <w:rFonts w:ascii="Book Antiqua" w:hAnsi="Book Antiqua" w:cs="Arial"/>
          <w:u w:val="single"/>
        </w:rPr>
        <w:t xml:space="preserve">Tanveer </w:t>
      </w:r>
      <w:r w:rsidRPr="005C360F">
        <w:rPr>
          <w:rFonts w:ascii="Book Antiqua" w:hAnsi="Book Antiqua" w:cs="Arial"/>
          <w:u w:val="single"/>
        </w:rPr>
        <w:t>Ahmed</w:t>
      </w:r>
      <w:r>
        <w:rPr>
          <w:rFonts w:ascii="Book Antiqua" w:hAnsi="Book Antiqua" w:cs="Arial"/>
        </w:rPr>
        <w:t xml:space="preserve"> addressed the issue of the respondent’s obligations in </w:t>
      </w:r>
      <w:r w:rsidR="00707823">
        <w:rPr>
          <w:rFonts w:ascii="Book Antiqua" w:hAnsi="Book Antiqua" w:cs="Arial"/>
        </w:rPr>
        <w:t xml:space="preserve">respect of such </w:t>
      </w:r>
      <w:proofErr w:type="gramStart"/>
      <w:r w:rsidR="00707823">
        <w:rPr>
          <w:rFonts w:ascii="Book Antiqua" w:hAnsi="Book Antiqua" w:cs="Arial"/>
        </w:rPr>
        <w:t>document</w:t>
      </w:r>
      <w:r w:rsidR="000A0FAB">
        <w:rPr>
          <w:rFonts w:ascii="Book Antiqua" w:hAnsi="Book Antiqua" w:cs="Arial"/>
        </w:rPr>
        <w:t>s</w:t>
      </w:r>
      <w:r>
        <w:rPr>
          <w:rFonts w:ascii="Book Antiqua" w:hAnsi="Book Antiqua" w:cs="Arial"/>
        </w:rPr>
        <w:t>:-</w:t>
      </w:r>
      <w:proofErr w:type="gramEnd"/>
    </w:p>
    <w:p w14:paraId="4E071CB5" w14:textId="00937A57" w:rsidR="00775062" w:rsidRDefault="00775062" w:rsidP="00775062">
      <w:pPr>
        <w:ind w:left="1701" w:hanging="567"/>
        <w:jc w:val="both"/>
        <w:rPr>
          <w:rFonts w:ascii="Book Antiqua" w:hAnsi="Book Antiqua"/>
          <w:sz w:val="22"/>
          <w:szCs w:val="22"/>
        </w:rPr>
      </w:pPr>
      <w:r w:rsidRPr="00775062">
        <w:rPr>
          <w:rFonts w:ascii="Book Antiqua" w:hAnsi="Book Antiqua" w:cs="Arial"/>
          <w:sz w:val="22"/>
          <w:szCs w:val="22"/>
        </w:rPr>
        <w:t>“</w:t>
      </w:r>
      <w:bookmarkStart w:id="3" w:name="para34"/>
      <w:r>
        <w:rPr>
          <w:rFonts w:ascii="Book Antiqua" w:hAnsi="Book Antiqua" w:cs="Arial"/>
          <w:sz w:val="22"/>
          <w:szCs w:val="22"/>
        </w:rPr>
        <w:t>34.</w:t>
      </w:r>
      <w:r>
        <w:rPr>
          <w:rFonts w:ascii="Book Antiqua" w:hAnsi="Book Antiqua" w:cs="Arial"/>
          <w:sz w:val="22"/>
          <w:szCs w:val="22"/>
        </w:rPr>
        <w:tab/>
      </w:r>
      <w:r w:rsidRPr="00775062">
        <w:rPr>
          <w:rFonts w:ascii="Book Antiqua" w:hAnsi="Book Antiqua"/>
          <w:sz w:val="22"/>
          <w:szCs w:val="22"/>
        </w:rPr>
        <w:t xml:space="preserve">It is sometimes argued before Adjudicators or the Tribunal that if the Home Office alleges that a document relied on by an individual claimant is a forgery and the Home Office fails to establish this on the balance of probabilities, or even to the higher criminal standard, then the individual claimant has established the validity and truth of the document and its contents. </w:t>
      </w:r>
      <w:r>
        <w:rPr>
          <w:rFonts w:ascii="Book Antiqua" w:hAnsi="Book Antiqua"/>
          <w:sz w:val="22"/>
          <w:szCs w:val="22"/>
        </w:rPr>
        <w:t xml:space="preserve"> </w:t>
      </w:r>
      <w:r w:rsidRPr="00775062">
        <w:rPr>
          <w:rFonts w:ascii="Book Antiqua" w:hAnsi="Book Antiqua"/>
          <w:sz w:val="22"/>
          <w:szCs w:val="22"/>
        </w:rPr>
        <w:t xml:space="preserve">There is no legal justification for such an argument, which is manifestly incorrect, given that whether the document is a forgery is not the question at issue. </w:t>
      </w:r>
      <w:r>
        <w:rPr>
          <w:rFonts w:ascii="Book Antiqua" w:hAnsi="Book Antiqua"/>
          <w:sz w:val="22"/>
          <w:szCs w:val="22"/>
        </w:rPr>
        <w:t xml:space="preserve"> </w:t>
      </w:r>
      <w:proofErr w:type="gramStart"/>
      <w:r w:rsidR="002F7EBA">
        <w:rPr>
          <w:rFonts w:ascii="Book Antiqua" w:hAnsi="Book Antiqua"/>
          <w:sz w:val="22"/>
          <w:szCs w:val="22"/>
        </w:rPr>
        <w:t>The</w:t>
      </w:r>
      <w:r w:rsidR="00E85B65">
        <w:rPr>
          <w:rFonts w:ascii="Book Antiqua" w:hAnsi="Book Antiqua"/>
          <w:sz w:val="22"/>
          <w:szCs w:val="22"/>
        </w:rPr>
        <w:t xml:space="preserve"> </w:t>
      </w:r>
      <w:r w:rsidRPr="00775062">
        <w:rPr>
          <w:rFonts w:ascii="Book Antiqua" w:hAnsi="Book Antiqua"/>
          <w:sz w:val="22"/>
          <w:szCs w:val="22"/>
        </w:rPr>
        <w:t xml:space="preserve"> only</w:t>
      </w:r>
      <w:proofErr w:type="gramEnd"/>
      <w:r w:rsidRPr="00775062">
        <w:rPr>
          <w:rFonts w:ascii="Book Antiqua" w:hAnsi="Book Antiqua"/>
          <w:sz w:val="22"/>
          <w:szCs w:val="22"/>
        </w:rPr>
        <w:t xml:space="preserve"> question is whether the document is one upon which reliance should properly be placed. </w:t>
      </w:r>
      <w:bookmarkEnd w:id="3"/>
    </w:p>
    <w:p w14:paraId="01E53987" w14:textId="77777777" w:rsidR="00775062" w:rsidRPr="00775062" w:rsidRDefault="00775062" w:rsidP="00775062">
      <w:pPr>
        <w:ind w:left="1701" w:hanging="567"/>
        <w:jc w:val="both"/>
        <w:rPr>
          <w:rFonts w:ascii="Book Antiqua" w:hAnsi="Book Antiqua"/>
          <w:sz w:val="22"/>
          <w:szCs w:val="22"/>
        </w:rPr>
      </w:pPr>
    </w:p>
    <w:p w14:paraId="51DCA77D" w14:textId="77777777" w:rsidR="00775062" w:rsidRPr="00775062" w:rsidRDefault="00775062" w:rsidP="00775062">
      <w:pPr>
        <w:ind w:left="1701" w:hanging="567"/>
        <w:jc w:val="both"/>
        <w:rPr>
          <w:rFonts w:ascii="Book Antiqua" w:hAnsi="Book Antiqua"/>
          <w:sz w:val="22"/>
          <w:szCs w:val="22"/>
        </w:rPr>
      </w:pPr>
      <w:bookmarkStart w:id="4" w:name="para35"/>
      <w:r>
        <w:rPr>
          <w:rFonts w:ascii="Book Antiqua" w:hAnsi="Book Antiqua"/>
          <w:sz w:val="22"/>
          <w:szCs w:val="22"/>
        </w:rPr>
        <w:t>35.</w:t>
      </w:r>
      <w:r>
        <w:rPr>
          <w:rFonts w:ascii="Book Antiqua" w:hAnsi="Book Antiqua"/>
          <w:sz w:val="22"/>
          <w:szCs w:val="22"/>
        </w:rPr>
        <w:tab/>
      </w:r>
      <w:r w:rsidRPr="00775062">
        <w:rPr>
          <w:rFonts w:ascii="Book Antiqua" w:hAnsi="Book Antiqua"/>
          <w:sz w:val="22"/>
          <w:szCs w:val="22"/>
        </w:rPr>
        <w:t>In almost all cases it would be an error to concentrate on whether a document is a forgery.</w:t>
      </w:r>
      <w:r>
        <w:rPr>
          <w:rFonts w:ascii="Book Antiqua" w:hAnsi="Book Antiqua"/>
          <w:sz w:val="22"/>
          <w:szCs w:val="22"/>
        </w:rPr>
        <w:t xml:space="preserve"> </w:t>
      </w:r>
      <w:r w:rsidRPr="00775062">
        <w:rPr>
          <w:rFonts w:ascii="Book Antiqua" w:hAnsi="Book Antiqua"/>
          <w:sz w:val="22"/>
          <w:szCs w:val="22"/>
        </w:rPr>
        <w:t xml:space="preserve"> In most cases where forgery is alleged it will be of no great importance whether this is or is not made out to the required higher civil standard. </w:t>
      </w:r>
      <w:r>
        <w:rPr>
          <w:rFonts w:ascii="Book Antiqua" w:hAnsi="Book Antiqua"/>
          <w:sz w:val="22"/>
          <w:szCs w:val="22"/>
        </w:rPr>
        <w:t xml:space="preserve"> </w:t>
      </w:r>
      <w:r w:rsidRPr="00775062">
        <w:rPr>
          <w:rFonts w:ascii="Book Antiqua" w:hAnsi="Book Antiqua"/>
          <w:sz w:val="22"/>
          <w:szCs w:val="22"/>
        </w:rPr>
        <w:t xml:space="preserve">In all cases where there is a material document it should be assessed in the same way as any other piece of evidence. </w:t>
      </w:r>
      <w:r>
        <w:rPr>
          <w:rFonts w:ascii="Book Antiqua" w:hAnsi="Book Antiqua"/>
          <w:sz w:val="22"/>
          <w:szCs w:val="22"/>
        </w:rPr>
        <w:t xml:space="preserve"> </w:t>
      </w:r>
      <w:r w:rsidRPr="00775062">
        <w:rPr>
          <w:rFonts w:ascii="Book Antiqua" w:hAnsi="Book Antiqua"/>
          <w:sz w:val="22"/>
          <w:szCs w:val="22"/>
        </w:rPr>
        <w:t xml:space="preserve">A document should not be viewed in isolation. </w:t>
      </w:r>
      <w:r>
        <w:rPr>
          <w:rFonts w:ascii="Book Antiqua" w:hAnsi="Book Antiqua"/>
          <w:sz w:val="22"/>
          <w:szCs w:val="22"/>
        </w:rPr>
        <w:t xml:space="preserve"> </w:t>
      </w:r>
      <w:r w:rsidRPr="00775062">
        <w:rPr>
          <w:rFonts w:ascii="Book Antiqua" w:hAnsi="Book Antiqua"/>
          <w:sz w:val="22"/>
          <w:szCs w:val="22"/>
        </w:rPr>
        <w:t xml:space="preserve">The decision maker should look at the evidence </w:t>
      </w:r>
      <w:proofErr w:type="gramStart"/>
      <w:r w:rsidRPr="00775062">
        <w:rPr>
          <w:rFonts w:ascii="Book Antiqua" w:hAnsi="Book Antiqua"/>
          <w:sz w:val="22"/>
          <w:szCs w:val="22"/>
        </w:rPr>
        <w:t>as a whole or</w:t>
      </w:r>
      <w:proofErr w:type="gramEnd"/>
      <w:r w:rsidRPr="00775062">
        <w:rPr>
          <w:rFonts w:ascii="Book Antiqua" w:hAnsi="Book Antiqua"/>
          <w:sz w:val="22"/>
          <w:szCs w:val="22"/>
        </w:rPr>
        <w:t xml:space="preserve"> in the round (which is the same thing). </w:t>
      </w:r>
      <w:bookmarkEnd w:id="4"/>
    </w:p>
    <w:p w14:paraId="19125024" w14:textId="77777777" w:rsidR="00775062" w:rsidRPr="00775062" w:rsidRDefault="00775062" w:rsidP="00775062">
      <w:pPr>
        <w:pStyle w:val="ListParagraph"/>
        <w:spacing w:before="240" w:after="240"/>
        <w:ind w:left="1701" w:hanging="567"/>
        <w:jc w:val="both"/>
        <w:rPr>
          <w:rFonts w:ascii="Book Antiqua" w:hAnsi="Book Antiqua" w:cs="Arial"/>
          <w:sz w:val="22"/>
          <w:szCs w:val="22"/>
        </w:rPr>
      </w:pPr>
      <w:bookmarkStart w:id="5" w:name="para36"/>
      <w:r>
        <w:rPr>
          <w:rFonts w:ascii="Book Antiqua" w:hAnsi="Book Antiqua"/>
          <w:sz w:val="22"/>
          <w:szCs w:val="22"/>
        </w:rPr>
        <w:t>36.</w:t>
      </w:r>
      <w:r>
        <w:rPr>
          <w:rFonts w:ascii="Book Antiqua" w:hAnsi="Book Antiqua"/>
          <w:sz w:val="22"/>
          <w:szCs w:val="22"/>
        </w:rPr>
        <w:tab/>
      </w:r>
      <w:r w:rsidRPr="00775062">
        <w:rPr>
          <w:rFonts w:ascii="Book Antiqua" w:hAnsi="Book Antiqua"/>
          <w:sz w:val="22"/>
          <w:szCs w:val="22"/>
        </w:rPr>
        <w:t xml:space="preserve">There is no obligation on the Home Office to make detailed enquiries about documents produced by individual claimants. </w:t>
      </w:r>
      <w:r>
        <w:rPr>
          <w:rFonts w:ascii="Book Antiqua" w:hAnsi="Book Antiqua"/>
          <w:sz w:val="22"/>
          <w:szCs w:val="22"/>
        </w:rPr>
        <w:t xml:space="preserve"> </w:t>
      </w:r>
      <w:r w:rsidRPr="00775062">
        <w:rPr>
          <w:rFonts w:ascii="Book Antiqua" w:hAnsi="Book Antiqua"/>
          <w:sz w:val="22"/>
          <w:szCs w:val="22"/>
        </w:rPr>
        <w:t xml:space="preserve">Doubtless there are cost and logistical difficulties in the light of the number of documents submitted by many </w:t>
      </w:r>
      <w:r w:rsidRPr="00775062">
        <w:rPr>
          <w:rFonts w:ascii="Book Antiqua" w:hAnsi="Book Antiqua"/>
          <w:sz w:val="22"/>
          <w:szCs w:val="22"/>
        </w:rPr>
        <w:lastRenderedPageBreak/>
        <w:t xml:space="preserve">asylum claimants. </w:t>
      </w:r>
      <w:r w:rsidR="006D50FE">
        <w:rPr>
          <w:rFonts w:ascii="Book Antiqua" w:hAnsi="Book Antiqua"/>
          <w:sz w:val="22"/>
          <w:szCs w:val="22"/>
        </w:rPr>
        <w:t xml:space="preserve"> </w:t>
      </w:r>
      <w:r w:rsidRPr="00775062">
        <w:rPr>
          <w:rFonts w:ascii="Book Antiqua" w:hAnsi="Book Antiqua"/>
          <w:sz w:val="22"/>
          <w:szCs w:val="22"/>
        </w:rPr>
        <w:t xml:space="preserve">In the absence of a </w:t>
      </w:r>
      <w:proofErr w:type="gramStart"/>
      <w:r w:rsidRPr="00775062">
        <w:rPr>
          <w:rFonts w:ascii="Book Antiqua" w:hAnsi="Book Antiqua"/>
          <w:sz w:val="22"/>
          <w:szCs w:val="22"/>
        </w:rPr>
        <w:t>particular reason</w:t>
      </w:r>
      <w:proofErr w:type="gramEnd"/>
      <w:r w:rsidRPr="00775062">
        <w:rPr>
          <w:rFonts w:ascii="Book Antiqua" w:hAnsi="Book Antiqua"/>
          <w:sz w:val="22"/>
          <w:szCs w:val="22"/>
        </w:rPr>
        <w:t xml:space="preserve"> on the facts of an individual case a decision by the Home Office not to make inquiries, produce in-country evidence relating to a particular document or scientific evidence should not give rise to any presumption in favour of an individual claimant or against the Home Office.</w:t>
      </w:r>
      <w:bookmarkEnd w:id="5"/>
      <w:r>
        <w:rPr>
          <w:rFonts w:ascii="Book Antiqua" w:hAnsi="Book Antiqua"/>
          <w:sz w:val="22"/>
          <w:szCs w:val="22"/>
        </w:rPr>
        <w:t>”</w:t>
      </w:r>
    </w:p>
    <w:p w14:paraId="6E992481" w14:textId="77777777" w:rsidR="00FE11A9" w:rsidRDefault="00FE11A9" w:rsidP="00FE11A9">
      <w:pPr>
        <w:pStyle w:val="ListParagraph"/>
        <w:spacing w:after="240"/>
        <w:ind w:left="567"/>
        <w:jc w:val="both"/>
        <w:rPr>
          <w:rFonts w:ascii="Book Antiqua" w:hAnsi="Book Antiqua" w:cs="Arial"/>
        </w:rPr>
      </w:pPr>
    </w:p>
    <w:p w14:paraId="041A683F" w14:textId="77777777" w:rsidR="00FE11A9" w:rsidRDefault="00871A2B"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The leading Court of Appeal case on the nature of the respondent’s “verification” obligations is </w:t>
      </w:r>
      <w:r w:rsidRPr="005E5239">
        <w:rPr>
          <w:rFonts w:ascii="Book Antiqua" w:hAnsi="Book Antiqua" w:cs="Arial"/>
          <w:u w:val="single"/>
        </w:rPr>
        <w:t>PJ (Sri Lanka) v Secretary of State for the Home Department</w:t>
      </w:r>
      <w:r>
        <w:rPr>
          <w:rFonts w:ascii="Book Antiqua" w:hAnsi="Book Antiqua" w:cs="Arial"/>
        </w:rPr>
        <w:t xml:space="preserve"> [2014] EWCA Civ 1011.  The facts of this case are important for a proper understanding of what the court held.  As appears from the headnote in </w:t>
      </w:r>
      <w:r w:rsidRPr="00382ED1">
        <w:rPr>
          <w:rFonts w:ascii="Book Antiqua" w:hAnsi="Book Antiqua" w:cs="Arial"/>
        </w:rPr>
        <w:t>[2015] 1 WLR 1322</w:t>
      </w:r>
      <w:r>
        <w:rPr>
          <w:rFonts w:ascii="Book Antiqua" w:hAnsi="Book Antiqua" w:cs="Arial"/>
        </w:rPr>
        <w:t xml:space="preserve">, PJ contended that he would face serious harm if returned to Sri Lanka because of perception of the authorities there as to his political opinion.  In support of his asylum application, PJ submitted certified copies of court documents which had been obtained on his behalf by a Sri Lankan lawyer.  These included a police report, which revealed that PJ was to be arrested on arrival in Sri Lanka in connection with a bombing; and </w:t>
      </w:r>
      <w:proofErr w:type="gramStart"/>
      <w:r>
        <w:rPr>
          <w:rFonts w:ascii="Book Antiqua" w:hAnsi="Book Antiqua" w:cs="Arial"/>
        </w:rPr>
        <w:t>also</w:t>
      </w:r>
      <w:proofErr w:type="gramEnd"/>
      <w:r>
        <w:rPr>
          <w:rFonts w:ascii="Book Antiqua" w:hAnsi="Book Antiqua" w:cs="Arial"/>
        </w:rPr>
        <w:t xml:space="preserve"> a warrant for his arrest.  The respondent refused PJ’s claim, finding that, given the ease with which it was possible to obtain forged documents in Sri Lanka, the respondent could not be satisfied that the documents were genuine.  PJ’s solicitors then instructed a second Sri Lankan lawyer who, through his junior, obtained a complete certified copy of the documents, which matched those produced by the first lawyer.  </w:t>
      </w:r>
    </w:p>
    <w:p w14:paraId="041DE446" w14:textId="77777777" w:rsidR="00871A2B" w:rsidRDefault="00871A2B" w:rsidP="00871A2B">
      <w:pPr>
        <w:pStyle w:val="ListParagraph"/>
        <w:spacing w:after="240"/>
        <w:ind w:left="567"/>
        <w:jc w:val="both"/>
        <w:rPr>
          <w:rFonts w:ascii="Book Antiqua" w:hAnsi="Book Antiqua" w:cs="Arial"/>
        </w:rPr>
      </w:pPr>
    </w:p>
    <w:p w14:paraId="09CB0B6E" w14:textId="77777777" w:rsidR="00871A2B" w:rsidRDefault="00871A2B"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The First-tier Tribunal dismissed PJ’s appeal, concluding that no weight could be placed on the documents.  The Upper Tribunal dismissed PJ’s further appeal.  PJ appealed, contending that where court documents were obtained and provided </w:t>
      </w:r>
      <w:r w:rsidR="005E5239">
        <w:rPr>
          <w:rFonts w:ascii="Book Antiqua" w:hAnsi="Book Antiqua" w:cs="Arial"/>
        </w:rPr>
        <w:t xml:space="preserve">by foreign lawyers, they were to be presumed to be genuine unless the respondent proved otherwise; and that the respondent bore the responsibility of investigating the reliability of such documents unless such an investigation was not feasible.  </w:t>
      </w:r>
    </w:p>
    <w:p w14:paraId="4D821EB4" w14:textId="77777777" w:rsidR="005E5239" w:rsidRDefault="005E5239" w:rsidP="005E5239">
      <w:pPr>
        <w:pStyle w:val="ListParagraph"/>
        <w:spacing w:after="240"/>
        <w:ind w:left="567"/>
        <w:jc w:val="both"/>
        <w:rPr>
          <w:rFonts w:ascii="Book Antiqua" w:hAnsi="Book Antiqua" w:cs="Arial"/>
        </w:rPr>
      </w:pPr>
    </w:p>
    <w:p w14:paraId="13E0AB85" w14:textId="476FBA59" w:rsidR="005E5239" w:rsidRDefault="005E5239"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One of the tasks undertaken by the</w:t>
      </w:r>
      <w:r w:rsidR="003D2529">
        <w:rPr>
          <w:rFonts w:ascii="Book Antiqua" w:hAnsi="Book Antiqua" w:cs="Arial"/>
        </w:rPr>
        <w:t xml:space="preserve"> Court of Appeal</w:t>
      </w:r>
      <w:r>
        <w:rPr>
          <w:rFonts w:ascii="Book Antiqua" w:hAnsi="Book Antiqua" w:cs="Arial"/>
        </w:rPr>
        <w:t xml:space="preserve"> in </w:t>
      </w:r>
      <w:r w:rsidRPr="005E5239">
        <w:rPr>
          <w:rFonts w:ascii="Book Antiqua" w:hAnsi="Book Antiqua" w:cs="Arial"/>
          <w:u w:val="single"/>
        </w:rPr>
        <w:t>PJ</w:t>
      </w:r>
      <w:r>
        <w:rPr>
          <w:rFonts w:ascii="Book Antiqua" w:hAnsi="Book Antiqua" w:cs="Arial"/>
        </w:rPr>
        <w:t xml:space="preserve"> was to consider </w:t>
      </w:r>
      <w:r w:rsidRPr="005E5239">
        <w:rPr>
          <w:rFonts w:ascii="Book Antiqua" w:hAnsi="Book Antiqua" w:cs="Arial"/>
          <w:u w:val="single"/>
        </w:rPr>
        <w:t>Tanveer Ahmed</w:t>
      </w:r>
      <w:r>
        <w:rPr>
          <w:rFonts w:ascii="Book Antiqua" w:hAnsi="Book Antiqua" w:cs="Arial"/>
        </w:rPr>
        <w:t xml:space="preserve"> in the light of the </w:t>
      </w:r>
      <w:r w:rsidR="00032B9D">
        <w:rPr>
          <w:rFonts w:ascii="Book Antiqua" w:hAnsi="Book Antiqua" w:cs="Arial"/>
        </w:rPr>
        <w:t xml:space="preserve">decision of the European Court of Human Rights in </w:t>
      </w:r>
      <w:r w:rsidR="00775F3B" w:rsidRPr="005C452C">
        <w:rPr>
          <w:rFonts w:ascii="Book Antiqua" w:hAnsi="Book Antiqua" w:cs="Arial"/>
          <w:u w:val="single"/>
        </w:rPr>
        <w:t>Singh v Belgium</w:t>
      </w:r>
      <w:r w:rsidR="00775F3B" w:rsidRPr="00A77B26">
        <w:rPr>
          <w:rFonts w:ascii="Book Antiqua" w:hAnsi="Book Antiqua" w:cs="Arial"/>
        </w:rPr>
        <w:t xml:space="preserve"> (Application No. 33210/11), </w:t>
      </w:r>
      <w:r w:rsidR="00775F3B">
        <w:rPr>
          <w:rFonts w:ascii="Book Antiqua" w:hAnsi="Book Antiqua" w:cs="Arial"/>
        </w:rPr>
        <w:t xml:space="preserve">given on 2 October 2012.  In </w:t>
      </w:r>
      <w:r w:rsidR="00775F3B" w:rsidRPr="006D50FE">
        <w:rPr>
          <w:rFonts w:ascii="Book Antiqua" w:hAnsi="Book Antiqua" w:cs="Arial"/>
          <w:u w:val="single"/>
        </w:rPr>
        <w:t>Singh</w:t>
      </w:r>
      <w:r w:rsidR="00775F3B">
        <w:rPr>
          <w:rFonts w:ascii="Book Antiqua" w:hAnsi="Book Antiqua" w:cs="Arial"/>
        </w:rPr>
        <w:t xml:space="preserve">, Sikhs who had fled Afghanistan claimed refugee status in Belgium.  Their claim was rejected because they had failed to prove their Afghan nationality.  On appeal, they provided new documents, comprising emails between their lawyer and a representative of the Belgium Committee for the Support of Refugees.  This committee was a partner of the High Commission of the United Nations for Refugees (“UNHCR”).  A UNHCR representative in India had furnished, by way of attachments to the emails, “attestations” which indicated that the petitioners had been recorded as refugees under the UNHCR mandate </w:t>
      </w:r>
      <w:r w:rsidR="00437ED6">
        <w:rPr>
          <w:rFonts w:ascii="Book Antiqua" w:hAnsi="Book Antiqua" w:cs="Arial"/>
        </w:rPr>
        <w:t>and that</w:t>
      </w:r>
      <w:r w:rsidR="00775F3B">
        <w:rPr>
          <w:rFonts w:ascii="Book Antiqua" w:hAnsi="Book Antiqua" w:cs="Arial"/>
        </w:rPr>
        <w:t xml:space="preserve"> one of them had requested nat</w:t>
      </w:r>
      <w:r w:rsidR="00437ED6">
        <w:rPr>
          <w:rFonts w:ascii="Book Antiqua" w:hAnsi="Book Antiqua" w:cs="Arial"/>
        </w:rPr>
        <w:t>uralisation</w:t>
      </w:r>
      <w:r w:rsidR="00775F3B">
        <w:rPr>
          <w:rFonts w:ascii="Book Antiqua" w:hAnsi="Book Antiqua" w:cs="Arial"/>
        </w:rPr>
        <w:t xml:space="preserve"> in India.  Notwithstanding this documentation, it was held on appeal that the petitioners had failed to prove their Afghan nationality and </w:t>
      </w:r>
      <w:r w:rsidR="009775A2">
        <w:rPr>
          <w:rFonts w:ascii="Book Antiqua" w:hAnsi="Book Antiqua" w:cs="Arial"/>
        </w:rPr>
        <w:t>that the documents were of no convincing value</w:t>
      </w:r>
      <w:r w:rsidR="001B4A5B">
        <w:rPr>
          <w:rFonts w:ascii="Book Antiqua" w:hAnsi="Book Antiqua" w:cs="Arial"/>
        </w:rPr>
        <w:t>,</w:t>
      </w:r>
      <w:r w:rsidR="009775A2">
        <w:rPr>
          <w:rFonts w:ascii="Book Antiqua" w:hAnsi="Book Antiqua" w:cs="Arial"/>
        </w:rPr>
        <w:t xml:space="preserve"> since they were of a type that was easy to </w:t>
      </w:r>
      <w:proofErr w:type="gramStart"/>
      <w:r w:rsidR="009775A2">
        <w:rPr>
          <w:rFonts w:ascii="Book Antiqua" w:hAnsi="Book Antiqua" w:cs="Arial"/>
        </w:rPr>
        <w:t>falsify</w:t>
      </w:r>
      <w:proofErr w:type="gramEnd"/>
      <w:r w:rsidR="009775A2">
        <w:rPr>
          <w:rFonts w:ascii="Book Antiqua" w:hAnsi="Book Antiqua" w:cs="Arial"/>
        </w:rPr>
        <w:t xml:space="preserve"> and the petitioners had failed to produce the original copies of the documents.</w:t>
      </w:r>
    </w:p>
    <w:p w14:paraId="2D20D5C6" w14:textId="77777777" w:rsidR="009775A2" w:rsidRDefault="009775A2" w:rsidP="009775A2">
      <w:pPr>
        <w:pStyle w:val="ListParagraph"/>
        <w:spacing w:after="240"/>
        <w:ind w:left="567"/>
        <w:jc w:val="both"/>
        <w:rPr>
          <w:rFonts w:ascii="Book Antiqua" w:hAnsi="Book Antiqua" w:cs="Arial"/>
        </w:rPr>
      </w:pPr>
    </w:p>
    <w:p w14:paraId="5FB5D935" w14:textId="38E9CA9F" w:rsidR="009775A2" w:rsidRDefault="009775A2"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The ECtHR held that, since the possible consequences for the petitioners were significant, there was an obligation on the state to show that </w:t>
      </w:r>
      <w:r w:rsidR="001B4A5B">
        <w:rPr>
          <w:rFonts w:ascii="Book Antiqua" w:hAnsi="Book Antiqua" w:cs="Arial"/>
        </w:rPr>
        <w:t>it</w:t>
      </w:r>
      <w:r>
        <w:rPr>
          <w:rFonts w:ascii="Book Antiqua" w:hAnsi="Book Antiqua" w:cs="Arial"/>
        </w:rPr>
        <w:t xml:space="preserve"> had been as rigorous as possible and had carried out a careful “examination” (in fact, a “review”) of the </w:t>
      </w:r>
      <w:r>
        <w:rPr>
          <w:rFonts w:ascii="Book Antiqua" w:hAnsi="Book Antiqua" w:cs="Arial"/>
        </w:rPr>
        <w:lastRenderedPageBreak/>
        <w:t xml:space="preserve">grounds of appeal.  Since the documents were at the heart of the request for protection, rejecting them without checking their authenticity fell short of </w:t>
      </w:r>
      <w:r w:rsidR="00E2376D">
        <w:rPr>
          <w:rFonts w:ascii="Book Antiqua" w:hAnsi="Book Antiqua" w:cs="Arial"/>
        </w:rPr>
        <w:t>the</w:t>
      </w:r>
      <w:r>
        <w:rPr>
          <w:rFonts w:ascii="Book Antiqua" w:hAnsi="Book Antiqua" w:cs="Arial"/>
        </w:rPr>
        <w:t xml:space="preserve"> careful and rigorous investigation that was expected of national authorities in order to protect individuals from treatment contrary to Article 3 of the ECHR, when a simple process of enquiry would have resolved conclusively whether the documents were authentic and reliable.</w:t>
      </w:r>
    </w:p>
    <w:p w14:paraId="5E5A9CA5" w14:textId="77777777" w:rsidR="009775A2" w:rsidRDefault="009775A2" w:rsidP="009775A2">
      <w:pPr>
        <w:pStyle w:val="ListParagraph"/>
        <w:spacing w:after="240"/>
        <w:ind w:left="567"/>
        <w:jc w:val="both"/>
        <w:rPr>
          <w:rFonts w:ascii="Book Antiqua" w:hAnsi="Book Antiqua" w:cs="Arial"/>
        </w:rPr>
      </w:pPr>
    </w:p>
    <w:p w14:paraId="55385057" w14:textId="77777777" w:rsidR="009775A2" w:rsidRDefault="009775A2"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In </w:t>
      </w:r>
      <w:r w:rsidRPr="00390CEF">
        <w:rPr>
          <w:rFonts w:ascii="Book Antiqua" w:hAnsi="Book Antiqua" w:cs="Arial"/>
          <w:u w:val="single"/>
        </w:rPr>
        <w:t>MJ v Secretary of State for the Home Department</w:t>
      </w:r>
      <w:r>
        <w:rPr>
          <w:rFonts w:ascii="Book Antiqua" w:hAnsi="Book Antiqua" w:cs="Arial"/>
        </w:rPr>
        <w:t xml:space="preserve"> [2013] Imm AR 799, the Upper Tribunal considered whether </w:t>
      </w:r>
      <w:r w:rsidRPr="00390CEF">
        <w:rPr>
          <w:rFonts w:ascii="Book Antiqua" w:hAnsi="Book Antiqua" w:cs="Arial"/>
          <w:u w:val="single"/>
        </w:rPr>
        <w:t>Singh</w:t>
      </w:r>
      <w:r>
        <w:rPr>
          <w:rFonts w:ascii="Book Antiqua" w:hAnsi="Book Antiqua" w:cs="Arial"/>
        </w:rPr>
        <w:t xml:space="preserve"> was compatible with </w:t>
      </w:r>
      <w:r w:rsidRPr="00390CEF">
        <w:rPr>
          <w:rFonts w:ascii="Book Antiqua" w:hAnsi="Book Antiqua" w:cs="Arial"/>
          <w:u w:val="single"/>
        </w:rPr>
        <w:t>Tanveer Ahmed</w:t>
      </w:r>
      <w:r>
        <w:rPr>
          <w:rFonts w:ascii="Book Antiqua" w:hAnsi="Book Antiqua" w:cs="Arial"/>
        </w:rPr>
        <w:t xml:space="preserve">.  The panel concluded that it </w:t>
      </w:r>
      <w:proofErr w:type="gramStart"/>
      <w:r>
        <w:rPr>
          <w:rFonts w:ascii="Book Antiqua" w:hAnsi="Book Antiqua" w:cs="Arial"/>
        </w:rPr>
        <w:t>was:-</w:t>
      </w:r>
      <w:proofErr w:type="gramEnd"/>
    </w:p>
    <w:p w14:paraId="6C6EF0BF" w14:textId="77777777" w:rsidR="009775A2" w:rsidRDefault="009775A2" w:rsidP="009775A2">
      <w:pPr>
        <w:pStyle w:val="ListParagraph"/>
        <w:spacing w:after="240"/>
        <w:ind w:left="567"/>
        <w:jc w:val="both"/>
        <w:rPr>
          <w:rFonts w:ascii="Book Antiqua" w:hAnsi="Book Antiqua" w:cs="Arial"/>
        </w:rPr>
      </w:pPr>
    </w:p>
    <w:p w14:paraId="7716B2BD" w14:textId="77777777" w:rsidR="009775A2" w:rsidRPr="00E3295F" w:rsidRDefault="00E3295F" w:rsidP="00390CEF">
      <w:pPr>
        <w:pStyle w:val="ListParagraph"/>
        <w:spacing w:after="240"/>
        <w:ind w:left="1701" w:hanging="567"/>
        <w:jc w:val="both"/>
        <w:rPr>
          <w:rFonts w:ascii="Book Antiqua" w:hAnsi="Book Antiqua" w:cs="Arial"/>
          <w:sz w:val="22"/>
          <w:szCs w:val="22"/>
        </w:rPr>
      </w:pPr>
      <w:r w:rsidRPr="00E3295F">
        <w:rPr>
          <w:rFonts w:ascii="Book Antiqua" w:hAnsi="Book Antiqua"/>
          <w:iCs/>
          <w:sz w:val="22"/>
          <w:szCs w:val="22"/>
        </w:rPr>
        <w:t>"50.</w:t>
      </w:r>
      <w:r w:rsidRPr="00E3295F">
        <w:rPr>
          <w:rFonts w:ascii="Book Antiqua" w:hAnsi="Book Antiqua"/>
          <w:iCs/>
          <w:sz w:val="22"/>
          <w:szCs w:val="22"/>
        </w:rPr>
        <w:tab/>
        <w:t>It is relevant</w:t>
      </w:r>
      <w:r w:rsidR="00501462">
        <w:rPr>
          <w:rFonts w:ascii="Book Antiqua" w:hAnsi="Book Antiqua"/>
          <w:iCs/>
          <w:sz w:val="22"/>
          <w:szCs w:val="22"/>
        </w:rPr>
        <w:t>,</w:t>
      </w:r>
      <w:r w:rsidRPr="00E3295F">
        <w:rPr>
          <w:rFonts w:ascii="Book Antiqua" w:hAnsi="Book Antiqua"/>
          <w:iCs/>
          <w:sz w:val="22"/>
          <w:szCs w:val="22"/>
        </w:rPr>
        <w:t xml:space="preserve"> </w:t>
      </w:r>
      <w:r w:rsidR="00501462">
        <w:rPr>
          <w:rFonts w:ascii="Book Antiqua" w:hAnsi="Book Antiqua"/>
          <w:iCs/>
          <w:sz w:val="22"/>
          <w:szCs w:val="22"/>
        </w:rPr>
        <w:t xml:space="preserve">however, </w:t>
      </w:r>
      <w:r w:rsidRPr="00E3295F">
        <w:rPr>
          <w:rFonts w:ascii="Book Antiqua" w:hAnsi="Book Antiqua"/>
          <w:iCs/>
          <w:sz w:val="22"/>
          <w:szCs w:val="22"/>
        </w:rPr>
        <w:t xml:space="preserve">to consider (the decision in </w:t>
      </w:r>
      <w:r w:rsidRPr="00C32DAA">
        <w:rPr>
          <w:rFonts w:ascii="Book Antiqua" w:hAnsi="Book Antiqua"/>
          <w:i/>
          <w:iCs/>
          <w:sz w:val="22"/>
          <w:szCs w:val="22"/>
        </w:rPr>
        <w:t>Ahmed</w:t>
      </w:r>
      <w:r w:rsidR="00501462" w:rsidRPr="00C32DAA">
        <w:rPr>
          <w:rFonts w:ascii="Book Antiqua" w:hAnsi="Book Antiqua"/>
          <w:i/>
          <w:iCs/>
          <w:sz w:val="22"/>
          <w:szCs w:val="22"/>
        </w:rPr>
        <w:t>’s</w:t>
      </w:r>
      <w:r w:rsidR="00501462">
        <w:rPr>
          <w:rFonts w:ascii="Book Antiqua" w:hAnsi="Book Antiqua"/>
          <w:iCs/>
          <w:sz w:val="22"/>
          <w:szCs w:val="22"/>
        </w:rPr>
        <w:t xml:space="preserve"> case</w:t>
      </w:r>
      <w:r w:rsidRPr="00E3295F">
        <w:rPr>
          <w:rFonts w:ascii="Book Antiqua" w:hAnsi="Book Antiqua"/>
          <w:iCs/>
          <w:sz w:val="22"/>
          <w:szCs w:val="22"/>
        </w:rPr>
        <w:t xml:space="preserve">) in the context of what was said in </w:t>
      </w:r>
      <w:r w:rsidRPr="00501462">
        <w:rPr>
          <w:rFonts w:ascii="Book Antiqua" w:hAnsi="Book Antiqua"/>
          <w:i/>
          <w:iCs/>
          <w:sz w:val="22"/>
          <w:szCs w:val="22"/>
        </w:rPr>
        <w:t>Singh v Belgium</w:t>
      </w:r>
      <w:r w:rsidRPr="00E3295F">
        <w:rPr>
          <w:rFonts w:ascii="Book Antiqua" w:hAnsi="Book Antiqua"/>
          <w:iCs/>
          <w:sz w:val="22"/>
          <w:szCs w:val="22"/>
        </w:rPr>
        <w:t xml:space="preserve">. </w:t>
      </w:r>
      <w:r w:rsidR="00501462">
        <w:rPr>
          <w:rFonts w:ascii="Book Antiqua" w:hAnsi="Book Antiqua"/>
          <w:iCs/>
          <w:sz w:val="22"/>
          <w:szCs w:val="22"/>
        </w:rPr>
        <w:t xml:space="preserve"> On consideration we do not think that what was said in </w:t>
      </w:r>
      <w:r w:rsidR="00501462" w:rsidRPr="00C32DAA">
        <w:rPr>
          <w:rFonts w:ascii="Book Antiqua" w:hAnsi="Book Antiqua"/>
          <w:i/>
          <w:iCs/>
          <w:sz w:val="22"/>
          <w:szCs w:val="22"/>
        </w:rPr>
        <w:t>Singh’s</w:t>
      </w:r>
      <w:r w:rsidR="00501462">
        <w:rPr>
          <w:rFonts w:ascii="Book Antiqua" w:hAnsi="Book Antiqua"/>
          <w:iCs/>
          <w:sz w:val="22"/>
          <w:szCs w:val="22"/>
        </w:rPr>
        <w:t xml:space="preserve"> case is inconsistent with the quotation we have set out above from para 35 of </w:t>
      </w:r>
      <w:r w:rsidR="00501462" w:rsidRPr="00C32DAA">
        <w:rPr>
          <w:rFonts w:ascii="Book Antiqua" w:hAnsi="Book Antiqua"/>
          <w:i/>
          <w:iCs/>
          <w:sz w:val="22"/>
          <w:szCs w:val="22"/>
        </w:rPr>
        <w:t>Ahmed’s</w:t>
      </w:r>
      <w:r w:rsidR="00501462">
        <w:rPr>
          <w:rFonts w:ascii="Book Antiqua" w:hAnsi="Book Antiqua"/>
          <w:iCs/>
          <w:sz w:val="22"/>
          <w:szCs w:val="22"/>
        </w:rPr>
        <w:t xml:space="preserve"> case.  </w:t>
      </w:r>
      <w:r w:rsidRPr="00C32DAA">
        <w:rPr>
          <w:rFonts w:ascii="Book Antiqua" w:hAnsi="Book Antiqua"/>
          <w:i/>
          <w:iCs/>
          <w:sz w:val="22"/>
          <w:szCs w:val="22"/>
        </w:rPr>
        <w:t>Ahmed</w:t>
      </w:r>
      <w:r w:rsidR="00501462" w:rsidRPr="00C32DAA">
        <w:rPr>
          <w:rFonts w:ascii="Book Antiqua" w:hAnsi="Book Antiqua"/>
          <w:i/>
          <w:iCs/>
          <w:sz w:val="22"/>
          <w:szCs w:val="22"/>
        </w:rPr>
        <w:t xml:space="preserve">’s </w:t>
      </w:r>
      <w:r w:rsidR="00501462">
        <w:rPr>
          <w:rFonts w:ascii="Book Antiqua" w:hAnsi="Book Antiqua"/>
          <w:iCs/>
          <w:sz w:val="22"/>
          <w:szCs w:val="22"/>
        </w:rPr>
        <w:t xml:space="preserve">case </w:t>
      </w:r>
      <w:r w:rsidRPr="00E3295F">
        <w:rPr>
          <w:rFonts w:ascii="Book Antiqua" w:hAnsi="Book Antiqua"/>
          <w:iCs/>
          <w:sz w:val="22"/>
          <w:szCs w:val="22"/>
        </w:rPr>
        <w:t>does not entirely preclude the existence of an obligation on the Home Office to make enquiries.</w:t>
      </w:r>
      <w:r w:rsidR="00501462">
        <w:rPr>
          <w:rFonts w:ascii="Book Antiqua" w:hAnsi="Book Antiqua"/>
          <w:iCs/>
          <w:sz w:val="22"/>
          <w:szCs w:val="22"/>
        </w:rPr>
        <w:t xml:space="preserve"> </w:t>
      </w:r>
      <w:r w:rsidRPr="00E3295F">
        <w:rPr>
          <w:rFonts w:ascii="Book Antiqua" w:hAnsi="Book Antiqua"/>
          <w:iCs/>
          <w:sz w:val="22"/>
          <w:szCs w:val="22"/>
        </w:rPr>
        <w:t xml:space="preserve"> It envisages, as can be seen, the existence of </w:t>
      </w:r>
      <w:proofErr w:type="gramStart"/>
      <w:r w:rsidRPr="00E3295F">
        <w:rPr>
          <w:rFonts w:ascii="Book Antiqua" w:hAnsi="Book Antiqua"/>
          <w:iCs/>
          <w:sz w:val="22"/>
          <w:szCs w:val="22"/>
        </w:rPr>
        <w:t>particular cases</w:t>
      </w:r>
      <w:proofErr w:type="gramEnd"/>
      <w:r w:rsidRPr="00E3295F">
        <w:rPr>
          <w:rFonts w:ascii="Book Antiqua" w:hAnsi="Book Antiqua"/>
          <w:iCs/>
          <w:sz w:val="22"/>
          <w:szCs w:val="22"/>
        </w:rPr>
        <w:t xml:space="preserve"> where it may be appropriate for </w:t>
      </w:r>
      <w:r w:rsidR="00657665">
        <w:rPr>
          <w:rFonts w:ascii="Book Antiqua" w:hAnsi="Book Antiqua"/>
          <w:iCs/>
          <w:sz w:val="22"/>
          <w:szCs w:val="22"/>
        </w:rPr>
        <w:t>i</w:t>
      </w:r>
      <w:r w:rsidRPr="00E3295F">
        <w:rPr>
          <w:rFonts w:ascii="Book Antiqua" w:hAnsi="Book Antiqua"/>
          <w:iCs/>
          <w:sz w:val="22"/>
          <w:szCs w:val="22"/>
        </w:rPr>
        <w:t xml:space="preserve">nquiries to be made. </w:t>
      </w:r>
      <w:r w:rsidR="00C32DAA">
        <w:rPr>
          <w:rFonts w:ascii="Book Antiqua" w:hAnsi="Book Antiqua"/>
          <w:iCs/>
          <w:sz w:val="22"/>
          <w:szCs w:val="22"/>
        </w:rPr>
        <w:t xml:space="preserve"> </w:t>
      </w:r>
      <w:r w:rsidRPr="00E3295F">
        <w:rPr>
          <w:rFonts w:ascii="Book Antiqua" w:hAnsi="Book Antiqua"/>
          <w:iCs/>
          <w:sz w:val="22"/>
          <w:szCs w:val="22"/>
        </w:rPr>
        <w:t xml:space="preserve">Clearly on its facts </w:t>
      </w:r>
      <w:r w:rsidRPr="00501462">
        <w:rPr>
          <w:rFonts w:ascii="Book Antiqua" w:hAnsi="Book Antiqua"/>
          <w:i/>
          <w:iCs/>
          <w:sz w:val="22"/>
          <w:szCs w:val="22"/>
        </w:rPr>
        <w:t>Singh</w:t>
      </w:r>
      <w:r w:rsidR="00501462" w:rsidRPr="00501462">
        <w:rPr>
          <w:rFonts w:ascii="Book Antiqua" w:hAnsi="Book Antiqua"/>
          <w:i/>
          <w:iCs/>
          <w:sz w:val="22"/>
          <w:szCs w:val="22"/>
        </w:rPr>
        <w:t>’s</w:t>
      </w:r>
      <w:r w:rsidR="00501462">
        <w:rPr>
          <w:rFonts w:ascii="Book Antiqua" w:hAnsi="Book Antiqua"/>
          <w:iCs/>
          <w:sz w:val="22"/>
          <w:szCs w:val="22"/>
        </w:rPr>
        <w:t xml:space="preserve"> case</w:t>
      </w:r>
      <w:r w:rsidRPr="00E3295F">
        <w:rPr>
          <w:rFonts w:ascii="Book Antiqua" w:hAnsi="Book Antiqua"/>
          <w:iCs/>
          <w:sz w:val="22"/>
          <w:szCs w:val="22"/>
        </w:rPr>
        <w:t xml:space="preserve"> can properly be regarded as such a </w:t>
      </w:r>
      <w:proofErr w:type="gramStart"/>
      <w:r w:rsidRPr="00E3295F">
        <w:rPr>
          <w:rFonts w:ascii="Book Antiqua" w:hAnsi="Book Antiqua"/>
          <w:iCs/>
          <w:sz w:val="22"/>
          <w:szCs w:val="22"/>
        </w:rPr>
        <w:t>particular case</w:t>
      </w:r>
      <w:proofErr w:type="gramEnd"/>
      <w:r w:rsidRPr="00E3295F">
        <w:rPr>
          <w:rFonts w:ascii="Book Antiqua" w:hAnsi="Book Antiqua"/>
          <w:iCs/>
          <w:sz w:val="22"/>
          <w:szCs w:val="22"/>
        </w:rPr>
        <w:t xml:space="preserve">. </w:t>
      </w:r>
      <w:r w:rsidR="00501462">
        <w:rPr>
          <w:rFonts w:ascii="Book Antiqua" w:hAnsi="Book Antiqua"/>
          <w:iCs/>
          <w:sz w:val="22"/>
          <w:szCs w:val="22"/>
        </w:rPr>
        <w:t xml:space="preserve"> </w:t>
      </w:r>
      <w:r w:rsidRPr="00E3295F">
        <w:rPr>
          <w:rFonts w:ascii="Book Antiqua" w:hAnsi="Book Antiqua"/>
          <w:iCs/>
          <w:sz w:val="22"/>
          <w:szCs w:val="22"/>
        </w:rPr>
        <w:t xml:space="preserve">The documentation in that case was clearly of a nature where verification would be easy, and the documentation came from an unimpeachable source. </w:t>
      </w:r>
      <w:r w:rsidR="00501462">
        <w:rPr>
          <w:rFonts w:ascii="Book Antiqua" w:hAnsi="Book Antiqua"/>
          <w:iCs/>
          <w:sz w:val="22"/>
          <w:szCs w:val="22"/>
        </w:rPr>
        <w:t xml:space="preserve"> </w:t>
      </w:r>
      <w:r w:rsidRPr="00E3295F">
        <w:rPr>
          <w:rFonts w:ascii="Book Antiqua" w:hAnsi="Book Antiqua"/>
          <w:iCs/>
          <w:sz w:val="22"/>
          <w:szCs w:val="22"/>
        </w:rPr>
        <w:t xml:space="preserve">We do not think that (counsel) has entirely correctly characterised what was said in </w:t>
      </w:r>
      <w:r w:rsidRPr="00501462">
        <w:rPr>
          <w:rFonts w:ascii="Book Antiqua" w:hAnsi="Book Antiqua"/>
          <w:i/>
          <w:iCs/>
          <w:sz w:val="22"/>
          <w:szCs w:val="22"/>
        </w:rPr>
        <w:t>Singh</w:t>
      </w:r>
      <w:r w:rsidR="00501462" w:rsidRPr="00501462">
        <w:rPr>
          <w:rFonts w:ascii="Book Antiqua" w:hAnsi="Book Antiqua"/>
          <w:i/>
          <w:iCs/>
          <w:sz w:val="22"/>
          <w:szCs w:val="22"/>
        </w:rPr>
        <w:t>’s</w:t>
      </w:r>
      <w:r w:rsidR="00501462">
        <w:rPr>
          <w:rFonts w:ascii="Book Antiqua" w:hAnsi="Book Antiqua"/>
          <w:iCs/>
          <w:sz w:val="22"/>
          <w:szCs w:val="22"/>
        </w:rPr>
        <w:t xml:space="preserve"> case</w:t>
      </w:r>
      <w:r w:rsidRPr="00E3295F">
        <w:rPr>
          <w:rFonts w:ascii="Book Antiqua" w:hAnsi="Book Antiqua"/>
          <w:iCs/>
          <w:sz w:val="22"/>
          <w:szCs w:val="22"/>
        </w:rPr>
        <w:t xml:space="preserve"> in suggesting that in any case where evidence was verifiable there was an obligation on the decision maker to seek to verify. </w:t>
      </w:r>
      <w:r w:rsidR="00501462">
        <w:rPr>
          <w:rFonts w:ascii="Book Antiqua" w:hAnsi="Book Antiqua"/>
          <w:iCs/>
          <w:sz w:val="22"/>
          <w:szCs w:val="22"/>
        </w:rPr>
        <w:t xml:space="preserve"> </w:t>
      </w:r>
      <w:r w:rsidRPr="00E3295F">
        <w:rPr>
          <w:rFonts w:ascii="Book Antiqua" w:hAnsi="Book Antiqua"/>
          <w:iCs/>
          <w:sz w:val="22"/>
          <w:szCs w:val="22"/>
        </w:rPr>
        <w:t xml:space="preserve">What is said at paragraph 104 is rather in terms of a case where documents are at the heart of the request for protection where it would have been easy to check their authenticity as in that case with the UNHCR. … We do not think that what is said in </w:t>
      </w:r>
      <w:r w:rsidRPr="00501462">
        <w:rPr>
          <w:rFonts w:ascii="Book Antiqua" w:hAnsi="Book Antiqua"/>
          <w:i/>
          <w:iCs/>
          <w:sz w:val="22"/>
          <w:szCs w:val="22"/>
        </w:rPr>
        <w:t>Singh v Belgium</w:t>
      </w:r>
      <w:r w:rsidRPr="00E3295F">
        <w:rPr>
          <w:rFonts w:ascii="Book Antiqua" w:hAnsi="Book Antiqua"/>
          <w:iCs/>
          <w:sz w:val="22"/>
          <w:szCs w:val="22"/>
        </w:rPr>
        <w:t xml:space="preserve"> in any sense justifies or requires any departure from the guidance in </w:t>
      </w:r>
      <w:r w:rsidRPr="00501462">
        <w:rPr>
          <w:rFonts w:ascii="Book Antiqua" w:hAnsi="Book Antiqua"/>
          <w:i/>
          <w:iCs/>
          <w:sz w:val="22"/>
          <w:szCs w:val="22"/>
        </w:rPr>
        <w:t>Ahmed</w:t>
      </w:r>
      <w:r w:rsidR="00501462" w:rsidRPr="00501462">
        <w:rPr>
          <w:rFonts w:ascii="Book Antiqua" w:hAnsi="Book Antiqua"/>
          <w:i/>
          <w:iCs/>
          <w:sz w:val="22"/>
          <w:szCs w:val="22"/>
        </w:rPr>
        <w:t>’s</w:t>
      </w:r>
      <w:r w:rsidR="00501462">
        <w:rPr>
          <w:rFonts w:ascii="Book Antiqua" w:hAnsi="Book Antiqua"/>
          <w:iCs/>
          <w:sz w:val="22"/>
          <w:szCs w:val="22"/>
        </w:rPr>
        <w:t xml:space="preserve"> case</w:t>
      </w:r>
      <w:r w:rsidRPr="00E3295F">
        <w:rPr>
          <w:rFonts w:ascii="Book Antiqua" w:hAnsi="Book Antiqua"/>
          <w:iCs/>
          <w:sz w:val="22"/>
          <w:szCs w:val="22"/>
        </w:rPr>
        <w:t xml:space="preserve"> which is binding on us and which we consider </w:t>
      </w:r>
      <w:proofErr w:type="gramStart"/>
      <w:r w:rsidRPr="00E3295F">
        <w:rPr>
          <w:rFonts w:ascii="Book Antiqua" w:hAnsi="Book Antiqua"/>
          <w:iCs/>
          <w:sz w:val="22"/>
          <w:szCs w:val="22"/>
        </w:rPr>
        <w:t>to remain</w:t>
      </w:r>
      <w:proofErr w:type="gramEnd"/>
      <w:r w:rsidRPr="00E3295F">
        <w:rPr>
          <w:rFonts w:ascii="Book Antiqua" w:hAnsi="Book Antiqua"/>
          <w:iCs/>
          <w:sz w:val="22"/>
          <w:szCs w:val="22"/>
        </w:rPr>
        <w:t xml:space="preserve"> entirely sound. "</w:t>
      </w:r>
    </w:p>
    <w:p w14:paraId="3CD3F778" w14:textId="77777777" w:rsidR="009775A2" w:rsidRPr="00E3295F" w:rsidRDefault="009775A2" w:rsidP="009775A2">
      <w:pPr>
        <w:pStyle w:val="ListParagraph"/>
        <w:spacing w:after="240"/>
        <w:ind w:left="567"/>
        <w:jc w:val="both"/>
        <w:rPr>
          <w:rFonts w:ascii="Book Antiqua" w:hAnsi="Book Antiqua" w:cs="Arial"/>
          <w:sz w:val="22"/>
          <w:szCs w:val="22"/>
        </w:rPr>
      </w:pPr>
    </w:p>
    <w:p w14:paraId="100D5724" w14:textId="5F5046F3" w:rsidR="00C32DAA" w:rsidRPr="00AD6C5C" w:rsidRDefault="0027399C" w:rsidP="00AD6C5C">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We can now return to </w:t>
      </w:r>
      <w:r w:rsidRPr="0027399C">
        <w:rPr>
          <w:rFonts w:ascii="Book Antiqua" w:hAnsi="Book Antiqua" w:cs="Arial"/>
          <w:u w:val="single"/>
        </w:rPr>
        <w:t>PJ.</w:t>
      </w:r>
      <w:r>
        <w:rPr>
          <w:rFonts w:ascii="Book Antiqua" w:hAnsi="Book Antiqua" w:cs="Arial"/>
        </w:rPr>
        <w:t xml:space="preserve"> G</w:t>
      </w:r>
      <w:r w:rsidR="003F5690">
        <w:rPr>
          <w:rFonts w:ascii="Book Antiqua" w:hAnsi="Book Antiqua" w:cs="Arial"/>
        </w:rPr>
        <w:t xml:space="preserve">iving the judgment of the court, Fulford LJ </w:t>
      </w:r>
      <w:proofErr w:type="gramStart"/>
      <w:r w:rsidR="003F5690">
        <w:rPr>
          <w:rFonts w:ascii="Book Antiqua" w:hAnsi="Book Antiqua" w:cs="Arial"/>
        </w:rPr>
        <w:t>held:-</w:t>
      </w:r>
      <w:proofErr w:type="gramEnd"/>
    </w:p>
    <w:p w14:paraId="6AD4AF35" w14:textId="79FEEDE2" w:rsidR="00072C34" w:rsidRDefault="00AD6C5C" w:rsidP="00C32DAA">
      <w:pPr>
        <w:ind w:left="1701" w:hanging="567"/>
        <w:jc w:val="both"/>
        <w:rPr>
          <w:rFonts w:ascii="Book Antiqua" w:hAnsi="Book Antiqua"/>
          <w:sz w:val="22"/>
          <w:szCs w:val="22"/>
        </w:rPr>
      </w:pPr>
      <w:bookmarkStart w:id="6" w:name="para29"/>
      <w:r>
        <w:rPr>
          <w:rFonts w:ascii="Book Antiqua" w:hAnsi="Book Antiqua"/>
          <w:sz w:val="22"/>
          <w:szCs w:val="22"/>
        </w:rPr>
        <w:t>“</w:t>
      </w:r>
      <w:r w:rsidR="00C32DAA">
        <w:rPr>
          <w:rFonts w:ascii="Book Antiqua" w:hAnsi="Book Antiqua"/>
          <w:sz w:val="22"/>
          <w:szCs w:val="22"/>
        </w:rPr>
        <w:t>29.</w:t>
      </w:r>
      <w:r w:rsidR="00C32DAA">
        <w:rPr>
          <w:rFonts w:ascii="Book Antiqua" w:hAnsi="Book Antiqua"/>
          <w:sz w:val="22"/>
          <w:szCs w:val="22"/>
        </w:rPr>
        <w:tab/>
      </w:r>
      <w:r w:rsidR="00C32DAA" w:rsidRPr="00C32DAA">
        <w:rPr>
          <w:rFonts w:ascii="Book Antiqua" w:hAnsi="Book Antiqua"/>
          <w:sz w:val="22"/>
          <w:szCs w:val="22"/>
        </w:rPr>
        <w:t>In my judgment, there is no basis in domestic or E</w:t>
      </w:r>
      <w:r w:rsidR="00C32DAA">
        <w:rPr>
          <w:rFonts w:ascii="Book Antiqua" w:hAnsi="Book Antiqua"/>
          <w:sz w:val="22"/>
          <w:szCs w:val="22"/>
        </w:rPr>
        <w:t xml:space="preserve">uropean </w:t>
      </w:r>
      <w:r w:rsidR="00C32DAA" w:rsidRPr="00C32DAA">
        <w:rPr>
          <w:rFonts w:ascii="Book Antiqua" w:hAnsi="Book Antiqua"/>
          <w:sz w:val="22"/>
          <w:szCs w:val="22"/>
        </w:rPr>
        <w:t>C</w:t>
      </w:r>
      <w:r w:rsidR="00C32DAA">
        <w:rPr>
          <w:rFonts w:ascii="Book Antiqua" w:hAnsi="Book Antiqua"/>
          <w:sz w:val="22"/>
          <w:szCs w:val="22"/>
        </w:rPr>
        <w:t xml:space="preserve">ourt of </w:t>
      </w:r>
      <w:r w:rsidR="00C32DAA" w:rsidRPr="00C32DAA">
        <w:rPr>
          <w:rFonts w:ascii="Book Antiqua" w:hAnsi="Book Antiqua"/>
          <w:sz w:val="22"/>
          <w:szCs w:val="22"/>
        </w:rPr>
        <w:t>H</w:t>
      </w:r>
      <w:r w:rsidR="00C32DAA">
        <w:rPr>
          <w:rFonts w:ascii="Book Antiqua" w:hAnsi="Book Antiqua"/>
          <w:sz w:val="22"/>
          <w:szCs w:val="22"/>
        </w:rPr>
        <w:t xml:space="preserve">uman </w:t>
      </w:r>
      <w:r w:rsidR="00C32DAA" w:rsidRPr="00C32DAA">
        <w:rPr>
          <w:rFonts w:ascii="Book Antiqua" w:hAnsi="Book Antiqua"/>
          <w:sz w:val="22"/>
          <w:szCs w:val="22"/>
        </w:rPr>
        <w:t>R</w:t>
      </w:r>
      <w:r w:rsidR="00C32DAA">
        <w:rPr>
          <w:rFonts w:ascii="Book Antiqua" w:hAnsi="Book Antiqua"/>
          <w:sz w:val="22"/>
          <w:szCs w:val="22"/>
        </w:rPr>
        <w:t>ights</w:t>
      </w:r>
      <w:r w:rsidR="00C32DAA" w:rsidRPr="00C32DAA">
        <w:rPr>
          <w:rFonts w:ascii="Book Antiqua" w:hAnsi="Book Antiqua"/>
          <w:sz w:val="22"/>
          <w:szCs w:val="22"/>
        </w:rPr>
        <w:t xml:space="preserve"> jurisprudence for the general approach that Mr Martin submitted ought to be adopted whenever local lawyers obtain relevant documents from a domestic court, and thereafter transmit them directly to lawyers in the United Kingdom. </w:t>
      </w:r>
      <w:r w:rsidR="00C32DAA">
        <w:rPr>
          <w:rFonts w:ascii="Book Antiqua" w:hAnsi="Book Antiqua"/>
          <w:sz w:val="22"/>
          <w:szCs w:val="22"/>
        </w:rPr>
        <w:t xml:space="preserve"> </w:t>
      </w:r>
      <w:r w:rsidR="00C32DAA" w:rsidRPr="00C32DAA">
        <w:rPr>
          <w:rFonts w:ascii="Book Antiqua" w:hAnsi="Book Antiqua"/>
          <w:sz w:val="22"/>
          <w:szCs w:val="22"/>
        </w:rPr>
        <w:t>The involvement of lawyers does not create the rebuttable presumption that the documents they produce in this situation are reliable.</w:t>
      </w:r>
      <w:r w:rsidR="00C32DAA">
        <w:rPr>
          <w:rFonts w:ascii="Book Antiqua" w:hAnsi="Book Antiqua"/>
          <w:sz w:val="22"/>
          <w:szCs w:val="22"/>
        </w:rPr>
        <w:t xml:space="preserve"> </w:t>
      </w:r>
      <w:r w:rsidR="00C32DAA" w:rsidRPr="00C32DAA">
        <w:rPr>
          <w:rFonts w:ascii="Book Antiqua" w:hAnsi="Book Antiqua"/>
          <w:sz w:val="22"/>
          <w:szCs w:val="22"/>
        </w:rPr>
        <w:t xml:space="preserve"> Instead, the jurisprudence referred to above does no more than indicate that the circumstances of </w:t>
      </w:r>
      <w:proofErr w:type="gramStart"/>
      <w:r w:rsidR="00C32DAA" w:rsidRPr="00C32DAA">
        <w:rPr>
          <w:rFonts w:ascii="Book Antiqua" w:hAnsi="Book Antiqua"/>
          <w:sz w:val="22"/>
          <w:szCs w:val="22"/>
        </w:rPr>
        <w:t>particular cases</w:t>
      </w:r>
      <w:proofErr w:type="gramEnd"/>
      <w:r w:rsidR="00C32DAA" w:rsidRPr="00C32DAA">
        <w:rPr>
          <w:rFonts w:ascii="Book Antiqua" w:hAnsi="Book Antiqua"/>
          <w:sz w:val="22"/>
          <w:szCs w:val="22"/>
        </w:rPr>
        <w:t xml:space="preserve"> may exceptionally necessitate an element of investigation by the national authorities, in order to provide effective protection against mistreatment under article 3 </w:t>
      </w:r>
      <w:r w:rsidR="00C32DAA">
        <w:rPr>
          <w:rFonts w:ascii="Book Antiqua" w:hAnsi="Book Antiqua"/>
          <w:sz w:val="22"/>
          <w:szCs w:val="22"/>
        </w:rPr>
        <w:t>Convention</w:t>
      </w:r>
      <w:r w:rsidR="00C32DAA" w:rsidRPr="00C32DAA">
        <w:rPr>
          <w:rFonts w:ascii="Book Antiqua" w:hAnsi="Book Antiqua"/>
          <w:sz w:val="22"/>
          <w:szCs w:val="22"/>
        </w:rPr>
        <w:t xml:space="preserve">. </w:t>
      </w:r>
      <w:r w:rsidR="00C32DAA">
        <w:rPr>
          <w:rFonts w:ascii="Book Antiqua" w:hAnsi="Book Antiqua"/>
          <w:sz w:val="22"/>
          <w:szCs w:val="22"/>
        </w:rPr>
        <w:t xml:space="preserve"> </w:t>
      </w:r>
      <w:r w:rsidR="00C32DAA" w:rsidRPr="00C32DAA">
        <w:rPr>
          <w:rFonts w:ascii="Book Antiqua" w:hAnsi="Book Antiqua"/>
          <w:sz w:val="22"/>
          <w:szCs w:val="22"/>
        </w:rPr>
        <w:t xml:space="preserve">It is important to stress, however, that this step will frequently not be </w:t>
      </w:r>
      <w:proofErr w:type="gramStart"/>
      <w:r w:rsidR="00C32DAA" w:rsidRPr="00C32DAA">
        <w:rPr>
          <w:rFonts w:ascii="Book Antiqua" w:hAnsi="Book Antiqua"/>
          <w:sz w:val="22"/>
          <w:szCs w:val="22"/>
        </w:rPr>
        <w:t>feasible</w:t>
      </w:r>
      <w:proofErr w:type="gramEnd"/>
      <w:r w:rsidR="00C32DAA" w:rsidRPr="00C32DAA">
        <w:rPr>
          <w:rFonts w:ascii="Book Antiqua" w:hAnsi="Book Antiqua"/>
          <w:sz w:val="22"/>
          <w:szCs w:val="22"/>
        </w:rPr>
        <w:t xml:space="preserve"> or it may be unjustified or disproportionate.</w:t>
      </w:r>
      <w:r w:rsidR="00C32DAA">
        <w:rPr>
          <w:rFonts w:ascii="Book Antiqua" w:hAnsi="Book Antiqua"/>
          <w:sz w:val="22"/>
          <w:szCs w:val="22"/>
        </w:rPr>
        <w:t xml:space="preserve"> </w:t>
      </w:r>
      <w:r w:rsidR="00C32DAA" w:rsidRPr="00C32DAA">
        <w:rPr>
          <w:rFonts w:ascii="Book Antiqua" w:hAnsi="Book Antiqua"/>
          <w:sz w:val="22"/>
          <w:szCs w:val="22"/>
        </w:rPr>
        <w:t xml:space="preserve"> In </w:t>
      </w:r>
      <w:r w:rsidR="00C32DAA" w:rsidRPr="00C32DAA">
        <w:rPr>
          <w:rFonts w:ascii="Book Antiqua" w:hAnsi="Book Antiqua"/>
          <w:i/>
          <w:iCs/>
          <w:sz w:val="22"/>
          <w:szCs w:val="22"/>
        </w:rPr>
        <w:t>Ahmed</w:t>
      </w:r>
      <w:r w:rsidR="00C32DAA">
        <w:rPr>
          <w:rFonts w:ascii="Book Antiqua" w:hAnsi="Book Antiqua"/>
          <w:i/>
          <w:iCs/>
          <w:sz w:val="22"/>
          <w:szCs w:val="22"/>
        </w:rPr>
        <w:t>’s</w:t>
      </w:r>
      <w:r w:rsidR="00C32DAA" w:rsidRPr="00C32DAA">
        <w:rPr>
          <w:rFonts w:ascii="Book Antiqua" w:hAnsi="Book Antiqua"/>
          <w:sz w:val="22"/>
          <w:szCs w:val="22"/>
        </w:rPr>
        <w:t xml:space="preserve"> </w:t>
      </w:r>
      <w:r w:rsidR="00C32DAA">
        <w:rPr>
          <w:rFonts w:ascii="Book Antiqua" w:hAnsi="Book Antiqua"/>
          <w:sz w:val="22"/>
          <w:szCs w:val="22"/>
        </w:rPr>
        <w:t xml:space="preserve">case [2002] Imm AR 318 </w:t>
      </w:r>
      <w:r w:rsidR="00C32DAA" w:rsidRPr="00C32DAA">
        <w:rPr>
          <w:rFonts w:ascii="Book Antiqua" w:hAnsi="Book Antiqua"/>
          <w:sz w:val="22"/>
          <w:szCs w:val="22"/>
        </w:rPr>
        <w:t xml:space="preserve">the court highlighted the cost and logistical difficulties that may be involved, for instance because of the number of documents submitted by some asylum claimants. </w:t>
      </w:r>
      <w:r w:rsidR="00C32DAA">
        <w:rPr>
          <w:rFonts w:ascii="Book Antiqua" w:hAnsi="Book Antiqua"/>
          <w:sz w:val="22"/>
          <w:szCs w:val="22"/>
        </w:rPr>
        <w:t xml:space="preserve"> </w:t>
      </w:r>
      <w:r w:rsidR="00C32DAA" w:rsidRPr="00C32DAA">
        <w:rPr>
          <w:rFonts w:ascii="Book Antiqua" w:hAnsi="Book Antiqua"/>
          <w:sz w:val="22"/>
          <w:szCs w:val="22"/>
        </w:rPr>
        <w:t xml:space="preserve">The </w:t>
      </w:r>
      <w:r w:rsidR="00C32DAA">
        <w:rPr>
          <w:rFonts w:ascii="Book Antiqua" w:hAnsi="Book Antiqua"/>
          <w:sz w:val="22"/>
          <w:szCs w:val="22"/>
        </w:rPr>
        <w:t>i</w:t>
      </w:r>
      <w:r w:rsidR="00C32DAA" w:rsidRPr="00C32DAA">
        <w:rPr>
          <w:rFonts w:ascii="Book Antiqua" w:hAnsi="Book Antiqua"/>
          <w:sz w:val="22"/>
          <w:szCs w:val="22"/>
        </w:rPr>
        <w:t xml:space="preserve">nquiries may put the applicant or his family at risk, they may be impossible to undertake because of the prevailing local situation or they may place the United Kingdom authorities in the difficult position of making covert local enquiries without the permission of the relevant authorities. Furthermore, given the uncertainties that frequently remain following attempts to establish the reliability of documents, if the outcome of any enquiry is likely to be </w:t>
      </w:r>
      <w:r w:rsidR="00C32DAA" w:rsidRPr="00C32DAA">
        <w:rPr>
          <w:rFonts w:ascii="Book Antiqua" w:hAnsi="Book Antiqua"/>
          <w:sz w:val="22"/>
          <w:szCs w:val="22"/>
        </w:rPr>
        <w:lastRenderedPageBreak/>
        <w:t xml:space="preserve">inconclusive this is a highly relevant factor. </w:t>
      </w:r>
      <w:r w:rsidR="00C32DAA">
        <w:rPr>
          <w:rFonts w:ascii="Book Antiqua" w:hAnsi="Book Antiqua"/>
          <w:sz w:val="22"/>
          <w:szCs w:val="22"/>
        </w:rPr>
        <w:t xml:space="preserve"> </w:t>
      </w:r>
      <w:r w:rsidR="00C32DAA" w:rsidRPr="00C32DAA">
        <w:rPr>
          <w:rFonts w:ascii="Book Antiqua" w:hAnsi="Book Antiqua"/>
          <w:sz w:val="22"/>
          <w:szCs w:val="22"/>
        </w:rPr>
        <w:t xml:space="preserve">As the court in </w:t>
      </w:r>
      <w:r w:rsidR="00C32DAA" w:rsidRPr="00C32DAA">
        <w:rPr>
          <w:rFonts w:ascii="Book Antiqua" w:hAnsi="Book Antiqua"/>
          <w:i/>
          <w:iCs/>
          <w:sz w:val="22"/>
          <w:szCs w:val="22"/>
        </w:rPr>
        <w:t>Ahmed</w:t>
      </w:r>
      <w:r w:rsidR="00C32DAA">
        <w:rPr>
          <w:rFonts w:ascii="Book Antiqua" w:hAnsi="Book Antiqua"/>
          <w:i/>
          <w:iCs/>
          <w:sz w:val="22"/>
          <w:szCs w:val="22"/>
        </w:rPr>
        <w:t xml:space="preserve">’s </w:t>
      </w:r>
      <w:proofErr w:type="gramStart"/>
      <w:r w:rsidR="00C32DAA">
        <w:rPr>
          <w:rFonts w:ascii="Book Antiqua" w:hAnsi="Book Antiqua"/>
          <w:i/>
          <w:iCs/>
          <w:sz w:val="22"/>
          <w:szCs w:val="22"/>
        </w:rPr>
        <w:t xml:space="preserve">case </w:t>
      </w:r>
      <w:r w:rsidR="00C32DAA" w:rsidRPr="00C32DAA">
        <w:rPr>
          <w:rFonts w:ascii="Book Antiqua" w:hAnsi="Book Antiqua"/>
          <w:i/>
          <w:iCs/>
          <w:sz w:val="22"/>
          <w:szCs w:val="22"/>
        </w:rPr>
        <w:t xml:space="preserve"> </w:t>
      </w:r>
      <w:r w:rsidR="00C32DAA" w:rsidRPr="00C32DAA">
        <w:rPr>
          <w:rFonts w:ascii="Book Antiqua" w:hAnsi="Book Antiqua"/>
          <w:sz w:val="22"/>
          <w:szCs w:val="22"/>
        </w:rPr>
        <w:t>observed</w:t>
      </w:r>
      <w:proofErr w:type="gramEnd"/>
      <w:r w:rsidR="00C32DAA" w:rsidRPr="00C32DAA">
        <w:rPr>
          <w:rFonts w:ascii="Book Antiqua" w:hAnsi="Book Antiqua"/>
          <w:sz w:val="22"/>
          <w:szCs w:val="22"/>
        </w:rPr>
        <w:t>, documents should not be viewed in isolation and the evidence needs to be considered in its entirety.</w:t>
      </w:r>
    </w:p>
    <w:p w14:paraId="7C5267C1" w14:textId="77777777" w:rsidR="00C32DAA" w:rsidRPr="00C32DAA" w:rsidRDefault="00C32DAA" w:rsidP="00C32DAA">
      <w:pPr>
        <w:ind w:left="1701" w:hanging="567"/>
        <w:jc w:val="both"/>
        <w:rPr>
          <w:rFonts w:ascii="Book Antiqua" w:hAnsi="Book Antiqua"/>
          <w:sz w:val="22"/>
          <w:szCs w:val="22"/>
        </w:rPr>
      </w:pPr>
      <w:r w:rsidRPr="00C32DAA">
        <w:rPr>
          <w:rFonts w:ascii="Book Antiqua" w:hAnsi="Book Antiqua"/>
          <w:sz w:val="22"/>
          <w:szCs w:val="22"/>
        </w:rPr>
        <w:t xml:space="preserve"> </w:t>
      </w:r>
      <w:bookmarkEnd w:id="6"/>
    </w:p>
    <w:p w14:paraId="00635FB6" w14:textId="77777777" w:rsidR="00C32DAA" w:rsidRDefault="00072C34" w:rsidP="00C32DAA">
      <w:pPr>
        <w:ind w:left="1701" w:hanging="567"/>
        <w:jc w:val="both"/>
        <w:rPr>
          <w:rFonts w:ascii="Book Antiqua" w:hAnsi="Book Antiqua"/>
          <w:sz w:val="22"/>
          <w:szCs w:val="22"/>
        </w:rPr>
      </w:pPr>
      <w:r>
        <w:rPr>
          <w:rFonts w:ascii="Book Antiqua" w:hAnsi="Book Antiqua"/>
          <w:sz w:val="22"/>
          <w:szCs w:val="22"/>
        </w:rPr>
        <w:t>30.</w:t>
      </w:r>
      <w:r>
        <w:rPr>
          <w:rFonts w:ascii="Book Antiqua" w:hAnsi="Book Antiqua"/>
          <w:sz w:val="22"/>
          <w:szCs w:val="22"/>
        </w:rPr>
        <w:tab/>
      </w:r>
      <w:bookmarkStart w:id="7" w:name="para30"/>
      <w:r w:rsidR="00C32DAA" w:rsidRPr="00C32DAA">
        <w:rPr>
          <w:rFonts w:ascii="Book Antiqua" w:hAnsi="Book Antiqua"/>
          <w:sz w:val="22"/>
          <w:szCs w:val="22"/>
        </w:rPr>
        <w:t>Therefore, simply because a relevant document is potentially capable of being verified does not mean that the national authorities have an obligation to take this step.</w:t>
      </w:r>
      <w:r>
        <w:rPr>
          <w:rFonts w:ascii="Book Antiqua" w:hAnsi="Book Antiqua"/>
          <w:sz w:val="22"/>
          <w:szCs w:val="22"/>
        </w:rPr>
        <w:t xml:space="preserve"> </w:t>
      </w:r>
      <w:r w:rsidR="00C32DAA" w:rsidRPr="00C32DAA">
        <w:rPr>
          <w:rFonts w:ascii="Book Antiqua" w:hAnsi="Book Antiqua"/>
          <w:sz w:val="22"/>
          <w:szCs w:val="22"/>
        </w:rPr>
        <w:t xml:space="preserve"> Instead, it may be necessary to make an </w:t>
      </w:r>
      <w:r w:rsidR="00657665">
        <w:rPr>
          <w:rFonts w:ascii="Book Antiqua" w:hAnsi="Book Antiqua"/>
          <w:sz w:val="22"/>
          <w:szCs w:val="22"/>
        </w:rPr>
        <w:t>i</w:t>
      </w:r>
      <w:r w:rsidR="00C32DAA" w:rsidRPr="00C32DAA">
        <w:rPr>
          <w:rFonts w:ascii="Book Antiqua" w:hAnsi="Book Antiqua"/>
          <w:sz w:val="22"/>
          <w:szCs w:val="22"/>
        </w:rPr>
        <w:t xml:space="preserve">nquiry in order to verify the authenticity and reliability of a document – depending always on the particular facts of the case – when it is at the centre of the request for protection, and when a simple process of </w:t>
      </w:r>
      <w:r>
        <w:rPr>
          <w:rFonts w:ascii="Book Antiqua" w:hAnsi="Book Antiqua"/>
          <w:sz w:val="22"/>
          <w:szCs w:val="22"/>
        </w:rPr>
        <w:t>i</w:t>
      </w:r>
      <w:r w:rsidR="00C32DAA" w:rsidRPr="00C32DAA">
        <w:rPr>
          <w:rFonts w:ascii="Book Antiqua" w:hAnsi="Book Antiqua"/>
          <w:sz w:val="22"/>
          <w:szCs w:val="22"/>
        </w:rPr>
        <w:t>nquiry will conclusively resolve its authenticity and reliability</w:t>
      </w:r>
      <w:r>
        <w:rPr>
          <w:rFonts w:ascii="Book Antiqua" w:hAnsi="Book Antiqua"/>
          <w:sz w:val="22"/>
          <w:szCs w:val="22"/>
        </w:rPr>
        <w:t>:</w:t>
      </w:r>
      <w:r w:rsidR="00C32DAA" w:rsidRPr="00C32DAA">
        <w:rPr>
          <w:rFonts w:ascii="Book Antiqua" w:hAnsi="Book Antiqua"/>
          <w:sz w:val="22"/>
          <w:szCs w:val="22"/>
        </w:rPr>
        <w:t xml:space="preserve"> see </w:t>
      </w:r>
      <w:r w:rsidR="00C32DAA" w:rsidRPr="00C32DAA">
        <w:rPr>
          <w:rFonts w:ascii="Book Antiqua" w:hAnsi="Book Antiqua"/>
          <w:i/>
          <w:iCs/>
          <w:sz w:val="22"/>
          <w:szCs w:val="22"/>
        </w:rPr>
        <w:t xml:space="preserve">Singh v Belgium </w:t>
      </w:r>
      <w:r>
        <w:rPr>
          <w:rFonts w:ascii="Book Antiqua" w:hAnsi="Book Antiqua"/>
          <w:iCs/>
          <w:sz w:val="22"/>
          <w:szCs w:val="22"/>
        </w:rPr>
        <w:t xml:space="preserve">given 2 October 2012, paras </w:t>
      </w:r>
      <w:r w:rsidR="00C32DAA" w:rsidRPr="00C32DAA">
        <w:rPr>
          <w:rFonts w:ascii="Book Antiqua" w:hAnsi="Book Antiqua"/>
          <w:sz w:val="22"/>
          <w:szCs w:val="22"/>
        </w:rPr>
        <w:t>101 – 105.</w:t>
      </w:r>
      <w:r>
        <w:rPr>
          <w:rFonts w:ascii="Book Antiqua" w:hAnsi="Book Antiqua"/>
          <w:sz w:val="22"/>
          <w:szCs w:val="22"/>
        </w:rPr>
        <w:t xml:space="preserve"> </w:t>
      </w:r>
      <w:r w:rsidR="00C32DAA" w:rsidRPr="00C32DAA">
        <w:rPr>
          <w:rFonts w:ascii="Book Antiqua" w:hAnsi="Book Antiqua"/>
          <w:sz w:val="22"/>
          <w:szCs w:val="22"/>
        </w:rPr>
        <w:t xml:space="preserve"> I do not consider that there is any material difference in approach between the decisions in </w:t>
      </w:r>
      <w:r w:rsidR="00C32DAA" w:rsidRPr="00C32DAA">
        <w:rPr>
          <w:rFonts w:ascii="Book Antiqua" w:hAnsi="Book Antiqua"/>
          <w:i/>
          <w:iCs/>
          <w:sz w:val="22"/>
          <w:szCs w:val="22"/>
        </w:rPr>
        <w:t>Ahmed</w:t>
      </w:r>
      <w:r>
        <w:rPr>
          <w:rFonts w:ascii="Book Antiqua" w:hAnsi="Book Antiqua"/>
          <w:i/>
          <w:iCs/>
          <w:sz w:val="22"/>
          <w:szCs w:val="22"/>
        </w:rPr>
        <w:t xml:space="preserve">’s </w:t>
      </w:r>
      <w:r w:rsidRPr="00657665">
        <w:rPr>
          <w:rFonts w:ascii="Book Antiqua" w:hAnsi="Book Antiqua"/>
          <w:iCs/>
          <w:sz w:val="22"/>
          <w:szCs w:val="22"/>
        </w:rPr>
        <w:t>case</w:t>
      </w:r>
      <w:r w:rsidR="00C32DAA" w:rsidRPr="00657665">
        <w:rPr>
          <w:rFonts w:ascii="Book Antiqua" w:hAnsi="Book Antiqua"/>
          <w:sz w:val="22"/>
          <w:szCs w:val="22"/>
        </w:rPr>
        <w:t xml:space="preserve"> </w:t>
      </w:r>
      <w:r w:rsidR="00C32DAA" w:rsidRPr="00C32DAA">
        <w:rPr>
          <w:rFonts w:ascii="Book Antiqua" w:hAnsi="Book Antiqua"/>
          <w:sz w:val="22"/>
          <w:szCs w:val="22"/>
        </w:rPr>
        <w:t xml:space="preserve">and </w:t>
      </w:r>
      <w:r w:rsidR="00C32DAA" w:rsidRPr="00C32DAA">
        <w:rPr>
          <w:rFonts w:ascii="Book Antiqua" w:hAnsi="Book Antiqua"/>
          <w:i/>
          <w:iCs/>
          <w:sz w:val="22"/>
          <w:szCs w:val="22"/>
        </w:rPr>
        <w:t>Singh v Belgium</w:t>
      </w:r>
      <w:r w:rsidR="00C32DAA" w:rsidRPr="00C32DAA">
        <w:rPr>
          <w:rFonts w:ascii="Book Antiqua" w:hAnsi="Book Antiqua"/>
          <w:sz w:val="22"/>
          <w:szCs w:val="22"/>
        </w:rPr>
        <w:t xml:space="preserve">, in that in the latter case the Strasbourg court simply addressed one of the exceptional situations when national authorities should undertake a process of verification. </w:t>
      </w:r>
      <w:bookmarkEnd w:id="7"/>
    </w:p>
    <w:p w14:paraId="7F5B81AF" w14:textId="77777777" w:rsidR="00072C34" w:rsidRPr="00C32DAA" w:rsidRDefault="00072C34" w:rsidP="00C32DAA">
      <w:pPr>
        <w:ind w:left="1701" w:hanging="567"/>
        <w:jc w:val="both"/>
        <w:rPr>
          <w:rFonts w:ascii="Book Antiqua" w:hAnsi="Book Antiqua"/>
          <w:sz w:val="22"/>
          <w:szCs w:val="22"/>
        </w:rPr>
      </w:pPr>
    </w:p>
    <w:p w14:paraId="748B1C18" w14:textId="77777777" w:rsidR="00C32DAA" w:rsidRDefault="00072C34" w:rsidP="00C32DAA">
      <w:pPr>
        <w:ind w:left="1701" w:hanging="567"/>
        <w:jc w:val="both"/>
        <w:rPr>
          <w:rFonts w:ascii="Book Antiqua" w:hAnsi="Book Antiqua"/>
          <w:sz w:val="22"/>
          <w:szCs w:val="22"/>
        </w:rPr>
      </w:pPr>
      <w:r>
        <w:rPr>
          <w:rFonts w:ascii="Book Antiqua" w:hAnsi="Book Antiqua"/>
          <w:sz w:val="22"/>
          <w:szCs w:val="22"/>
        </w:rPr>
        <w:t>31.</w:t>
      </w:r>
      <w:r>
        <w:rPr>
          <w:rFonts w:ascii="Book Antiqua" w:hAnsi="Book Antiqua"/>
          <w:sz w:val="22"/>
          <w:szCs w:val="22"/>
        </w:rPr>
        <w:tab/>
      </w:r>
      <w:r w:rsidR="00C32DAA" w:rsidRPr="00C32DAA">
        <w:rPr>
          <w:rFonts w:ascii="Book Antiqua" w:hAnsi="Book Antiqua"/>
          <w:sz w:val="22"/>
          <w:szCs w:val="22"/>
        </w:rPr>
        <w:t xml:space="preserve">In my view, the consequence of a decision that the national authorities are in breach of their obligations to undertake a proper process of verification is that the Secretary of State is unable thereafter to mount an argument challenging the authenticity of the relevant documents unless and until the breach is rectified by a proper </w:t>
      </w:r>
      <w:r>
        <w:rPr>
          <w:rFonts w:ascii="Book Antiqua" w:hAnsi="Book Antiqua"/>
          <w:sz w:val="22"/>
          <w:szCs w:val="22"/>
        </w:rPr>
        <w:t>i</w:t>
      </w:r>
      <w:r w:rsidR="00C32DAA" w:rsidRPr="00C32DAA">
        <w:rPr>
          <w:rFonts w:ascii="Book Antiqua" w:hAnsi="Book Antiqua"/>
          <w:sz w:val="22"/>
          <w:szCs w:val="22"/>
        </w:rPr>
        <w:t xml:space="preserve">nquiry. </w:t>
      </w:r>
      <w:r>
        <w:rPr>
          <w:rFonts w:ascii="Book Antiqua" w:hAnsi="Book Antiqua"/>
          <w:sz w:val="22"/>
          <w:szCs w:val="22"/>
        </w:rPr>
        <w:t xml:space="preserve"> </w:t>
      </w:r>
      <w:r w:rsidR="00C32DAA" w:rsidRPr="00C32DAA">
        <w:rPr>
          <w:rFonts w:ascii="Book Antiqua" w:hAnsi="Book Antiqua"/>
          <w:sz w:val="22"/>
          <w:szCs w:val="22"/>
        </w:rPr>
        <w:t xml:space="preserve">It follows that if a decision of the Secretary of State is overturned on appeal on this basis, absent a suitable investigation it will not open to her to suggest that the document or documents are forged or otherwise are not authentic. </w:t>
      </w:r>
    </w:p>
    <w:p w14:paraId="17C1C72C" w14:textId="77777777" w:rsidR="00072C34" w:rsidRPr="00C32DAA" w:rsidRDefault="00072C34" w:rsidP="00C32DAA">
      <w:pPr>
        <w:ind w:left="1701" w:hanging="567"/>
        <w:jc w:val="both"/>
        <w:rPr>
          <w:rFonts w:ascii="Book Antiqua" w:hAnsi="Book Antiqua"/>
          <w:sz w:val="22"/>
          <w:szCs w:val="22"/>
        </w:rPr>
      </w:pPr>
    </w:p>
    <w:p w14:paraId="00029F9B" w14:textId="77777777" w:rsidR="003F5690" w:rsidRDefault="00072C34" w:rsidP="00C32DAA">
      <w:pPr>
        <w:pStyle w:val="ListParagraph"/>
        <w:spacing w:after="240"/>
        <w:ind w:left="1701" w:hanging="567"/>
        <w:jc w:val="both"/>
        <w:rPr>
          <w:rFonts w:ascii="Book Antiqua" w:hAnsi="Book Antiqua"/>
          <w:sz w:val="22"/>
          <w:szCs w:val="22"/>
        </w:rPr>
      </w:pPr>
      <w:r>
        <w:rPr>
          <w:rFonts w:ascii="Book Antiqua" w:hAnsi="Book Antiqua"/>
          <w:sz w:val="22"/>
          <w:szCs w:val="22"/>
        </w:rPr>
        <w:t>32.</w:t>
      </w:r>
      <w:r>
        <w:rPr>
          <w:rFonts w:ascii="Book Antiqua" w:hAnsi="Book Antiqua"/>
          <w:sz w:val="22"/>
          <w:szCs w:val="22"/>
        </w:rPr>
        <w:tab/>
      </w:r>
      <w:bookmarkStart w:id="8" w:name="para32"/>
      <w:r w:rsidR="00C32DAA" w:rsidRPr="00C32DAA">
        <w:rPr>
          <w:rFonts w:ascii="Book Antiqua" w:hAnsi="Book Antiqua"/>
          <w:sz w:val="22"/>
          <w:szCs w:val="22"/>
        </w:rPr>
        <w:t xml:space="preserve">Finally, in this context it is to be emphasised that the courts are not required to order the Secretary of State to investigate </w:t>
      </w:r>
      <w:proofErr w:type="gramStart"/>
      <w:r w:rsidR="00C32DAA" w:rsidRPr="00C32DAA">
        <w:rPr>
          <w:rFonts w:ascii="Book Antiqua" w:hAnsi="Book Antiqua"/>
          <w:sz w:val="22"/>
          <w:szCs w:val="22"/>
        </w:rPr>
        <w:t>particular areas</w:t>
      </w:r>
      <w:proofErr w:type="gramEnd"/>
      <w:r w:rsidR="00C32DAA" w:rsidRPr="00C32DAA">
        <w:rPr>
          <w:rFonts w:ascii="Book Antiqua" w:hAnsi="Book Antiqua"/>
          <w:sz w:val="22"/>
          <w:szCs w:val="22"/>
        </w:rPr>
        <w:t xml:space="preserve"> of evidence or otherwise to direct her </w:t>
      </w:r>
      <w:r w:rsidR="00D910E8">
        <w:rPr>
          <w:rFonts w:ascii="Book Antiqua" w:hAnsi="Book Antiqua"/>
          <w:sz w:val="22"/>
          <w:szCs w:val="22"/>
        </w:rPr>
        <w:t>i</w:t>
      </w:r>
      <w:r w:rsidR="00C32DAA" w:rsidRPr="00C32DAA">
        <w:rPr>
          <w:rFonts w:ascii="Book Antiqua" w:hAnsi="Book Antiqua"/>
          <w:sz w:val="22"/>
          <w:szCs w:val="22"/>
        </w:rPr>
        <w:t xml:space="preserve">nquiries. </w:t>
      </w:r>
      <w:r>
        <w:rPr>
          <w:rFonts w:ascii="Book Antiqua" w:hAnsi="Book Antiqua"/>
          <w:sz w:val="22"/>
          <w:szCs w:val="22"/>
        </w:rPr>
        <w:t xml:space="preserve"> </w:t>
      </w:r>
      <w:r w:rsidR="00C32DAA" w:rsidRPr="00C32DAA">
        <w:rPr>
          <w:rFonts w:ascii="Book Antiqua" w:hAnsi="Book Antiqua"/>
          <w:sz w:val="22"/>
          <w:szCs w:val="22"/>
        </w:rPr>
        <w:t xml:space="preserve">Instead, on an appeal from a decision of the Secretary of State it is for the court to decide whether there was an obligation on her to undertake particular </w:t>
      </w:r>
      <w:r w:rsidR="008123A1">
        <w:rPr>
          <w:rFonts w:ascii="Book Antiqua" w:hAnsi="Book Antiqua"/>
          <w:sz w:val="22"/>
          <w:szCs w:val="22"/>
        </w:rPr>
        <w:t>i</w:t>
      </w:r>
      <w:r w:rsidR="00C32DAA" w:rsidRPr="00C32DAA">
        <w:rPr>
          <w:rFonts w:ascii="Book Antiqua" w:hAnsi="Book Antiqua"/>
          <w:sz w:val="22"/>
          <w:szCs w:val="22"/>
        </w:rPr>
        <w:t>nquiries, and if the court concludes this requirement existed, it will resolve whether the Secretary of State sustainably discharged her obligation</w:t>
      </w:r>
      <w:r w:rsidR="008123A1">
        <w:rPr>
          <w:rFonts w:ascii="Book Antiqua" w:hAnsi="Book Antiqua"/>
          <w:sz w:val="22"/>
          <w:szCs w:val="22"/>
        </w:rPr>
        <w:t>:</w:t>
      </w:r>
      <w:r w:rsidR="00C32DAA" w:rsidRPr="00C32DAA">
        <w:rPr>
          <w:rFonts w:ascii="Book Antiqua" w:hAnsi="Book Antiqua"/>
          <w:sz w:val="22"/>
          <w:szCs w:val="22"/>
        </w:rPr>
        <w:t xml:space="preserve"> see </w:t>
      </w:r>
      <w:r w:rsidR="00C32DAA" w:rsidRPr="00C32DAA">
        <w:rPr>
          <w:rFonts w:ascii="Book Antiqua" w:hAnsi="Book Antiqua"/>
          <w:i/>
          <w:iCs/>
          <w:sz w:val="22"/>
          <w:szCs w:val="22"/>
        </w:rPr>
        <w:t xml:space="preserve">NA </w:t>
      </w:r>
      <w:r w:rsidR="008123A1">
        <w:rPr>
          <w:rFonts w:ascii="Book Antiqua" w:hAnsi="Book Antiqua"/>
          <w:i/>
          <w:iCs/>
          <w:sz w:val="22"/>
          <w:szCs w:val="22"/>
        </w:rPr>
        <w:t xml:space="preserve">v Secretary of State for the Home Department </w:t>
      </w:r>
      <w:r w:rsidR="00C32DAA" w:rsidRPr="00C32DAA">
        <w:rPr>
          <w:rFonts w:ascii="Book Antiqua" w:hAnsi="Book Antiqua"/>
          <w:sz w:val="22"/>
          <w:szCs w:val="22"/>
        </w:rPr>
        <w:t xml:space="preserve">[2014] UKUT 205 </w:t>
      </w:r>
      <w:r w:rsidR="008123A1">
        <w:rPr>
          <w:rFonts w:ascii="Book Antiqua" w:hAnsi="Book Antiqua"/>
          <w:sz w:val="22"/>
          <w:szCs w:val="22"/>
        </w:rPr>
        <w:t>(</w:t>
      </w:r>
      <w:r w:rsidR="00C32DAA" w:rsidRPr="00C32DAA">
        <w:rPr>
          <w:rFonts w:ascii="Book Antiqua" w:hAnsi="Book Antiqua"/>
          <w:sz w:val="22"/>
          <w:szCs w:val="22"/>
        </w:rPr>
        <w:t xml:space="preserve">IAC). </w:t>
      </w:r>
      <w:r w:rsidR="008123A1">
        <w:rPr>
          <w:rFonts w:ascii="Book Antiqua" w:hAnsi="Book Antiqua"/>
          <w:sz w:val="22"/>
          <w:szCs w:val="22"/>
        </w:rPr>
        <w:t xml:space="preserve"> </w:t>
      </w:r>
      <w:r w:rsidR="00C32DAA" w:rsidRPr="00C32DAA">
        <w:rPr>
          <w:rFonts w:ascii="Book Antiqua" w:hAnsi="Book Antiqua"/>
          <w:sz w:val="22"/>
          <w:szCs w:val="22"/>
        </w:rPr>
        <w:t>If court finds there was such an obligation and that it was not discharged, it must assess the consequences for the case.</w:t>
      </w:r>
      <w:bookmarkEnd w:id="8"/>
      <w:r w:rsidR="008123A1">
        <w:rPr>
          <w:rFonts w:ascii="Book Antiqua" w:hAnsi="Book Antiqua"/>
          <w:sz w:val="22"/>
          <w:szCs w:val="22"/>
        </w:rPr>
        <w:t>”</w:t>
      </w:r>
    </w:p>
    <w:p w14:paraId="7FB1AEC2" w14:textId="77777777" w:rsidR="00FE11A9" w:rsidRDefault="00FE11A9" w:rsidP="00FE11A9">
      <w:pPr>
        <w:pStyle w:val="ListParagraph"/>
        <w:spacing w:after="240"/>
        <w:ind w:left="567"/>
        <w:jc w:val="both"/>
        <w:rPr>
          <w:rFonts w:ascii="Book Antiqua" w:hAnsi="Book Antiqua" w:cs="Arial"/>
        </w:rPr>
      </w:pPr>
    </w:p>
    <w:p w14:paraId="5E8A442F" w14:textId="1D8137FA" w:rsidR="00FE11A9" w:rsidRDefault="006103A8"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Several matters arising from paragraphs 29 to 32</w:t>
      </w:r>
      <w:r w:rsidR="0027399C">
        <w:rPr>
          <w:rFonts w:ascii="Book Antiqua" w:hAnsi="Book Antiqua" w:cs="Arial"/>
        </w:rPr>
        <w:t xml:space="preserve"> of </w:t>
      </w:r>
      <w:r w:rsidR="0027399C" w:rsidRPr="0027399C">
        <w:rPr>
          <w:rFonts w:ascii="Book Antiqua" w:hAnsi="Book Antiqua" w:cs="Arial"/>
          <w:u w:val="single"/>
        </w:rPr>
        <w:t>PJ</w:t>
      </w:r>
      <w:r>
        <w:rPr>
          <w:rFonts w:ascii="Book Antiqua" w:hAnsi="Book Antiqua" w:cs="Arial"/>
        </w:rPr>
        <w:t xml:space="preserve"> need to be emphasised.  </w:t>
      </w:r>
      <w:r w:rsidR="00811DE1">
        <w:rPr>
          <w:rFonts w:ascii="Book Antiqua" w:hAnsi="Book Antiqua" w:cs="Arial"/>
        </w:rPr>
        <w:t>First, the fact that lawyers have been involved does not mean the documents they produce</w:t>
      </w:r>
      <w:r w:rsidR="004A6B2A">
        <w:rPr>
          <w:rFonts w:ascii="Book Antiqua" w:hAnsi="Book Antiqua" w:cs="Arial"/>
        </w:rPr>
        <w:t xml:space="preserve"> are for that reason reliable.  Secondly, the sort of exercise required by the ECtHR in </w:t>
      </w:r>
      <w:r w:rsidR="004A6B2A" w:rsidRPr="004A6B2A">
        <w:rPr>
          <w:rFonts w:ascii="Book Antiqua" w:hAnsi="Book Antiqua" w:cs="Arial"/>
          <w:u w:val="single"/>
        </w:rPr>
        <w:t>Singh v Belgium</w:t>
      </w:r>
      <w:r w:rsidR="004A6B2A">
        <w:rPr>
          <w:rFonts w:ascii="Book Antiqua" w:hAnsi="Book Antiqua" w:cs="Arial"/>
        </w:rPr>
        <w:t xml:space="preserve"> w</w:t>
      </w:r>
      <w:r w:rsidR="00892D65">
        <w:rPr>
          <w:rFonts w:ascii="Book Antiqua" w:hAnsi="Book Antiqua" w:cs="Arial"/>
        </w:rPr>
        <w:t>ill</w:t>
      </w:r>
      <w:r w:rsidR="004A6B2A">
        <w:rPr>
          <w:rFonts w:ascii="Book Antiqua" w:hAnsi="Book Antiqua" w:cs="Arial"/>
        </w:rPr>
        <w:t xml:space="preserve"> only arise exceptionally (treating that word as an indicator of frequency, rather than as a legal test).  Thirdly, </w:t>
      </w:r>
      <w:r w:rsidR="004A6B2A" w:rsidRPr="004A6B2A">
        <w:rPr>
          <w:rFonts w:ascii="Book Antiqua" w:hAnsi="Book Antiqua" w:cs="Arial"/>
          <w:u w:val="single"/>
        </w:rPr>
        <w:t>Tanveer Ahmed</w:t>
      </w:r>
      <w:r w:rsidR="004A6B2A">
        <w:rPr>
          <w:rFonts w:ascii="Book Antiqua" w:hAnsi="Book Antiqua" w:cs="Arial"/>
        </w:rPr>
        <w:t xml:space="preserve"> was clearly regarded by Fulford LJ as being compatible with </w:t>
      </w:r>
      <w:r w:rsidR="004A6B2A" w:rsidRPr="004A6B2A">
        <w:rPr>
          <w:rFonts w:ascii="Book Antiqua" w:hAnsi="Book Antiqua" w:cs="Arial"/>
          <w:u w:val="single"/>
        </w:rPr>
        <w:t>Singh v Belgium</w:t>
      </w:r>
      <w:r w:rsidR="004A6B2A">
        <w:rPr>
          <w:rFonts w:ascii="Book Antiqua" w:hAnsi="Book Antiqua" w:cs="Arial"/>
        </w:rPr>
        <w:t xml:space="preserve">, as the Upper Tribunal had found in </w:t>
      </w:r>
      <w:r w:rsidR="004A6B2A" w:rsidRPr="004A6B2A">
        <w:rPr>
          <w:rFonts w:ascii="Book Antiqua" w:hAnsi="Book Antiqua" w:cs="Arial"/>
          <w:u w:val="single"/>
        </w:rPr>
        <w:t>MJ</w:t>
      </w:r>
      <w:r w:rsidR="004A6B2A">
        <w:rPr>
          <w:rFonts w:ascii="Book Antiqua" w:hAnsi="Book Antiqua" w:cs="Arial"/>
        </w:rPr>
        <w:t xml:space="preserve">.  </w:t>
      </w:r>
      <w:proofErr w:type="gramStart"/>
      <w:r w:rsidR="004A6B2A">
        <w:rPr>
          <w:rFonts w:ascii="Book Antiqua" w:hAnsi="Book Antiqua" w:cs="Arial"/>
        </w:rPr>
        <w:t>In particular, Fulford LJ</w:t>
      </w:r>
      <w:proofErr w:type="gramEnd"/>
      <w:r w:rsidR="004A6B2A">
        <w:rPr>
          <w:rFonts w:ascii="Book Antiqua" w:hAnsi="Book Antiqua" w:cs="Arial"/>
        </w:rPr>
        <w:t xml:space="preserve"> stressed the point made in </w:t>
      </w:r>
      <w:r w:rsidR="004A6B2A" w:rsidRPr="00DD62C8">
        <w:rPr>
          <w:rFonts w:ascii="Book Antiqua" w:hAnsi="Book Antiqua" w:cs="Arial"/>
          <w:u w:val="single"/>
        </w:rPr>
        <w:t>Tanveer Ahmed</w:t>
      </w:r>
      <w:r w:rsidR="004A6B2A">
        <w:rPr>
          <w:rFonts w:ascii="Book Antiqua" w:hAnsi="Book Antiqua" w:cs="Arial"/>
        </w:rPr>
        <w:t xml:space="preserve">, that issues of cost and </w:t>
      </w:r>
      <w:r w:rsidR="00DD62C8">
        <w:rPr>
          <w:rFonts w:ascii="Book Antiqua" w:hAnsi="Book Antiqua" w:cs="Arial"/>
        </w:rPr>
        <w:t>logistical</w:t>
      </w:r>
      <w:r w:rsidR="004A6B2A">
        <w:rPr>
          <w:rFonts w:ascii="Book Antiqua" w:hAnsi="Book Antiqua" w:cs="Arial"/>
        </w:rPr>
        <w:t xml:space="preserve"> difficulty, owing to the</w:t>
      </w:r>
      <w:r w:rsidR="004307E2">
        <w:rPr>
          <w:rFonts w:ascii="Book Antiqua" w:hAnsi="Book Antiqua" w:cs="Arial"/>
        </w:rPr>
        <w:t xml:space="preserve"> sheer</w:t>
      </w:r>
      <w:r w:rsidR="004A6B2A">
        <w:rPr>
          <w:rFonts w:ascii="Book Antiqua" w:hAnsi="Book Antiqua" w:cs="Arial"/>
        </w:rPr>
        <w:t xml:space="preserve"> number of documents submitted in asylum claims, w</w:t>
      </w:r>
      <w:r w:rsidR="004307E2">
        <w:rPr>
          <w:rFonts w:ascii="Book Antiqua" w:hAnsi="Book Antiqua" w:cs="Arial"/>
        </w:rPr>
        <w:t>ill</w:t>
      </w:r>
      <w:r w:rsidR="004A6B2A">
        <w:rPr>
          <w:rFonts w:ascii="Book Antiqua" w:hAnsi="Book Antiqua" w:cs="Arial"/>
        </w:rPr>
        <w:t xml:space="preserve"> be a relevant consideration in determining whether, in the particular circumstances, an obligation on the respondent arises.  The point made in </w:t>
      </w:r>
      <w:r w:rsidR="004A6B2A" w:rsidRPr="004A6B2A">
        <w:rPr>
          <w:rFonts w:ascii="Book Antiqua" w:hAnsi="Book Antiqua" w:cs="Arial"/>
          <w:u w:val="single"/>
        </w:rPr>
        <w:t>Tanveer Ahmed</w:t>
      </w:r>
      <w:r w:rsidR="004A6B2A">
        <w:rPr>
          <w:rFonts w:ascii="Book Antiqua" w:hAnsi="Book Antiqua" w:cs="Arial"/>
        </w:rPr>
        <w:t xml:space="preserve"> that documents should not be viewed in isolation</w:t>
      </w:r>
      <w:r w:rsidR="000C28D9">
        <w:rPr>
          <w:rFonts w:ascii="Book Antiqua" w:hAnsi="Book Antiqua" w:cs="Arial"/>
        </w:rPr>
        <w:t xml:space="preserve"> </w:t>
      </w:r>
      <w:r w:rsidR="004A6B2A">
        <w:rPr>
          <w:rFonts w:ascii="Book Antiqua" w:hAnsi="Book Antiqua" w:cs="Arial"/>
        </w:rPr>
        <w:t>but considered in their entirety in connection with the rest of the evidence, was also approved.</w:t>
      </w:r>
    </w:p>
    <w:p w14:paraId="7966A280" w14:textId="77777777" w:rsidR="004A6B2A" w:rsidRDefault="004A6B2A" w:rsidP="004A6B2A">
      <w:pPr>
        <w:pStyle w:val="ListParagraph"/>
        <w:spacing w:after="240"/>
        <w:ind w:left="567"/>
        <w:jc w:val="both"/>
        <w:rPr>
          <w:rFonts w:ascii="Book Antiqua" w:hAnsi="Book Antiqua" w:cs="Arial"/>
        </w:rPr>
      </w:pPr>
    </w:p>
    <w:p w14:paraId="71750A20" w14:textId="0721B46C" w:rsidR="004A6B2A" w:rsidRDefault="00A72649"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lastRenderedPageBreak/>
        <w:t>As we can see from paragraph 30, in</w:t>
      </w:r>
      <w:r w:rsidR="004A6B2A">
        <w:rPr>
          <w:rFonts w:ascii="Book Antiqua" w:hAnsi="Book Antiqua" w:cs="Arial"/>
        </w:rPr>
        <w:t xml:space="preserve"> order to engage the obligation, the document in question needs to be at the centre of the request for protection.  Even then, there should be a simple process of inquiry that will conclusively resolve both authenticity and reliability.  Given the status of the body that had produced the documents in </w:t>
      </w:r>
      <w:r w:rsidR="004A6B2A" w:rsidRPr="004A6B2A">
        <w:rPr>
          <w:rFonts w:ascii="Book Antiqua" w:hAnsi="Book Antiqua" w:cs="Arial"/>
          <w:u w:val="single"/>
        </w:rPr>
        <w:t>Singh v Belgium</w:t>
      </w:r>
      <w:r w:rsidR="004A6B2A">
        <w:rPr>
          <w:rFonts w:ascii="Book Antiqua" w:hAnsi="Book Antiqua" w:cs="Arial"/>
        </w:rPr>
        <w:t xml:space="preserve">, there could be little doubt that, if authentic, </w:t>
      </w:r>
      <w:r w:rsidR="003C5851">
        <w:rPr>
          <w:rFonts w:ascii="Book Antiqua" w:hAnsi="Book Antiqua" w:cs="Arial"/>
        </w:rPr>
        <w:t xml:space="preserve">what </w:t>
      </w:r>
      <w:r w:rsidR="004A6B2A">
        <w:rPr>
          <w:rFonts w:ascii="Book Antiqua" w:hAnsi="Book Antiqua" w:cs="Arial"/>
        </w:rPr>
        <w:t xml:space="preserve">the documents said could also be assumed to be reliable.  But, as the Tribunal pointed out in </w:t>
      </w:r>
      <w:r w:rsidR="004A6B2A" w:rsidRPr="004A6B2A">
        <w:rPr>
          <w:rFonts w:ascii="Book Antiqua" w:hAnsi="Book Antiqua" w:cs="Arial"/>
          <w:u w:val="single"/>
        </w:rPr>
        <w:t>Tanveer Ahmed</w:t>
      </w:r>
      <w:r w:rsidR="004A6B2A">
        <w:rPr>
          <w:rFonts w:ascii="Book Antiqua" w:hAnsi="Book Antiqua" w:cs="Arial"/>
        </w:rPr>
        <w:t xml:space="preserve">, in other cases involving foreign documentation, the discovery that the document emanates from a genuine official source may have little or nothing to say about the reliability of its contents.  </w:t>
      </w:r>
    </w:p>
    <w:p w14:paraId="321250C2" w14:textId="77777777" w:rsidR="004A6B2A" w:rsidRDefault="004A6B2A" w:rsidP="004A6B2A">
      <w:pPr>
        <w:pStyle w:val="ListParagraph"/>
        <w:spacing w:after="240"/>
        <w:ind w:left="567"/>
        <w:jc w:val="both"/>
        <w:rPr>
          <w:rFonts w:ascii="Book Antiqua" w:hAnsi="Book Antiqua" w:cs="Arial"/>
        </w:rPr>
      </w:pPr>
    </w:p>
    <w:p w14:paraId="03B0E1F2" w14:textId="77777777" w:rsidR="004A6B2A" w:rsidRDefault="004A6B2A"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This is relevant to an understanding of paragraph 31 of </w:t>
      </w:r>
      <w:r w:rsidRPr="004A6B2A">
        <w:rPr>
          <w:rFonts w:ascii="Book Antiqua" w:hAnsi="Book Antiqua" w:cs="Arial"/>
          <w:u w:val="single"/>
        </w:rPr>
        <w:t>PJ</w:t>
      </w:r>
      <w:r>
        <w:rPr>
          <w:rFonts w:ascii="Book Antiqua" w:hAnsi="Book Antiqua" w:cs="Arial"/>
        </w:rPr>
        <w:t>, where Fulford LJ addressed the consequence of the respondent not undertaking a proper process of verification, where the obligation is found to exist.  Fulford LJ held that, in such a scenario, the respondent would be “unable thereafter to mount an argument challenging the authenticity of the relevant documents unless and until the breach is rectified by a proper enquiry”</w:t>
      </w:r>
      <w:r w:rsidR="00F345AA">
        <w:rPr>
          <w:rFonts w:ascii="Book Antiqua" w:hAnsi="Book Antiqua" w:cs="Arial"/>
        </w:rPr>
        <w:t xml:space="preserve">.  It would, in other words, not be open to the respondent “to suggest that the document or documents are forged or otherwise are not authentic”.  It is apparent that, in paragraph 31, Fulford LJ was deliberately restricting his description of the effects of failing to discharge the obligation, </w:t>
      </w:r>
      <w:proofErr w:type="gramStart"/>
      <w:r w:rsidR="00F345AA">
        <w:rPr>
          <w:rFonts w:ascii="Book Antiqua" w:hAnsi="Book Antiqua" w:cs="Arial"/>
        </w:rPr>
        <w:t>so as to</w:t>
      </w:r>
      <w:proofErr w:type="gramEnd"/>
      <w:r w:rsidR="00F345AA">
        <w:rPr>
          <w:rFonts w:ascii="Book Antiqua" w:hAnsi="Book Antiqua" w:cs="Arial"/>
        </w:rPr>
        <w:t xml:space="preserve"> preclude the respondent from challenging the authenticity, as opposed to the reliability, of a document.  </w:t>
      </w:r>
    </w:p>
    <w:p w14:paraId="33D8AE9F" w14:textId="77777777" w:rsidR="00F345AA" w:rsidRDefault="00F345AA" w:rsidP="00F345AA">
      <w:pPr>
        <w:pStyle w:val="ListParagraph"/>
        <w:spacing w:after="240"/>
        <w:ind w:left="567"/>
        <w:jc w:val="both"/>
        <w:rPr>
          <w:rFonts w:ascii="Book Antiqua" w:hAnsi="Book Antiqua" w:cs="Arial"/>
        </w:rPr>
      </w:pPr>
    </w:p>
    <w:p w14:paraId="2266AB0F" w14:textId="57BD2867" w:rsidR="009D2151" w:rsidRDefault="00F345AA"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Paragraph 32 makes it evident that courts and tribunals cannot require the respondent to investigate </w:t>
      </w:r>
      <w:proofErr w:type="gramStart"/>
      <w:r>
        <w:rPr>
          <w:rFonts w:ascii="Book Antiqua" w:hAnsi="Book Antiqua" w:cs="Arial"/>
        </w:rPr>
        <w:t>particular areas</w:t>
      </w:r>
      <w:proofErr w:type="gramEnd"/>
      <w:r>
        <w:rPr>
          <w:rFonts w:ascii="Book Antiqua" w:hAnsi="Book Antiqua" w:cs="Arial"/>
        </w:rPr>
        <w:t xml:space="preserve"> of evidence.  </w:t>
      </w:r>
      <w:r w:rsidR="00801CAE">
        <w:rPr>
          <w:rFonts w:ascii="Book Antiqua" w:hAnsi="Book Antiqua" w:cs="Arial"/>
        </w:rPr>
        <w:t>It will be for the court or tribunal to decide w</w:t>
      </w:r>
      <w:r>
        <w:rPr>
          <w:rFonts w:ascii="Book Antiqua" w:hAnsi="Book Antiqua" w:cs="Arial"/>
        </w:rPr>
        <w:t xml:space="preserve">hether the obligation to undertake </w:t>
      </w:r>
      <w:proofErr w:type="gramStart"/>
      <w:r>
        <w:rPr>
          <w:rFonts w:ascii="Book Antiqua" w:hAnsi="Book Antiqua" w:cs="Arial"/>
        </w:rPr>
        <w:t>particular enquiries</w:t>
      </w:r>
      <w:proofErr w:type="gramEnd"/>
      <w:r w:rsidR="009D2151">
        <w:rPr>
          <w:rFonts w:ascii="Book Antiqua" w:hAnsi="Book Antiqua" w:cs="Arial"/>
        </w:rPr>
        <w:t xml:space="preserve"> arises</w:t>
      </w:r>
      <w:r>
        <w:rPr>
          <w:rFonts w:ascii="Book Antiqua" w:hAnsi="Book Antiqua" w:cs="Arial"/>
        </w:rPr>
        <w:t>, with the consequences for the respondent that Fulford LJ had described</w:t>
      </w:r>
      <w:r w:rsidR="009D2151">
        <w:rPr>
          <w:rFonts w:ascii="Book Antiqua" w:hAnsi="Book Antiqua" w:cs="Arial"/>
        </w:rPr>
        <w:t>.</w:t>
      </w:r>
    </w:p>
    <w:p w14:paraId="0EC3DBFA" w14:textId="77777777" w:rsidR="009D2151" w:rsidRDefault="009D2151" w:rsidP="009D2151">
      <w:pPr>
        <w:pStyle w:val="ListParagraph"/>
        <w:spacing w:after="240"/>
        <w:ind w:left="567"/>
        <w:jc w:val="both"/>
        <w:rPr>
          <w:rFonts w:ascii="Book Antiqua" w:hAnsi="Book Antiqua" w:cs="Arial"/>
        </w:rPr>
      </w:pPr>
    </w:p>
    <w:p w14:paraId="1AAFDBF6" w14:textId="3DCF517F" w:rsidR="00F345AA" w:rsidRDefault="00F345AA"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 The final sentence of paragraph 32 is of </w:t>
      </w:r>
      <w:proofErr w:type="gramStart"/>
      <w:r>
        <w:rPr>
          <w:rFonts w:ascii="Book Antiqua" w:hAnsi="Book Antiqua" w:cs="Arial"/>
        </w:rPr>
        <w:t>particular significance</w:t>
      </w:r>
      <w:proofErr w:type="gramEnd"/>
      <w:r>
        <w:rPr>
          <w:rFonts w:ascii="Book Antiqua" w:hAnsi="Book Antiqua" w:cs="Arial"/>
        </w:rPr>
        <w:t xml:space="preserve">.  If a tribunal concludes that the respondent has, exceptionally, become subject to an obligation to verify, but has not done so, the consequence for her will be that she is unable to contend that the document is not authentic.  It will, nevertheless, be for the judicial fact-finder to decide, in all the circumstances of the case, and by reference to the totality of the evidence, whether the document is “reliable” as to both its provenance and contents.  If the judicial fact-finder is so satisfied, this may, of course, prove to be determinative of </w:t>
      </w:r>
      <w:r w:rsidR="00F844CF">
        <w:rPr>
          <w:rFonts w:ascii="Book Antiqua" w:hAnsi="Book Antiqua" w:cs="Arial"/>
        </w:rPr>
        <w:t xml:space="preserve">the </w:t>
      </w:r>
      <w:r>
        <w:rPr>
          <w:rFonts w:ascii="Book Antiqua" w:hAnsi="Book Antiqua" w:cs="Arial"/>
        </w:rPr>
        <w:t xml:space="preserve">claim to international protection.  But such a result will not necessarily follow.  It all depends on the nature of the case being advanced and the fact-finder’s conclusions on the entirety of the evidence.  </w:t>
      </w:r>
    </w:p>
    <w:p w14:paraId="679629CE" w14:textId="77777777" w:rsidR="00F345AA" w:rsidRDefault="00F345AA" w:rsidP="00F345AA">
      <w:pPr>
        <w:pStyle w:val="ListParagraph"/>
        <w:spacing w:after="240"/>
        <w:ind w:left="567"/>
        <w:jc w:val="both"/>
        <w:rPr>
          <w:rFonts w:ascii="Book Antiqua" w:hAnsi="Book Antiqua" w:cs="Arial"/>
        </w:rPr>
      </w:pPr>
    </w:p>
    <w:p w14:paraId="06CEC1F2" w14:textId="3860599B" w:rsidR="00F345AA" w:rsidRDefault="00AF4785"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It is in</w:t>
      </w:r>
      <w:r w:rsidR="00012618">
        <w:rPr>
          <w:rFonts w:ascii="Book Antiqua" w:hAnsi="Book Antiqua" w:cs="Arial"/>
        </w:rPr>
        <w:t>structive</w:t>
      </w:r>
      <w:r>
        <w:rPr>
          <w:rFonts w:ascii="Book Antiqua" w:hAnsi="Book Antiqua" w:cs="Arial"/>
        </w:rPr>
        <w:t xml:space="preserve"> to see </w:t>
      </w:r>
      <w:r w:rsidR="00E16552">
        <w:rPr>
          <w:rFonts w:ascii="Book Antiqua" w:hAnsi="Book Antiqua" w:cs="Arial"/>
        </w:rPr>
        <w:t xml:space="preserve">how the court in </w:t>
      </w:r>
      <w:r w:rsidR="00E16552" w:rsidRPr="00E16552">
        <w:rPr>
          <w:rFonts w:ascii="Book Antiqua" w:hAnsi="Book Antiqua" w:cs="Arial"/>
          <w:u w:val="single"/>
        </w:rPr>
        <w:t>PJ</w:t>
      </w:r>
      <w:r w:rsidR="00E16552">
        <w:rPr>
          <w:rFonts w:ascii="Book Antiqua" w:hAnsi="Book Antiqua" w:cs="Arial"/>
        </w:rPr>
        <w:t xml:space="preserve"> reached its conclusion to allow the appeal and remit the matter to the Upper Tribunal.  At paragraph 41, Fulford LJ found that the First-tier Tribunal Judge had doubted the validity of the documents disclosed by the lawyers “on a significantly false basis”.  The fact that two independent lawyers had turned up the same material from the Magistrates’ Court clearly struck Fulford LJ as very significant.  Once it had been established that the documents originated from a Sri Lankan court</w:t>
      </w:r>
      <w:r w:rsidR="008B0251">
        <w:rPr>
          <w:rFonts w:ascii="Book Antiqua" w:hAnsi="Book Antiqua" w:cs="Arial"/>
        </w:rPr>
        <w:t>,</w:t>
      </w:r>
      <w:r w:rsidR="00E16552">
        <w:rPr>
          <w:rFonts w:ascii="Book Antiqua" w:hAnsi="Book Antiqua" w:cs="Arial"/>
        </w:rPr>
        <w:t xml:space="preserve"> “</w:t>
      </w:r>
      <w:r w:rsidR="005D3807">
        <w:rPr>
          <w:rFonts w:ascii="Book Antiqua" w:hAnsi="Book Antiqua" w:cs="Arial"/>
        </w:rPr>
        <w:t>a</w:t>
      </w:r>
      <w:r w:rsidR="00E16552">
        <w:rPr>
          <w:rFonts w:ascii="Book Antiqua" w:hAnsi="Book Antiqua" w:cs="Arial"/>
        </w:rPr>
        <w:t xml:space="preserve"> sufficient justification was required for the conclusion that the claimant does not have a well-founded fear of persecution”.  It was, furthermore, “difficult to understand how the claimant could have falsified a letter from the </w:t>
      </w:r>
      <w:r w:rsidR="00E16552">
        <w:rPr>
          <w:rFonts w:ascii="Book Antiqua" w:hAnsi="Book Antiqua" w:cs="Arial"/>
        </w:rPr>
        <w:lastRenderedPageBreak/>
        <w:t>Magistrate of the relevant court to the Controller of Immigration and Emigration ordering the claimant’s arrest which he then placed in the court record so it could later be retrieved by two separate lawyers”.  Fulford LJ held that</w:t>
      </w:r>
      <w:r w:rsidR="00555287">
        <w:rPr>
          <w:rFonts w:ascii="Book Antiqua" w:hAnsi="Book Antiqua" w:cs="Arial"/>
        </w:rPr>
        <w:t>, at</w:t>
      </w:r>
      <w:r w:rsidR="00E16552">
        <w:rPr>
          <w:rFonts w:ascii="Book Antiqua" w:hAnsi="Book Antiqua" w:cs="Arial"/>
        </w:rPr>
        <w:t xml:space="preserve"> the very least</w:t>
      </w:r>
      <w:r w:rsidR="00555287">
        <w:rPr>
          <w:rFonts w:ascii="Book Antiqua" w:hAnsi="Book Antiqua" w:cs="Arial"/>
        </w:rPr>
        <w:t>,</w:t>
      </w:r>
      <w:r w:rsidR="00E16552">
        <w:rPr>
          <w:rFonts w:ascii="Book Antiqua" w:hAnsi="Book Antiqua" w:cs="Arial"/>
        </w:rPr>
        <w:t xml:space="preserve"> this evidence required “detail</w:t>
      </w:r>
      <w:r w:rsidR="005D767D">
        <w:rPr>
          <w:rFonts w:ascii="Book Antiqua" w:hAnsi="Book Antiqua" w:cs="Arial"/>
        </w:rPr>
        <w:t>ed</w:t>
      </w:r>
      <w:r w:rsidR="00E16552">
        <w:rPr>
          <w:rFonts w:ascii="Book Antiqua" w:hAnsi="Book Antiqua" w:cs="Arial"/>
        </w:rPr>
        <w:t xml:space="preserve"> analysis and explanation”.</w:t>
      </w:r>
    </w:p>
    <w:p w14:paraId="44F308ED" w14:textId="77777777" w:rsidR="00E16552" w:rsidRDefault="00E16552" w:rsidP="00E16552">
      <w:pPr>
        <w:pStyle w:val="ListParagraph"/>
        <w:spacing w:after="240"/>
        <w:ind w:left="567"/>
        <w:jc w:val="both"/>
        <w:rPr>
          <w:rFonts w:ascii="Book Antiqua" w:hAnsi="Book Antiqua" w:cs="Arial"/>
        </w:rPr>
      </w:pPr>
    </w:p>
    <w:p w14:paraId="3AAA45CA" w14:textId="77777777" w:rsidR="00E16552" w:rsidRDefault="00E16552"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At the end of the day, therefore, the issue of the respondent’s duty </w:t>
      </w:r>
      <w:proofErr w:type="gramStart"/>
      <w:r>
        <w:rPr>
          <w:rFonts w:ascii="Book Antiqua" w:hAnsi="Book Antiqua" w:cs="Arial"/>
        </w:rPr>
        <w:t>in reality played</w:t>
      </w:r>
      <w:proofErr w:type="gramEnd"/>
      <w:r>
        <w:rPr>
          <w:rFonts w:ascii="Book Antiqua" w:hAnsi="Book Antiqua" w:cs="Arial"/>
        </w:rPr>
        <w:t xml:space="preserve"> little or no part in the court’s reasoning in </w:t>
      </w:r>
      <w:r w:rsidRPr="00E16552">
        <w:rPr>
          <w:rFonts w:ascii="Book Antiqua" w:hAnsi="Book Antiqua" w:cs="Arial"/>
          <w:u w:val="single"/>
        </w:rPr>
        <w:t>PJ</w:t>
      </w:r>
      <w:r>
        <w:rPr>
          <w:rFonts w:ascii="Book Antiqua" w:hAnsi="Book Antiqua" w:cs="Arial"/>
        </w:rPr>
        <w:t xml:space="preserve">.  Both the First-tier Tribunal and the Upper Tribunal had, in effect, failed to give legally </w:t>
      </w:r>
      <w:proofErr w:type="gramStart"/>
      <w:r>
        <w:rPr>
          <w:rFonts w:ascii="Book Antiqua" w:hAnsi="Book Antiqua" w:cs="Arial"/>
        </w:rPr>
        <w:t>sufficient</w:t>
      </w:r>
      <w:proofErr w:type="gramEnd"/>
      <w:r>
        <w:rPr>
          <w:rFonts w:ascii="Book Antiqua" w:hAnsi="Book Antiqua" w:cs="Arial"/>
        </w:rPr>
        <w:t xml:space="preserve"> reasons for concluding that PJ was not at real risk on return to Sri Lanka, in the light of all the evidence.  </w:t>
      </w:r>
    </w:p>
    <w:p w14:paraId="31441A1F" w14:textId="77777777" w:rsidR="00E16552" w:rsidRDefault="00E16552" w:rsidP="00E16552">
      <w:pPr>
        <w:pStyle w:val="ListParagraph"/>
        <w:spacing w:after="240"/>
        <w:ind w:left="567"/>
        <w:jc w:val="both"/>
        <w:rPr>
          <w:rFonts w:ascii="Book Antiqua" w:hAnsi="Book Antiqua" w:cs="Arial"/>
        </w:rPr>
      </w:pPr>
    </w:p>
    <w:p w14:paraId="303948E6" w14:textId="0139794B" w:rsidR="00024659" w:rsidRPr="002C51B0" w:rsidRDefault="00E16552" w:rsidP="002C51B0">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In </w:t>
      </w:r>
      <w:r w:rsidRPr="004E6DCE">
        <w:rPr>
          <w:rFonts w:ascii="Book Antiqua" w:hAnsi="Book Antiqua" w:cs="Arial"/>
          <w:u w:val="single"/>
        </w:rPr>
        <w:t xml:space="preserve">AR </w:t>
      </w:r>
      <w:r w:rsidR="004E6DCE" w:rsidRPr="004E6DCE">
        <w:rPr>
          <w:rFonts w:ascii="Book Antiqua" w:hAnsi="Book Antiqua" w:cs="Arial"/>
          <w:u w:val="single"/>
        </w:rPr>
        <w:t xml:space="preserve">v </w:t>
      </w:r>
      <w:r w:rsidRPr="004E6DCE">
        <w:rPr>
          <w:rFonts w:ascii="Book Antiqua" w:hAnsi="Book Antiqua" w:cs="Arial"/>
          <w:u w:val="single"/>
        </w:rPr>
        <w:t>the Secretary of State for the Home Department</w:t>
      </w:r>
      <w:r>
        <w:rPr>
          <w:rFonts w:ascii="Book Antiqua" w:hAnsi="Book Antiqua" w:cs="Arial"/>
        </w:rPr>
        <w:t xml:space="preserve"> [2017] CSIH 52, the Inner House was concerned with an appeal from the Upper Tribunal against a decision to dismiss AR’s appeal against the First-tier Tribunal, which had dismissed his appeal against the respondent’s decision that AR was not at real risk in Pakistan as a</w:t>
      </w:r>
      <w:r w:rsidR="00F100CF">
        <w:rPr>
          <w:rFonts w:ascii="Book Antiqua" w:hAnsi="Book Antiqua" w:cs="Arial"/>
        </w:rPr>
        <w:t xml:space="preserve"> gay</w:t>
      </w:r>
      <w:r>
        <w:rPr>
          <w:rFonts w:ascii="Book Antiqua" w:hAnsi="Book Antiqua" w:cs="Arial"/>
        </w:rPr>
        <w:t xml:space="preserve"> man.  The First-tier Tribunal had before it a copy First Information Report, which narrated that the father of the individual with whom AR was said to have committed an act of sodomy had reported the matter to the police.  The </w:t>
      </w:r>
      <w:r w:rsidR="001F1919">
        <w:rPr>
          <w:rFonts w:ascii="Book Antiqua" w:hAnsi="Book Antiqua" w:cs="Arial"/>
        </w:rPr>
        <w:t>Tribunal</w:t>
      </w:r>
      <w:r>
        <w:rPr>
          <w:rFonts w:ascii="Book Antiqua" w:hAnsi="Book Antiqua" w:cs="Arial"/>
        </w:rPr>
        <w:t xml:space="preserve"> also had a newspaper article of 31 March 2003, in which the father </w:t>
      </w:r>
      <w:r w:rsidR="00015709">
        <w:rPr>
          <w:rFonts w:ascii="Book Antiqua" w:hAnsi="Book Antiqua" w:cs="Arial"/>
        </w:rPr>
        <w:t>was reported as saying that</w:t>
      </w:r>
      <w:r w:rsidR="00024659">
        <w:rPr>
          <w:rFonts w:ascii="Book Antiqua" w:hAnsi="Book Antiqua" w:cs="Arial"/>
        </w:rPr>
        <w:t xml:space="preserve"> his son’s friend had taken </w:t>
      </w:r>
      <w:r w:rsidR="000D3B71">
        <w:rPr>
          <w:rFonts w:ascii="Book Antiqua" w:hAnsi="Book Antiqua" w:cs="Arial"/>
        </w:rPr>
        <w:t>the</w:t>
      </w:r>
      <w:r w:rsidR="00024659">
        <w:rPr>
          <w:rFonts w:ascii="Book Antiqua" w:hAnsi="Book Antiqua" w:cs="Arial"/>
        </w:rPr>
        <w:t xml:space="preserve"> son from his house and sodomised him against his will.  </w:t>
      </w:r>
      <w:r w:rsidR="004E6DCE" w:rsidRPr="002C51B0">
        <w:rPr>
          <w:rFonts w:ascii="Book Antiqua" w:hAnsi="Book Antiqua" w:cs="Arial"/>
        </w:rPr>
        <w:t xml:space="preserve">Although it is unclear, it appears that a second “official” document before the judge was a record of the police notifying local police stations of the appellant’s escape from custody.  </w:t>
      </w:r>
    </w:p>
    <w:p w14:paraId="20AE6E62" w14:textId="77777777" w:rsidR="004E6DCE" w:rsidRDefault="004E6DCE" w:rsidP="004E6DCE">
      <w:pPr>
        <w:pStyle w:val="ListParagraph"/>
        <w:spacing w:after="240"/>
        <w:ind w:left="567"/>
        <w:jc w:val="both"/>
        <w:rPr>
          <w:rFonts w:ascii="Book Antiqua" w:hAnsi="Book Antiqua" w:cs="Arial"/>
        </w:rPr>
      </w:pPr>
    </w:p>
    <w:p w14:paraId="36E66494" w14:textId="5D080CCC" w:rsidR="00AB6CD4" w:rsidRDefault="004E6DCE"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At paragraph 30, the Inner House</w:t>
      </w:r>
      <w:r w:rsidR="004E3E2B">
        <w:rPr>
          <w:rFonts w:ascii="Book Antiqua" w:hAnsi="Book Antiqua" w:cs="Arial"/>
        </w:rPr>
        <w:t xml:space="preserve"> (</w:t>
      </w:r>
      <w:r w:rsidR="004E3E2B" w:rsidRPr="004E3E2B">
        <w:rPr>
          <w:rFonts w:ascii="Book Antiqua" w:hAnsi="Book Antiqua" w:cs="Arial"/>
          <w:i/>
          <w:iCs/>
        </w:rPr>
        <w:t>per</w:t>
      </w:r>
      <w:r w:rsidR="004E3E2B">
        <w:rPr>
          <w:rFonts w:ascii="Book Antiqua" w:hAnsi="Book Antiqua" w:cs="Arial"/>
        </w:rPr>
        <w:t xml:space="preserve"> Lord Malcolm)</w:t>
      </w:r>
      <w:r>
        <w:rPr>
          <w:rFonts w:ascii="Book Antiqua" w:hAnsi="Book Antiqua" w:cs="Arial"/>
        </w:rPr>
        <w:t xml:space="preserve"> noted </w:t>
      </w:r>
      <w:proofErr w:type="gramStart"/>
      <w:r>
        <w:rPr>
          <w:rFonts w:ascii="Book Antiqua" w:hAnsi="Book Antiqua" w:cs="Arial"/>
        </w:rPr>
        <w:t>that</w:t>
      </w:r>
      <w:r w:rsidR="00AB6CD4">
        <w:rPr>
          <w:rFonts w:ascii="Book Antiqua" w:hAnsi="Book Antiqua" w:cs="Arial"/>
        </w:rPr>
        <w:t>:-</w:t>
      </w:r>
      <w:proofErr w:type="gramEnd"/>
    </w:p>
    <w:p w14:paraId="6D184BDE" w14:textId="77777777" w:rsidR="008C48E4" w:rsidRDefault="008C48E4" w:rsidP="008C48E4">
      <w:pPr>
        <w:pStyle w:val="ListParagraph"/>
        <w:spacing w:after="240"/>
        <w:ind w:left="567"/>
        <w:jc w:val="both"/>
        <w:rPr>
          <w:rFonts w:ascii="Book Antiqua" w:hAnsi="Book Antiqua" w:cs="Arial"/>
        </w:rPr>
      </w:pPr>
    </w:p>
    <w:p w14:paraId="5ECD5C5F" w14:textId="37BBB39D" w:rsidR="004E6DCE" w:rsidRPr="008C48E4" w:rsidRDefault="004E6DCE" w:rsidP="00AB6CD4">
      <w:pPr>
        <w:pStyle w:val="ListParagraph"/>
        <w:spacing w:after="240"/>
        <w:ind w:left="1134"/>
        <w:jc w:val="both"/>
        <w:rPr>
          <w:rFonts w:ascii="Book Antiqua" w:hAnsi="Book Antiqua" w:cs="Arial"/>
          <w:sz w:val="22"/>
          <w:szCs w:val="22"/>
        </w:rPr>
      </w:pPr>
      <w:r w:rsidRPr="008C48E4">
        <w:rPr>
          <w:rFonts w:ascii="Book Antiqua" w:hAnsi="Book Antiqua" w:cs="Arial"/>
          <w:sz w:val="22"/>
          <w:szCs w:val="22"/>
        </w:rPr>
        <w:t xml:space="preserve"> “the evidence consists of the petitioner’s account, which in its essential elements is supported by a number of documents, two of them of an official nature, and all easily verifiable.  To our eyes at least, they have the hallmarks of valid documents, albeit no doubt there is at least a possibility that they were fabricated, although, if they were, why would there be internal inconsistencies on points of detail?”.</w:t>
      </w:r>
    </w:p>
    <w:p w14:paraId="075DA040" w14:textId="77777777" w:rsidR="004E6DCE" w:rsidRDefault="004E6DCE" w:rsidP="004E6DCE">
      <w:pPr>
        <w:pStyle w:val="ListParagraph"/>
        <w:spacing w:after="240"/>
        <w:ind w:left="567"/>
        <w:jc w:val="both"/>
        <w:rPr>
          <w:rFonts w:ascii="Book Antiqua" w:hAnsi="Book Antiqua" w:cs="Arial"/>
        </w:rPr>
      </w:pPr>
    </w:p>
    <w:p w14:paraId="2DD974C4" w14:textId="5AE5E32F" w:rsidR="004E6DCE" w:rsidRDefault="004E6DCE"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Beginning at paragraph 33,</w:t>
      </w:r>
      <w:r w:rsidR="004E3E2B">
        <w:rPr>
          <w:rFonts w:ascii="Book Antiqua" w:hAnsi="Book Antiqua" w:cs="Arial"/>
        </w:rPr>
        <w:t xml:space="preserve"> </w:t>
      </w:r>
      <w:r>
        <w:rPr>
          <w:rFonts w:ascii="Book Antiqua" w:hAnsi="Book Antiqua" w:cs="Arial"/>
        </w:rPr>
        <w:t xml:space="preserve">Lord Malcolm has this to </w:t>
      </w:r>
      <w:proofErr w:type="gramStart"/>
      <w:r>
        <w:rPr>
          <w:rFonts w:ascii="Book Antiqua" w:hAnsi="Book Antiqua" w:cs="Arial"/>
        </w:rPr>
        <w:t>say:-</w:t>
      </w:r>
      <w:proofErr w:type="gramEnd"/>
    </w:p>
    <w:p w14:paraId="0A6161EB" w14:textId="77777777" w:rsidR="004E6DCE" w:rsidRDefault="004E6DCE" w:rsidP="004E6DCE">
      <w:pPr>
        <w:pStyle w:val="ListParagraph"/>
        <w:spacing w:after="240"/>
        <w:ind w:left="567"/>
        <w:jc w:val="both"/>
        <w:rPr>
          <w:rFonts w:ascii="Book Antiqua" w:hAnsi="Book Antiqua" w:cs="Arial"/>
        </w:rPr>
      </w:pPr>
    </w:p>
    <w:p w14:paraId="54F61843" w14:textId="77777777" w:rsidR="004E6DCE" w:rsidRPr="005A18A0" w:rsidRDefault="00C16E8D" w:rsidP="00D22438">
      <w:pPr>
        <w:pStyle w:val="ListParagraph"/>
        <w:spacing w:after="240"/>
        <w:ind w:left="1701" w:hanging="567"/>
        <w:jc w:val="both"/>
        <w:rPr>
          <w:rFonts w:ascii="Book Antiqua" w:hAnsi="Book Antiqua" w:cs="Arial"/>
          <w:sz w:val="22"/>
          <w:szCs w:val="22"/>
        </w:rPr>
      </w:pPr>
      <w:r w:rsidRPr="005A18A0">
        <w:rPr>
          <w:rFonts w:ascii="Book Antiqua" w:hAnsi="Book Antiqua" w:cs="Arial"/>
          <w:sz w:val="22"/>
          <w:szCs w:val="22"/>
        </w:rPr>
        <w:t>“</w:t>
      </w:r>
      <w:r w:rsidR="0049125C" w:rsidRPr="005A18A0">
        <w:rPr>
          <w:rFonts w:ascii="Book Antiqua" w:hAnsi="Book Antiqua" w:cs="Arial"/>
          <w:sz w:val="22"/>
          <w:szCs w:val="22"/>
        </w:rPr>
        <w:t>33.</w:t>
      </w:r>
      <w:r w:rsidR="0049125C" w:rsidRPr="005A18A0">
        <w:rPr>
          <w:rFonts w:ascii="Book Antiqua" w:hAnsi="Book Antiqua" w:cs="Arial"/>
          <w:sz w:val="22"/>
          <w:szCs w:val="22"/>
        </w:rPr>
        <w:tab/>
        <w:t>The appeal in this court focussed on two matters, namely (a) the treatment of the documents and (b) the evidence of the supporting witness.  So far as the documents are concerned, we have mentioned that, on their face, they appear to be valid and authentic, for example, where applicable, being duly stamped and signed.  They are supportive of the essentials of the petitioner’s account of the events which led him to leave his family and homeland.  Judge Macleman ruled that the authorities were under no obligation to verify the documents.  Be that as it may, in our view it does not address the logically prior question, namely, did the First-tier Tribunal have and explain a sound basis for their rejection?  If the answer to that question is no – the test set out in PJ (Sri Lanka) does not arise.</w:t>
      </w:r>
    </w:p>
    <w:p w14:paraId="000D9C68" w14:textId="77777777" w:rsidR="0049125C" w:rsidRPr="005A18A0" w:rsidRDefault="0049125C" w:rsidP="00D22438">
      <w:pPr>
        <w:pStyle w:val="ListParagraph"/>
        <w:spacing w:after="240"/>
        <w:ind w:left="1701" w:hanging="567"/>
        <w:jc w:val="both"/>
        <w:rPr>
          <w:rFonts w:ascii="Book Antiqua" w:hAnsi="Book Antiqua" w:cs="Arial"/>
          <w:sz w:val="22"/>
          <w:szCs w:val="22"/>
        </w:rPr>
      </w:pPr>
    </w:p>
    <w:p w14:paraId="253601FF" w14:textId="09492DDD" w:rsidR="0049125C" w:rsidRPr="005A18A0" w:rsidRDefault="0049125C" w:rsidP="00D22438">
      <w:pPr>
        <w:pStyle w:val="ListParagraph"/>
        <w:spacing w:after="240"/>
        <w:ind w:left="1701" w:hanging="567"/>
        <w:jc w:val="both"/>
        <w:rPr>
          <w:rFonts w:ascii="Book Antiqua" w:hAnsi="Book Antiqua" w:cs="Arial"/>
          <w:sz w:val="22"/>
          <w:szCs w:val="22"/>
        </w:rPr>
      </w:pPr>
      <w:r w:rsidRPr="005A18A0">
        <w:rPr>
          <w:rFonts w:ascii="Book Antiqua" w:hAnsi="Book Antiqua" w:cs="Arial"/>
          <w:sz w:val="22"/>
          <w:szCs w:val="22"/>
        </w:rPr>
        <w:t>34.</w:t>
      </w:r>
      <w:r w:rsidRPr="005A18A0">
        <w:rPr>
          <w:rFonts w:ascii="Book Antiqua" w:hAnsi="Book Antiqua" w:cs="Arial"/>
          <w:sz w:val="22"/>
          <w:szCs w:val="22"/>
        </w:rPr>
        <w:tab/>
      </w:r>
      <w:r w:rsidR="00F369BC" w:rsidRPr="005A18A0">
        <w:rPr>
          <w:rFonts w:ascii="Book Antiqua" w:hAnsi="Book Antiqua" w:cs="Arial"/>
          <w:sz w:val="22"/>
          <w:szCs w:val="22"/>
        </w:rPr>
        <w:t xml:space="preserve">The submission is that the First-tier Tribunal Judge did not set out any good reasons for dismissing the documents as unreliable.  We agree with that submission.  We have studied the terms of the </w:t>
      </w:r>
      <w:proofErr w:type="gramStart"/>
      <w:r w:rsidR="00F369BC" w:rsidRPr="005A18A0">
        <w:rPr>
          <w:rFonts w:ascii="Book Antiqua" w:hAnsi="Book Antiqua" w:cs="Arial"/>
          <w:sz w:val="22"/>
          <w:szCs w:val="22"/>
        </w:rPr>
        <w:t>decision, but</w:t>
      </w:r>
      <w:proofErr w:type="gramEnd"/>
      <w:r w:rsidR="00F369BC" w:rsidRPr="005A18A0">
        <w:rPr>
          <w:rFonts w:ascii="Book Antiqua" w:hAnsi="Book Antiqua" w:cs="Arial"/>
          <w:sz w:val="22"/>
          <w:szCs w:val="22"/>
        </w:rPr>
        <w:t xml:space="preserve"> can find no proper support for the terms of paragraph 34.  For example, what was the reason for placing the FIR in the unreliable category?  While no doubt there is “a high </w:t>
      </w:r>
      <w:r w:rsidR="00F369BC" w:rsidRPr="005A18A0">
        <w:rPr>
          <w:rFonts w:ascii="Book Antiqua" w:hAnsi="Book Antiqua" w:cs="Arial"/>
          <w:sz w:val="22"/>
          <w:szCs w:val="22"/>
        </w:rPr>
        <w:lastRenderedPageBreak/>
        <w:t>incidence of false ‘official’ documents”, there must also be some genuine documents.  One cannot simply rely on doubts as to the veracity of the account given by the claimant as a reason for rejecting the documents when on their face, they support his asylum claim.  The “holistic</w:t>
      </w:r>
      <w:r w:rsidR="00A702C0">
        <w:rPr>
          <w:rFonts w:ascii="Book Antiqua" w:hAnsi="Book Antiqua" w:cs="Arial"/>
          <w:sz w:val="22"/>
          <w:szCs w:val="22"/>
        </w:rPr>
        <w:t>”</w:t>
      </w:r>
      <w:r w:rsidR="00F369BC" w:rsidRPr="005A18A0">
        <w:rPr>
          <w:rFonts w:ascii="Book Antiqua" w:hAnsi="Book Antiqua" w:cs="Arial"/>
          <w:sz w:val="22"/>
          <w:szCs w:val="22"/>
        </w:rPr>
        <w:t xml:space="preserve"> approach endorsed by Judge Macleman would require the overall assessment to be made after </w:t>
      </w:r>
      <w:proofErr w:type="gramStart"/>
      <w:r w:rsidR="00F369BC" w:rsidRPr="005A18A0">
        <w:rPr>
          <w:rFonts w:ascii="Book Antiqua" w:hAnsi="Book Antiqua" w:cs="Arial"/>
          <w:sz w:val="22"/>
          <w:szCs w:val="22"/>
        </w:rPr>
        <w:t>all of</w:t>
      </w:r>
      <w:proofErr w:type="gramEnd"/>
      <w:r w:rsidR="00F369BC" w:rsidRPr="005A18A0">
        <w:rPr>
          <w:rFonts w:ascii="Book Antiqua" w:hAnsi="Book Antiqua" w:cs="Arial"/>
          <w:sz w:val="22"/>
          <w:szCs w:val="22"/>
        </w:rPr>
        <w:t xml:space="preserve"> the evidence has been considered and assessed.  In other words, and by way of example, one might ask – do the documents support the claim?  If yes, i</w:t>
      </w:r>
      <w:r w:rsidR="00A43913" w:rsidRPr="005A18A0">
        <w:rPr>
          <w:rFonts w:ascii="Book Antiqua" w:hAnsi="Book Antiqua" w:cs="Arial"/>
          <w:sz w:val="22"/>
          <w:szCs w:val="22"/>
        </w:rPr>
        <w:t>s</w:t>
      </w:r>
      <w:r w:rsidR="00F369BC" w:rsidRPr="005A18A0">
        <w:rPr>
          <w:rFonts w:ascii="Book Antiqua" w:hAnsi="Book Antiqua" w:cs="Arial"/>
          <w:sz w:val="22"/>
          <w:szCs w:val="22"/>
        </w:rPr>
        <w:t xml:space="preserve"> there any reason arising from the documents themselves to reject their authenticity?  If no, how does this affect, if it does affect, doubts that have arisen as to the claimant’s account?  In our view, </w:t>
      </w:r>
      <w:r w:rsidR="00A43913" w:rsidRPr="005A18A0">
        <w:rPr>
          <w:rFonts w:ascii="Book Antiqua" w:hAnsi="Book Antiqua" w:cs="Arial"/>
          <w:sz w:val="22"/>
          <w:szCs w:val="22"/>
        </w:rPr>
        <w:t>i</w:t>
      </w:r>
      <w:r w:rsidR="00F369BC" w:rsidRPr="005A18A0">
        <w:rPr>
          <w:rFonts w:ascii="Book Antiqua" w:hAnsi="Book Antiqua" w:cs="Arial"/>
          <w:sz w:val="22"/>
          <w:szCs w:val="22"/>
        </w:rPr>
        <w:t xml:space="preserve">f those doubts are used as </w:t>
      </w:r>
      <w:r w:rsidR="00F369BC" w:rsidRPr="00CA35C8">
        <w:rPr>
          <w:rFonts w:ascii="Book Antiqua" w:hAnsi="Book Antiqua" w:cs="Arial"/>
          <w:i/>
          <w:iCs/>
          <w:sz w:val="22"/>
          <w:szCs w:val="22"/>
        </w:rPr>
        <w:t xml:space="preserve">a </w:t>
      </w:r>
      <w:r w:rsidR="00F369BC" w:rsidRPr="005A18A0">
        <w:rPr>
          <w:rFonts w:ascii="Book Antiqua" w:hAnsi="Book Antiqua" w:cs="Arial"/>
          <w:i/>
          <w:sz w:val="22"/>
          <w:szCs w:val="22"/>
        </w:rPr>
        <w:t>priori</w:t>
      </w:r>
      <w:r w:rsidR="00F369BC" w:rsidRPr="005A18A0">
        <w:rPr>
          <w:rFonts w:ascii="Book Antiqua" w:hAnsi="Book Antiqua" w:cs="Arial"/>
          <w:sz w:val="22"/>
          <w:szCs w:val="22"/>
        </w:rPr>
        <w:t xml:space="preserve"> reason to undermine and reject the documents, there is an obvious risk</w:t>
      </w:r>
      <w:r w:rsidR="009768F1" w:rsidRPr="005A18A0">
        <w:rPr>
          <w:rFonts w:ascii="Book Antiqua" w:hAnsi="Book Antiqua" w:cs="Arial"/>
          <w:sz w:val="22"/>
          <w:szCs w:val="22"/>
        </w:rPr>
        <w:t xml:space="preserve"> that supportive </w:t>
      </w:r>
      <w:r w:rsidR="00E6734A" w:rsidRPr="005A18A0">
        <w:rPr>
          <w:rFonts w:ascii="Book Antiqua" w:hAnsi="Book Antiqua" w:cs="Arial"/>
          <w:sz w:val="22"/>
          <w:szCs w:val="22"/>
        </w:rPr>
        <w:t>evidence is being wrongly excluded from the overall assessment.</w:t>
      </w:r>
    </w:p>
    <w:p w14:paraId="23F760AB" w14:textId="77777777" w:rsidR="00E6734A" w:rsidRPr="005A18A0" w:rsidRDefault="00E6734A" w:rsidP="00D22438">
      <w:pPr>
        <w:pStyle w:val="ListParagraph"/>
        <w:spacing w:after="240"/>
        <w:ind w:left="1701" w:hanging="567"/>
        <w:jc w:val="both"/>
        <w:rPr>
          <w:rFonts w:ascii="Book Antiqua" w:hAnsi="Book Antiqua" w:cs="Arial"/>
          <w:sz w:val="22"/>
          <w:szCs w:val="22"/>
        </w:rPr>
      </w:pPr>
    </w:p>
    <w:p w14:paraId="644436BE" w14:textId="77777777" w:rsidR="0049125C" w:rsidRPr="005A18A0" w:rsidRDefault="0049125C" w:rsidP="00D22438">
      <w:pPr>
        <w:pStyle w:val="ListParagraph"/>
        <w:spacing w:after="240"/>
        <w:ind w:left="1701" w:hanging="567"/>
        <w:jc w:val="both"/>
        <w:rPr>
          <w:rFonts w:ascii="Book Antiqua" w:hAnsi="Book Antiqua" w:cs="Arial"/>
          <w:sz w:val="22"/>
          <w:szCs w:val="22"/>
        </w:rPr>
      </w:pPr>
      <w:r w:rsidRPr="005A18A0">
        <w:rPr>
          <w:rFonts w:ascii="Book Antiqua" w:hAnsi="Book Antiqua" w:cs="Arial"/>
          <w:sz w:val="22"/>
          <w:szCs w:val="22"/>
        </w:rPr>
        <w:t>35.</w:t>
      </w:r>
      <w:r w:rsidRPr="005A18A0">
        <w:rPr>
          <w:rFonts w:ascii="Book Antiqua" w:hAnsi="Book Antiqua" w:cs="Arial"/>
          <w:sz w:val="22"/>
          <w:szCs w:val="22"/>
        </w:rPr>
        <w:tab/>
      </w:r>
      <w:r w:rsidR="00E6734A" w:rsidRPr="005A18A0">
        <w:rPr>
          <w:rFonts w:ascii="Book Antiqua" w:hAnsi="Book Antiqua" w:cs="Arial"/>
          <w:sz w:val="22"/>
          <w:szCs w:val="22"/>
        </w:rPr>
        <w:t>We remind ourselves of the need to examine the facts with care (sometimes referred to as “anxious scrutiny”), and of the low standard of proof applicable in cases of this nature.  We are persuaded that these factors have been given insufficient weight and attention in the more recent decisions.  We recognise that there may be cases where the concerns over the veracity of a claimant’s account may be so clear-cut that the decision-maker is driven to rejection of supporting documents, even though on their face they appear to be authentic; but even then, given what is at stake, we would expect some consideration to be given to easily available routes to check authenticity.  There is no question that these documents are at the centre of a request for international protection.  The decision-maker should stand back and view all of the evidence in the round before deciding which evidence to accept and which to reject, and on the proper disposal of the appeal.”</w:t>
      </w:r>
    </w:p>
    <w:p w14:paraId="27F500D3" w14:textId="77777777" w:rsidR="004E6DCE" w:rsidRDefault="004E6DCE" w:rsidP="004E6DCE">
      <w:pPr>
        <w:pStyle w:val="ListParagraph"/>
        <w:spacing w:after="240"/>
        <w:ind w:left="567"/>
        <w:jc w:val="both"/>
        <w:rPr>
          <w:rFonts w:ascii="Book Antiqua" w:hAnsi="Book Antiqua" w:cs="Arial"/>
        </w:rPr>
      </w:pPr>
    </w:p>
    <w:p w14:paraId="035BBCB7" w14:textId="54EB4B39" w:rsidR="001C286D" w:rsidRDefault="00787A67" w:rsidP="001C286D">
      <w:pPr>
        <w:pStyle w:val="ListParagraph"/>
        <w:numPr>
          <w:ilvl w:val="0"/>
          <w:numId w:val="1"/>
        </w:numPr>
        <w:spacing w:after="240"/>
        <w:ind w:left="567" w:hanging="567"/>
        <w:jc w:val="both"/>
        <w:rPr>
          <w:rFonts w:ascii="Book Antiqua" w:hAnsi="Book Antiqua" w:cs="Arial"/>
        </w:rPr>
      </w:pPr>
      <w:r>
        <w:rPr>
          <w:rFonts w:ascii="Book Antiqua" w:hAnsi="Book Antiqua" w:cs="Arial"/>
        </w:rPr>
        <w:t>As with</w:t>
      </w:r>
      <w:r w:rsidRPr="00787A67">
        <w:rPr>
          <w:rFonts w:ascii="Book Antiqua" w:hAnsi="Book Antiqua" w:cs="Arial"/>
          <w:u w:val="single"/>
        </w:rPr>
        <w:t xml:space="preserve"> PJ</w:t>
      </w:r>
      <w:r>
        <w:rPr>
          <w:rFonts w:ascii="Book Antiqua" w:hAnsi="Book Antiqua" w:cs="Arial"/>
        </w:rPr>
        <w:t xml:space="preserve">, it is necessary to consider this passage of the </w:t>
      </w:r>
      <w:r w:rsidR="003C5493">
        <w:rPr>
          <w:rFonts w:ascii="Book Antiqua" w:hAnsi="Book Antiqua" w:cs="Arial"/>
        </w:rPr>
        <w:t>opinion</w:t>
      </w:r>
      <w:r w:rsidR="007F1189">
        <w:rPr>
          <w:rFonts w:ascii="Book Antiqua" w:hAnsi="Book Antiqua" w:cs="Arial"/>
        </w:rPr>
        <w:t xml:space="preserve"> of the Inner House</w:t>
      </w:r>
      <w:r>
        <w:rPr>
          <w:rFonts w:ascii="Book Antiqua" w:hAnsi="Book Antiqua" w:cs="Arial"/>
        </w:rPr>
        <w:t xml:space="preserve"> in detail.  </w:t>
      </w:r>
      <w:r w:rsidR="001C286D">
        <w:rPr>
          <w:rFonts w:ascii="Book Antiqua" w:hAnsi="Book Antiqua" w:cs="Arial"/>
        </w:rPr>
        <w:t>A</w:t>
      </w:r>
      <w:r w:rsidR="00C7362E">
        <w:rPr>
          <w:rFonts w:ascii="Book Antiqua" w:hAnsi="Book Antiqua" w:cs="Arial"/>
        </w:rPr>
        <w:t>n immediately</w:t>
      </w:r>
      <w:r w:rsidR="001C286D">
        <w:rPr>
          <w:rFonts w:ascii="Book Antiqua" w:hAnsi="Book Antiqua" w:cs="Arial"/>
        </w:rPr>
        <w:t xml:space="preserve"> notable feature of </w:t>
      </w:r>
      <w:r w:rsidR="001C286D" w:rsidRPr="00A236CF">
        <w:rPr>
          <w:rFonts w:ascii="Book Antiqua" w:hAnsi="Book Antiqua" w:cs="Arial"/>
          <w:u w:val="single"/>
        </w:rPr>
        <w:t>AR</w:t>
      </w:r>
      <w:r w:rsidR="001C286D">
        <w:rPr>
          <w:rFonts w:ascii="Book Antiqua" w:hAnsi="Book Antiqua" w:cs="Arial"/>
          <w:u w:val="single"/>
        </w:rPr>
        <w:t xml:space="preserve"> </w:t>
      </w:r>
      <w:r w:rsidR="001C286D">
        <w:rPr>
          <w:rFonts w:ascii="Book Antiqua" w:hAnsi="Book Antiqua" w:cs="Arial"/>
        </w:rPr>
        <w:t>is that, at paragraph 30, the Inner House made its own assessment of the “official” documents, holding that these had “the hallmarks of valid documents” and that, at paragraph 33 “they appear to be valid and authentic, for example, where applicable, being duly stamped and signed”.</w:t>
      </w:r>
      <w:r w:rsidR="006D0C23">
        <w:rPr>
          <w:rFonts w:ascii="Book Antiqua" w:hAnsi="Book Antiqua" w:cs="Arial"/>
        </w:rPr>
        <w:t xml:space="preserve"> </w:t>
      </w:r>
    </w:p>
    <w:p w14:paraId="76D14999" w14:textId="122728FA" w:rsidR="001C286D" w:rsidRDefault="001C286D" w:rsidP="001C286D">
      <w:pPr>
        <w:pStyle w:val="ListParagraph"/>
        <w:spacing w:after="240"/>
        <w:ind w:left="567"/>
        <w:jc w:val="both"/>
        <w:rPr>
          <w:rFonts w:ascii="Book Antiqua" w:hAnsi="Book Antiqua" w:cs="Arial"/>
        </w:rPr>
      </w:pPr>
      <w:r>
        <w:rPr>
          <w:rFonts w:ascii="Book Antiqua" w:hAnsi="Book Antiqua" w:cs="Arial"/>
        </w:rPr>
        <w:t xml:space="preserve"> </w:t>
      </w:r>
    </w:p>
    <w:p w14:paraId="7D2D6468" w14:textId="08339D18" w:rsidR="004E6DCE" w:rsidRDefault="004F6A9D" w:rsidP="00BE2042">
      <w:pPr>
        <w:pStyle w:val="ListParagraph"/>
        <w:numPr>
          <w:ilvl w:val="0"/>
          <w:numId w:val="1"/>
        </w:numPr>
        <w:ind w:left="567" w:hanging="567"/>
        <w:jc w:val="both"/>
        <w:rPr>
          <w:rFonts w:ascii="Book Antiqua" w:hAnsi="Book Antiqua" w:cs="Arial"/>
        </w:rPr>
      </w:pPr>
      <w:r>
        <w:rPr>
          <w:rFonts w:ascii="Book Antiqua" w:hAnsi="Book Antiqua" w:cs="Arial"/>
        </w:rPr>
        <w:t>It</w:t>
      </w:r>
      <w:r w:rsidR="00787A67">
        <w:rPr>
          <w:rFonts w:ascii="Book Antiqua" w:hAnsi="Book Antiqua" w:cs="Arial"/>
        </w:rPr>
        <w:t xml:space="preserve"> is evident that the Inner House did not find that the FIR and the other document apparently emanating from the Pakistan police required to be verified by the respondent.  In paragraph 33</w:t>
      </w:r>
      <w:r w:rsidR="00637F57">
        <w:rPr>
          <w:rFonts w:ascii="Book Antiqua" w:hAnsi="Book Antiqua" w:cs="Arial"/>
        </w:rPr>
        <w:t>, Lord Malcolm did not d</w:t>
      </w:r>
      <w:r w:rsidR="00400B43">
        <w:rPr>
          <w:rFonts w:ascii="Book Antiqua" w:hAnsi="Book Antiqua" w:cs="Arial"/>
        </w:rPr>
        <w:t>issent</w:t>
      </w:r>
      <w:r w:rsidR="00637F57">
        <w:rPr>
          <w:rFonts w:ascii="Book Antiqua" w:hAnsi="Book Antiqua" w:cs="Arial"/>
        </w:rPr>
        <w:t xml:space="preserve"> from the finding of the Upper Tribunal Judge that the </w:t>
      </w:r>
      <w:r w:rsidR="003C5493">
        <w:rPr>
          <w:rFonts w:ascii="Book Antiqua" w:hAnsi="Book Antiqua" w:cs="Arial"/>
        </w:rPr>
        <w:t>respondent was</w:t>
      </w:r>
      <w:r w:rsidR="00637F57">
        <w:rPr>
          <w:rFonts w:ascii="Book Antiqua" w:hAnsi="Book Antiqua" w:cs="Arial"/>
        </w:rPr>
        <w:t xml:space="preserve">, in this case, under no obligation to verify the documents.  The basis upon which the Inner House reached its conclusion was that </w:t>
      </w:r>
      <w:r w:rsidR="009237E9">
        <w:rPr>
          <w:rFonts w:ascii="Book Antiqua" w:hAnsi="Book Antiqua" w:cs="Arial"/>
        </w:rPr>
        <w:t>the</w:t>
      </w:r>
      <w:r w:rsidR="00270826">
        <w:rPr>
          <w:rFonts w:ascii="Book Antiqua" w:hAnsi="Book Antiqua" w:cs="Arial"/>
        </w:rPr>
        <w:t xml:space="preserve"> Upper Tribunal had not</w:t>
      </w:r>
      <w:r w:rsidR="002D2B72">
        <w:rPr>
          <w:rFonts w:ascii="Book Antiqua" w:hAnsi="Book Antiqua" w:cs="Arial"/>
        </w:rPr>
        <w:t xml:space="preserve"> addressed “the logically prior question, namely, did the First-tier Tribunal have and explain a sound basis for their rejection</w:t>
      </w:r>
      <w:r w:rsidR="00D71ACF">
        <w:rPr>
          <w:rFonts w:ascii="Book Antiqua" w:hAnsi="Book Antiqua" w:cs="Arial"/>
        </w:rPr>
        <w:t>?”</w:t>
      </w:r>
      <w:r w:rsidR="007373EB">
        <w:rPr>
          <w:rFonts w:ascii="Book Antiqua" w:hAnsi="Book Antiqua" w:cs="Arial"/>
        </w:rPr>
        <w:t xml:space="preserve">  </w:t>
      </w:r>
      <w:r w:rsidR="00D71ACF">
        <w:rPr>
          <w:rFonts w:ascii="Book Antiqua" w:hAnsi="Book Antiqua" w:cs="Arial"/>
        </w:rPr>
        <w:t>T</w:t>
      </w:r>
      <w:r w:rsidR="00DD115E">
        <w:rPr>
          <w:rFonts w:ascii="Book Antiqua" w:hAnsi="Book Antiqua" w:cs="Arial"/>
        </w:rPr>
        <w:t>he</w:t>
      </w:r>
      <w:r w:rsidR="00ED56C5">
        <w:rPr>
          <w:rFonts w:ascii="Book Antiqua" w:hAnsi="Book Antiqua" w:cs="Arial"/>
        </w:rPr>
        <w:t xml:space="preserve"> First-tier</w:t>
      </w:r>
      <w:r w:rsidR="00DD115E">
        <w:rPr>
          <w:rFonts w:ascii="Book Antiqua" w:hAnsi="Book Antiqua" w:cs="Arial"/>
        </w:rPr>
        <w:t xml:space="preserve"> Tribunal had erred by relying on doubts regarding the veracity of the account given by the claimant as a reason for rejecting the documents when, on their face, they supported his claim.  </w:t>
      </w:r>
      <w:r w:rsidR="003369B2">
        <w:rPr>
          <w:rFonts w:ascii="Book Antiqua" w:hAnsi="Book Antiqua" w:cs="Arial"/>
        </w:rPr>
        <w:t>The fact that</w:t>
      </w:r>
      <w:r w:rsidR="00006774">
        <w:rPr>
          <w:rFonts w:ascii="Book Antiqua" w:hAnsi="Book Antiqua" w:cs="Arial"/>
        </w:rPr>
        <w:t xml:space="preserve"> the Inner House had formed its own view about the</w:t>
      </w:r>
      <w:r w:rsidR="000C1463">
        <w:rPr>
          <w:rFonts w:ascii="Book Antiqua" w:hAnsi="Book Antiqua" w:cs="Arial"/>
        </w:rPr>
        <w:t xml:space="preserve"> validity and authenticity of the documents</w:t>
      </w:r>
      <w:r w:rsidR="00AF3260">
        <w:rPr>
          <w:rFonts w:ascii="Book Antiqua" w:hAnsi="Book Antiqua" w:cs="Arial"/>
        </w:rPr>
        <w:t xml:space="preserve"> affected the</w:t>
      </w:r>
      <w:r w:rsidR="006A28D6">
        <w:rPr>
          <w:rFonts w:ascii="Book Antiqua" w:hAnsi="Book Antiqua" w:cs="Arial"/>
        </w:rPr>
        <w:t xml:space="preserve"> nature</w:t>
      </w:r>
      <w:r w:rsidR="00C64519">
        <w:rPr>
          <w:rFonts w:ascii="Book Antiqua" w:hAnsi="Book Antiqua" w:cs="Arial"/>
        </w:rPr>
        <w:t xml:space="preserve"> of the requirement</w:t>
      </w:r>
      <w:r w:rsidR="00F65A12">
        <w:rPr>
          <w:rFonts w:ascii="Book Antiqua" w:hAnsi="Book Antiqua" w:cs="Arial"/>
        </w:rPr>
        <w:t xml:space="preserve"> imposed</w:t>
      </w:r>
      <w:r w:rsidR="00C64519">
        <w:rPr>
          <w:rFonts w:ascii="Book Antiqua" w:hAnsi="Book Antiqua" w:cs="Arial"/>
        </w:rPr>
        <w:t xml:space="preserve"> on the judge to give legally adequate reasons</w:t>
      </w:r>
      <w:r w:rsidR="00CB36E0">
        <w:rPr>
          <w:rFonts w:ascii="Book Antiqua" w:hAnsi="Book Antiqua" w:cs="Arial"/>
        </w:rPr>
        <w:t xml:space="preserve"> for his overall conclusion that the appellant was not entitled to international protection.</w:t>
      </w:r>
    </w:p>
    <w:p w14:paraId="5171EE1B" w14:textId="77777777" w:rsidR="00DD115E" w:rsidRPr="00BE2042" w:rsidRDefault="00DD115E" w:rsidP="00BE2042">
      <w:pPr>
        <w:jc w:val="both"/>
        <w:rPr>
          <w:rFonts w:ascii="Book Antiqua" w:hAnsi="Book Antiqua" w:cs="Arial"/>
        </w:rPr>
      </w:pPr>
    </w:p>
    <w:p w14:paraId="1AC85342" w14:textId="5AF4CFB4" w:rsidR="00DD115E" w:rsidRDefault="00DD115E"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At paragraph 35, the Inner House</w:t>
      </w:r>
      <w:r w:rsidR="00F65A12">
        <w:rPr>
          <w:rFonts w:ascii="Book Antiqua" w:hAnsi="Book Antiqua" w:cs="Arial"/>
        </w:rPr>
        <w:t xml:space="preserve"> nevertheless</w:t>
      </w:r>
      <w:r>
        <w:rPr>
          <w:rFonts w:ascii="Book Antiqua" w:hAnsi="Book Antiqua" w:cs="Arial"/>
        </w:rPr>
        <w:t xml:space="preserve"> recognised that there may be cases where</w:t>
      </w:r>
      <w:r w:rsidR="00BB3837">
        <w:rPr>
          <w:rFonts w:ascii="Book Antiqua" w:hAnsi="Book Antiqua" w:cs="Arial"/>
        </w:rPr>
        <w:t xml:space="preserve"> the</w:t>
      </w:r>
      <w:r>
        <w:rPr>
          <w:rFonts w:ascii="Book Antiqua" w:hAnsi="Book Antiqua" w:cs="Arial"/>
        </w:rPr>
        <w:t xml:space="preserve"> concerns over the veracity of an account “may be so clear-cut </w:t>
      </w:r>
      <w:r w:rsidR="00BB3837">
        <w:rPr>
          <w:rFonts w:ascii="Book Antiqua" w:hAnsi="Book Antiqua" w:cs="Arial"/>
        </w:rPr>
        <w:t>that</w:t>
      </w:r>
      <w:r>
        <w:rPr>
          <w:rFonts w:ascii="Book Antiqua" w:hAnsi="Book Antiqua" w:cs="Arial"/>
        </w:rPr>
        <w:t xml:space="preserve"> the </w:t>
      </w:r>
      <w:r>
        <w:rPr>
          <w:rFonts w:ascii="Book Antiqua" w:hAnsi="Book Antiqua" w:cs="Arial"/>
        </w:rPr>
        <w:lastRenderedPageBreak/>
        <w:t>decision-maker is driven to rejection of supporting documents, even though on their face they appear to be authentic”.  Although paragraph 35 goes on</w:t>
      </w:r>
      <w:r w:rsidR="006A6342">
        <w:rPr>
          <w:rFonts w:ascii="Book Antiqua" w:hAnsi="Book Antiqua" w:cs="Arial"/>
        </w:rPr>
        <w:t xml:space="preserve"> </w:t>
      </w:r>
      <w:r>
        <w:rPr>
          <w:rFonts w:ascii="Book Antiqua" w:hAnsi="Book Antiqua" w:cs="Arial"/>
        </w:rPr>
        <w:t>to say that</w:t>
      </w:r>
      <w:r w:rsidR="00BB3837">
        <w:rPr>
          <w:rFonts w:ascii="Book Antiqua" w:hAnsi="Book Antiqua" w:cs="Arial"/>
        </w:rPr>
        <w:t>,</w:t>
      </w:r>
      <w:r>
        <w:rPr>
          <w:rFonts w:ascii="Book Antiqua" w:hAnsi="Book Antiqua" w:cs="Arial"/>
        </w:rPr>
        <w:t xml:space="preserve"> even then</w:t>
      </w:r>
      <w:r w:rsidR="006A6342">
        <w:rPr>
          <w:rFonts w:ascii="Book Antiqua" w:hAnsi="Book Antiqua" w:cs="Arial"/>
        </w:rPr>
        <w:t>,</w:t>
      </w:r>
      <w:r>
        <w:rPr>
          <w:rFonts w:ascii="Book Antiqua" w:hAnsi="Book Antiqua" w:cs="Arial"/>
        </w:rPr>
        <w:t xml:space="preserve"> </w:t>
      </w:r>
      <w:r w:rsidR="00FF3879">
        <w:rPr>
          <w:rFonts w:ascii="Book Antiqua" w:hAnsi="Book Antiqua" w:cs="Arial"/>
        </w:rPr>
        <w:t>one</w:t>
      </w:r>
      <w:r>
        <w:rPr>
          <w:rFonts w:ascii="Book Antiqua" w:hAnsi="Book Antiqua" w:cs="Arial"/>
        </w:rPr>
        <w:t xml:space="preserve"> would expect some consideration to be given to easily available routes to check authenticity, it is apparent that that the Inner House was not expressing any disagreement with the limitations identified by Fulford LJ in </w:t>
      </w:r>
      <w:r w:rsidRPr="00DD115E">
        <w:rPr>
          <w:rFonts w:ascii="Book Antiqua" w:hAnsi="Book Antiqua" w:cs="Arial"/>
          <w:u w:val="single"/>
        </w:rPr>
        <w:t>PJ</w:t>
      </w:r>
      <w:r>
        <w:rPr>
          <w:rFonts w:ascii="Book Antiqua" w:hAnsi="Book Antiqua" w:cs="Arial"/>
        </w:rPr>
        <w:t xml:space="preserve"> on the respondent’s obligations in this area.</w:t>
      </w:r>
    </w:p>
    <w:p w14:paraId="7CD121E0" w14:textId="77777777" w:rsidR="002A4F95" w:rsidRDefault="002A4F95" w:rsidP="002A4F95">
      <w:pPr>
        <w:pStyle w:val="ListParagraph"/>
        <w:spacing w:after="240"/>
        <w:ind w:left="567"/>
        <w:jc w:val="both"/>
        <w:rPr>
          <w:rFonts w:ascii="Book Antiqua" w:hAnsi="Book Antiqua" w:cs="Arial"/>
        </w:rPr>
      </w:pPr>
    </w:p>
    <w:p w14:paraId="12ED0D6C" w14:textId="3B9F8C05" w:rsidR="002A4F95" w:rsidRDefault="008230F0"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We have already observed how</w:t>
      </w:r>
      <w:r w:rsidR="008358B1">
        <w:rPr>
          <w:rFonts w:ascii="Book Antiqua" w:hAnsi="Book Antiqua" w:cs="Arial"/>
        </w:rPr>
        <w:t xml:space="preserve"> the Tribunal</w:t>
      </w:r>
      <w:r>
        <w:rPr>
          <w:rFonts w:ascii="Book Antiqua" w:hAnsi="Book Antiqua" w:cs="Arial"/>
        </w:rPr>
        <w:t xml:space="preserve"> </w:t>
      </w:r>
      <w:r w:rsidRPr="0093223C">
        <w:rPr>
          <w:rFonts w:ascii="Book Antiqua" w:hAnsi="Book Antiqua" w:cs="Arial"/>
          <w:u w:val="single"/>
        </w:rPr>
        <w:t>Tanveer Ahmed</w:t>
      </w:r>
      <w:r>
        <w:rPr>
          <w:rFonts w:ascii="Book Antiqua" w:hAnsi="Book Antiqua" w:cs="Arial"/>
        </w:rPr>
        <w:t xml:space="preserve"> was at pains to </w:t>
      </w:r>
      <w:r w:rsidR="007F1958">
        <w:rPr>
          <w:rFonts w:ascii="Book Antiqua" w:hAnsi="Book Antiqua" w:cs="Arial"/>
        </w:rPr>
        <w:t>avoid falling into the</w:t>
      </w:r>
      <w:r w:rsidR="001A6775">
        <w:rPr>
          <w:rFonts w:ascii="Book Antiqua" w:hAnsi="Book Antiqua" w:cs="Arial"/>
        </w:rPr>
        <w:t xml:space="preserve"> trap of assuming that,</w:t>
      </w:r>
      <w:r w:rsidR="00044F60">
        <w:rPr>
          <w:rFonts w:ascii="Book Antiqua" w:hAnsi="Book Antiqua" w:cs="Arial"/>
        </w:rPr>
        <w:t xml:space="preserve"> just</w:t>
      </w:r>
      <w:r w:rsidR="001A6775">
        <w:rPr>
          <w:rFonts w:ascii="Book Antiqua" w:hAnsi="Book Antiqua" w:cs="Arial"/>
        </w:rPr>
        <w:t xml:space="preserve"> because an official-looking document emanating fro</w:t>
      </w:r>
      <w:r w:rsidR="009C6478">
        <w:rPr>
          <w:rFonts w:ascii="Book Antiqua" w:hAnsi="Book Antiqua" w:cs="Arial"/>
        </w:rPr>
        <w:t>m abroad may have been issued by the authorit</w:t>
      </w:r>
      <w:r w:rsidR="002A0315">
        <w:rPr>
          <w:rFonts w:ascii="Book Antiqua" w:hAnsi="Book Antiqua" w:cs="Arial"/>
        </w:rPr>
        <w:t>y whose name appears on the document,</w:t>
      </w:r>
      <w:r w:rsidR="0093223C">
        <w:rPr>
          <w:rFonts w:ascii="Book Antiqua" w:hAnsi="Book Antiqua" w:cs="Arial"/>
        </w:rPr>
        <w:t xml:space="preserve"> the contents of the document must be reliable.</w:t>
      </w:r>
      <w:r w:rsidR="00044F60">
        <w:rPr>
          <w:rFonts w:ascii="Book Antiqua" w:hAnsi="Book Antiqua" w:cs="Arial"/>
        </w:rPr>
        <w:t xml:space="preserve"> Th</w:t>
      </w:r>
      <w:r w:rsidR="00923E9F">
        <w:rPr>
          <w:rFonts w:ascii="Book Antiqua" w:hAnsi="Book Antiqua" w:cs="Arial"/>
        </w:rPr>
        <w:t xml:space="preserve">is is of </w:t>
      </w:r>
      <w:proofErr w:type="gramStart"/>
      <w:r w:rsidR="00923E9F">
        <w:rPr>
          <w:rFonts w:ascii="Book Antiqua" w:hAnsi="Book Antiqua" w:cs="Arial"/>
        </w:rPr>
        <w:t>particular relevance</w:t>
      </w:r>
      <w:proofErr w:type="gramEnd"/>
      <w:r w:rsidR="00DD7AFE">
        <w:rPr>
          <w:rFonts w:ascii="Book Antiqua" w:hAnsi="Book Antiqua" w:cs="Arial"/>
        </w:rPr>
        <w:t xml:space="preserve"> in the case of FIRs</w:t>
      </w:r>
      <w:r w:rsidR="00E21F72">
        <w:rPr>
          <w:rFonts w:ascii="Book Antiqua" w:hAnsi="Book Antiqua" w:cs="Arial"/>
        </w:rPr>
        <w:t>, the purpose of which is to record an accusation made by a</w:t>
      </w:r>
      <w:r w:rsidR="005D6EA7">
        <w:rPr>
          <w:rFonts w:ascii="Book Antiqua" w:hAnsi="Book Antiqua" w:cs="Arial"/>
        </w:rPr>
        <w:t>n individual</w:t>
      </w:r>
      <w:r w:rsidR="00E21F72">
        <w:rPr>
          <w:rFonts w:ascii="Book Antiqua" w:hAnsi="Book Antiqua" w:cs="Arial"/>
        </w:rPr>
        <w:t xml:space="preserve"> about another</w:t>
      </w:r>
      <w:r w:rsidR="005D6EA7">
        <w:rPr>
          <w:rFonts w:ascii="Book Antiqua" w:hAnsi="Book Antiqua" w:cs="Arial"/>
        </w:rPr>
        <w:t xml:space="preserve"> person or persons. </w:t>
      </w:r>
      <w:r w:rsidR="005F16CA">
        <w:rPr>
          <w:rFonts w:ascii="Book Antiqua" w:hAnsi="Book Antiqua" w:cs="Arial"/>
        </w:rPr>
        <w:t>Even if the compiler of the FIR has not been suborned, it can readily be seen that</w:t>
      </w:r>
      <w:r w:rsidR="005D773B">
        <w:rPr>
          <w:rFonts w:ascii="Book Antiqua" w:hAnsi="Book Antiqua" w:cs="Arial"/>
        </w:rPr>
        <w:t xml:space="preserve"> the fact the accusation has been made is in no sense </w:t>
      </w:r>
      <w:r w:rsidR="005224D6">
        <w:rPr>
          <w:rFonts w:ascii="Book Antiqua" w:hAnsi="Book Antiqua" w:cs="Arial"/>
        </w:rPr>
        <w:t>probative</w:t>
      </w:r>
      <w:r w:rsidR="005D773B">
        <w:rPr>
          <w:rFonts w:ascii="Book Antiqua" w:hAnsi="Book Antiqua" w:cs="Arial"/>
        </w:rPr>
        <w:t xml:space="preserve"> of the</w:t>
      </w:r>
      <w:r w:rsidR="009A0F71">
        <w:rPr>
          <w:rFonts w:ascii="Book Antiqua" w:hAnsi="Book Antiqua" w:cs="Arial"/>
        </w:rPr>
        <w:t xml:space="preserve"> fact that the relevant authority believes the accusation</w:t>
      </w:r>
      <w:r w:rsidR="00FB0928">
        <w:rPr>
          <w:rFonts w:ascii="Book Antiqua" w:hAnsi="Book Antiqua" w:cs="Arial"/>
        </w:rPr>
        <w:t>, let alone of</w:t>
      </w:r>
      <w:r w:rsidR="005D773B">
        <w:rPr>
          <w:rFonts w:ascii="Book Antiqua" w:hAnsi="Book Antiqua" w:cs="Arial"/>
        </w:rPr>
        <w:t xml:space="preserve"> </w:t>
      </w:r>
      <w:r w:rsidR="00FB0928">
        <w:rPr>
          <w:rFonts w:ascii="Book Antiqua" w:hAnsi="Book Antiqua" w:cs="Arial"/>
        </w:rPr>
        <w:t xml:space="preserve">its </w:t>
      </w:r>
      <w:r w:rsidR="00F6052D">
        <w:rPr>
          <w:rFonts w:ascii="Book Antiqua" w:hAnsi="Book Antiqua" w:cs="Arial"/>
        </w:rPr>
        <w:t>veracity</w:t>
      </w:r>
      <w:r w:rsidR="00FB0928">
        <w:rPr>
          <w:rFonts w:ascii="Book Antiqua" w:hAnsi="Book Antiqua" w:cs="Arial"/>
        </w:rPr>
        <w:t>.</w:t>
      </w:r>
    </w:p>
    <w:p w14:paraId="122ECF77" w14:textId="77777777" w:rsidR="00DD115E" w:rsidRDefault="00DD115E" w:rsidP="00DD115E">
      <w:pPr>
        <w:pStyle w:val="ListParagraph"/>
        <w:spacing w:after="240"/>
        <w:ind w:left="567"/>
        <w:jc w:val="both"/>
        <w:rPr>
          <w:rFonts w:ascii="Book Antiqua" w:hAnsi="Book Antiqua" w:cs="Arial"/>
        </w:rPr>
      </w:pPr>
    </w:p>
    <w:p w14:paraId="28D9BC75" w14:textId="30C2B5B8" w:rsidR="00DD115E" w:rsidRDefault="00DD115E"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It is, we consider, possible to summarise the law on this issue as follows.  The IAT’s decision in </w:t>
      </w:r>
      <w:r w:rsidRPr="00041299">
        <w:rPr>
          <w:rFonts w:ascii="Book Antiqua" w:hAnsi="Book Antiqua" w:cs="Arial"/>
          <w:u w:val="single"/>
        </w:rPr>
        <w:t>Tanveer Ahmed</w:t>
      </w:r>
      <w:r>
        <w:rPr>
          <w:rFonts w:ascii="Book Antiqua" w:hAnsi="Book Antiqua" w:cs="Arial"/>
        </w:rPr>
        <w:t xml:space="preserve"> remains good law.  The overarching question for the judicial fact-finder will be whether the document in question can be regarded as reliable.  An obligation on the respondent to take steps to verify the authenticity of the document will arise only </w:t>
      </w:r>
      <w:r w:rsidR="002D3411">
        <w:rPr>
          <w:rFonts w:ascii="Book Antiqua" w:hAnsi="Book Antiqua" w:cs="Arial"/>
        </w:rPr>
        <w:t>exceptionally (in the sense of rarely)</w:t>
      </w:r>
      <w:r>
        <w:rPr>
          <w:rFonts w:ascii="Book Antiqua" w:hAnsi="Book Antiqua" w:cs="Arial"/>
        </w:rPr>
        <w:t xml:space="preserve">.  </w:t>
      </w:r>
      <w:r w:rsidR="0085655C">
        <w:rPr>
          <w:rFonts w:ascii="Book Antiqua" w:hAnsi="Book Antiqua" w:cs="Arial"/>
        </w:rPr>
        <w:t>T</w:t>
      </w:r>
      <w:r>
        <w:rPr>
          <w:rFonts w:ascii="Book Antiqua" w:hAnsi="Book Antiqua" w:cs="Arial"/>
        </w:rPr>
        <w:t>his will be where the document is central to the claim</w:t>
      </w:r>
      <w:r w:rsidR="00DB376D">
        <w:rPr>
          <w:rFonts w:ascii="Book Antiqua" w:hAnsi="Book Antiqua" w:cs="Arial"/>
        </w:rPr>
        <w:t>;</w:t>
      </w:r>
      <w:r>
        <w:rPr>
          <w:rFonts w:ascii="Book Antiqua" w:hAnsi="Book Antiqua" w:cs="Arial"/>
        </w:rPr>
        <w:t xml:space="preserve"> can easily be authenticated; and where (as in </w:t>
      </w:r>
      <w:r w:rsidRPr="00041299">
        <w:rPr>
          <w:rFonts w:ascii="Book Antiqua" w:hAnsi="Book Antiqua" w:cs="Arial"/>
          <w:u w:val="single"/>
        </w:rPr>
        <w:t>Singh v Belgium</w:t>
      </w:r>
      <w:r>
        <w:rPr>
          <w:rFonts w:ascii="Book Antiqua" w:hAnsi="Book Antiqua" w:cs="Arial"/>
        </w:rPr>
        <w:t>) authentication is unlikely to leave any “live” issue as to the reliability of its contents.  It is for the Tribunal to decide, in all the circumstances of the case, whether the obligation arises.  If it does, the respondent cannot challenge the authenticity of the document in the proceedings</w:t>
      </w:r>
      <w:r w:rsidR="00F27EED">
        <w:rPr>
          <w:rFonts w:ascii="Book Antiqua" w:hAnsi="Book Antiqua" w:cs="Arial"/>
        </w:rPr>
        <w:t>; but</w:t>
      </w:r>
      <w:r w:rsidR="00D8583E">
        <w:rPr>
          <w:rFonts w:ascii="Book Antiqua" w:hAnsi="Book Antiqua" w:cs="Arial"/>
        </w:rPr>
        <w:t xml:space="preserve"> that does not</w:t>
      </w:r>
      <w:r w:rsidR="005464AC">
        <w:rPr>
          <w:rFonts w:ascii="Book Antiqua" w:hAnsi="Book Antiqua" w:cs="Arial"/>
        </w:rPr>
        <w:t xml:space="preserve"> necessarily</w:t>
      </w:r>
      <w:r w:rsidR="00D8583E">
        <w:rPr>
          <w:rFonts w:ascii="Book Antiqua" w:hAnsi="Book Antiqua" w:cs="Arial"/>
        </w:rPr>
        <w:t xml:space="preserve"> mean the respondent cannot question the reliability of what the document says</w:t>
      </w:r>
      <w:r>
        <w:rPr>
          <w:rFonts w:ascii="Book Antiqua" w:hAnsi="Book Antiqua" w:cs="Arial"/>
        </w:rPr>
        <w:t xml:space="preserve">.  </w:t>
      </w:r>
      <w:r w:rsidR="00041299">
        <w:rPr>
          <w:rFonts w:ascii="Book Antiqua" w:hAnsi="Book Antiqua" w:cs="Arial"/>
        </w:rPr>
        <w:t>I</w:t>
      </w:r>
      <w:r w:rsidR="00AD604C">
        <w:rPr>
          <w:rFonts w:ascii="Book Antiqua" w:hAnsi="Book Antiqua" w:cs="Arial"/>
        </w:rPr>
        <w:t>n all cases, it</w:t>
      </w:r>
      <w:r w:rsidR="00041299">
        <w:rPr>
          <w:rFonts w:ascii="Book Antiqua" w:hAnsi="Book Antiqua" w:cs="Arial"/>
        </w:rPr>
        <w:t xml:space="preserve"> remain</w:t>
      </w:r>
      <w:r w:rsidR="00AD604C">
        <w:rPr>
          <w:rFonts w:ascii="Book Antiqua" w:hAnsi="Book Antiqua" w:cs="Arial"/>
        </w:rPr>
        <w:t>s</w:t>
      </w:r>
      <w:r w:rsidR="00041299">
        <w:rPr>
          <w:rFonts w:ascii="Book Antiqua" w:hAnsi="Book Antiqua" w:cs="Arial"/>
        </w:rPr>
        <w:t xml:space="preserve"> the task of the judicial fact-finder to assess the document’s relevance to the claim in the light of, and by reference to, the rest of the evidence.</w:t>
      </w:r>
    </w:p>
    <w:p w14:paraId="1FEECCDD" w14:textId="32B07D1D" w:rsidR="00A13EC1" w:rsidRDefault="00A13EC1" w:rsidP="00A13EC1">
      <w:pPr>
        <w:spacing w:after="240"/>
        <w:jc w:val="both"/>
        <w:rPr>
          <w:rFonts w:ascii="Book Antiqua" w:hAnsi="Book Antiqua" w:cs="Arial"/>
        </w:rPr>
      </w:pPr>
    </w:p>
    <w:p w14:paraId="441F9F22" w14:textId="3CD7DF8F" w:rsidR="00041299" w:rsidRDefault="00A13EC1" w:rsidP="008B292F">
      <w:pPr>
        <w:spacing w:after="240"/>
        <w:jc w:val="both"/>
        <w:rPr>
          <w:rFonts w:ascii="Book Antiqua" w:hAnsi="Book Antiqua" w:cs="Arial"/>
        </w:rPr>
      </w:pPr>
      <w:r>
        <w:rPr>
          <w:rFonts w:ascii="Book Antiqua" w:hAnsi="Book Antiqua" w:cs="Arial"/>
          <w:b/>
          <w:bCs/>
          <w:i/>
          <w:iCs/>
        </w:rPr>
        <w:t>F. THE “MIBANGA” DUTY</w:t>
      </w:r>
    </w:p>
    <w:p w14:paraId="0C28B1E6" w14:textId="1C3342F4" w:rsidR="00041299" w:rsidRDefault="00041299"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That last observation brings us to the cases on the second, related</w:t>
      </w:r>
      <w:r w:rsidR="00AD604C">
        <w:rPr>
          <w:rFonts w:ascii="Book Antiqua" w:hAnsi="Book Antiqua" w:cs="Arial"/>
        </w:rPr>
        <w:t xml:space="preserve"> issue</w:t>
      </w:r>
      <w:r>
        <w:rPr>
          <w:rFonts w:ascii="Book Antiqua" w:hAnsi="Book Antiqua" w:cs="Arial"/>
        </w:rPr>
        <w:t xml:space="preserve"> described in paragraph 1 above; namely, the assessment of the case “in the round”.</w:t>
      </w:r>
    </w:p>
    <w:p w14:paraId="103D702B" w14:textId="77777777" w:rsidR="00041299" w:rsidRDefault="00041299" w:rsidP="00041299">
      <w:pPr>
        <w:pStyle w:val="ListParagraph"/>
        <w:spacing w:after="240"/>
        <w:ind w:left="567"/>
        <w:jc w:val="both"/>
        <w:rPr>
          <w:rFonts w:ascii="Book Antiqua" w:hAnsi="Book Antiqua" w:cs="Arial"/>
        </w:rPr>
      </w:pPr>
    </w:p>
    <w:p w14:paraId="2004CA29" w14:textId="402B1929" w:rsidR="00041299" w:rsidRDefault="00041299"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In </w:t>
      </w:r>
      <w:r w:rsidRPr="008771E2">
        <w:rPr>
          <w:rFonts w:ascii="Book Antiqua" w:hAnsi="Book Antiqua" w:cs="Arial"/>
          <w:u w:val="single"/>
        </w:rPr>
        <w:t>Francois Mibanga v Secretary of State for the Home Department</w:t>
      </w:r>
      <w:r>
        <w:rPr>
          <w:rFonts w:ascii="Book Antiqua" w:hAnsi="Book Antiqua" w:cs="Arial"/>
        </w:rPr>
        <w:t xml:space="preserve"> [2005] EWCA Civ 367, the claim for asylum was based on the appellant’s account that he had been captured in the Democratic Republic of Congo by Rwandan-backed rebels, who had tortured him</w:t>
      </w:r>
      <w:r w:rsidR="0022199B">
        <w:rPr>
          <w:rFonts w:ascii="Book Antiqua" w:hAnsi="Book Antiqua" w:cs="Arial"/>
        </w:rPr>
        <w:t>.  The appellant produced a medical report on his injuries, together with a report by a country expert.  The Court of Appeal held that the adjudicator who dismissed the appellant’s appeal had disregarded both expert reports in concluding that the appellant’s case lacked credibility.  She had only turned to the reports after making that</w:t>
      </w:r>
      <w:r w:rsidR="0009736C">
        <w:rPr>
          <w:rFonts w:ascii="Book Antiqua" w:hAnsi="Book Antiqua" w:cs="Arial"/>
        </w:rPr>
        <w:t xml:space="preserve"> adverse credib</w:t>
      </w:r>
      <w:r w:rsidR="00A32DDF">
        <w:rPr>
          <w:rFonts w:ascii="Book Antiqua" w:hAnsi="Book Antiqua" w:cs="Arial"/>
        </w:rPr>
        <w:t>ility</w:t>
      </w:r>
      <w:r w:rsidR="0022199B">
        <w:rPr>
          <w:rFonts w:ascii="Book Antiqua" w:hAnsi="Book Antiqua" w:cs="Arial"/>
        </w:rPr>
        <w:t xml:space="preserve"> finding.</w:t>
      </w:r>
      <w:r w:rsidR="0090162B">
        <w:rPr>
          <w:rFonts w:ascii="Book Antiqua" w:hAnsi="Book Antiqua" w:cs="Arial"/>
        </w:rPr>
        <w:t xml:space="preserve">  Both reports were regarded by the </w:t>
      </w:r>
      <w:r w:rsidR="000270EF">
        <w:rPr>
          <w:rFonts w:ascii="Book Antiqua" w:hAnsi="Book Antiqua" w:cs="Arial"/>
        </w:rPr>
        <w:t xml:space="preserve">Court of Appeal as detailed and impressive documents.  </w:t>
      </w:r>
    </w:p>
    <w:p w14:paraId="72CC44A2" w14:textId="77777777" w:rsidR="000270EF" w:rsidRDefault="000270EF" w:rsidP="000270EF">
      <w:pPr>
        <w:pStyle w:val="ListParagraph"/>
        <w:spacing w:after="240"/>
        <w:ind w:left="567"/>
        <w:jc w:val="both"/>
        <w:rPr>
          <w:rFonts w:ascii="Book Antiqua" w:hAnsi="Book Antiqua" w:cs="Arial"/>
        </w:rPr>
      </w:pPr>
    </w:p>
    <w:p w14:paraId="2171EE78" w14:textId="77777777" w:rsidR="000270EF" w:rsidRDefault="000270EF"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In his judgment, Wilson J </w:t>
      </w:r>
      <w:proofErr w:type="gramStart"/>
      <w:r>
        <w:rPr>
          <w:rFonts w:ascii="Book Antiqua" w:hAnsi="Book Antiqua" w:cs="Arial"/>
        </w:rPr>
        <w:t>said:-</w:t>
      </w:r>
      <w:proofErr w:type="gramEnd"/>
    </w:p>
    <w:p w14:paraId="2AD62F90" w14:textId="77777777" w:rsidR="00427347" w:rsidRDefault="00126C50" w:rsidP="00126C50">
      <w:pPr>
        <w:ind w:left="1701" w:hanging="567"/>
        <w:jc w:val="both"/>
        <w:rPr>
          <w:rFonts w:ascii="Book Antiqua" w:hAnsi="Book Antiqua"/>
          <w:sz w:val="22"/>
          <w:szCs w:val="22"/>
        </w:rPr>
      </w:pPr>
      <w:r>
        <w:rPr>
          <w:rFonts w:ascii="Book Antiqua" w:hAnsi="Book Antiqua"/>
          <w:sz w:val="22"/>
          <w:szCs w:val="22"/>
        </w:rPr>
        <w:t>“23.</w:t>
      </w:r>
      <w:r>
        <w:rPr>
          <w:rFonts w:ascii="Book Antiqua" w:hAnsi="Book Antiqua"/>
          <w:sz w:val="22"/>
          <w:szCs w:val="22"/>
        </w:rPr>
        <w:tab/>
      </w:r>
      <w:bookmarkStart w:id="9" w:name="para23"/>
      <w:r w:rsidR="00427347" w:rsidRPr="00427347">
        <w:rPr>
          <w:rFonts w:ascii="Book Antiqua" w:hAnsi="Book Antiqua"/>
          <w:sz w:val="22"/>
          <w:szCs w:val="22"/>
        </w:rPr>
        <w:t xml:space="preserve">In the light of my view as to the proper despatch of this appeal, it would be wise for me to keep my own views about the effect of the evidence to a minimum. </w:t>
      </w:r>
      <w:r>
        <w:rPr>
          <w:rFonts w:ascii="Book Antiqua" w:hAnsi="Book Antiqua"/>
          <w:sz w:val="22"/>
          <w:szCs w:val="22"/>
        </w:rPr>
        <w:t xml:space="preserve"> </w:t>
      </w:r>
      <w:r w:rsidR="00427347" w:rsidRPr="00427347">
        <w:rPr>
          <w:rFonts w:ascii="Book Antiqua" w:hAnsi="Book Antiqua"/>
          <w:sz w:val="22"/>
          <w:szCs w:val="22"/>
        </w:rPr>
        <w:t>The basis of the appeal is not that the weight of the appellant's evidence, coupled with that of the two experts, should have driven every reasonable fact-finding body to accept his account and to uphold his appeal but that he has been the victim of a flawed fact-finding exercise on the part of the adjudicator and that the tribunal fell into legal error in failing to recognise it and to remit the appeal for redetermination.</w:t>
      </w:r>
      <w:r>
        <w:rPr>
          <w:rFonts w:ascii="Book Antiqua" w:hAnsi="Book Antiqua"/>
          <w:sz w:val="22"/>
          <w:szCs w:val="22"/>
        </w:rPr>
        <w:t xml:space="preserve"> </w:t>
      </w:r>
      <w:r w:rsidR="00427347" w:rsidRPr="00427347">
        <w:rPr>
          <w:rFonts w:ascii="Book Antiqua" w:hAnsi="Book Antiqua"/>
          <w:sz w:val="22"/>
          <w:szCs w:val="22"/>
        </w:rPr>
        <w:t xml:space="preserve"> In this regard Miss Braganza relies heavily upon the way in which the adjudicator folded the doctor's report into her enquiry only at a point after she had reached her conclusions and upon the way in which she jettisoned the focussed comments of the professor. </w:t>
      </w:r>
      <w:bookmarkEnd w:id="9"/>
    </w:p>
    <w:p w14:paraId="75EB631A" w14:textId="77777777" w:rsidR="00126C50" w:rsidRPr="00427347" w:rsidRDefault="00126C50" w:rsidP="00126C50">
      <w:pPr>
        <w:ind w:left="1701" w:hanging="567"/>
        <w:jc w:val="both"/>
        <w:rPr>
          <w:rFonts w:ascii="Book Antiqua" w:hAnsi="Book Antiqua"/>
          <w:sz w:val="22"/>
          <w:szCs w:val="22"/>
        </w:rPr>
      </w:pPr>
    </w:p>
    <w:p w14:paraId="6245DAB3" w14:textId="77777777" w:rsidR="00427347" w:rsidRPr="00427347" w:rsidRDefault="00126C50" w:rsidP="00126C50">
      <w:pPr>
        <w:ind w:left="1701" w:hanging="567"/>
        <w:jc w:val="both"/>
        <w:rPr>
          <w:rFonts w:ascii="Book Antiqua" w:hAnsi="Book Antiqua"/>
          <w:sz w:val="22"/>
          <w:szCs w:val="22"/>
        </w:rPr>
      </w:pPr>
      <w:bookmarkStart w:id="10" w:name="para24"/>
      <w:r>
        <w:rPr>
          <w:rFonts w:ascii="Book Antiqua" w:hAnsi="Book Antiqua"/>
          <w:sz w:val="22"/>
          <w:szCs w:val="22"/>
        </w:rPr>
        <w:t>24.</w:t>
      </w:r>
      <w:r>
        <w:rPr>
          <w:rFonts w:ascii="Book Antiqua" w:hAnsi="Book Antiqua"/>
          <w:sz w:val="22"/>
          <w:szCs w:val="22"/>
        </w:rPr>
        <w:tab/>
      </w:r>
      <w:r w:rsidR="00427347" w:rsidRPr="00427347">
        <w:rPr>
          <w:rFonts w:ascii="Book Antiqua" w:hAnsi="Book Antiqua"/>
          <w:sz w:val="22"/>
          <w:szCs w:val="22"/>
        </w:rPr>
        <w:t xml:space="preserve">It seems to me to be axiomatic that a fact-finder must not reach his or her conclusion before surveying all the evidence relevant thereto. </w:t>
      </w:r>
      <w:r>
        <w:rPr>
          <w:rFonts w:ascii="Book Antiqua" w:hAnsi="Book Antiqua"/>
          <w:sz w:val="22"/>
          <w:szCs w:val="22"/>
        </w:rPr>
        <w:t xml:space="preserve"> </w:t>
      </w:r>
      <w:r w:rsidR="00427347" w:rsidRPr="00427347">
        <w:rPr>
          <w:rFonts w:ascii="Book Antiqua" w:hAnsi="Book Antiqua"/>
          <w:sz w:val="22"/>
          <w:szCs w:val="22"/>
        </w:rPr>
        <w:t xml:space="preserve">Just as, if I may take a banal if alliterative example, one cannot make a cake with only one ingredient, so also frequently one cannot make a case, in the sense of establishing its truth, otherwise than by combination of </w:t>
      </w:r>
      <w:proofErr w:type="gramStart"/>
      <w:r w:rsidR="00427347" w:rsidRPr="00427347">
        <w:rPr>
          <w:rFonts w:ascii="Book Antiqua" w:hAnsi="Book Antiqua"/>
          <w:sz w:val="22"/>
          <w:szCs w:val="22"/>
        </w:rPr>
        <w:t>a number of</w:t>
      </w:r>
      <w:proofErr w:type="gramEnd"/>
      <w:r w:rsidR="00427347" w:rsidRPr="00427347">
        <w:rPr>
          <w:rFonts w:ascii="Book Antiqua" w:hAnsi="Book Antiqua"/>
          <w:sz w:val="22"/>
          <w:szCs w:val="22"/>
        </w:rPr>
        <w:t xml:space="preserve"> pieces of evidence.</w:t>
      </w:r>
      <w:r>
        <w:rPr>
          <w:rFonts w:ascii="Book Antiqua" w:hAnsi="Book Antiqua"/>
          <w:sz w:val="22"/>
          <w:szCs w:val="22"/>
        </w:rPr>
        <w:t xml:space="preserve"> </w:t>
      </w:r>
      <w:r w:rsidR="00427347" w:rsidRPr="00427347">
        <w:rPr>
          <w:rFonts w:ascii="Book Antiqua" w:hAnsi="Book Antiqua"/>
          <w:sz w:val="22"/>
          <w:szCs w:val="22"/>
        </w:rPr>
        <w:t xml:space="preserve"> Mr Tam, on behalf of the Secretary of State, argues that decisions as to the credibility of an account are to be taken by the judicial fact-finder and that, in their reports, experts, whether in relation to medical matters or in relation to in-country circumstances, cannot usurp the fact-finder's function in assessing credibility. </w:t>
      </w:r>
      <w:r>
        <w:rPr>
          <w:rFonts w:ascii="Book Antiqua" w:hAnsi="Book Antiqua"/>
          <w:sz w:val="22"/>
          <w:szCs w:val="22"/>
        </w:rPr>
        <w:t xml:space="preserve"> </w:t>
      </w:r>
      <w:r w:rsidR="00427347" w:rsidRPr="00427347">
        <w:rPr>
          <w:rFonts w:ascii="Book Antiqua" w:hAnsi="Book Antiqua"/>
          <w:sz w:val="22"/>
          <w:szCs w:val="22"/>
        </w:rPr>
        <w:t>I agree.</w:t>
      </w:r>
      <w:r w:rsidR="00702A2C">
        <w:rPr>
          <w:rFonts w:ascii="Book Antiqua" w:hAnsi="Book Antiqua"/>
          <w:sz w:val="22"/>
          <w:szCs w:val="22"/>
        </w:rPr>
        <w:t xml:space="preserve">  </w:t>
      </w:r>
      <w:r w:rsidR="00427347" w:rsidRPr="00427347">
        <w:rPr>
          <w:rFonts w:ascii="Book Antiqua" w:hAnsi="Book Antiqua"/>
          <w:sz w:val="22"/>
          <w:szCs w:val="22"/>
        </w:rPr>
        <w:t xml:space="preserve">What, however, they can offer, is a factual context in which it may be necessary for the fact-finder to survey the allegations placed before him; and such context may prove a crucial aid to the decision </w:t>
      </w:r>
      <w:proofErr w:type="gramStart"/>
      <w:r w:rsidR="00427347" w:rsidRPr="00427347">
        <w:rPr>
          <w:rFonts w:ascii="Book Antiqua" w:hAnsi="Book Antiqua"/>
          <w:sz w:val="22"/>
          <w:szCs w:val="22"/>
        </w:rPr>
        <w:t>whether or not</w:t>
      </w:r>
      <w:proofErr w:type="gramEnd"/>
      <w:r w:rsidR="00427347" w:rsidRPr="00427347">
        <w:rPr>
          <w:rFonts w:ascii="Book Antiqua" w:hAnsi="Book Antiqua"/>
          <w:sz w:val="22"/>
          <w:szCs w:val="22"/>
        </w:rPr>
        <w:t xml:space="preserve"> to accept the truth of them.</w:t>
      </w:r>
      <w:r>
        <w:rPr>
          <w:rFonts w:ascii="Book Antiqua" w:hAnsi="Book Antiqua"/>
          <w:sz w:val="22"/>
          <w:szCs w:val="22"/>
        </w:rPr>
        <w:t xml:space="preserve"> </w:t>
      </w:r>
      <w:r w:rsidR="00427347" w:rsidRPr="00427347">
        <w:rPr>
          <w:rFonts w:ascii="Book Antiqua" w:hAnsi="Book Antiqua"/>
          <w:sz w:val="22"/>
          <w:szCs w:val="22"/>
        </w:rPr>
        <w:t xml:space="preserve"> What the fact-finder does at his peril is to reach a conclusion by reference only to the appellant's evidence and then, if it be negative, to ask whether the conclusion should be shifted by the expert evidence. </w:t>
      </w:r>
      <w:r>
        <w:rPr>
          <w:rFonts w:ascii="Book Antiqua" w:hAnsi="Book Antiqua"/>
          <w:sz w:val="22"/>
          <w:szCs w:val="22"/>
        </w:rPr>
        <w:t xml:space="preserve"> </w:t>
      </w:r>
      <w:r w:rsidR="00427347" w:rsidRPr="00427347">
        <w:rPr>
          <w:rFonts w:ascii="Book Antiqua" w:hAnsi="Book Antiqua"/>
          <w:sz w:val="22"/>
          <w:szCs w:val="22"/>
        </w:rPr>
        <w:t xml:space="preserve">Mr Tam has drawn the court's attention to a decision of the tribunal dated 5 November 2004, namely </w:t>
      </w:r>
      <w:r w:rsidR="00427347" w:rsidRPr="00427347">
        <w:rPr>
          <w:rFonts w:ascii="Book Antiqua" w:hAnsi="Book Antiqua"/>
          <w:sz w:val="22"/>
          <w:szCs w:val="22"/>
          <w:u w:val="single"/>
        </w:rPr>
        <w:t>HE (DRC - Credibility and Psychiatric Reports)</w:t>
      </w:r>
      <w:r w:rsidR="00427347" w:rsidRPr="00427347">
        <w:rPr>
          <w:rFonts w:ascii="Book Antiqua" w:hAnsi="Book Antiqua"/>
          <w:sz w:val="22"/>
          <w:szCs w:val="22"/>
        </w:rPr>
        <w:t xml:space="preserve"> </w:t>
      </w:r>
      <w:bookmarkEnd w:id="10"/>
      <w:r w:rsidR="00427347" w:rsidRPr="00930203">
        <w:fldChar w:fldCharType="begin"/>
      </w:r>
      <w:r w:rsidR="00427347" w:rsidRPr="00930203">
        <w:instrText xml:space="preserve"> HYPERLINK "https://www.bailii.org/uk/cases/UKIAT/2004/00321.html" \o "Link to BAILII version" </w:instrText>
      </w:r>
      <w:r w:rsidR="00427347" w:rsidRPr="00930203">
        <w:fldChar w:fldCharType="separate"/>
      </w:r>
      <w:r w:rsidR="00427347" w:rsidRPr="00930203">
        <w:rPr>
          <w:rStyle w:val="Hyperlink"/>
          <w:color w:val="auto"/>
          <w:u w:val="none"/>
        </w:rPr>
        <w:t>[2004] UKIAT 00321</w:t>
      </w:r>
      <w:r w:rsidR="00427347" w:rsidRPr="00930203">
        <w:fldChar w:fldCharType="end"/>
      </w:r>
      <w:r w:rsidR="00427347" w:rsidRPr="00427347">
        <w:rPr>
          <w:rFonts w:ascii="Book Antiqua" w:hAnsi="Book Antiqua"/>
          <w:sz w:val="22"/>
          <w:szCs w:val="22"/>
        </w:rPr>
        <w:t xml:space="preserve"> in which, in paragraph 22, it said: </w:t>
      </w:r>
    </w:p>
    <w:p w14:paraId="2CE3E16A" w14:textId="77777777" w:rsidR="00126C50" w:rsidRDefault="00126C50" w:rsidP="00126C50">
      <w:pPr>
        <w:ind w:left="1701" w:hanging="567"/>
        <w:jc w:val="both"/>
        <w:rPr>
          <w:rFonts w:ascii="Book Antiqua" w:hAnsi="Book Antiqua"/>
          <w:sz w:val="22"/>
          <w:szCs w:val="22"/>
        </w:rPr>
      </w:pPr>
    </w:p>
    <w:p w14:paraId="3D4B77EC" w14:textId="77777777" w:rsidR="00427347" w:rsidRPr="00427347" w:rsidRDefault="00427347" w:rsidP="00126C50">
      <w:pPr>
        <w:ind w:left="2268"/>
        <w:jc w:val="both"/>
        <w:rPr>
          <w:rFonts w:ascii="Book Antiqua" w:hAnsi="Book Antiqua"/>
          <w:sz w:val="22"/>
          <w:szCs w:val="22"/>
        </w:rPr>
      </w:pPr>
      <w:r w:rsidRPr="00427347">
        <w:rPr>
          <w:rFonts w:ascii="Book Antiqua" w:hAnsi="Book Antiqua"/>
          <w:sz w:val="22"/>
          <w:szCs w:val="22"/>
        </w:rPr>
        <w:t>"Where the report is specifically relied on as a factor relevant to credibility, the Adjudicator should deal with it as an integral part of the findings on credibility rather than just as an add-on, which does not undermine the conclusions to which he would otherwise come."</w:t>
      </w:r>
      <w:r w:rsidR="00126C50">
        <w:rPr>
          <w:rFonts w:ascii="Book Antiqua" w:hAnsi="Book Antiqua"/>
          <w:sz w:val="22"/>
          <w:szCs w:val="22"/>
        </w:rPr>
        <w:t>”</w:t>
      </w:r>
    </w:p>
    <w:p w14:paraId="13447F77" w14:textId="77777777" w:rsidR="000270EF" w:rsidRDefault="000270EF" w:rsidP="000270EF">
      <w:pPr>
        <w:pStyle w:val="ListParagraph"/>
        <w:spacing w:after="240"/>
        <w:ind w:left="567"/>
        <w:jc w:val="both"/>
        <w:rPr>
          <w:rFonts w:ascii="Book Antiqua" w:hAnsi="Book Antiqua" w:cs="Arial"/>
        </w:rPr>
      </w:pPr>
    </w:p>
    <w:p w14:paraId="45DAACD5" w14:textId="77777777" w:rsidR="000270EF" w:rsidRDefault="00126C50"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Buxton LJ </w:t>
      </w:r>
      <w:proofErr w:type="gramStart"/>
      <w:r>
        <w:rPr>
          <w:rFonts w:ascii="Book Antiqua" w:hAnsi="Book Antiqua" w:cs="Arial"/>
        </w:rPr>
        <w:t>agreed:-</w:t>
      </w:r>
      <w:proofErr w:type="gramEnd"/>
    </w:p>
    <w:p w14:paraId="71252E7C" w14:textId="77777777" w:rsidR="00126C50" w:rsidRDefault="00126C50" w:rsidP="00126C50">
      <w:pPr>
        <w:pStyle w:val="ListParagraph"/>
        <w:spacing w:after="240"/>
        <w:ind w:left="567"/>
        <w:jc w:val="both"/>
        <w:rPr>
          <w:rFonts w:ascii="Book Antiqua" w:hAnsi="Book Antiqua" w:cs="Arial"/>
        </w:rPr>
      </w:pPr>
    </w:p>
    <w:p w14:paraId="3A753359" w14:textId="1B84F2A2" w:rsidR="00126C50" w:rsidRDefault="00126C50" w:rsidP="00126C50">
      <w:pPr>
        <w:pStyle w:val="ListParagraph"/>
        <w:spacing w:after="240"/>
        <w:ind w:left="1701" w:hanging="567"/>
        <w:jc w:val="both"/>
        <w:rPr>
          <w:rFonts w:ascii="Book Antiqua" w:hAnsi="Book Antiqua"/>
          <w:sz w:val="22"/>
          <w:szCs w:val="22"/>
        </w:rPr>
      </w:pPr>
      <w:r w:rsidRPr="00126C50">
        <w:rPr>
          <w:rFonts w:ascii="Book Antiqua" w:hAnsi="Book Antiqua"/>
          <w:sz w:val="22"/>
          <w:szCs w:val="22"/>
        </w:rPr>
        <w:t>“30.</w:t>
      </w:r>
      <w:r w:rsidRPr="00126C50">
        <w:rPr>
          <w:rFonts w:ascii="Book Antiqua" w:hAnsi="Book Antiqua"/>
          <w:sz w:val="22"/>
          <w:szCs w:val="22"/>
        </w:rPr>
        <w:tab/>
        <w:t xml:space="preserve"> </w:t>
      </w:r>
      <w:r w:rsidR="00EC47FA">
        <w:rPr>
          <w:rFonts w:ascii="Book Antiqua" w:hAnsi="Book Antiqua"/>
          <w:sz w:val="22"/>
          <w:szCs w:val="22"/>
        </w:rPr>
        <w:t xml:space="preserve">… </w:t>
      </w:r>
      <w:r w:rsidRPr="00126C50">
        <w:rPr>
          <w:rFonts w:ascii="Book Antiqua" w:hAnsi="Book Antiqua"/>
          <w:sz w:val="22"/>
          <w:szCs w:val="22"/>
        </w:rPr>
        <w:t>The adjudicator's failing was that she artificially separated the medical evidence from the rest of the evidence and reached conclusions as to credibility without reference to that medical evidence; and then, no doubt inevitably on that premise, found that the medical evidence was of no assistance to her.</w:t>
      </w:r>
      <w:r>
        <w:rPr>
          <w:rFonts w:ascii="Book Antiqua" w:hAnsi="Book Antiqua"/>
          <w:sz w:val="22"/>
          <w:szCs w:val="22"/>
        </w:rPr>
        <w:t xml:space="preserve"> </w:t>
      </w:r>
      <w:r w:rsidRPr="00126C50">
        <w:rPr>
          <w:rFonts w:ascii="Book Antiqua" w:hAnsi="Book Antiqua"/>
          <w:sz w:val="22"/>
          <w:szCs w:val="22"/>
        </w:rPr>
        <w:t xml:space="preserve"> That was a structural failing, not just an error of appreciation, and demonstrated that the adjudicator's method of approaching the evidence diverted from the procedure advised in paragraph 22 of </w:t>
      </w:r>
      <w:r w:rsidRPr="00126C50">
        <w:rPr>
          <w:rFonts w:ascii="Book Antiqua" w:hAnsi="Book Antiqua"/>
          <w:sz w:val="22"/>
          <w:szCs w:val="22"/>
          <w:u w:val="single"/>
        </w:rPr>
        <w:t>HE</w:t>
      </w:r>
      <w:r w:rsidRPr="00126C50">
        <w:rPr>
          <w:rFonts w:ascii="Book Antiqua" w:hAnsi="Book Antiqua"/>
          <w:sz w:val="22"/>
          <w:szCs w:val="22"/>
        </w:rPr>
        <w:t>, set out by my Lord.</w:t>
      </w:r>
    </w:p>
    <w:p w14:paraId="3D3FB12D" w14:textId="77777777" w:rsidR="00126C50" w:rsidRDefault="00126C50" w:rsidP="00126C50">
      <w:pPr>
        <w:pStyle w:val="ListParagraph"/>
        <w:spacing w:after="240"/>
        <w:ind w:left="1701" w:hanging="567"/>
        <w:jc w:val="both"/>
        <w:rPr>
          <w:rFonts w:ascii="Book Antiqua" w:hAnsi="Book Antiqua"/>
          <w:sz w:val="22"/>
          <w:szCs w:val="22"/>
        </w:rPr>
      </w:pPr>
    </w:p>
    <w:p w14:paraId="4F7CEF00" w14:textId="77777777" w:rsidR="00126C50" w:rsidRDefault="00126C50" w:rsidP="00126C50">
      <w:pPr>
        <w:pStyle w:val="ListParagraph"/>
        <w:spacing w:after="240"/>
        <w:ind w:left="1701" w:hanging="567"/>
        <w:jc w:val="both"/>
        <w:rPr>
          <w:rFonts w:ascii="Book Antiqua" w:hAnsi="Book Antiqua"/>
          <w:sz w:val="22"/>
          <w:szCs w:val="22"/>
        </w:rPr>
      </w:pPr>
      <w:r w:rsidRPr="00126C50">
        <w:rPr>
          <w:rFonts w:ascii="Book Antiqua" w:hAnsi="Book Antiqua"/>
          <w:sz w:val="22"/>
          <w:szCs w:val="22"/>
        </w:rPr>
        <w:t>31.</w:t>
      </w:r>
      <w:r w:rsidRPr="00126C50">
        <w:rPr>
          <w:rFonts w:ascii="Book Antiqua" w:hAnsi="Book Antiqua"/>
          <w:sz w:val="22"/>
          <w:szCs w:val="22"/>
        </w:rPr>
        <w:tab/>
        <w:t>Further, though perhaps les</w:t>
      </w:r>
      <w:r>
        <w:rPr>
          <w:rFonts w:ascii="Book Antiqua" w:hAnsi="Book Antiqua"/>
          <w:sz w:val="22"/>
          <w:szCs w:val="22"/>
        </w:rPr>
        <w:t>s</w:t>
      </w:r>
      <w:r w:rsidRPr="00126C50">
        <w:rPr>
          <w:rFonts w:ascii="Book Antiqua" w:hAnsi="Book Antiqua"/>
          <w:sz w:val="22"/>
          <w:szCs w:val="22"/>
        </w:rPr>
        <w:t xml:space="preserve"> obviously, I agree that if an expert's view is to be rejected in the conclusive terms adopted by the adjudicator in this case, then </w:t>
      </w:r>
      <w:r w:rsidRPr="00126C50">
        <w:rPr>
          <w:rFonts w:ascii="Book Antiqua" w:hAnsi="Book Antiqua"/>
          <w:sz w:val="22"/>
          <w:szCs w:val="22"/>
        </w:rPr>
        <w:lastRenderedPageBreak/>
        <w:t>proper procedure requires that at least some explanation is given of the terms and reasons for that rejection.</w:t>
      </w:r>
      <w:r>
        <w:rPr>
          <w:rFonts w:ascii="Book Antiqua" w:hAnsi="Book Antiqua"/>
          <w:sz w:val="22"/>
          <w:szCs w:val="22"/>
        </w:rPr>
        <w:t>”</w:t>
      </w:r>
    </w:p>
    <w:p w14:paraId="06E9C32C" w14:textId="77777777" w:rsidR="00126C50" w:rsidRPr="00126C50" w:rsidRDefault="00126C50" w:rsidP="00126C50">
      <w:pPr>
        <w:pStyle w:val="ListParagraph"/>
        <w:spacing w:after="240"/>
        <w:ind w:left="1701" w:hanging="567"/>
        <w:jc w:val="both"/>
        <w:rPr>
          <w:rFonts w:ascii="Book Antiqua" w:hAnsi="Book Antiqua" w:cs="Arial"/>
          <w:sz w:val="22"/>
          <w:szCs w:val="22"/>
        </w:rPr>
      </w:pPr>
    </w:p>
    <w:p w14:paraId="50F11F3D" w14:textId="7C9528BC" w:rsidR="00126C50" w:rsidRDefault="00126C50"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Following </w:t>
      </w:r>
      <w:r w:rsidRPr="00126C50">
        <w:rPr>
          <w:rFonts w:ascii="Book Antiqua" w:hAnsi="Book Antiqua" w:cs="Arial"/>
          <w:u w:val="single"/>
        </w:rPr>
        <w:t>Mibanga</w:t>
      </w:r>
      <w:r>
        <w:rPr>
          <w:rFonts w:ascii="Book Antiqua" w:hAnsi="Book Antiqua" w:cs="Arial"/>
        </w:rPr>
        <w:t xml:space="preserve">, there were many challenges to Tribunal decisions, on the asserted basis that a judge had failed to treat (usually) a medical report in the way the Court of Appeal had held it should be treated in that case.  Dealing with such a challenge, the AIT in </w:t>
      </w:r>
      <w:r w:rsidRPr="00126C50">
        <w:rPr>
          <w:rFonts w:ascii="Book Antiqua" w:hAnsi="Book Antiqua" w:cs="Arial"/>
          <w:u w:val="single"/>
        </w:rPr>
        <w:t xml:space="preserve">HH (medical evidence; effective </w:t>
      </w:r>
      <w:r w:rsidRPr="00126C50">
        <w:rPr>
          <w:rFonts w:ascii="Book Antiqua" w:hAnsi="Book Antiqua" w:cs="Arial"/>
          <w:i/>
          <w:u w:val="single"/>
        </w:rPr>
        <w:t>Mibanga</w:t>
      </w:r>
      <w:r w:rsidRPr="00126C50">
        <w:rPr>
          <w:rFonts w:ascii="Book Antiqua" w:hAnsi="Book Antiqua" w:cs="Arial"/>
          <w:u w:val="single"/>
        </w:rPr>
        <w:t>) Ethiopia</w:t>
      </w:r>
      <w:r>
        <w:rPr>
          <w:rFonts w:ascii="Book Antiqua" w:hAnsi="Book Antiqua" w:cs="Arial"/>
        </w:rPr>
        <w:t xml:space="preserve"> [2005] UKAIT 00164 attempted to dispel </w:t>
      </w:r>
      <w:r w:rsidR="00094706">
        <w:rPr>
          <w:rFonts w:ascii="Book Antiqua" w:hAnsi="Book Antiqua" w:cs="Arial"/>
        </w:rPr>
        <w:t>some of the</w:t>
      </w:r>
      <w:r>
        <w:rPr>
          <w:rFonts w:ascii="Book Antiqua" w:hAnsi="Book Antiqua" w:cs="Arial"/>
        </w:rPr>
        <w:t xml:space="preserve"> misconceptions that had grown up around </w:t>
      </w:r>
      <w:proofErr w:type="gramStart"/>
      <w:r w:rsidRPr="00126C50">
        <w:rPr>
          <w:rFonts w:ascii="Book Antiqua" w:hAnsi="Book Antiqua" w:cs="Arial"/>
          <w:u w:val="single"/>
        </w:rPr>
        <w:t>Mibanga</w:t>
      </w:r>
      <w:r>
        <w:rPr>
          <w:rFonts w:ascii="Book Antiqua" w:hAnsi="Book Antiqua" w:cs="Arial"/>
        </w:rPr>
        <w:t>:-</w:t>
      </w:r>
      <w:proofErr w:type="gramEnd"/>
    </w:p>
    <w:p w14:paraId="4D484019" w14:textId="77777777" w:rsidR="00941CD5" w:rsidRPr="00DC0AB1" w:rsidRDefault="00941CD5" w:rsidP="00941CD5">
      <w:pPr>
        <w:ind w:left="1701" w:hanging="567"/>
        <w:jc w:val="both"/>
        <w:rPr>
          <w:rFonts w:ascii="Book Antiqua" w:hAnsi="Book Antiqua"/>
          <w:sz w:val="22"/>
          <w:szCs w:val="22"/>
        </w:rPr>
      </w:pPr>
      <w:bookmarkStart w:id="11" w:name="para19"/>
      <w:r>
        <w:rPr>
          <w:rFonts w:ascii="Book Antiqua" w:hAnsi="Book Antiqua"/>
          <w:sz w:val="22"/>
          <w:szCs w:val="22"/>
        </w:rPr>
        <w:t>“19.</w:t>
      </w:r>
      <w:r>
        <w:rPr>
          <w:rFonts w:ascii="Book Antiqua" w:hAnsi="Book Antiqua"/>
          <w:sz w:val="22"/>
          <w:szCs w:val="22"/>
        </w:rPr>
        <w:tab/>
      </w:r>
      <w:r w:rsidRPr="00941CD5">
        <w:rPr>
          <w:rFonts w:ascii="Book Antiqua" w:hAnsi="Book Antiqua"/>
          <w:sz w:val="22"/>
          <w:szCs w:val="22"/>
        </w:rPr>
        <w:t xml:space="preserve">Finally, the grounds assert that the Immigration Judge erred in law in failing to treat the medical report as part of the overall evidence in this case, to be considered "in the round" before coming to any conclusion as to the appellant's credibility. Reference is made to the Court of Appeal judgments in </w:t>
      </w:r>
      <w:r w:rsidRPr="00941CD5">
        <w:rPr>
          <w:rFonts w:ascii="Book Antiqua" w:hAnsi="Book Antiqua"/>
          <w:b/>
          <w:bCs/>
          <w:i/>
          <w:iCs/>
          <w:sz w:val="22"/>
          <w:szCs w:val="22"/>
        </w:rPr>
        <w:t xml:space="preserve">Mibanga </w:t>
      </w:r>
      <w:bookmarkEnd w:id="11"/>
      <w:r w:rsidRPr="00DC0AB1">
        <w:rPr>
          <w:rFonts w:ascii="Book Antiqua" w:hAnsi="Book Antiqua"/>
          <w:b/>
          <w:bCs/>
          <w:i/>
          <w:iCs/>
          <w:sz w:val="22"/>
          <w:szCs w:val="22"/>
        </w:rPr>
        <w:fldChar w:fldCharType="begin"/>
      </w:r>
      <w:r w:rsidRPr="00DC0AB1">
        <w:rPr>
          <w:rFonts w:ascii="Book Antiqua" w:hAnsi="Book Antiqua"/>
          <w:b/>
          <w:bCs/>
          <w:i/>
          <w:iCs/>
          <w:sz w:val="22"/>
          <w:szCs w:val="22"/>
        </w:rPr>
        <w:instrText xml:space="preserve"> HYPERLINK "https://www.bailii.org/ew/cases/EWCA/Civ/2005/367.html" \o "Link to BAILII version" </w:instrText>
      </w:r>
      <w:r w:rsidRPr="00DC0AB1">
        <w:rPr>
          <w:rFonts w:ascii="Book Antiqua" w:hAnsi="Book Antiqua"/>
          <w:b/>
          <w:bCs/>
          <w:i/>
          <w:iCs/>
          <w:sz w:val="22"/>
          <w:szCs w:val="22"/>
        </w:rPr>
        <w:fldChar w:fldCharType="separate"/>
      </w:r>
      <w:r w:rsidRPr="00DC0AB1">
        <w:rPr>
          <w:rFonts w:ascii="Book Antiqua" w:hAnsi="Book Antiqua"/>
          <w:b/>
          <w:bCs/>
          <w:i/>
          <w:iCs/>
          <w:sz w:val="22"/>
          <w:szCs w:val="22"/>
        </w:rPr>
        <w:t xml:space="preserve">[2005] EWCA </w:t>
      </w:r>
      <w:proofErr w:type="spellStart"/>
      <w:r w:rsidRPr="00DC0AB1">
        <w:rPr>
          <w:rFonts w:ascii="Book Antiqua" w:hAnsi="Book Antiqua"/>
          <w:b/>
          <w:bCs/>
          <w:i/>
          <w:iCs/>
          <w:sz w:val="22"/>
          <w:szCs w:val="22"/>
        </w:rPr>
        <w:t>Civ</w:t>
      </w:r>
      <w:proofErr w:type="spellEnd"/>
      <w:r w:rsidRPr="00DC0AB1">
        <w:rPr>
          <w:rFonts w:ascii="Book Antiqua" w:hAnsi="Book Antiqua"/>
          <w:b/>
          <w:bCs/>
          <w:i/>
          <w:iCs/>
          <w:sz w:val="22"/>
          <w:szCs w:val="22"/>
        </w:rPr>
        <w:t xml:space="preserve"> 367</w:t>
      </w:r>
      <w:r w:rsidRPr="00DC0AB1">
        <w:rPr>
          <w:rFonts w:ascii="Book Antiqua" w:hAnsi="Book Antiqua"/>
          <w:b/>
          <w:bCs/>
          <w:i/>
          <w:iCs/>
          <w:sz w:val="22"/>
          <w:szCs w:val="22"/>
        </w:rPr>
        <w:fldChar w:fldCharType="end"/>
      </w:r>
      <w:r w:rsidRPr="00DC0AB1">
        <w:rPr>
          <w:rFonts w:ascii="Book Antiqua" w:hAnsi="Book Antiqua"/>
          <w:sz w:val="22"/>
          <w:szCs w:val="22"/>
        </w:rPr>
        <w:t xml:space="preserve">, in particular paragraph 24 of the judgment of Wilson J: </w:t>
      </w:r>
    </w:p>
    <w:p w14:paraId="67CFF039" w14:textId="77777777" w:rsidR="00941CD5" w:rsidRPr="00941CD5" w:rsidRDefault="00941CD5" w:rsidP="00941CD5">
      <w:pPr>
        <w:ind w:left="1701" w:hanging="567"/>
        <w:jc w:val="both"/>
        <w:rPr>
          <w:rFonts w:ascii="Book Antiqua" w:hAnsi="Book Antiqua"/>
          <w:sz w:val="22"/>
          <w:szCs w:val="22"/>
        </w:rPr>
      </w:pPr>
    </w:p>
    <w:p w14:paraId="2F3F9F30" w14:textId="77777777" w:rsidR="00941CD5" w:rsidRDefault="00941CD5" w:rsidP="00941CD5">
      <w:pPr>
        <w:ind w:left="2268"/>
        <w:jc w:val="both"/>
        <w:rPr>
          <w:rFonts w:ascii="Book Antiqua" w:hAnsi="Book Antiqua"/>
          <w:sz w:val="22"/>
          <w:szCs w:val="22"/>
        </w:rPr>
      </w:pPr>
      <w:r w:rsidRPr="00941CD5">
        <w:rPr>
          <w:rFonts w:ascii="Book Antiqua" w:hAnsi="Book Antiqua"/>
          <w:sz w:val="22"/>
          <w:szCs w:val="22"/>
        </w:rPr>
        <w:t>"It seems to me to be axiomatic that a fact-finder must not reach his or her conclusion before surveying all the evidence relevant thereto. Just as, if I may take a banal if alliterative example, one cannot make a cake with only one ingredient, so also frequently one cannot make a case, in the sense of establishing its truth, otherwise than by combination of a number of pieces of evidence".</w:t>
      </w:r>
    </w:p>
    <w:p w14:paraId="36CABE2B" w14:textId="77777777" w:rsidR="00941CD5" w:rsidRDefault="00941CD5" w:rsidP="00941CD5">
      <w:pPr>
        <w:ind w:left="2268" w:hanging="1134"/>
        <w:jc w:val="both"/>
        <w:rPr>
          <w:rFonts w:ascii="Book Antiqua" w:hAnsi="Book Antiqua"/>
          <w:sz w:val="22"/>
          <w:szCs w:val="22"/>
        </w:rPr>
      </w:pPr>
      <w:r>
        <w:rPr>
          <w:rFonts w:ascii="Book Antiqua" w:hAnsi="Book Antiqua"/>
          <w:sz w:val="22"/>
          <w:szCs w:val="22"/>
        </w:rPr>
        <w:t>…</w:t>
      </w:r>
    </w:p>
    <w:p w14:paraId="1AEE4746" w14:textId="77777777" w:rsidR="00941CD5" w:rsidRDefault="00941CD5" w:rsidP="00941CD5">
      <w:pPr>
        <w:ind w:left="2268" w:hanging="1134"/>
        <w:jc w:val="both"/>
        <w:rPr>
          <w:rFonts w:ascii="Book Antiqua" w:hAnsi="Book Antiqua"/>
          <w:sz w:val="22"/>
          <w:szCs w:val="22"/>
        </w:rPr>
      </w:pPr>
    </w:p>
    <w:p w14:paraId="4230FF21" w14:textId="77777777" w:rsidR="00941CD5" w:rsidRPr="00941CD5" w:rsidRDefault="00941CD5" w:rsidP="00941CD5">
      <w:pPr>
        <w:ind w:left="1701" w:hanging="567"/>
        <w:jc w:val="both"/>
        <w:rPr>
          <w:rFonts w:ascii="Book Antiqua" w:hAnsi="Book Antiqua"/>
          <w:sz w:val="22"/>
          <w:szCs w:val="22"/>
        </w:rPr>
      </w:pPr>
      <w:r w:rsidRPr="00941CD5">
        <w:rPr>
          <w:rFonts w:ascii="Book Antiqua" w:hAnsi="Book Antiqua"/>
          <w:sz w:val="22"/>
          <w:szCs w:val="22"/>
        </w:rPr>
        <w:t>21.</w:t>
      </w:r>
      <w:r w:rsidRPr="00941CD5">
        <w:rPr>
          <w:rFonts w:ascii="Book Antiqua" w:hAnsi="Book Antiqua"/>
          <w:sz w:val="22"/>
          <w:szCs w:val="22"/>
        </w:rPr>
        <w:tab/>
      </w:r>
      <w:bookmarkStart w:id="12" w:name="para21"/>
      <w:r w:rsidRPr="00941CD5">
        <w:rPr>
          <w:rFonts w:ascii="Book Antiqua" w:hAnsi="Book Antiqua"/>
          <w:sz w:val="22"/>
          <w:szCs w:val="22"/>
        </w:rPr>
        <w:t xml:space="preserve">The Tribunal considers that there is a danger of </w:t>
      </w:r>
      <w:r w:rsidRPr="00941CD5">
        <w:rPr>
          <w:rFonts w:ascii="Book Antiqua" w:hAnsi="Book Antiqua"/>
          <w:b/>
          <w:bCs/>
          <w:i/>
          <w:iCs/>
          <w:sz w:val="22"/>
          <w:szCs w:val="22"/>
        </w:rPr>
        <w:t>Mibanga</w:t>
      </w:r>
      <w:r w:rsidRPr="00941CD5">
        <w:rPr>
          <w:rFonts w:ascii="Book Antiqua" w:hAnsi="Book Antiqua"/>
          <w:sz w:val="22"/>
          <w:szCs w:val="22"/>
        </w:rPr>
        <w:t xml:space="preserve"> being misunderstood.  The judgments in that case are not intended to place judicial fact-finders in a form of forensic </w:t>
      </w:r>
      <w:proofErr w:type="gramStart"/>
      <w:r w:rsidRPr="00941CD5">
        <w:rPr>
          <w:rFonts w:ascii="Book Antiqua" w:hAnsi="Book Antiqua"/>
          <w:sz w:val="22"/>
          <w:szCs w:val="22"/>
        </w:rPr>
        <w:t>straightjacket</w:t>
      </w:r>
      <w:proofErr w:type="gramEnd"/>
      <w:r w:rsidRPr="00941CD5">
        <w:rPr>
          <w:rFonts w:ascii="Book Antiqua" w:hAnsi="Book Antiqua"/>
          <w:sz w:val="22"/>
          <w:szCs w:val="22"/>
        </w:rPr>
        <w:t xml:space="preserve">.  In particular, the Court of Appeal is not to be regarded as laying down any rule of law as to the order in which judicial fact-finders are to approach the evidential materials before them.  To take Wilson J's "cake" analogy, all its ingredients cannot be thrown together into the bowl simultaneously.  One </w:t>
      </w:r>
      <w:proofErr w:type="gramStart"/>
      <w:r w:rsidRPr="00941CD5">
        <w:rPr>
          <w:rFonts w:ascii="Book Antiqua" w:hAnsi="Book Antiqua"/>
          <w:sz w:val="22"/>
          <w:szCs w:val="22"/>
        </w:rPr>
        <w:t>has to</w:t>
      </w:r>
      <w:proofErr w:type="gramEnd"/>
      <w:r w:rsidRPr="00941CD5">
        <w:rPr>
          <w:rFonts w:ascii="Book Antiqua" w:hAnsi="Book Antiqua"/>
          <w:sz w:val="22"/>
          <w:szCs w:val="22"/>
        </w:rPr>
        <w:t xml:space="preserve"> start somewhere.  There was nothing illogical about the process by which the Immigration Judge in the present case chose to approach his analytical task.</w:t>
      </w:r>
      <w:bookmarkEnd w:id="12"/>
      <w:r w:rsidRPr="00941CD5">
        <w:rPr>
          <w:rFonts w:ascii="Book Antiqua" w:hAnsi="Book Antiqua"/>
          <w:sz w:val="22"/>
          <w:szCs w:val="22"/>
        </w:rPr>
        <w:t>”</w:t>
      </w:r>
    </w:p>
    <w:p w14:paraId="6CB85F64" w14:textId="77777777" w:rsidR="00126C50" w:rsidRDefault="00126C50" w:rsidP="00126C50">
      <w:pPr>
        <w:pStyle w:val="ListParagraph"/>
        <w:spacing w:after="240"/>
        <w:ind w:left="567"/>
        <w:jc w:val="both"/>
        <w:rPr>
          <w:rFonts w:ascii="Book Antiqua" w:hAnsi="Book Antiqua" w:cs="Arial"/>
        </w:rPr>
      </w:pPr>
    </w:p>
    <w:p w14:paraId="78306753" w14:textId="77777777" w:rsidR="00126C50" w:rsidRDefault="00941CD5" w:rsidP="00FF1338">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In </w:t>
      </w:r>
      <w:r w:rsidRPr="00941CD5">
        <w:rPr>
          <w:rFonts w:ascii="Book Antiqua" w:hAnsi="Book Antiqua" w:cs="Arial"/>
          <w:u w:val="single"/>
        </w:rPr>
        <w:t>S v Secretary of State for the Home Department</w:t>
      </w:r>
      <w:r>
        <w:rPr>
          <w:rFonts w:ascii="Book Antiqua" w:hAnsi="Book Antiqua" w:cs="Arial"/>
        </w:rPr>
        <w:t xml:space="preserve"> [2006] EWCA Civ 1153, the Court of Appeal, faced with a similar submission, emphasised the exceptional nature of the factual matrix in </w:t>
      </w:r>
      <w:r w:rsidRPr="00262A8E">
        <w:rPr>
          <w:rFonts w:ascii="Book Antiqua" w:hAnsi="Book Antiqua" w:cs="Arial"/>
          <w:u w:val="single"/>
        </w:rPr>
        <w:t>Mibanga</w:t>
      </w:r>
      <w:r w:rsidR="00262A8E">
        <w:rPr>
          <w:rFonts w:ascii="Book Antiqua" w:hAnsi="Book Antiqua" w:cs="Arial"/>
        </w:rPr>
        <w:t xml:space="preserve">. </w:t>
      </w:r>
      <w:r>
        <w:rPr>
          <w:rFonts w:ascii="Book Antiqua" w:hAnsi="Book Antiqua" w:cs="Arial"/>
        </w:rPr>
        <w:t xml:space="preserve"> Rix LJ </w:t>
      </w:r>
      <w:proofErr w:type="gramStart"/>
      <w:r>
        <w:rPr>
          <w:rFonts w:ascii="Book Antiqua" w:hAnsi="Book Antiqua" w:cs="Arial"/>
        </w:rPr>
        <w:t>said:-</w:t>
      </w:r>
      <w:proofErr w:type="gramEnd"/>
    </w:p>
    <w:p w14:paraId="73F8DFD9" w14:textId="77777777" w:rsidR="00941CD5" w:rsidRDefault="00941CD5" w:rsidP="00941CD5">
      <w:pPr>
        <w:pStyle w:val="ListParagraph"/>
        <w:spacing w:after="240"/>
        <w:ind w:left="567"/>
        <w:jc w:val="both"/>
        <w:rPr>
          <w:rFonts w:ascii="Book Antiqua" w:hAnsi="Book Antiqua" w:cs="Arial"/>
        </w:rPr>
      </w:pPr>
    </w:p>
    <w:p w14:paraId="2DB07C0C" w14:textId="77777777" w:rsidR="00F83358" w:rsidRDefault="00F83358" w:rsidP="00F83358">
      <w:pPr>
        <w:ind w:left="1701" w:hanging="567"/>
        <w:jc w:val="both"/>
        <w:rPr>
          <w:rFonts w:ascii="Book Antiqua" w:hAnsi="Book Antiqua"/>
          <w:sz w:val="22"/>
          <w:szCs w:val="22"/>
        </w:rPr>
      </w:pPr>
      <w:r w:rsidRPr="00F83358">
        <w:rPr>
          <w:rFonts w:ascii="Book Antiqua" w:hAnsi="Book Antiqua" w:cs="Arial"/>
          <w:sz w:val="22"/>
          <w:szCs w:val="22"/>
        </w:rPr>
        <w:t>“</w:t>
      </w:r>
      <w:bookmarkStart w:id="13" w:name="para21."/>
      <w:r>
        <w:rPr>
          <w:rFonts w:ascii="Book Antiqua" w:hAnsi="Book Antiqua" w:cs="Arial"/>
          <w:sz w:val="22"/>
          <w:szCs w:val="22"/>
        </w:rPr>
        <w:t>21.</w:t>
      </w:r>
      <w:r>
        <w:rPr>
          <w:rFonts w:ascii="Book Antiqua" w:hAnsi="Book Antiqua" w:cs="Arial"/>
          <w:sz w:val="22"/>
          <w:szCs w:val="22"/>
        </w:rPr>
        <w:tab/>
        <w:t xml:space="preserve">… </w:t>
      </w:r>
      <w:r w:rsidRPr="00F83358">
        <w:rPr>
          <w:rFonts w:ascii="Book Antiqua" w:hAnsi="Book Antiqua"/>
          <w:sz w:val="22"/>
          <w:szCs w:val="22"/>
        </w:rPr>
        <w:t xml:space="preserve">The injuries described in the medical report in </w:t>
      </w:r>
      <w:r w:rsidRPr="00F83358">
        <w:rPr>
          <w:rFonts w:ascii="Book Antiqua" w:hAnsi="Book Antiqua"/>
          <w:sz w:val="22"/>
          <w:szCs w:val="22"/>
          <w:u w:val="single"/>
        </w:rPr>
        <w:t>Mibanga</w:t>
      </w:r>
      <w:r w:rsidRPr="00F83358">
        <w:rPr>
          <w:rFonts w:ascii="Book Antiqua" w:hAnsi="Book Antiqua"/>
          <w:sz w:val="22"/>
          <w:szCs w:val="22"/>
        </w:rPr>
        <w:t xml:space="preserve"> were extraordinary in their severity and in their nature. </w:t>
      </w:r>
      <w:r>
        <w:rPr>
          <w:rFonts w:ascii="Book Antiqua" w:hAnsi="Book Antiqua"/>
          <w:sz w:val="22"/>
          <w:szCs w:val="22"/>
        </w:rPr>
        <w:t xml:space="preserve"> </w:t>
      </w:r>
      <w:r w:rsidRPr="00F83358">
        <w:rPr>
          <w:rFonts w:ascii="Book Antiqua" w:hAnsi="Book Antiqua"/>
          <w:sz w:val="22"/>
          <w:szCs w:val="22"/>
        </w:rPr>
        <w:t>There was a mass of scars of different kinds all over Mibanga's body, described in detail, for instance, at paragraph</w:t>
      </w:r>
      <w:r>
        <w:rPr>
          <w:rFonts w:ascii="Book Antiqua" w:hAnsi="Book Antiqua"/>
          <w:sz w:val="22"/>
          <w:szCs w:val="22"/>
        </w:rPr>
        <w:t xml:space="preserve"> </w:t>
      </w:r>
      <w:r w:rsidRPr="00F83358">
        <w:rPr>
          <w:rFonts w:ascii="Book Antiqua" w:hAnsi="Book Antiqua"/>
          <w:sz w:val="22"/>
          <w:szCs w:val="22"/>
        </w:rPr>
        <w:t>11 and</w:t>
      </w:r>
      <w:r>
        <w:rPr>
          <w:rFonts w:ascii="Book Antiqua" w:hAnsi="Book Antiqua"/>
          <w:sz w:val="22"/>
          <w:szCs w:val="22"/>
        </w:rPr>
        <w:t xml:space="preserve"> </w:t>
      </w:r>
      <w:r w:rsidRPr="00F83358">
        <w:rPr>
          <w:rFonts w:ascii="Book Antiqua" w:hAnsi="Book Antiqua"/>
          <w:sz w:val="22"/>
          <w:szCs w:val="22"/>
        </w:rPr>
        <w:t>12 of Wilson</w:t>
      </w:r>
      <w:r>
        <w:rPr>
          <w:rFonts w:ascii="Book Antiqua" w:hAnsi="Book Antiqua"/>
          <w:sz w:val="22"/>
          <w:szCs w:val="22"/>
        </w:rPr>
        <w:t xml:space="preserve"> </w:t>
      </w:r>
      <w:r w:rsidRPr="00F83358">
        <w:rPr>
          <w:rFonts w:ascii="Book Antiqua" w:hAnsi="Book Antiqua"/>
          <w:sz w:val="22"/>
          <w:szCs w:val="22"/>
        </w:rPr>
        <w:t>J's judgment in that case.</w:t>
      </w:r>
      <w:r w:rsidR="00262A8E">
        <w:rPr>
          <w:rFonts w:ascii="Book Antiqua" w:hAnsi="Book Antiqua"/>
          <w:sz w:val="22"/>
          <w:szCs w:val="22"/>
        </w:rPr>
        <w:t xml:space="preserve"> </w:t>
      </w:r>
      <w:r>
        <w:rPr>
          <w:rFonts w:ascii="Book Antiqua" w:hAnsi="Book Antiqua"/>
          <w:sz w:val="22"/>
          <w:szCs w:val="22"/>
        </w:rPr>
        <w:t xml:space="preserve"> </w:t>
      </w:r>
      <w:r w:rsidRPr="00F83358">
        <w:rPr>
          <w:rFonts w:ascii="Book Antiqua" w:hAnsi="Book Antiqua"/>
          <w:sz w:val="22"/>
          <w:szCs w:val="22"/>
        </w:rPr>
        <w:t xml:space="preserve"> Some of them were consistent with beatings with a belt.</w:t>
      </w:r>
      <w:r>
        <w:rPr>
          <w:rFonts w:ascii="Book Antiqua" w:hAnsi="Book Antiqua"/>
          <w:sz w:val="22"/>
          <w:szCs w:val="22"/>
        </w:rPr>
        <w:t xml:space="preserve"> </w:t>
      </w:r>
      <w:r w:rsidRPr="00F83358">
        <w:rPr>
          <w:rFonts w:ascii="Book Antiqua" w:hAnsi="Book Antiqua"/>
          <w:sz w:val="22"/>
          <w:szCs w:val="22"/>
        </w:rPr>
        <w:t xml:space="preserve"> Many of them were consistent with bites from leeches, which reflected Mibanga's allegation that he had been thrown by way of punishment into a barrel of leeches.</w:t>
      </w:r>
      <w:r>
        <w:rPr>
          <w:rFonts w:ascii="Book Antiqua" w:hAnsi="Book Antiqua"/>
          <w:sz w:val="22"/>
          <w:szCs w:val="22"/>
        </w:rPr>
        <w:t xml:space="preserve"> </w:t>
      </w:r>
      <w:r w:rsidRPr="00F83358">
        <w:rPr>
          <w:rFonts w:ascii="Book Antiqua" w:hAnsi="Book Antiqua"/>
          <w:sz w:val="22"/>
          <w:szCs w:val="22"/>
        </w:rPr>
        <w:t xml:space="preserve"> In particular (and when I say in particular, I reflect the use of that expression found repeatedly throughout Wilson</w:t>
      </w:r>
      <w:r w:rsidR="00432487">
        <w:rPr>
          <w:rFonts w:ascii="Book Antiqua" w:hAnsi="Book Antiqua"/>
          <w:sz w:val="22"/>
          <w:szCs w:val="22"/>
        </w:rPr>
        <w:t xml:space="preserve"> </w:t>
      </w:r>
      <w:r w:rsidRPr="00F83358">
        <w:rPr>
          <w:rFonts w:ascii="Book Antiqua" w:hAnsi="Book Antiqua"/>
          <w:sz w:val="22"/>
          <w:szCs w:val="22"/>
        </w:rPr>
        <w:t>J's judgment in referring to this aspect of the evidence in that case) there were two injuries, one at the tip and one at the base of Mi</w:t>
      </w:r>
      <w:r w:rsidR="00A621FD">
        <w:rPr>
          <w:rFonts w:ascii="Book Antiqua" w:hAnsi="Book Antiqua"/>
          <w:sz w:val="22"/>
          <w:szCs w:val="22"/>
        </w:rPr>
        <w:t>b</w:t>
      </w:r>
      <w:r w:rsidRPr="00F83358">
        <w:rPr>
          <w:rFonts w:ascii="Book Antiqua" w:hAnsi="Book Antiqua"/>
          <w:sz w:val="22"/>
          <w:szCs w:val="22"/>
        </w:rPr>
        <w:t xml:space="preserve">anga's penis, which were consistent with the application of electrodes to his genitals. </w:t>
      </w:r>
      <w:r w:rsidR="00262A8E">
        <w:rPr>
          <w:rFonts w:ascii="Book Antiqua" w:hAnsi="Book Antiqua"/>
          <w:sz w:val="22"/>
          <w:szCs w:val="22"/>
        </w:rPr>
        <w:t xml:space="preserve"> </w:t>
      </w:r>
      <w:r w:rsidRPr="00F83358">
        <w:rPr>
          <w:rFonts w:ascii="Book Antiqua" w:hAnsi="Book Antiqua"/>
          <w:sz w:val="22"/>
          <w:szCs w:val="22"/>
        </w:rPr>
        <w:t>Indeed, Dr</w:t>
      </w:r>
      <w:r w:rsidR="00432487">
        <w:rPr>
          <w:rFonts w:ascii="Book Antiqua" w:hAnsi="Book Antiqua"/>
          <w:sz w:val="22"/>
          <w:szCs w:val="22"/>
        </w:rPr>
        <w:t xml:space="preserve"> </w:t>
      </w:r>
      <w:r w:rsidRPr="00F83358">
        <w:rPr>
          <w:rFonts w:ascii="Book Antiqua" w:hAnsi="Book Antiqua"/>
          <w:sz w:val="22"/>
          <w:szCs w:val="22"/>
        </w:rPr>
        <w:t xml:space="preserve">Norman in that case had referred in her report to a book on the medical documentation of torture which provided the basis, or one of the bases, upon which she concluded that those injuries were </w:t>
      </w:r>
      <w:r w:rsidRPr="00F83358">
        <w:rPr>
          <w:rFonts w:ascii="Book Antiqua" w:hAnsi="Book Antiqua"/>
          <w:sz w:val="22"/>
          <w:szCs w:val="22"/>
        </w:rPr>
        <w:lastRenderedPageBreak/>
        <w:t>consistent with the application of electrodes; see paragraph</w:t>
      </w:r>
      <w:r w:rsidR="00262A8E">
        <w:rPr>
          <w:rFonts w:ascii="Book Antiqua" w:hAnsi="Book Antiqua"/>
          <w:sz w:val="22"/>
          <w:szCs w:val="22"/>
        </w:rPr>
        <w:t xml:space="preserve"> </w:t>
      </w:r>
      <w:r w:rsidRPr="00F83358">
        <w:rPr>
          <w:rFonts w:ascii="Book Antiqua" w:hAnsi="Book Antiqua"/>
          <w:sz w:val="22"/>
          <w:szCs w:val="22"/>
        </w:rPr>
        <w:t>25 of the judgment in that case.</w:t>
      </w:r>
    </w:p>
    <w:p w14:paraId="6693A7B5" w14:textId="77777777" w:rsidR="00432487" w:rsidRPr="00F83358" w:rsidRDefault="00432487" w:rsidP="00F83358">
      <w:pPr>
        <w:ind w:left="1701" w:hanging="567"/>
        <w:jc w:val="both"/>
        <w:rPr>
          <w:rFonts w:ascii="Book Antiqua" w:hAnsi="Book Antiqua"/>
          <w:sz w:val="22"/>
          <w:szCs w:val="22"/>
        </w:rPr>
      </w:pPr>
    </w:p>
    <w:p w14:paraId="4995B24E" w14:textId="77777777" w:rsidR="00F83358" w:rsidRDefault="00432487" w:rsidP="00F83358">
      <w:pPr>
        <w:ind w:left="1701" w:hanging="567"/>
        <w:jc w:val="both"/>
        <w:rPr>
          <w:rFonts w:ascii="Book Antiqua" w:hAnsi="Book Antiqua"/>
          <w:sz w:val="22"/>
          <w:szCs w:val="22"/>
        </w:rPr>
      </w:pPr>
      <w:bookmarkStart w:id="14" w:name="para22."/>
      <w:bookmarkEnd w:id="13"/>
      <w:r>
        <w:rPr>
          <w:rFonts w:ascii="Book Antiqua" w:hAnsi="Book Antiqua"/>
          <w:sz w:val="22"/>
          <w:szCs w:val="22"/>
        </w:rPr>
        <w:t>22.</w:t>
      </w:r>
      <w:r>
        <w:rPr>
          <w:rFonts w:ascii="Book Antiqua" w:hAnsi="Book Antiqua"/>
          <w:sz w:val="22"/>
          <w:szCs w:val="22"/>
        </w:rPr>
        <w:tab/>
      </w:r>
      <w:r w:rsidR="00F83358" w:rsidRPr="00F83358">
        <w:rPr>
          <w:rFonts w:ascii="Book Antiqua" w:hAnsi="Book Antiqua"/>
          <w:sz w:val="22"/>
          <w:szCs w:val="22"/>
        </w:rPr>
        <w:t>It is against that background that although Wilson</w:t>
      </w:r>
      <w:r>
        <w:rPr>
          <w:rFonts w:ascii="Book Antiqua" w:hAnsi="Book Antiqua"/>
          <w:sz w:val="22"/>
          <w:szCs w:val="22"/>
        </w:rPr>
        <w:t xml:space="preserve"> </w:t>
      </w:r>
      <w:r w:rsidR="00F83358" w:rsidRPr="00F83358">
        <w:rPr>
          <w:rFonts w:ascii="Book Antiqua" w:hAnsi="Book Antiqua"/>
          <w:sz w:val="22"/>
          <w:szCs w:val="22"/>
        </w:rPr>
        <w:t>J, at paragraph</w:t>
      </w:r>
      <w:r>
        <w:rPr>
          <w:rFonts w:ascii="Book Antiqua" w:hAnsi="Book Antiqua"/>
          <w:sz w:val="22"/>
          <w:szCs w:val="22"/>
        </w:rPr>
        <w:t xml:space="preserve"> </w:t>
      </w:r>
      <w:r w:rsidR="00F83358" w:rsidRPr="00F83358">
        <w:rPr>
          <w:rFonts w:ascii="Book Antiqua" w:hAnsi="Book Antiqua"/>
          <w:sz w:val="22"/>
          <w:szCs w:val="22"/>
        </w:rPr>
        <w:t>23 and elsewhere in his judgment, stated that he wished to be cautious about what he said about the facts of the case in the light of the consequence that the matter would have to be remitted for reconsideration at a new hearing, it is nevertheless clear from that paragraph</w:t>
      </w:r>
      <w:r>
        <w:rPr>
          <w:rFonts w:ascii="Book Antiqua" w:hAnsi="Book Antiqua"/>
          <w:sz w:val="22"/>
          <w:szCs w:val="22"/>
        </w:rPr>
        <w:t xml:space="preserve"> </w:t>
      </w:r>
      <w:r w:rsidR="00F83358" w:rsidRPr="00F83358">
        <w:rPr>
          <w:rFonts w:ascii="Book Antiqua" w:hAnsi="Book Antiqua"/>
          <w:sz w:val="22"/>
          <w:szCs w:val="22"/>
        </w:rPr>
        <w:t>23 and elsewhere that he, and this court, had the very gravest doubts about the fact finding process which had been conducted by the adjudicator in that case.</w:t>
      </w:r>
      <w:r>
        <w:rPr>
          <w:rFonts w:ascii="Book Antiqua" w:hAnsi="Book Antiqua"/>
          <w:sz w:val="22"/>
          <w:szCs w:val="22"/>
        </w:rPr>
        <w:t xml:space="preserve"> </w:t>
      </w:r>
      <w:r w:rsidR="00F83358" w:rsidRPr="00F83358">
        <w:rPr>
          <w:rFonts w:ascii="Book Antiqua" w:hAnsi="Book Antiqua"/>
          <w:sz w:val="22"/>
          <w:szCs w:val="22"/>
        </w:rPr>
        <w:t xml:space="preserve"> That, therefore, was the context in which Wilson</w:t>
      </w:r>
      <w:r>
        <w:rPr>
          <w:rFonts w:ascii="Book Antiqua" w:hAnsi="Book Antiqua"/>
          <w:sz w:val="22"/>
          <w:szCs w:val="22"/>
        </w:rPr>
        <w:t xml:space="preserve"> </w:t>
      </w:r>
      <w:r w:rsidR="00F83358" w:rsidRPr="00F83358">
        <w:rPr>
          <w:rFonts w:ascii="Book Antiqua" w:hAnsi="Book Antiqua"/>
          <w:sz w:val="22"/>
          <w:szCs w:val="22"/>
        </w:rPr>
        <w:t xml:space="preserve">J stated that the adjudicator had fallen into legal error by addressing the medical evidence only after she had conclusively rejected central features in the appellant's case as incredible. </w:t>
      </w:r>
      <w:r>
        <w:rPr>
          <w:rFonts w:ascii="Book Antiqua" w:hAnsi="Book Antiqua"/>
          <w:sz w:val="22"/>
          <w:szCs w:val="22"/>
        </w:rPr>
        <w:t xml:space="preserve"> </w:t>
      </w:r>
      <w:r w:rsidR="00F83358" w:rsidRPr="00F83358">
        <w:rPr>
          <w:rFonts w:ascii="Book Antiqua" w:hAnsi="Book Antiqua"/>
          <w:sz w:val="22"/>
          <w:szCs w:val="22"/>
        </w:rPr>
        <w:t xml:space="preserve">One only </w:t>
      </w:r>
      <w:proofErr w:type="gramStart"/>
      <w:r w:rsidR="00F83358" w:rsidRPr="00F83358">
        <w:rPr>
          <w:rFonts w:ascii="Book Antiqua" w:hAnsi="Book Antiqua"/>
          <w:sz w:val="22"/>
          <w:szCs w:val="22"/>
        </w:rPr>
        <w:t>has to</w:t>
      </w:r>
      <w:proofErr w:type="gramEnd"/>
      <w:r w:rsidR="00F83358" w:rsidRPr="00F83358">
        <w:rPr>
          <w:rFonts w:ascii="Book Antiqua" w:hAnsi="Book Antiqua"/>
          <w:sz w:val="22"/>
          <w:szCs w:val="22"/>
        </w:rPr>
        <w:t xml:space="preserve"> recite the facts of that case to see why the approach of the adjudicator there should have led to such concern.</w:t>
      </w:r>
    </w:p>
    <w:p w14:paraId="0EE6353A" w14:textId="77777777" w:rsidR="00432487" w:rsidRPr="00F83358" w:rsidRDefault="00432487" w:rsidP="00F83358">
      <w:pPr>
        <w:ind w:left="1701" w:hanging="567"/>
        <w:jc w:val="both"/>
        <w:rPr>
          <w:rFonts w:ascii="Book Antiqua" w:hAnsi="Book Antiqua"/>
          <w:sz w:val="22"/>
          <w:szCs w:val="22"/>
        </w:rPr>
      </w:pPr>
    </w:p>
    <w:p w14:paraId="3094B236" w14:textId="77777777" w:rsidR="00F83358" w:rsidRDefault="00432487" w:rsidP="00F83358">
      <w:pPr>
        <w:ind w:left="1701" w:hanging="567"/>
        <w:jc w:val="both"/>
        <w:rPr>
          <w:rFonts w:ascii="Book Antiqua" w:hAnsi="Book Antiqua"/>
          <w:sz w:val="22"/>
          <w:szCs w:val="22"/>
        </w:rPr>
      </w:pPr>
      <w:bookmarkStart w:id="15" w:name="para23."/>
      <w:bookmarkEnd w:id="14"/>
      <w:r>
        <w:rPr>
          <w:rFonts w:ascii="Book Antiqua" w:hAnsi="Book Antiqua"/>
          <w:sz w:val="22"/>
          <w:szCs w:val="22"/>
        </w:rPr>
        <w:t>23.</w:t>
      </w:r>
      <w:r>
        <w:rPr>
          <w:rFonts w:ascii="Book Antiqua" w:hAnsi="Book Antiqua"/>
          <w:sz w:val="22"/>
          <w:szCs w:val="22"/>
        </w:rPr>
        <w:tab/>
      </w:r>
      <w:r w:rsidR="00F83358" w:rsidRPr="00F83358">
        <w:rPr>
          <w:rFonts w:ascii="Book Antiqua" w:hAnsi="Book Antiqua"/>
          <w:sz w:val="22"/>
          <w:szCs w:val="22"/>
        </w:rPr>
        <w:t>In a concurring judgment, Buxton</w:t>
      </w:r>
      <w:r>
        <w:rPr>
          <w:rFonts w:ascii="Book Antiqua" w:hAnsi="Book Antiqua"/>
          <w:sz w:val="22"/>
          <w:szCs w:val="22"/>
        </w:rPr>
        <w:t xml:space="preserve"> </w:t>
      </w:r>
      <w:r w:rsidR="00F83358" w:rsidRPr="00F83358">
        <w:rPr>
          <w:rFonts w:ascii="Book Antiqua" w:hAnsi="Book Antiqua"/>
          <w:sz w:val="22"/>
          <w:szCs w:val="22"/>
        </w:rPr>
        <w:t xml:space="preserve">LJ referred to the error of law as being one in which there had been an artificial separation amounting to a structural failing, and not just an error of appreciation, in dealing with credibility entirely separately from the medical evidence. </w:t>
      </w:r>
    </w:p>
    <w:p w14:paraId="538587AD" w14:textId="77777777" w:rsidR="00432487" w:rsidRPr="00F83358" w:rsidRDefault="00432487" w:rsidP="00F83358">
      <w:pPr>
        <w:ind w:left="1701" w:hanging="567"/>
        <w:jc w:val="both"/>
        <w:rPr>
          <w:rFonts w:ascii="Book Antiqua" w:hAnsi="Book Antiqua"/>
          <w:sz w:val="22"/>
          <w:szCs w:val="22"/>
        </w:rPr>
      </w:pPr>
    </w:p>
    <w:p w14:paraId="44B2CB51" w14:textId="77777777" w:rsidR="00941CD5" w:rsidRDefault="00432487" w:rsidP="00F83358">
      <w:pPr>
        <w:pStyle w:val="ListParagraph"/>
        <w:spacing w:after="240"/>
        <w:ind w:left="1701" w:hanging="567"/>
        <w:jc w:val="both"/>
        <w:rPr>
          <w:rFonts w:ascii="Book Antiqua" w:hAnsi="Book Antiqua"/>
          <w:sz w:val="22"/>
          <w:szCs w:val="22"/>
        </w:rPr>
      </w:pPr>
      <w:bookmarkStart w:id="16" w:name="para24."/>
      <w:bookmarkEnd w:id="15"/>
      <w:r>
        <w:rPr>
          <w:rFonts w:ascii="Book Antiqua" w:hAnsi="Book Antiqua"/>
          <w:sz w:val="22"/>
          <w:szCs w:val="22"/>
        </w:rPr>
        <w:t>24.</w:t>
      </w:r>
      <w:r>
        <w:rPr>
          <w:rFonts w:ascii="Book Antiqua" w:hAnsi="Book Antiqua"/>
          <w:sz w:val="22"/>
          <w:szCs w:val="22"/>
        </w:rPr>
        <w:tab/>
      </w:r>
      <w:r w:rsidR="00F83358" w:rsidRPr="00F83358">
        <w:rPr>
          <w:rFonts w:ascii="Book Antiqua" w:hAnsi="Book Antiqua"/>
          <w:sz w:val="22"/>
          <w:szCs w:val="22"/>
        </w:rPr>
        <w:t xml:space="preserve">It seems to me that the logic of </w:t>
      </w:r>
      <w:r w:rsidR="00F83358" w:rsidRPr="00F83358">
        <w:rPr>
          <w:rFonts w:ascii="Book Antiqua" w:hAnsi="Book Antiqua"/>
          <w:sz w:val="22"/>
          <w:szCs w:val="22"/>
          <w:u w:val="single"/>
        </w:rPr>
        <w:t>Mibanga</w:t>
      </w:r>
      <w:r w:rsidR="00F83358" w:rsidRPr="00F83358">
        <w:rPr>
          <w:rFonts w:ascii="Book Antiqua" w:hAnsi="Book Antiqua"/>
          <w:sz w:val="22"/>
          <w:szCs w:val="22"/>
        </w:rPr>
        <w:t xml:space="preserve"> does not apply to this case, essentially for two separate reasons. </w:t>
      </w:r>
      <w:r>
        <w:rPr>
          <w:rFonts w:ascii="Book Antiqua" w:hAnsi="Book Antiqua"/>
          <w:sz w:val="22"/>
          <w:szCs w:val="22"/>
        </w:rPr>
        <w:t xml:space="preserve"> </w:t>
      </w:r>
      <w:r w:rsidR="00F83358" w:rsidRPr="00F83358">
        <w:rPr>
          <w:rFonts w:ascii="Book Antiqua" w:hAnsi="Book Antiqua"/>
          <w:sz w:val="22"/>
          <w:szCs w:val="22"/>
        </w:rPr>
        <w:t xml:space="preserve">One is that the structure of the immigration judge's reasoning here does not fall foul of that artificial separation and structural failure which were found to exist in </w:t>
      </w:r>
      <w:r w:rsidR="00F83358" w:rsidRPr="00F83358">
        <w:rPr>
          <w:rFonts w:ascii="Book Antiqua" w:hAnsi="Book Antiqua"/>
          <w:sz w:val="22"/>
          <w:szCs w:val="22"/>
          <w:u w:val="single"/>
        </w:rPr>
        <w:t>Mibanga</w:t>
      </w:r>
      <w:r w:rsidR="00F83358" w:rsidRPr="00F83358">
        <w:rPr>
          <w:rFonts w:ascii="Book Antiqua" w:hAnsi="Book Antiqua"/>
          <w:sz w:val="22"/>
          <w:szCs w:val="22"/>
        </w:rPr>
        <w:t xml:space="preserve">, and the other is that the medical evidence in </w:t>
      </w:r>
      <w:r w:rsidR="00F83358" w:rsidRPr="00F83358">
        <w:rPr>
          <w:rFonts w:ascii="Book Antiqua" w:hAnsi="Book Antiqua"/>
          <w:sz w:val="22"/>
          <w:szCs w:val="22"/>
          <w:u w:val="single"/>
        </w:rPr>
        <w:t>Mibanga</w:t>
      </w:r>
      <w:r w:rsidR="00F83358" w:rsidRPr="00F83358">
        <w:rPr>
          <w:rFonts w:ascii="Book Antiqua" w:hAnsi="Book Antiqua"/>
          <w:sz w:val="22"/>
          <w:szCs w:val="22"/>
        </w:rPr>
        <w:t xml:space="preserve"> was so powerful and so extraordinary as to take that case into an exceptional area.</w:t>
      </w:r>
      <w:bookmarkEnd w:id="16"/>
      <w:r>
        <w:rPr>
          <w:rFonts w:ascii="Book Antiqua" w:hAnsi="Book Antiqua"/>
          <w:sz w:val="22"/>
          <w:szCs w:val="22"/>
        </w:rPr>
        <w:t>”</w:t>
      </w:r>
    </w:p>
    <w:p w14:paraId="1A2EC99B" w14:textId="77777777" w:rsidR="0068004A" w:rsidRPr="00F83358" w:rsidRDefault="0068004A" w:rsidP="00F83358">
      <w:pPr>
        <w:pStyle w:val="ListParagraph"/>
        <w:spacing w:after="240"/>
        <w:ind w:left="1701" w:hanging="567"/>
        <w:jc w:val="both"/>
        <w:rPr>
          <w:rFonts w:ascii="Book Antiqua" w:hAnsi="Book Antiqua" w:cs="Arial"/>
          <w:sz w:val="22"/>
          <w:szCs w:val="22"/>
        </w:rPr>
      </w:pPr>
    </w:p>
    <w:p w14:paraId="0FF8F75C" w14:textId="3EE242D2" w:rsidR="00941CD5" w:rsidRDefault="009055B2" w:rsidP="0068004A">
      <w:pPr>
        <w:pStyle w:val="ListParagraph"/>
        <w:numPr>
          <w:ilvl w:val="0"/>
          <w:numId w:val="1"/>
        </w:numPr>
        <w:spacing w:after="240"/>
        <w:ind w:left="567" w:hanging="567"/>
        <w:jc w:val="both"/>
        <w:rPr>
          <w:rFonts w:ascii="Book Antiqua" w:hAnsi="Book Antiqua" w:cs="Arial"/>
        </w:rPr>
      </w:pPr>
      <w:r w:rsidRPr="009055B2">
        <w:rPr>
          <w:rFonts w:ascii="Book Antiqua" w:hAnsi="Book Antiqua" w:cs="Arial"/>
        </w:rPr>
        <w:t xml:space="preserve">Rix LJ </w:t>
      </w:r>
      <w:r>
        <w:rPr>
          <w:rFonts w:ascii="Book Antiqua" w:hAnsi="Book Antiqua" w:cs="Arial"/>
        </w:rPr>
        <w:t xml:space="preserve">went onto distinguish the striking facts of </w:t>
      </w:r>
      <w:r w:rsidRPr="00D3595D">
        <w:rPr>
          <w:rFonts w:ascii="Book Antiqua" w:hAnsi="Book Antiqua" w:cs="Arial"/>
          <w:u w:val="single"/>
        </w:rPr>
        <w:t>Mibanga</w:t>
      </w:r>
      <w:r>
        <w:rPr>
          <w:rFonts w:ascii="Book Antiqua" w:hAnsi="Book Antiqua" w:cs="Arial"/>
        </w:rPr>
        <w:t xml:space="preserve"> </w:t>
      </w:r>
      <w:r w:rsidR="002520E6">
        <w:rPr>
          <w:rFonts w:ascii="Book Antiqua" w:hAnsi="Book Antiqua" w:cs="Arial"/>
        </w:rPr>
        <w:t>from</w:t>
      </w:r>
      <w:r>
        <w:rPr>
          <w:rFonts w:ascii="Book Antiqua" w:hAnsi="Book Antiqua" w:cs="Arial"/>
        </w:rPr>
        <w:t xml:space="preserve"> the medical report of Dr Steadman in </w:t>
      </w:r>
      <w:r w:rsidRPr="00290B73">
        <w:rPr>
          <w:rFonts w:ascii="Book Antiqua" w:hAnsi="Book Antiqua" w:cs="Arial"/>
          <w:u w:val="single"/>
        </w:rPr>
        <w:t>S</w:t>
      </w:r>
      <w:r w:rsidR="00DB4AA5">
        <w:rPr>
          <w:rFonts w:ascii="Book Antiqua" w:hAnsi="Book Antiqua" w:cs="Arial"/>
          <w:u w:val="single"/>
        </w:rPr>
        <w:t>,</w:t>
      </w:r>
      <w:r>
        <w:rPr>
          <w:rFonts w:ascii="Book Antiqua" w:hAnsi="Book Antiqua" w:cs="Arial"/>
        </w:rPr>
        <w:t xml:space="preserve"> which “was not consisten</w:t>
      </w:r>
      <w:r w:rsidR="00DB4AA5">
        <w:rPr>
          <w:rFonts w:ascii="Book Antiqua" w:hAnsi="Book Antiqua" w:cs="Arial"/>
        </w:rPr>
        <w:t>t</w:t>
      </w:r>
      <w:r>
        <w:rPr>
          <w:rFonts w:ascii="Book Antiqua" w:hAnsi="Book Antiqua" w:cs="Arial"/>
        </w:rPr>
        <w:t xml:space="preserve"> with direct assault of any kind at all.  It was </w:t>
      </w:r>
      <w:r w:rsidR="00290B73">
        <w:rPr>
          <w:rFonts w:ascii="Book Antiqua" w:hAnsi="Book Antiqua" w:cs="Arial"/>
        </w:rPr>
        <w:t xml:space="preserve">merely </w:t>
      </w:r>
      <w:r>
        <w:rPr>
          <w:rFonts w:ascii="Book Antiqua" w:hAnsi="Book Antiqua" w:cs="Arial"/>
        </w:rPr>
        <w:t>consisten</w:t>
      </w:r>
      <w:r w:rsidR="00DB4AA5">
        <w:rPr>
          <w:rFonts w:ascii="Book Antiqua" w:hAnsi="Book Antiqua" w:cs="Arial"/>
        </w:rPr>
        <w:t>t</w:t>
      </w:r>
      <w:r>
        <w:rPr>
          <w:rFonts w:ascii="Book Antiqua" w:hAnsi="Book Antiqua" w:cs="Arial"/>
        </w:rPr>
        <w:t xml:space="preserve"> with debris falling from above, </w:t>
      </w:r>
      <w:proofErr w:type="gramStart"/>
      <w:r>
        <w:rPr>
          <w:rFonts w:ascii="Book Antiqua" w:hAnsi="Book Antiqua" w:cs="Arial"/>
        </w:rPr>
        <w:t>in itself an</w:t>
      </w:r>
      <w:proofErr w:type="gramEnd"/>
      <w:r>
        <w:rPr>
          <w:rFonts w:ascii="Book Antiqua" w:hAnsi="Book Antiqua" w:cs="Arial"/>
        </w:rPr>
        <w:t xml:space="preserve"> essentially lacklustre gloss of what the appellant had really relied upon, which was shrapnel from a bullet or flying debris caused by</w:t>
      </w:r>
      <w:r w:rsidR="00506613">
        <w:rPr>
          <w:rFonts w:ascii="Book Antiqua" w:hAnsi="Book Antiqua" w:cs="Arial"/>
        </w:rPr>
        <w:t xml:space="preserve"> ricocheting</w:t>
      </w:r>
      <w:r w:rsidR="00120031">
        <w:rPr>
          <w:rFonts w:ascii="Book Antiqua" w:hAnsi="Book Antiqua" w:cs="Arial"/>
        </w:rPr>
        <w:t xml:space="preserve"> bullets” (paragraph 27).</w:t>
      </w:r>
      <w:r>
        <w:rPr>
          <w:rFonts w:ascii="Book Antiqua" w:hAnsi="Book Antiqua" w:cs="Arial"/>
        </w:rPr>
        <w:t xml:space="preserve"> </w:t>
      </w:r>
    </w:p>
    <w:p w14:paraId="5D3632CD" w14:textId="77777777" w:rsidR="00506613" w:rsidRDefault="00506613" w:rsidP="00506613">
      <w:pPr>
        <w:pStyle w:val="ListParagraph"/>
        <w:spacing w:after="240"/>
        <w:ind w:left="567"/>
        <w:jc w:val="both"/>
        <w:rPr>
          <w:rFonts w:ascii="Book Antiqua" w:hAnsi="Book Antiqua" w:cs="Arial"/>
        </w:rPr>
      </w:pPr>
    </w:p>
    <w:p w14:paraId="0347CD06" w14:textId="77777777" w:rsidR="00506613" w:rsidRDefault="00506613" w:rsidP="0068004A">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At paragraph 32, Rix LJ approved the comments of the AIT in </w:t>
      </w:r>
      <w:r w:rsidRPr="00211732">
        <w:rPr>
          <w:rFonts w:ascii="Book Antiqua" w:hAnsi="Book Antiqua" w:cs="Arial"/>
          <w:u w:val="single"/>
        </w:rPr>
        <w:t>HH</w:t>
      </w:r>
      <w:r>
        <w:rPr>
          <w:rFonts w:ascii="Book Antiqua" w:hAnsi="Book Antiqua" w:cs="Arial"/>
        </w:rPr>
        <w:t xml:space="preserve">, regarding the danger of </w:t>
      </w:r>
      <w:r w:rsidRPr="00290B73">
        <w:rPr>
          <w:rFonts w:ascii="Book Antiqua" w:hAnsi="Book Antiqua" w:cs="Arial"/>
          <w:u w:val="single"/>
        </w:rPr>
        <w:t>Mibanga</w:t>
      </w:r>
      <w:r>
        <w:rPr>
          <w:rFonts w:ascii="Book Antiqua" w:hAnsi="Book Antiqua" w:cs="Arial"/>
        </w:rPr>
        <w:t xml:space="preserve"> being misunderstood.</w:t>
      </w:r>
    </w:p>
    <w:p w14:paraId="74911DE4" w14:textId="77777777" w:rsidR="00506613" w:rsidRDefault="00506613" w:rsidP="00506613">
      <w:pPr>
        <w:pStyle w:val="ListParagraph"/>
        <w:spacing w:after="240"/>
        <w:ind w:left="567"/>
        <w:jc w:val="both"/>
        <w:rPr>
          <w:rFonts w:ascii="Book Antiqua" w:hAnsi="Book Antiqua" w:cs="Arial"/>
        </w:rPr>
      </w:pPr>
    </w:p>
    <w:p w14:paraId="7E34B54E" w14:textId="229C76B5" w:rsidR="00506613" w:rsidRDefault="00506613" w:rsidP="0068004A">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In </w:t>
      </w:r>
      <w:r w:rsidRPr="00211732">
        <w:rPr>
          <w:rFonts w:ascii="Book Antiqua" w:hAnsi="Book Antiqua" w:cs="Arial"/>
          <w:u w:val="single"/>
        </w:rPr>
        <w:t>TF v Secretary of State for the Home Department</w:t>
      </w:r>
      <w:r>
        <w:rPr>
          <w:rFonts w:ascii="Book Antiqua" w:hAnsi="Book Antiqua" w:cs="Arial"/>
        </w:rPr>
        <w:t xml:space="preserve"> [2018] CSIH 58, the Inner House was concerned with appeals by asylum seekers from Iran, who feared persecution if returned to that country, by reason of their conversion in Scotland to Christianity.  The appellant</w:t>
      </w:r>
      <w:r w:rsidR="00290B73">
        <w:rPr>
          <w:rFonts w:ascii="Book Antiqua" w:hAnsi="Book Antiqua" w:cs="Arial"/>
        </w:rPr>
        <w:t>s</w:t>
      </w:r>
      <w:r>
        <w:rPr>
          <w:rFonts w:ascii="Book Antiqua" w:hAnsi="Book Antiqua" w:cs="Arial"/>
        </w:rPr>
        <w:t xml:space="preserve"> adduced evidence from members of a </w:t>
      </w:r>
      <w:proofErr w:type="gramStart"/>
      <w:r>
        <w:rPr>
          <w:rFonts w:ascii="Book Antiqua" w:hAnsi="Book Antiqua" w:cs="Arial"/>
        </w:rPr>
        <w:t>particular church</w:t>
      </w:r>
      <w:proofErr w:type="gramEnd"/>
      <w:r>
        <w:rPr>
          <w:rFonts w:ascii="Book Antiqua" w:hAnsi="Book Antiqua" w:cs="Arial"/>
        </w:rPr>
        <w:t>, testifying to the genuineness, in the eyes of the witnesses, of the</w:t>
      </w:r>
      <w:r w:rsidR="00DB1E2C">
        <w:rPr>
          <w:rFonts w:ascii="Book Antiqua" w:hAnsi="Book Antiqua" w:cs="Arial"/>
        </w:rPr>
        <w:t xml:space="preserve"> religious</w:t>
      </w:r>
      <w:r>
        <w:rPr>
          <w:rFonts w:ascii="Book Antiqua" w:hAnsi="Book Antiqua" w:cs="Arial"/>
        </w:rPr>
        <w:t xml:space="preserve"> conversions.  The appellants</w:t>
      </w:r>
      <w:r w:rsidR="00290B73">
        <w:rPr>
          <w:rFonts w:ascii="Book Antiqua" w:hAnsi="Book Antiqua" w:cs="Arial"/>
        </w:rPr>
        <w:t>’</w:t>
      </w:r>
      <w:r>
        <w:rPr>
          <w:rFonts w:ascii="Book Antiqua" w:hAnsi="Book Antiqua" w:cs="Arial"/>
        </w:rPr>
        <w:t xml:space="preserve"> appeals were unsuccessful in the First-tier Tribunal </w:t>
      </w:r>
      <w:r w:rsidR="00193A7A">
        <w:rPr>
          <w:rFonts w:ascii="Book Antiqua" w:hAnsi="Book Antiqua" w:cs="Arial"/>
        </w:rPr>
        <w:t xml:space="preserve">and </w:t>
      </w:r>
      <w:proofErr w:type="gramStart"/>
      <w:r w:rsidR="00193A7A">
        <w:rPr>
          <w:rFonts w:ascii="Book Antiqua" w:hAnsi="Book Antiqua" w:cs="Arial"/>
        </w:rPr>
        <w:t xml:space="preserve">the </w:t>
      </w:r>
      <w:r>
        <w:rPr>
          <w:rFonts w:ascii="Book Antiqua" w:hAnsi="Book Antiqua" w:cs="Arial"/>
        </w:rPr>
        <w:t xml:space="preserve"> Upper</w:t>
      </w:r>
      <w:proofErr w:type="gramEnd"/>
      <w:r>
        <w:rPr>
          <w:rFonts w:ascii="Book Antiqua" w:hAnsi="Book Antiqua" w:cs="Arial"/>
        </w:rPr>
        <w:t xml:space="preserve"> Tribunal.  </w:t>
      </w:r>
    </w:p>
    <w:p w14:paraId="471C5D75" w14:textId="77777777" w:rsidR="00506613" w:rsidRDefault="00506613" w:rsidP="00506613">
      <w:pPr>
        <w:pStyle w:val="ListParagraph"/>
        <w:spacing w:after="240"/>
        <w:ind w:left="567"/>
        <w:jc w:val="both"/>
        <w:rPr>
          <w:rFonts w:ascii="Book Antiqua" w:hAnsi="Book Antiqua" w:cs="Arial"/>
        </w:rPr>
      </w:pPr>
    </w:p>
    <w:p w14:paraId="1F8F644C" w14:textId="014EB857" w:rsidR="005F4FB4" w:rsidRDefault="00211732" w:rsidP="0068004A">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At paragraph </w:t>
      </w:r>
      <w:r w:rsidR="006A7C2E">
        <w:rPr>
          <w:rFonts w:ascii="Book Antiqua" w:hAnsi="Book Antiqua" w:cs="Arial"/>
        </w:rPr>
        <w:t>4</w:t>
      </w:r>
      <w:r>
        <w:rPr>
          <w:rFonts w:ascii="Book Antiqua" w:hAnsi="Book Antiqua" w:cs="Arial"/>
        </w:rPr>
        <w:t>, Lord Glennie, delivering the opinion of the court,</w:t>
      </w:r>
      <w:r w:rsidR="006A7C2E">
        <w:rPr>
          <w:rFonts w:ascii="Book Antiqua" w:hAnsi="Book Antiqua" w:cs="Arial"/>
        </w:rPr>
        <w:t xml:space="preserve"> </w:t>
      </w:r>
      <w:r w:rsidR="00B23251">
        <w:rPr>
          <w:rFonts w:ascii="Book Antiqua" w:hAnsi="Book Antiqua" w:cs="Arial"/>
        </w:rPr>
        <w:t xml:space="preserve">was at pains to explain the nature of the appellants’ </w:t>
      </w:r>
      <w:r w:rsidR="006824C8">
        <w:rPr>
          <w:rFonts w:ascii="Book Antiqua" w:hAnsi="Book Antiqua" w:cs="Arial"/>
        </w:rPr>
        <w:t>case</w:t>
      </w:r>
      <w:r w:rsidR="00B23251">
        <w:rPr>
          <w:rFonts w:ascii="Book Antiqua" w:hAnsi="Book Antiqua" w:cs="Arial"/>
        </w:rPr>
        <w:t xml:space="preserve"> to</w:t>
      </w:r>
      <w:r w:rsidR="006824C8">
        <w:rPr>
          <w:rFonts w:ascii="Book Antiqua" w:hAnsi="Book Antiqua" w:cs="Arial"/>
        </w:rPr>
        <w:t xml:space="preserve"> </w:t>
      </w:r>
      <w:proofErr w:type="gramStart"/>
      <w:r w:rsidR="006824C8">
        <w:rPr>
          <w:rFonts w:ascii="Book Antiqua" w:hAnsi="Book Antiqua" w:cs="Arial"/>
        </w:rPr>
        <w:t>be in need of</w:t>
      </w:r>
      <w:proofErr w:type="gramEnd"/>
      <w:r w:rsidR="00B23251">
        <w:rPr>
          <w:rFonts w:ascii="Book Antiqua" w:hAnsi="Book Antiqua" w:cs="Arial"/>
        </w:rPr>
        <w:t xml:space="preserve"> international</w:t>
      </w:r>
      <w:r w:rsidR="00E66C03">
        <w:rPr>
          <w:rFonts w:ascii="Book Antiqua" w:hAnsi="Book Antiqua" w:cs="Arial"/>
        </w:rPr>
        <w:t xml:space="preserve"> protection.</w:t>
      </w:r>
      <w:r w:rsidR="0079128A">
        <w:rPr>
          <w:rFonts w:ascii="Book Antiqua" w:hAnsi="Book Antiqua" w:cs="Arial"/>
        </w:rPr>
        <w:t xml:space="preserve"> The genuineness of the</w:t>
      </w:r>
      <w:r w:rsidR="006824C8">
        <w:rPr>
          <w:rFonts w:ascii="Book Antiqua" w:hAnsi="Book Antiqua" w:cs="Arial"/>
        </w:rPr>
        <w:t xml:space="preserve"> </w:t>
      </w:r>
      <w:r w:rsidR="0079128A">
        <w:rPr>
          <w:rFonts w:ascii="Book Antiqua" w:hAnsi="Book Antiqua" w:cs="Arial"/>
        </w:rPr>
        <w:t>claim</w:t>
      </w:r>
      <w:r w:rsidR="006824C8">
        <w:rPr>
          <w:rFonts w:ascii="Book Antiqua" w:hAnsi="Book Antiqua" w:cs="Arial"/>
        </w:rPr>
        <w:t xml:space="preserve"> to have con</w:t>
      </w:r>
      <w:r w:rsidR="001E68FD">
        <w:rPr>
          <w:rFonts w:ascii="Book Antiqua" w:hAnsi="Book Antiqua" w:cs="Arial"/>
        </w:rPr>
        <w:t xml:space="preserve">verted to Christianity whilst in Scotland lay at the heart of the </w:t>
      </w:r>
      <w:r w:rsidR="00186FE9">
        <w:rPr>
          <w:rFonts w:ascii="Book Antiqua" w:hAnsi="Book Antiqua" w:cs="Arial"/>
        </w:rPr>
        <w:t>case</w:t>
      </w:r>
      <w:r w:rsidR="009D38E9">
        <w:rPr>
          <w:rFonts w:ascii="Book Antiqua" w:hAnsi="Book Antiqua" w:cs="Arial"/>
        </w:rPr>
        <w:t>. It was not disputed that a genuine Christian convert</w:t>
      </w:r>
      <w:r w:rsidR="004104D4">
        <w:rPr>
          <w:rFonts w:ascii="Book Antiqua" w:hAnsi="Book Antiqua" w:cs="Arial"/>
        </w:rPr>
        <w:t xml:space="preserve"> faced a real risk of persecution if returned to Iran</w:t>
      </w:r>
      <w:r w:rsidR="005F4FB4">
        <w:rPr>
          <w:rFonts w:ascii="Book Antiqua" w:hAnsi="Book Antiqua" w:cs="Arial"/>
        </w:rPr>
        <w:t>:</w:t>
      </w:r>
    </w:p>
    <w:p w14:paraId="22CF1ECC" w14:textId="30C807B1" w:rsidR="005F4FB4" w:rsidRPr="00AD5553" w:rsidRDefault="002308F6" w:rsidP="002308F6">
      <w:pPr>
        <w:spacing w:after="240"/>
        <w:ind w:left="1134"/>
        <w:jc w:val="both"/>
        <w:rPr>
          <w:rFonts w:ascii="Book Antiqua" w:hAnsi="Book Antiqua" w:cs="Arial"/>
          <w:sz w:val="22"/>
          <w:szCs w:val="22"/>
        </w:rPr>
      </w:pPr>
      <w:r>
        <w:rPr>
          <w:rFonts w:ascii="Book Antiqua" w:hAnsi="Book Antiqua" w:cs="Arial"/>
          <w:sz w:val="22"/>
          <w:szCs w:val="22"/>
        </w:rPr>
        <w:lastRenderedPageBreak/>
        <w:t>“They would be regarded as</w:t>
      </w:r>
      <w:r w:rsidR="004C14AB">
        <w:rPr>
          <w:rFonts w:ascii="Book Antiqua" w:hAnsi="Book Antiqua" w:cs="Arial"/>
          <w:sz w:val="22"/>
          <w:szCs w:val="22"/>
        </w:rPr>
        <w:t xml:space="preserve"> apostates. They could not be expected to conceal their religious beliefs</w:t>
      </w:r>
      <w:r w:rsidR="00154626">
        <w:rPr>
          <w:rFonts w:ascii="Book Antiqua" w:hAnsi="Book Antiqua" w:cs="Arial"/>
          <w:sz w:val="22"/>
          <w:szCs w:val="22"/>
        </w:rPr>
        <w:t xml:space="preserve"> so as to avoid persecution…</w:t>
      </w:r>
      <w:r w:rsidR="00541518">
        <w:rPr>
          <w:rFonts w:ascii="Book Antiqua" w:hAnsi="Book Antiqua" w:cs="Arial"/>
          <w:sz w:val="22"/>
          <w:szCs w:val="22"/>
        </w:rPr>
        <w:t>H</w:t>
      </w:r>
      <w:r w:rsidR="00154626">
        <w:rPr>
          <w:rFonts w:ascii="Book Antiqua" w:hAnsi="Book Antiqua" w:cs="Arial"/>
          <w:sz w:val="22"/>
          <w:szCs w:val="22"/>
        </w:rPr>
        <w:t>ence the importance</w:t>
      </w:r>
      <w:r w:rsidR="00AD5553">
        <w:rPr>
          <w:rFonts w:ascii="Book Antiqua" w:hAnsi="Book Antiqua" w:cs="Arial"/>
          <w:sz w:val="22"/>
          <w:szCs w:val="22"/>
        </w:rPr>
        <w:t xml:space="preserve"> </w:t>
      </w:r>
      <w:r w:rsidR="00803224">
        <w:rPr>
          <w:rFonts w:ascii="Book Antiqua" w:hAnsi="Book Antiqua" w:cs="Arial"/>
          <w:sz w:val="22"/>
          <w:szCs w:val="22"/>
        </w:rPr>
        <w:t xml:space="preserve">of the question whether their conversion to Christianity was genuine; if it was not </w:t>
      </w:r>
      <w:proofErr w:type="gramStart"/>
      <w:r w:rsidR="00803224">
        <w:rPr>
          <w:rFonts w:ascii="Book Antiqua" w:hAnsi="Book Antiqua" w:cs="Arial"/>
          <w:sz w:val="22"/>
          <w:szCs w:val="22"/>
        </w:rPr>
        <w:t>genuine</w:t>
      </w:r>
      <w:proofErr w:type="gramEnd"/>
      <w:r w:rsidR="00803224">
        <w:rPr>
          <w:rFonts w:ascii="Book Antiqua" w:hAnsi="Book Antiqua" w:cs="Arial"/>
          <w:sz w:val="22"/>
          <w:szCs w:val="22"/>
        </w:rPr>
        <w:t xml:space="preserve"> they would be unlikely</w:t>
      </w:r>
      <w:r w:rsidR="005B2A64">
        <w:rPr>
          <w:rFonts w:ascii="Book Antiqua" w:hAnsi="Book Antiqua" w:cs="Arial"/>
          <w:sz w:val="22"/>
          <w:szCs w:val="22"/>
        </w:rPr>
        <w:t xml:space="preserve"> in Iran to act in a way which attracted attention and invited persecution. There was no suggestion</w:t>
      </w:r>
      <w:r w:rsidR="00AD5553">
        <w:rPr>
          <w:rFonts w:ascii="Book Antiqua" w:hAnsi="Book Antiqua" w:cs="Arial"/>
          <w:sz w:val="22"/>
          <w:szCs w:val="22"/>
        </w:rPr>
        <w:t xml:space="preserve"> in these appeals that the claim for asylum could succeed on the basis that, even if the </w:t>
      </w:r>
      <w:r w:rsidR="00AD5553">
        <w:rPr>
          <w:rFonts w:ascii="Book Antiqua" w:hAnsi="Book Antiqua" w:cs="Arial"/>
          <w:i/>
          <w:iCs/>
          <w:sz w:val="22"/>
          <w:szCs w:val="22"/>
        </w:rPr>
        <w:t xml:space="preserve">sur place </w:t>
      </w:r>
      <w:r w:rsidR="00660342">
        <w:rPr>
          <w:rFonts w:ascii="Book Antiqua" w:hAnsi="Book Antiqua" w:cs="Arial"/>
          <w:sz w:val="22"/>
          <w:szCs w:val="22"/>
        </w:rPr>
        <w:t>conversions were not genuine, the appellants would nonetheless be perceived</w:t>
      </w:r>
      <w:r w:rsidR="001B5C4A">
        <w:rPr>
          <w:rFonts w:ascii="Book Antiqua" w:hAnsi="Book Antiqua" w:cs="Arial"/>
          <w:sz w:val="22"/>
          <w:szCs w:val="22"/>
        </w:rPr>
        <w:t xml:space="preserve"> as Christians because of their attendance at church in the United Kingdom</w:t>
      </w:r>
      <w:r w:rsidR="00123CAD">
        <w:rPr>
          <w:rFonts w:ascii="Book Antiqua" w:hAnsi="Book Antiqua" w:cs="Arial"/>
          <w:sz w:val="22"/>
          <w:szCs w:val="22"/>
        </w:rPr>
        <w:t xml:space="preserve"> and would, if returned to Iran, be persecuted as if they were Christians.”</w:t>
      </w:r>
    </w:p>
    <w:p w14:paraId="336E6FDB" w14:textId="650B2B52" w:rsidR="005C1E10" w:rsidRDefault="00764A55" w:rsidP="0068004A">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At paragraph 37, Lord Glennie </w:t>
      </w:r>
      <w:r w:rsidR="00211732">
        <w:rPr>
          <w:rFonts w:ascii="Book Antiqua" w:hAnsi="Book Antiqua" w:cs="Arial"/>
        </w:rPr>
        <w:t xml:space="preserve">found that what the First-tier Tribunal Judge had done in one of the appeals was to </w:t>
      </w:r>
      <w:r>
        <w:rPr>
          <w:rFonts w:ascii="Book Antiqua" w:hAnsi="Book Antiqua" w:cs="Arial"/>
        </w:rPr>
        <w:t>take</w:t>
      </w:r>
      <w:r w:rsidR="00211732">
        <w:rPr>
          <w:rFonts w:ascii="Book Antiqua" w:hAnsi="Book Antiqua" w:cs="Arial"/>
        </w:rPr>
        <w:t xml:space="preserve"> his assessment of the appellant, which was </w:t>
      </w:r>
      <w:proofErr w:type="gramStart"/>
      <w:r w:rsidR="00211732">
        <w:rPr>
          <w:rFonts w:ascii="Book Antiqua" w:hAnsi="Book Antiqua" w:cs="Arial"/>
        </w:rPr>
        <w:t>adverse</w:t>
      </w:r>
      <w:r w:rsidR="005C1E10">
        <w:rPr>
          <w:rFonts w:ascii="Book Antiqua" w:hAnsi="Book Antiqua" w:cs="Arial"/>
        </w:rPr>
        <w:t>:-</w:t>
      </w:r>
      <w:proofErr w:type="gramEnd"/>
    </w:p>
    <w:p w14:paraId="13399D40" w14:textId="77777777" w:rsidR="005C1E10" w:rsidRDefault="005C1E10" w:rsidP="005C1E10">
      <w:pPr>
        <w:pStyle w:val="ListParagraph"/>
        <w:spacing w:after="240"/>
        <w:ind w:left="567"/>
        <w:jc w:val="both"/>
        <w:rPr>
          <w:rFonts w:ascii="Book Antiqua" w:hAnsi="Book Antiqua" w:cs="Arial"/>
        </w:rPr>
      </w:pPr>
    </w:p>
    <w:p w14:paraId="463C6122" w14:textId="63D14C6F" w:rsidR="005C1E10" w:rsidRPr="005C1E10" w:rsidRDefault="00211732" w:rsidP="005C1E10">
      <w:pPr>
        <w:pStyle w:val="ListParagraph"/>
        <w:spacing w:after="240"/>
        <w:ind w:left="1134"/>
        <w:jc w:val="both"/>
        <w:rPr>
          <w:rFonts w:ascii="Book Antiqua" w:hAnsi="Book Antiqua" w:cs="Arial"/>
          <w:sz w:val="22"/>
          <w:szCs w:val="22"/>
        </w:rPr>
      </w:pPr>
      <w:r w:rsidRPr="005C1E10">
        <w:rPr>
          <w:rFonts w:ascii="Book Antiqua" w:hAnsi="Book Antiqua" w:cs="Arial"/>
          <w:sz w:val="22"/>
          <w:szCs w:val="22"/>
        </w:rPr>
        <w:t xml:space="preserve"> “an</w:t>
      </w:r>
      <w:r w:rsidR="00290B73" w:rsidRPr="005C1E10">
        <w:rPr>
          <w:rFonts w:ascii="Book Antiqua" w:hAnsi="Book Antiqua" w:cs="Arial"/>
          <w:sz w:val="22"/>
          <w:szCs w:val="22"/>
        </w:rPr>
        <w:t>d</w:t>
      </w:r>
      <w:r w:rsidRPr="005C1E10">
        <w:rPr>
          <w:rFonts w:ascii="Book Antiqua" w:hAnsi="Book Antiqua" w:cs="Arial"/>
          <w:sz w:val="22"/>
          <w:szCs w:val="22"/>
        </w:rPr>
        <w:t xml:space="preserve"> apply</w:t>
      </w:r>
      <w:r w:rsidR="004F4CA5">
        <w:rPr>
          <w:rFonts w:ascii="Book Antiqua" w:hAnsi="Book Antiqua" w:cs="Arial"/>
          <w:sz w:val="22"/>
          <w:szCs w:val="22"/>
        </w:rPr>
        <w:t xml:space="preserve"> it</w:t>
      </w:r>
      <w:r w:rsidRPr="005C1E10">
        <w:rPr>
          <w:rFonts w:ascii="Book Antiqua" w:hAnsi="Book Antiqua" w:cs="Arial"/>
          <w:sz w:val="22"/>
          <w:szCs w:val="22"/>
        </w:rPr>
        <w:t xml:space="preserve"> to all the evidence which could, on one view, be in favour of MA’s claim to be a genuine convert to Christianity, so that that evidence simply becomes a further example of </w:t>
      </w:r>
      <w:r w:rsidR="00D8403A">
        <w:rPr>
          <w:rFonts w:ascii="Book Antiqua" w:hAnsi="Book Antiqua" w:cs="Arial"/>
          <w:sz w:val="22"/>
          <w:szCs w:val="22"/>
        </w:rPr>
        <w:t>MA</w:t>
      </w:r>
      <w:r w:rsidRPr="005C1E10">
        <w:rPr>
          <w:rFonts w:ascii="Book Antiqua" w:hAnsi="Book Antiqua" w:cs="Arial"/>
          <w:sz w:val="22"/>
          <w:szCs w:val="22"/>
        </w:rPr>
        <w:t xml:space="preserve"> manufacturing evidence in </w:t>
      </w:r>
      <w:r w:rsidR="006F44A5" w:rsidRPr="005C1E10">
        <w:rPr>
          <w:rFonts w:ascii="Book Antiqua" w:hAnsi="Book Antiqua" w:cs="Arial"/>
          <w:sz w:val="22"/>
          <w:szCs w:val="22"/>
        </w:rPr>
        <w:t>bad</w:t>
      </w:r>
      <w:r w:rsidRPr="005C1E10">
        <w:rPr>
          <w:rFonts w:ascii="Book Antiqua" w:hAnsi="Book Antiqua" w:cs="Arial"/>
          <w:sz w:val="22"/>
          <w:szCs w:val="22"/>
        </w:rPr>
        <w:t xml:space="preserve"> faith in order to support his appeal”. </w:t>
      </w:r>
    </w:p>
    <w:p w14:paraId="3239C018" w14:textId="77777777" w:rsidR="005C1E10" w:rsidRDefault="005C1E10" w:rsidP="005C1E10">
      <w:pPr>
        <w:pStyle w:val="ListParagraph"/>
        <w:spacing w:after="240"/>
        <w:ind w:left="567"/>
        <w:jc w:val="both"/>
        <w:rPr>
          <w:rFonts w:ascii="Book Antiqua" w:hAnsi="Book Antiqua" w:cs="Arial"/>
        </w:rPr>
      </w:pPr>
    </w:p>
    <w:p w14:paraId="263A2F8A" w14:textId="41EAA47F" w:rsidR="00506613" w:rsidRDefault="006F44A5" w:rsidP="0068004A">
      <w:pPr>
        <w:pStyle w:val="ListParagraph"/>
        <w:numPr>
          <w:ilvl w:val="0"/>
          <w:numId w:val="1"/>
        </w:numPr>
        <w:spacing w:after="240"/>
        <w:ind w:left="567" w:hanging="567"/>
        <w:jc w:val="both"/>
        <w:rPr>
          <w:rFonts w:ascii="Book Antiqua" w:hAnsi="Book Antiqua" w:cs="Arial"/>
        </w:rPr>
      </w:pPr>
      <w:r>
        <w:rPr>
          <w:rFonts w:ascii="Book Antiqua" w:hAnsi="Book Antiqua" w:cs="Arial"/>
        </w:rPr>
        <w:t>At paragraph 37, Lord Glennie considered that it was, to some extent, justified for the First-tier Tribunal to treat with scepticism the views of third parties as to the genuineness of the conversion to Christianity of an asylum seeker.  There were, however, “limits to this approach” (paragraph 38).  Just</w:t>
      </w:r>
      <w:r w:rsidR="0089761B">
        <w:rPr>
          <w:rFonts w:ascii="Book Antiqua" w:hAnsi="Book Antiqua" w:cs="Arial"/>
        </w:rPr>
        <w:t xml:space="preserve"> as juries in criminal trials are commonly directed that the fact an individual may have lied about one point does not necessarily mean he is lying about other matters, “</w:t>
      </w:r>
      <w:r w:rsidR="00290B73">
        <w:rPr>
          <w:rFonts w:ascii="Book Antiqua" w:hAnsi="Book Antiqua" w:cs="Arial"/>
        </w:rPr>
        <w:t>T</w:t>
      </w:r>
      <w:r w:rsidR="0089761B">
        <w:rPr>
          <w:rFonts w:ascii="Book Antiqua" w:hAnsi="Book Antiqua" w:cs="Arial"/>
        </w:rPr>
        <w:t>he same words of caution should be taken to heart by tribunal judges hearing evidence in immigration and asylum appeals.  People have different reasons for not telling the truth, or the whole truth, about particular matters”.  They may, for example, be anxious not to get others into trouble.  Nor was it necessarily suggest</w:t>
      </w:r>
      <w:r w:rsidR="00183A80">
        <w:rPr>
          <w:rFonts w:ascii="Book Antiqua" w:hAnsi="Book Antiqua" w:cs="Arial"/>
        </w:rPr>
        <w:t>ive of</w:t>
      </w:r>
      <w:r w:rsidR="0089761B">
        <w:rPr>
          <w:rFonts w:ascii="Book Antiqua" w:hAnsi="Book Antiqua" w:cs="Arial"/>
        </w:rPr>
        <w:t xml:space="preserve"> dishonesty to fail to give every detail on the first occasion they were asked about it, but only to come out with the full story on a second or subsequent occasion.  </w:t>
      </w:r>
    </w:p>
    <w:p w14:paraId="213E9967" w14:textId="77777777" w:rsidR="0089761B" w:rsidRDefault="0089761B" w:rsidP="0089761B">
      <w:pPr>
        <w:pStyle w:val="ListParagraph"/>
        <w:spacing w:after="240"/>
        <w:ind w:left="567"/>
        <w:jc w:val="both"/>
        <w:rPr>
          <w:rFonts w:ascii="Book Antiqua" w:hAnsi="Book Antiqua" w:cs="Arial"/>
        </w:rPr>
      </w:pPr>
    </w:p>
    <w:p w14:paraId="798FB6D7" w14:textId="293EBFAB" w:rsidR="0089761B" w:rsidRPr="00260F96" w:rsidRDefault="0089761B" w:rsidP="00A00741">
      <w:pPr>
        <w:pStyle w:val="ListParagraph"/>
        <w:numPr>
          <w:ilvl w:val="0"/>
          <w:numId w:val="1"/>
        </w:numPr>
        <w:spacing w:after="240"/>
        <w:ind w:left="567" w:hanging="567"/>
        <w:jc w:val="both"/>
        <w:rPr>
          <w:rFonts w:ascii="Book Antiqua" w:hAnsi="Book Antiqua" w:cs="Arial"/>
        </w:rPr>
      </w:pPr>
      <w:r w:rsidRPr="00260F96">
        <w:rPr>
          <w:rFonts w:ascii="Book Antiqua" w:hAnsi="Book Antiqua" w:cs="Arial"/>
        </w:rPr>
        <w:t>At paragraph 39, Lord Glennie emphasised that the appellant’s case “has to be considered in the round, not only on the basis of the appellant’s own evidence, which may or may not be accepted as credible, but also on the basis of other evidence that may be available”.  Much would depend on what that other evidence is</w:t>
      </w:r>
      <w:r w:rsidR="00717A3F">
        <w:rPr>
          <w:rFonts w:ascii="Book Antiqua" w:hAnsi="Book Antiqua" w:cs="Arial"/>
        </w:rPr>
        <w:t>.</w:t>
      </w:r>
      <w:r w:rsidR="00260F96" w:rsidRPr="00260F96">
        <w:rPr>
          <w:rFonts w:ascii="Book Antiqua" w:hAnsi="Book Antiqua" w:cs="Arial"/>
        </w:rPr>
        <w:t xml:space="preserve">  </w:t>
      </w:r>
      <w:r w:rsidRPr="00260F96">
        <w:rPr>
          <w:rFonts w:ascii="Book Antiqua" w:hAnsi="Book Antiqua" w:cs="Arial"/>
          <w:sz w:val="22"/>
          <w:szCs w:val="22"/>
        </w:rPr>
        <w:t>“</w:t>
      </w:r>
      <w:r w:rsidRPr="00241CAD">
        <w:rPr>
          <w:rFonts w:ascii="Book Antiqua" w:hAnsi="Book Antiqua" w:cs="Arial"/>
        </w:rPr>
        <w:t>If, for example, that other evidence comes from some wholly-independent source and is, on the face of it, impartial and objective, it is difficult to see how a finding that the appellant himself is dishonest can materially affect the weight to be attached to it</w:t>
      </w:r>
      <w:r w:rsidRPr="00260F96">
        <w:rPr>
          <w:rFonts w:ascii="Book Antiqua" w:hAnsi="Book Antiqua" w:cs="Arial"/>
          <w:sz w:val="22"/>
          <w:szCs w:val="22"/>
        </w:rPr>
        <w:t>”</w:t>
      </w:r>
      <w:r w:rsidR="00241CAD">
        <w:rPr>
          <w:rFonts w:ascii="Book Antiqua" w:hAnsi="Book Antiqua" w:cs="Arial"/>
          <w:sz w:val="22"/>
          <w:szCs w:val="22"/>
        </w:rPr>
        <w:t>.</w:t>
      </w:r>
      <w:r w:rsidRPr="00260F96">
        <w:rPr>
          <w:rFonts w:ascii="Book Antiqua" w:hAnsi="Book Antiqua" w:cs="Arial"/>
          <w:sz w:val="22"/>
          <w:szCs w:val="22"/>
        </w:rPr>
        <w:t xml:space="preserve">  </w:t>
      </w:r>
      <w:r w:rsidRPr="00260F96">
        <w:rPr>
          <w:rFonts w:ascii="Book Antiqua" w:hAnsi="Book Antiqua" w:cs="Arial"/>
        </w:rPr>
        <w:t>By contrast, if the third party evidence</w:t>
      </w:r>
      <w:r w:rsidR="00260F96" w:rsidRPr="00260F96">
        <w:rPr>
          <w:rFonts w:ascii="Book Antiqua" w:hAnsi="Book Antiqua" w:cs="Arial"/>
        </w:rPr>
        <w:t xml:space="preserve"> </w:t>
      </w:r>
      <w:r w:rsidRPr="00260F96">
        <w:rPr>
          <w:rFonts w:ascii="Book Antiqua" w:hAnsi="Book Antiqua" w:cs="Arial"/>
        </w:rPr>
        <w:t>“simply comprise</w:t>
      </w:r>
      <w:r w:rsidR="00260F96" w:rsidRPr="00260F96">
        <w:rPr>
          <w:rFonts w:ascii="Book Antiqua" w:hAnsi="Book Antiqua" w:cs="Arial"/>
        </w:rPr>
        <w:t>s</w:t>
      </w:r>
      <w:r w:rsidRPr="00260F96">
        <w:rPr>
          <w:rFonts w:ascii="Book Antiqua" w:hAnsi="Book Antiqua" w:cs="Arial"/>
        </w:rPr>
        <w:t xml:space="preserve"> information based entirely upon what the appellant has previously told the witness</w:t>
      </w:r>
      <w:r w:rsidR="006123C1">
        <w:rPr>
          <w:rFonts w:ascii="Book Antiqua" w:hAnsi="Book Antiqua" w:cs="Arial"/>
        </w:rPr>
        <w:t>”</w:t>
      </w:r>
      <w:r w:rsidRPr="00260F96">
        <w:rPr>
          <w:rFonts w:ascii="Book Antiqua" w:hAnsi="Book Antiqua" w:cs="Arial"/>
        </w:rPr>
        <w:t xml:space="preserve">, then it may well be legitimate for the </w:t>
      </w:r>
      <w:r w:rsidR="00260F96" w:rsidRPr="00260F96">
        <w:rPr>
          <w:rFonts w:ascii="Book Antiqua" w:hAnsi="Book Antiqua" w:cs="Arial"/>
        </w:rPr>
        <w:t>t</w:t>
      </w:r>
      <w:r w:rsidRPr="00260F96">
        <w:rPr>
          <w:rFonts w:ascii="Book Antiqua" w:hAnsi="Book Antiqua" w:cs="Arial"/>
        </w:rPr>
        <w:t>ribunal to take account of its findings about the credibility of the appellant</w:t>
      </w:r>
      <w:r w:rsidR="00260F96" w:rsidRPr="00260F96">
        <w:rPr>
          <w:rFonts w:ascii="Book Antiqua" w:hAnsi="Book Antiqua" w:cs="Arial"/>
        </w:rPr>
        <w:t>,</w:t>
      </w:r>
      <w:r w:rsidRPr="00260F96">
        <w:rPr>
          <w:rFonts w:ascii="Book Antiqua" w:hAnsi="Book Antiqua" w:cs="Arial"/>
        </w:rPr>
        <w:t xml:space="preserve"> </w:t>
      </w:r>
      <w:r w:rsidR="006123C1">
        <w:rPr>
          <w:rFonts w:ascii="Book Antiqua" w:hAnsi="Book Antiqua" w:cs="Arial"/>
        </w:rPr>
        <w:t>“</w:t>
      </w:r>
      <w:r w:rsidRPr="00260F96">
        <w:rPr>
          <w:rFonts w:ascii="Book Antiqua" w:hAnsi="Book Antiqua" w:cs="Arial"/>
        </w:rPr>
        <w:t xml:space="preserve">on the basis that </w:t>
      </w:r>
      <w:r w:rsidR="00260F96" w:rsidRPr="00260F96">
        <w:rPr>
          <w:rFonts w:ascii="Book Antiqua" w:hAnsi="Book Antiqua" w:cs="Arial"/>
        </w:rPr>
        <w:t>it</w:t>
      </w:r>
      <w:r w:rsidRPr="00260F96">
        <w:rPr>
          <w:rFonts w:ascii="Book Antiqua" w:hAnsi="Book Antiqua" w:cs="Arial"/>
        </w:rPr>
        <w:t xml:space="preserve"> has found the appellant to be a liar and capable of making up a story, fabricating an account and spreading that account amongst others as part of a web of deception”.  Much would depend upon the time and circumstances that the </w:t>
      </w:r>
      <w:proofErr w:type="gramStart"/>
      <w:r w:rsidRPr="00260F96">
        <w:rPr>
          <w:rFonts w:ascii="Book Antiqua" w:hAnsi="Book Antiqua" w:cs="Arial"/>
        </w:rPr>
        <w:t>third party</w:t>
      </w:r>
      <w:proofErr w:type="gramEnd"/>
      <w:r w:rsidRPr="00260F96">
        <w:rPr>
          <w:rFonts w:ascii="Book Antiqua" w:hAnsi="Book Antiqua" w:cs="Arial"/>
        </w:rPr>
        <w:t xml:space="preserve"> witness was given the information.</w:t>
      </w:r>
    </w:p>
    <w:p w14:paraId="19665FAD" w14:textId="77777777" w:rsidR="0089761B" w:rsidRDefault="0089761B" w:rsidP="0089761B">
      <w:pPr>
        <w:pStyle w:val="ListParagraph"/>
        <w:spacing w:after="240"/>
        <w:ind w:left="567"/>
        <w:jc w:val="both"/>
        <w:rPr>
          <w:rFonts w:ascii="Book Antiqua" w:hAnsi="Book Antiqua" w:cs="Arial"/>
        </w:rPr>
      </w:pPr>
    </w:p>
    <w:p w14:paraId="07713636" w14:textId="0320334B" w:rsidR="0089761B" w:rsidRDefault="004C4002" w:rsidP="0068004A">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It is also relevant at this point to remind </w:t>
      </w:r>
      <w:proofErr w:type="gramStart"/>
      <w:r>
        <w:rPr>
          <w:rFonts w:ascii="Book Antiqua" w:hAnsi="Book Antiqua" w:cs="Arial"/>
        </w:rPr>
        <w:t>ourselves</w:t>
      </w:r>
      <w:proofErr w:type="gramEnd"/>
      <w:r>
        <w:rPr>
          <w:rFonts w:ascii="Book Antiqua" w:hAnsi="Book Antiqua" w:cs="Arial"/>
        </w:rPr>
        <w:t xml:space="preserve"> of what the Inner House said at paragraph 35 of </w:t>
      </w:r>
      <w:r w:rsidRPr="004C4002">
        <w:rPr>
          <w:rFonts w:ascii="Book Antiqua" w:hAnsi="Book Antiqua" w:cs="Arial"/>
          <w:u w:val="single"/>
        </w:rPr>
        <w:t>AR</w:t>
      </w:r>
      <w:r w:rsidR="0054361F">
        <w:rPr>
          <w:rFonts w:ascii="Book Antiqua" w:hAnsi="Book Antiqua" w:cs="Arial"/>
        </w:rPr>
        <w:t xml:space="preserve"> (see paragraph 32 above)</w:t>
      </w:r>
      <w:r>
        <w:rPr>
          <w:rFonts w:ascii="Book Antiqua" w:hAnsi="Book Antiqua" w:cs="Arial"/>
        </w:rPr>
        <w:t xml:space="preserve">.  There may be cases where concerns </w:t>
      </w:r>
      <w:r>
        <w:rPr>
          <w:rFonts w:ascii="Book Antiqua" w:hAnsi="Book Antiqua" w:cs="Arial"/>
        </w:rPr>
        <w:lastRenderedPageBreak/>
        <w:t>over the veracity of a claim and its account may be so clear-cut that the judicial fact-finder is driven to rejection of other evidence, such as supporting documents, even though the</w:t>
      </w:r>
      <w:r w:rsidR="00506B23">
        <w:rPr>
          <w:rFonts w:ascii="Book Antiqua" w:hAnsi="Book Antiqua" w:cs="Arial"/>
        </w:rPr>
        <w:t>se</w:t>
      </w:r>
      <w:r>
        <w:rPr>
          <w:rFonts w:ascii="Book Antiqua" w:hAnsi="Book Antiqua" w:cs="Arial"/>
        </w:rPr>
        <w:t xml:space="preserve"> appear to be authentic.</w:t>
      </w:r>
    </w:p>
    <w:p w14:paraId="055C88F6" w14:textId="77777777" w:rsidR="00A64659" w:rsidRDefault="00A64659" w:rsidP="00A64659">
      <w:pPr>
        <w:pStyle w:val="ListParagraph"/>
        <w:spacing w:after="240"/>
        <w:ind w:left="567"/>
        <w:jc w:val="both"/>
        <w:rPr>
          <w:rFonts w:ascii="Book Antiqua" w:hAnsi="Book Antiqua" w:cs="Arial"/>
        </w:rPr>
      </w:pPr>
    </w:p>
    <w:p w14:paraId="53F7B224" w14:textId="5E550EBC" w:rsidR="00DB515D" w:rsidRPr="00E806E7" w:rsidRDefault="00A64659" w:rsidP="0068004A">
      <w:pPr>
        <w:pStyle w:val="ListParagraph"/>
        <w:numPr>
          <w:ilvl w:val="0"/>
          <w:numId w:val="1"/>
        </w:numPr>
        <w:spacing w:after="240"/>
        <w:ind w:left="567" w:hanging="567"/>
        <w:jc w:val="both"/>
        <w:rPr>
          <w:rFonts w:ascii="Book Antiqua" w:hAnsi="Book Antiqua" w:cs="Arial"/>
          <w:u w:val="single"/>
        </w:rPr>
      </w:pPr>
      <w:r>
        <w:rPr>
          <w:rFonts w:ascii="Book Antiqua" w:hAnsi="Book Antiqua" w:cs="Arial"/>
        </w:rPr>
        <w:t xml:space="preserve">Since this decision </w:t>
      </w:r>
      <w:r w:rsidR="008B292F">
        <w:rPr>
          <w:rFonts w:ascii="Book Antiqua" w:hAnsi="Book Antiqua" w:cs="Arial"/>
        </w:rPr>
        <w:t>began to be</w:t>
      </w:r>
      <w:r>
        <w:rPr>
          <w:rFonts w:ascii="Book Antiqua" w:hAnsi="Book Antiqua" w:cs="Arial"/>
        </w:rPr>
        <w:t xml:space="preserve"> drafted, the Court of Appeal has</w:t>
      </w:r>
      <w:r w:rsidR="00A7438D">
        <w:rPr>
          <w:rFonts w:ascii="Book Antiqua" w:hAnsi="Book Antiqua" w:cs="Arial"/>
        </w:rPr>
        <w:t xml:space="preserve"> had occasion to consider the </w:t>
      </w:r>
      <w:r w:rsidR="00A7438D" w:rsidRPr="00134CF6">
        <w:rPr>
          <w:rFonts w:ascii="Book Antiqua" w:hAnsi="Book Antiqua" w:cs="Arial"/>
          <w:u w:val="single"/>
        </w:rPr>
        <w:t>Mibanga</w:t>
      </w:r>
      <w:r w:rsidR="00A7438D">
        <w:rPr>
          <w:rFonts w:ascii="Book Antiqua" w:hAnsi="Book Antiqua" w:cs="Arial"/>
        </w:rPr>
        <w:t xml:space="preserve"> line of cases in </w:t>
      </w:r>
      <w:r w:rsidR="00134CF6" w:rsidRPr="00134CF6">
        <w:rPr>
          <w:rFonts w:ascii="Book Antiqua" w:hAnsi="Book Antiqua" w:cs="Arial"/>
          <w:u w:val="single"/>
        </w:rPr>
        <w:t>MN and others v Secretary of State for the Home Department</w:t>
      </w:r>
      <w:r w:rsidR="00134CF6" w:rsidRPr="00C67A76">
        <w:rPr>
          <w:rFonts w:ascii="Book Antiqua" w:hAnsi="Book Antiqua" w:cs="Arial"/>
        </w:rPr>
        <w:t xml:space="preserve"> </w:t>
      </w:r>
      <w:r w:rsidR="00C67A76">
        <w:rPr>
          <w:rFonts w:ascii="Book Antiqua" w:hAnsi="Book Antiqua" w:cs="Arial"/>
        </w:rPr>
        <w:t>[2020] EWCA Civ 1746.</w:t>
      </w:r>
      <w:r w:rsidR="00AD1B74">
        <w:rPr>
          <w:rFonts w:ascii="Book Antiqua" w:hAnsi="Book Antiqua" w:cs="Arial"/>
        </w:rPr>
        <w:t xml:space="preserve"> </w:t>
      </w:r>
      <w:r w:rsidR="002F672C">
        <w:rPr>
          <w:rFonts w:ascii="Book Antiqua" w:hAnsi="Book Antiqua" w:cs="Arial"/>
        </w:rPr>
        <w:t>At paragraph 108 of its judgment, the court</w:t>
      </w:r>
      <w:r w:rsidR="006E4822">
        <w:rPr>
          <w:rFonts w:ascii="Book Antiqua" w:hAnsi="Book Antiqua" w:cs="Arial"/>
        </w:rPr>
        <w:t xml:space="preserve"> held that the basic principle established by </w:t>
      </w:r>
      <w:r w:rsidR="006E4822" w:rsidRPr="006E4822">
        <w:rPr>
          <w:rFonts w:ascii="Book Antiqua" w:hAnsi="Book Antiqua" w:cs="Arial"/>
          <w:u w:val="single"/>
        </w:rPr>
        <w:t>Mibanga</w:t>
      </w:r>
      <w:r w:rsidR="006E4822">
        <w:rPr>
          <w:rFonts w:ascii="Book Antiqua" w:hAnsi="Book Antiqua" w:cs="Arial"/>
        </w:rPr>
        <w:t xml:space="preserve"> </w:t>
      </w:r>
      <w:r w:rsidR="003037C7">
        <w:rPr>
          <w:rFonts w:ascii="Book Antiqua" w:hAnsi="Book Antiqua" w:cs="Arial"/>
        </w:rPr>
        <w:t xml:space="preserve">was summarised by Sir Ernest Ryder in </w:t>
      </w:r>
      <w:r w:rsidR="003037C7" w:rsidRPr="002D0539">
        <w:rPr>
          <w:rFonts w:ascii="Book Antiqua" w:hAnsi="Book Antiqua" w:cs="Arial"/>
          <w:u w:val="single"/>
        </w:rPr>
        <w:t>AM (Afghanistan) v Secretary of State for the Home Department</w:t>
      </w:r>
      <w:r w:rsidR="003037C7">
        <w:rPr>
          <w:rFonts w:ascii="Book Antiqua" w:hAnsi="Book Antiqua" w:cs="Arial"/>
        </w:rPr>
        <w:t xml:space="preserve"> </w:t>
      </w:r>
      <w:r w:rsidR="00ED6137">
        <w:rPr>
          <w:rFonts w:ascii="Book Antiqua" w:hAnsi="Book Antiqua" w:cs="Arial"/>
        </w:rPr>
        <w:t>[2017] EWCA Civ 1123, when</w:t>
      </w:r>
      <w:r w:rsidR="00E806E7">
        <w:rPr>
          <w:rFonts w:ascii="Book Antiqua" w:hAnsi="Book Antiqua" w:cs="Arial"/>
        </w:rPr>
        <w:t xml:space="preserve"> he said at paragraph 19(a) </w:t>
      </w:r>
      <w:proofErr w:type="gramStart"/>
      <w:r w:rsidR="00E806E7">
        <w:rPr>
          <w:rFonts w:ascii="Book Antiqua" w:hAnsi="Book Antiqua" w:cs="Arial"/>
        </w:rPr>
        <w:t>that:-</w:t>
      </w:r>
      <w:proofErr w:type="gramEnd"/>
    </w:p>
    <w:p w14:paraId="58B57934" w14:textId="20F99E7D" w:rsidR="00E806E7" w:rsidRDefault="00E806E7" w:rsidP="00E806E7">
      <w:pPr>
        <w:pStyle w:val="ListParagraph"/>
        <w:spacing w:after="240"/>
        <w:ind w:left="567"/>
        <w:jc w:val="both"/>
        <w:rPr>
          <w:rFonts w:ascii="Book Antiqua" w:hAnsi="Book Antiqua" w:cs="Arial"/>
        </w:rPr>
      </w:pPr>
    </w:p>
    <w:p w14:paraId="2341D44A" w14:textId="6293279B" w:rsidR="00E806E7" w:rsidRPr="00E806E7" w:rsidRDefault="00E806E7" w:rsidP="00E806E7">
      <w:pPr>
        <w:pStyle w:val="ListParagraph"/>
        <w:spacing w:after="240"/>
        <w:ind w:left="1134"/>
        <w:jc w:val="both"/>
        <w:rPr>
          <w:rFonts w:ascii="Book Antiqua" w:hAnsi="Book Antiqua" w:cs="Arial"/>
          <w:sz w:val="22"/>
          <w:szCs w:val="22"/>
          <w:u w:val="single"/>
        </w:rPr>
      </w:pPr>
      <w:r>
        <w:rPr>
          <w:rFonts w:ascii="Book Antiqua" w:hAnsi="Book Antiqua" w:cs="Arial"/>
        </w:rPr>
        <w:t>“</w:t>
      </w:r>
      <w:r w:rsidR="009F2C28">
        <w:rPr>
          <w:rFonts w:ascii="Book Antiqua" w:hAnsi="Book Antiqua" w:cs="Arial"/>
          <w:sz w:val="22"/>
          <w:szCs w:val="22"/>
        </w:rPr>
        <w:t>It is an error of approach to come to a negative assessm</w:t>
      </w:r>
      <w:r w:rsidR="00561C8F">
        <w:rPr>
          <w:rFonts w:ascii="Book Antiqua" w:hAnsi="Book Antiqua" w:cs="Arial"/>
          <w:sz w:val="22"/>
          <w:szCs w:val="22"/>
        </w:rPr>
        <w:t>e</w:t>
      </w:r>
      <w:r w:rsidR="009F2C28">
        <w:rPr>
          <w:rFonts w:ascii="Book Antiqua" w:hAnsi="Book Antiqua" w:cs="Arial"/>
          <w:sz w:val="22"/>
          <w:szCs w:val="22"/>
        </w:rPr>
        <w:t>nt of credibility and then ask whether that assessment is displaced by other material”</w:t>
      </w:r>
      <w:r w:rsidR="00561C8F">
        <w:rPr>
          <w:rFonts w:ascii="Book Antiqua" w:hAnsi="Book Antiqua" w:cs="Arial"/>
          <w:sz w:val="22"/>
          <w:szCs w:val="22"/>
        </w:rPr>
        <w:t>.</w:t>
      </w:r>
    </w:p>
    <w:p w14:paraId="1D39583D" w14:textId="77777777" w:rsidR="00FF1338" w:rsidRDefault="00FF1338" w:rsidP="00FF1338">
      <w:pPr>
        <w:pStyle w:val="ListParagraph"/>
        <w:spacing w:after="240"/>
        <w:ind w:left="567"/>
        <w:jc w:val="both"/>
        <w:rPr>
          <w:rFonts w:ascii="Book Antiqua" w:hAnsi="Book Antiqua" w:cs="Arial"/>
        </w:rPr>
      </w:pPr>
    </w:p>
    <w:p w14:paraId="1690B0FB" w14:textId="6ED82B65" w:rsidR="001541EC" w:rsidRDefault="00561C8F" w:rsidP="003D246E">
      <w:pPr>
        <w:pStyle w:val="ListParagraph"/>
        <w:numPr>
          <w:ilvl w:val="0"/>
          <w:numId w:val="1"/>
        </w:numPr>
        <w:spacing w:after="240"/>
        <w:ind w:left="567" w:hanging="567"/>
        <w:jc w:val="both"/>
        <w:rPr>
          <w:rFonts w:ascii="Book Antiqua" w:hAnsi="Book Antiqua" w:cs="Arial"/>
        </w:rPr>
      </w:pPr>
      <w:r w:rsidRPr="00DC0AB1">
        <w:rPr>
          <w:rFonts w:ascii="Book Antiqua" w:hAnsi="Book Antiqua" w:cs="Arial"/>
        </w:rPr>
        <w:t>It</w:t>
      </w:r>
      <w:r w:rsidR="00DF3E13">
        <w:rPr>
          <w:rFonts w:ascii="Book Antiqua" w:hAnsi="Book Antiqua" w:cs="Arial"/>
        </w:rPr>
        <w:t xml:space="preserve"> </w:t>
      </w:r>
      <w:r w:rsidR="00FF37FE">
        <w:rPr>
          <w:rFonts w:ascii="Book Antiqua" w:hAnsi="Book Antiqua" w:cs="Arial"/>
        </w:rPr>
        <w:t>is</w:t>
      </w:r>
      <w:r w:rsidR="008B5445">
        <w:rPr>
          <w:rFonts w:ascii="Book Antiqua" w:hAnsi="Book Antiqua" w:cs="Arial"/>
        </w:rPr>
        <w:t xml:space="preserve"> often the case that a person’s claim to </w:t>
      </w:r>
      <w:proofErr w:type="gramStart"/>
      <w:r w:rsidR="008B5445">
        <w:rPr>
          <w:rFonts w:ascii="Book Antiqua" w:hAnsi="Book Antiqua" w:cs="Arial"/>
        </w:rPr>
        <w:t>be in need of</w:t>
      </w:r>
      <w:proofErr w:type="gramEnd"/>
      <w:r w:rsidR="008B5445">
        <w:rPr>
          <w:rFonts w:ascii="Book Antiqua" w:hAnsi="Book Antiqua" w:cs="Arial"/>
        </w:rPr>
        <w:t xml:space="preserve"> international protection turns o</w:t>
      </w:r>
      <w:r w:rsidR="00C17658">
        <w:rPr>
          <w:rFonts w:ascii="Book Antiqua" w:hAnsi="Book Antiqua" w:cs="Arial"/>
        </w:rPr>
        <w:t>n</w:t>
      </w:r>
      <w:r w:rsidR="008B5445">
        <w:rPr>
          <w:rFonts w:ascii="Book Antiqua" w:hAnsi="Book Antiqua" w:cs="Arial"/>
        </w:rPr>
        <w:t xml:space="preserve"> whether or not that person is adjudged to be credibl</w:t>
      </w:r>
      <w:r w:rsidR="00A3192C">
        <w:rPr>
          <w:rFonts w:ascii="Book Antiqua" w:hAnsi="Book Antiqua" w:cs="Arial"/>
        </w:rPr>
        <w:t>e. Credibility, however, is not necessarily</w:t>
      </w:r>
      <w:r w:rsidR="00651BDF">
        <w:rPr>
          <w:rFonts w:ascii="Book Antiqua" w:hAnsi="Book Antiqua" w:cs="Arial"/>
        </w:rPr>
        <w:t xml:space="preserve"> an essential component of a successful claim.</w:t>
      </w:r>
      <w:r w:rsidR="00ED590F">
        <w:rPr>
          <w:rFonts w:ascii="Book Antiqua" w:hAnsi="Book Antiqua" w:cs="Arial"/>
        </w:rPr>
        <w:t xml:space="preserve"> </w:t>
      </w:r>
      <w:r w:rsidR="003A16D9">
        <w:rPr>
          <w:rFonts w:ascii="Book Antiqua" w:hAnsi="Book Antiqua" w:cs="Arial"/>
        </w:rPr>
        <w:t xml:space="preserve">On the contrary, </w:t>
      </w:r>
      <w:r w:rsidR="00054586">
        <w:rPr>
          <w:rFonts w:ascii="Book Antiqua" w:hAnsi="Book Antiqua" w:cs="Arial"/>
        </w:rPr>
        <w:t xml:space="preserve">as Simon Brown LJ held in </w:t>
      </w:r>
      <w:r w:rsidR="005F4BA6" w:rsidRPr="00036A5E">
        <w:rPr>
          <w:rFonts w:ascii="Book Antiqua" w:hAnsi="Book Antiqua" w:cs="Arial"/>
          <w:u w:val="single"/>
        </w:rPr>
        <w:t>R (Ravichandran) v Secretary of State for the Home Department</w:t>
      </w:r>
      <w:r w:rsidR="005F4BA6">
        <w:rPr>
          <w:rFonts w:ascii="Book Antiqua" w:hAnsi="Book Antiqua" w:cs="Arial"/>
        </w:rPr>
        <w:t xml:space="preserve"> [1995] EWCA Civ 16</w:t>
      </w:r>
      <w:r w:rsidR="001541EC">
        <w:rPr>
          <w:rFonts w:ascii="Book Antiqua" w:hAnsi="Book Antiqua" w:cs="Arial"/>
        </w:rPr>
        <w:t>:</w:t>
      </w:r>
    </w:p>
    <w:p w14:paraId="7605AE56" w14:textId="77777777" w:rsidR="00036A5E" w:rsidRDefault="00036A5E" w:rsidP="00036A5E">
      <w:pPr>
        <w:pStyle w:val="ListParagraph"/>
        <w:spacing w:after="240"/>
        <w:ind w:left="567"/>
        <w:jc w:val="both"/>
        <w:rPr>
          <w:rFonts w:ascii="Book Antiqua" w:hAnsi="Book Antiqua" w:cs="Arial"/>
        </w:rPr>
      </w:pPr>
    </w:p>
    <w:p w14:paraId="4E41D749" w14:textId="533CE261" w:rsidR="001541EC" w:rsidRDefault="001541EC" w:rsidP="001541EC">
      <w:pPr>
        <w:pStyle w:val="ListParagraph"/>
        <w:spacing w:after="240"/>
        <w:ind w:left="1134"/>
        <w:jc w:val="both"/>
        <w:rPr>
          <w:rFonts w:ascii="Book Antiqua" w:hAnsi="Book Antiqua" w:cs="Arial"/>
          <w:sz w:val="22"/>
          <w:szCs w:val="22"/>
        </w:rPr>
      </w:pPr>
      <w:r>
        <w:rPr>
          <w:rFonts w:ascii="Book Antiqua" w:hAnsi="Book Antiqua" w:cs="Arial"/>
        </w:rPr>
        <w:t>“</w:t>
      </w:r>
      <w:r w:rsidR="00C34898">
        <w:rPr>
          <w:rFonts w:ascii="Book Antiqua" w:hAnsi="Book Antiqua" w:cs="Arial"/>
          <w:sz w:val="22"/>
          <w:szCs w:val="22"/>
        </w:rPr>
        <w:t>… the question whether someone is at risk of persecution for a Convention reason</w:t>
      </w:r>
      <w:r w:rsidR="00D579AB">
        <w:rPr>
          <w:rFonts w:ascii="Book Antiqua" w:hAnsi="Book Antiqua" w:cs="Arial"/>
          <w:sz w:val="22"/>
          <w:szCs w:val="22"/>
        </w:rPr>
        <w:t xml:space="preserve"> should be looked at in the round and all the relevant circumstances brought into account</w:t>
      </w:r>
      <w:r w:rsidR="00094EE4">
        <w:rPr>
          <w:rFonts w:ascii="Book Antiqua" w:hAnsi="Book Antiqua" w:cs="Arial"/>
          <w:sz w:val="22"/>
          <w:szCs w:val="22"/>
        </w:rPr>
        <w:t>. I know of no authority inconsistent with such an approach and, to my mind, it clearly accords</w:t>
      </w:r>
      <w:r w:rsidR="00040DE0">
        <w:rPr>
          <w:rFonts w:ascii="Book Antiqua" w:hAnsi="Book Antiqua" w:cs="Arial"/>
          <w:sz w:val="22"/>
          <w:szCs w:val="22"/>
        </w:rPr>
        <w:t xml:space="preserve"> both with paragraph 51 of the UNHCR handbook and with the spirit of the Convention.”</w:t>
      </w:r>
    </w:p>
    <w:p w14:paraId="61C572F6" w14:textId="77777777" w:rsidR="00036A5E" w:rsidRPr="00B97231" w:rsidRDefault="00036A5E" w:rsidP="001541EC">
      <w:pPr>
        <w:pStyle w:val="ListParagraph"/>
        <w:spacing w:after="240"/>
        <w:ind w:left="1134"/>
        <w:jc w:val="both"/>
        <w:rPr>
          <w:rFonts w:ascii="Book Antiqua" w:hAnsi="Book Antiqua" w:cs="Arial"/>
          <w:sz w:val="22"/>
          <w:szCs w:val="22"/>
        </w:rPr>
      </w:pPr>
    </w:p>
    <w:p w14:paraId="4E2B44BA" w14:textId="350FBBEF" w:rsidR="007D5A68" w:rsidRDefault="00A16D9F" w:rsidP="003D246E">
      <w:pPr>
        <w:pStyle w:val="ListParagraph"/>
        <w:numPr>
          <w:ilvl w:val="0"/>
          <w:numId w:val="1"/>
        </w:numPr>
        <w:spacing w:after="240"/>
        <w:ind w:left="567" w:hanging="567"/>
        <w:jc w:val="both"/>
        <w:rPr>
          <w:rFonts w:ascii="Book Antiqua" w:hAnsi="Book Antiqua" w:cs="Arial"/>
        </w:rPr>
      </w:pPr>
      <w:r w:rsidRPr="00B97231">
        <w:rPr>
          <w:rFonts w:ascii="Book Antiqua" w:hAnsi="Book Antiqua" w:cs="Arial"/>
        </w:rPr>
        <w:t>In some cases, credibility will have no role to play in the</w:t>
      </w:r>
      <w:r>
        <w:rPr>
          <w:rFonts w:ascii="Book Antiqua" w:hAnsi="Book Antiqua" w:cs="Arial"/>
        </w:rPr>
        <w:t xml:space="preserve"> </w:t>
      </w:r>
      <w:r w:rsidRPr="00B97231">
        <w:rPr>
          <w:rFonts w:ascii="Book Antiqua" w:hAnsi="Book Antiqua" w:cs="Arial"/>
          <w:u w:val="single"/>
        </w:rPr>
        <w:t xml:space="preserve">Ravichandran </w:t>
      </w:r>
      <w:r>
        <w:rPr>
          <w:rFonts w:ascii="Book Antiqua" w:hAnsi="Book Antiqua" w:cs="Arial"/>
        </w:rPr>
        <w:t>exercise.</w:t>
      </w:r>
      <w:r w:rsidR="00B97231">
        <w:rPr>
          <w:rFonts w:ascii="Book Antiqua" w:hAnsi="Book Antiqua" w:cs="Arial"/>
        </w:rPr>
        <w:t xml:space="preserve"> For example, a</w:t>
      </w:r>
      <w:r w:rsidR="00651BDF">
        <w:rPr>
          <w:rFonts w:ascii="Book Antiqua" w:hAnsi="Book Antiqua" w:cs="Arial"/>
        </w:rPr>
        <w:t xml:space="preserve"> per</w:t>
      </w:r>
      <w:r w:rsidR="000818EE">
        <w:rPr>
          <w:rFonts w:ascii="Book Antiqua" w:hAnsi="Book Antiqua" w:cs="Arial"/>
        </w:rPr>
        <w:t>s</w:t>
      </w:r>
      <w:r w:rsidR="00651BDF">
        <w:rPr>
          <w:rFonts w:ascii="Book Antiqua" w:hAnsi="Book Antiqua" w:cs="Arial"/>
        </w:rPr>
        <w:t>on may have told</w:t>
      </w:r>
      <w:r w:rsidR="000818EE">
        <w:rPr>
          <w:rFonts w:ascii="Book Antiqua" w:hAnsi="Book Antiqua" w:cs="Arial"/>
        </w:rPr>
        <w:t xml:space="preserve"> lies about everything involving their past life in a particular country and yet be entitled to international protection because</w:t>
      </w:r>
      <w:r w:rsidR="00A56274">
        <w:rPr>
          <w:rFonts w:ascii="Book Antiqua" w:hAnsi="Book Antiqua" w:cs="Arial"/>
        </w:rPr>
        <w:t xml:space="preserve"> there is evidence</w:t>
      </w:r>
      <w:r w:rsidR="0098389F">
        <w:rPr>
          <w:rFonts w:ascii="Book Antiqua" w:hAnsi="Book Antiqua" w:cs="Arial"/>
        </w:rPr>
        <w:t xml:space="preserve"> </w:t>
      </w:r>
      <w:r w:rsidR="00A56274">
        <w:rPr>
          <w:rFonts w:ascii="Book Antiqua" w:hAnsi="Book Antiqua" w:cs="Arial"/>
        </w:rPr>
        <w:t>that</w:t>
      </w:r>
      <w:r w:rsidR="0098389F">
        <w:rPr>
          <w:rFonts w:ascii="Book Antiqua" w:hAnsi="Book Antiqua" w:cs="Arial"/>
        </w:rPr>
        <w:t xml:space="preserve"> shows</w:t>
      </w:r>
      <w:r w:rsidR="00A56274">
        <w:rPr>
          <w:rFonts w:ascii="Book Antiqua" w:hAnsi="Book Antiqua" w:cs="Arial"/>
        </w:rPr>
        <w:t xml:space="preserve"> there is a real risk</w:t>
      </w:r>
      <w:r w:rsidR="0098389F">
        <w:rPr>
          <w:rFonts w:ascii="Book Antiqua" w:hAnsi="Book Antiqua" w:cs="Arial"/>
        </w:rPr>
        <w:t xml:space="preserve"> of serious harm</w:t>
      </w:r>
      <w:r w:rsidR="00A56274">
        <w:rPr>
          <w:rFonts w:ascii="Book Antiqua" w:hAnsi="Book Antiqua" w:cs="Arial"/>
        </w:rPr>
        <w:t xml:space="preserve"> if the person is returned; for instance, because</w:t>
      </w:r>
      <w:r w:rsidR="00A92D3E">
        <w:rPr>
          <w:rFonts w:ascii="Book Antiqua" w:hAnsi="Book Antiqua" w:cs="Arial"/>
        </w:rPr>
        <w:t xml:space="preserve"> the authorities of that country persecute all returnees from abroad</w:t>
      </w:r>
      <w:r w:rsidR="000B7AE7">
        <w:rPr>
          <w:rFonts w:ascii="Book Antiqua" w:hAnsi="Book Antiqua" w:cs="Arial"/>
        </w:rPr>
        <w:t xml:space="preserve"> who have sought international protection.</w:t>
      </w:r>
    </w:p>
    <w:p w14:paraId="11FA41C7" w14:textId="77777777" w:rsidR="007D5A68" w:rsidRDefault="007D5A68" w:rsidP="007D5A68">
      <w:pPr>
        <w:pStyle w:val="ListParagraph"/>
        <w:spacing w:after="240"/>
        <w:ind w:left="567"/>
        <w:jc w:val="both"/>
        <w:rPr>
          <w:rFonts w:ascii="Book Antiqua" w:hAnsi="Book Antiqua" w:cs="Arial"/>
        </w:rPr>
      </w:pPr>
    </w:p>
    <w:p w14:paraId="26AF7E6E" w14:textId="37A98D00" w:rsidR="007D5A68" w:rsidRDefault="00D10BC1" w:rsidP="003D246E">
      <w:pPr>
        <w:pStyle w:val="ListParagraph"/>
        <w:numPr>
          <w:ilvl w:val="0"/>
          <w:numId w:val="1"/>
        </w:numPr>
        <w:spacing w:after="240"/>
        <w:ind w:left="567" w:hanging="567"/>
        <w:jc w:val="both"/>
        <w:rPr>
          <w:rFonts w:ascii="Book Antiqua" w:hAnsi="Book Antiqua" w:cs="Arial"/>
        </w:rPr>
      </w:pPr>
      <w:r>
        <w:rPr>
          <w:rFonts w:ascii="Book Antiqua" w:hAnsi="Book Antiqua" w:cs="Arial"/>
        </w:rPr>
        <w:t>An example of the</w:t>
      </w:r>
      <w:r w:rsidR="00792D0B">
        <w:rPr>
          <w:rFonts w:ascii="Book Antiqua" w:hAnsi="Book Antiqua" w:cs="Arial"/>
        </w:rPr>
        <w:t xml:space="preserve"> protean nature of credibility as a determinant of entitlement to international protection</w:t>
      </w:r>
      <w:r w:rsidR="002A68E7">
        <w:rPr>
          <w:rFonts w:ascii="Book Antiqua" w:hAnsi="Book Antiqua" w:cs="Arial"/>
        </w:rPr>
        <w:t xml:space="preserve"> can be seen from </w:t>
      </w:r>
      <w:r w:rsidR="002A68E7" w:rsidRPr="002A68E7">
        <w:rPr>
          <w:rFonts w:ascii="Book Antiqua" w:hAnsi="Book Antiqua" w:cs="Arial"/>
          <w:u w:val="single"/>
        </w:rPr>
        <w:t>TF</w:t>
      </w:r>
      <w:r w:rsidR="002A68E7">
        <w:rPr>
          <w:rFonts w:ascii="Book Antiqua" w:hAnsi="Book Antiqua" w:cs="Arial"/>
        </w:rPr>
        <w:t xml:space="preserve">. </w:t>
      </w:r>
      <w:r w:rsidR="00033F89">
        <w:rPr>
          <w:rFonts w:ascii="Book Antiqua" w:hAnsi="Book Antiqua" w:cs="Arial"/>
        </w:rPr>
        <w:t>The evidence of the church witnesses, who deposed to the genuineness of the appellants’ conversions,</w:t>
      </w:r>
      <w:r w:rsidR="00621630">
        <w:rPr>
          <w:rFonts w:ascii="Book Antiqua" w:hAnsi="Book Antiqua" w:cs="Arial"/>
        </w:rPr>
        <w:t xml:space="preserve"> w</w:t>
      </w:r>
      <w:r w:rsidR="003A399C">
        <w:rPr>
          <w:rFonts w:ascii="Book Antiqua" w:hAnsi="Book Antiqua" w:cs="Arial"/>
        </w:rPr>
        <w:t>ent to the issue of whether the appellants had genuinely converted. Had th</w:t>
      </w:r>
      <w:r w:rsidR="00C10895">
        <w:rPr>
          <w:rFonts w:ascii="Book Antiqua" w:hAnsi="Book Antiqua" w:cs="Arial"/>
        </w:rPr>
        <w:t xml:space="preserve">eir cases been that they would be perceived as apostates and </w:t>
      </w:r>
      <w:r w:rsidR="00703866">
        <w:rPr>
          <w:rFonts w:ascii="Book Antiqua" w:hAnsi="Book Antiqua" w:cs="Arial"/>
        </w:rPr>
        <w:t xml:space="preserve">persecuted for having undergone </w:t>
      </w:r>
      <w:r w:rsidR="00DE390C">
        <w:rPr>
          <w:rFonts w:ascii="Book Antiqua" w:hAnsi="Book Antiqua" w:cs="Arial"/>
        </w:rPr>
        <w:t>baptism</w:t>
      </w:r>
      <w:r w:rsidR="00184BB4">
        <w:rPr>
          <w:rFonts w:ascii="Book Antiqua" w:hAnsi="Book Antiqua" w:cs="Arial"/>
        </w:rPr>
        <w:t xml:space="preserve"> or some other form of initiation</w:t>
      </w:r>
      <w:r w:rsidR="00DE390C">
        <w:rPr>
          <w:rFonts w:ascii="Book Antiqua" w:hAnsi="Book Antiqua" w:cs="Arial"/>
        </w:rPr>
        <w:t xml:space="preserve">, </w:t>
      </w:r>
      <w:proofErr w:type="gramStart"/>
      <w:r w:rsidR="00DE390C">
        <w:rPr>
          <w:rFonts w:ascii="Book Antiqua" w:hAnsi="Book Antiqua" w:cs="Arial"/>
        </w:rPr>
        <w:t>whether</w:t>
      </w:r>
      <w:r w:rsidR="00F532B7">
        <w:rPr>
          <w:rFonts w:ascii="Book Antiqua" w:hAnsi="Book Antiqua" w:cs="Arial"/>
        </w:rPr>
        <w:t xml:space="preserve"> or not</w:t>
      </w:r>
      <w:proofErr w:type="gramEnd"/>
      <w:r w:rsidR="00DE390C">
        <w:rPr>
          <w:rFonts w:ascii="Book Antiqua" w:hAnsi="Book Antiqua" w:cs="Arial"/>
        </w:rPr>
        <w:t xml:space="preserve"> they intended to behave as C</w:t>
      </w:r>
      <w:r w:rsidR="00184BB4">
        <w:rPr>
          <w:rFonts w:ascii="Book Antiqua" w:hAnsi="Book Antiqua" w:cs="Arial"/>
        </w:rPr>
        <w:t>h</w:t>
      </w:r>
      <w:r w:rsidR="00DE390C">
        <w:rPr>
          <w:rFonts w:ascii="Book Antiqua" w:hAnsi="Book Antiqua" w:cs="Arial"/>
        </w:rPr>
        <w:t>risti</w:t>
      </w:r>
      <w:r w:rsidR="00184BB4">
        <w:rPr>
          <w:rFonts w:ascii="Book Antiqua" w:hAnsi="Book Antiqua" w:cs="Arial"/>
        </w:rPr>
        <w:t>ans in Iran, the evidence of the church witnesses would have assumed a very different</w:t>
      </w:r>
      <w:r w:rsidR="007D5A68">
        <w:rPr>
          <w:rFonts w:ascii="Book Antiqua" w:hAnsi="Book Antiqua" w:cs="Arial"/>
        </w:rPr>
        <w:t xml:space="preserve"> significance.</w:t>
      </w:r>
    </w:p>
    <w:p w14:paraId="1E605769" w14:textId="77777777" w:rsidR="00106408" w:rsidRDefault="00106408" w:rsidP="00106408">
      <w:pPr>
        <w:pStyle w:val="ListParagraph"/>
        <w:spacing w:after="240"/>
        <w:ind w:left="567"/>
        <w:jc w:val="both"/>
        <w:rPr>
          <w:rFonts w:ascii="Book Antiqua" w:hAnsi="Book Antiqua" w:cs="Arial"/>
        </w:rPr>
      </w:pPr>
    </w:p>
    <w:p w14:paraId="40F0DCC4" w14:textId="568A51BE" w:rsidR="007D5A68" w:rsidRDefault="009B654D" w:rsidP="003D246E">
      <w:pPr>
        <w:pStyle w:val="ListParagraph"/>
        <w:numPr>
          <w:ilvl w:val="0"/>
          <w:numId w:val="1"/>
        </w:numPr>
        <w:spacing w:after="240"/>
        <w:ind w:left="567" w:hanging="567"/>
        <w:jc w:val="both"/>
        <w:rPr>
          <w:rFonts w:ascii="Book Antiqua" w:hAnsi="Book Antiqua" w:cs="Arial"/>
        </w:rPr>
      </w:pPr>
      <w:r>
        <w:rPr>
          <w:rFonts w:ascii="Book Antiqua" w:hAnsi="Book Antiqua" w:cs="Arial"/>
        </w:rPr>
        <w:t>The</w:t>
      </w:r>
      <w:r w:rsidR="00232ED6">
        <w:rPr>
          <w:rFonts w:ascii="Book Antiqua" w:hAnsi="Book Antiqua" w:cs="Arial"/>
        </w:rPr>
        <w:t xml:space="preserve"> rel</w:t>
      </w:r>
      <w:r w:rsidR="005D23C0">
        <w:rPr>
          <w:rFonts w:ascii="Book Antiqua" w:hAnsi="Book Antiqua" w:cs="Arial"/>
        </w:rPr>
        <w:t xml:space="preserve">evance of an individual’s credibility to their </w:t>
      </w:r>
      <w:proofErr w:type="gramStart"/>
      <w:r w:rsidR="005D23C0">
        <w:rPr>
          <w:rFonts w:ascii="Book Antiqua" w:hAnsi="Book Antiqua" w:cs="Arial"/>
        </w:rPr>
        <w:t>particular claim</w:t>
      </w:r>
      <w:proofErr w:type="gramEnd"/>
      <w:r w:rsidR="005D23C0">
        <w:rPr>
          <w:rFonts w:ascii="Book Antiqua" w:hAnsi="Book Antiqua" w:cs="Arial"/>
        </w:rPr>
        <w:t xml:space="preserve"> accordingly needs to be established with some care by the judicial fact-finder. </w:t>
      </w:r>
      <w:r w:rsidR="008157F9">
        <w:rPr>
          <w:rFonts w:ascii="Book Antiqua" w:hAnsi="Book Antiqua" w:cs="Arial"/>
        </w:rPr>
        <w:t xml:space="preserve">It is only once this is done that the practical application of the </w:t>
      </w:r>
      <w:r w:rsidR="008157F9" w:rsidRPr="00C17658">
        <w:rPr>
          <w:rFonts w:ascii="Book Antiqua" w:hAnsi="Book Antiqua" w:cs="Arial"/>
          <w:u w:val="single"/>
        </w:rPr>
        <w:t>Mibanga</w:t>
      </w:r>
      <w:r w:rsidR="008157F9">
        <w:rPr>
          <w:rFonts w:ascii="Book Antiqua" w:hAnsi="Book Antiqua" w:cs="Arial"/>
        </w:rPr>
        <w:t xml:space="preserve"> duty can be </w:t>
      </w:r>
      <w:r w:rsidR="00324980">
        <w:rPr>
          <w:rFonts w:ascii="Book Antiqua" w:hAnsi="Book Antiqua" w:cs="Arial"/>
        </w:rPr>
        <w:t xml:space="preserve">understood. </w:t>
      </w:r>
      <w:r w:rsidR="00A23C0F">
        <w:rPr>
          <w:rFonts w:ascii="Book Antiqua" w:hAnsi="Book Antiqua" w:cs="Arial"/>
        </w:rPr>
        <w:t>The significance of a</w:t>
      </w:r>
      <w:r w:rsidR="00324980">
        <w:rPr>
          <w:rFonts w:ascii="Book Antiqua" w:hAnsi="Book Antiqua" w:cs="Arial"/>
        </w:rPr>
        <w:t xml:space="preserve"> piece of</w:t>
      </w:r>
      <w:r w:rsidR="000F1CD2">
        <w:rPr>
          <w:rFonts w:ascii="Book Antiqua" w:hAnsi="Book Antiqua" w:cs="Arial"/>
        </w:rPr>
        <w:t xml:space="preserve"> evidence that emanates or purports to emanate from a </w:t>
      </w:r>
      <w:proofErr w:type="gramStart"/>
      <w:r w:rsidR="000F1CD2">
        <w:rPr>
          <w:rFonts w:ascii="Book Antiqua" w:hAnsi="Book Antiqua" w:cs="Arial"/>
        </w:rPr>
        <w:t>third party</w:t>
      </w:r>
      <w:proofErr w:type="gramEnd"/>
      <w:r w:rsidR="000F1CD2">
        <w:rPr>
          <w:rFonts w:ascii="Book Antiqua" w:hAnsi="Book Antiqua" w:cs="Arial"/>
        </w:rPr>
        <w:t xml:space="preserve"> source</w:t>
      </w:r>
      <w:r w:rsidR="00CC59FF">
        <w:rPr>
          <w:rFonts w:ascii="Book Antiqua" w:hAnsi="Book Antiqua" w:cs="Arial"/>
        </w:rPr>
        <w:t xml:space="preserve"> may well depend upon </w:t>
      </w:r>
      <w:r w:rsidR="004E6484">
        <w:rPr>
          <w:rFonts w:ascii="Book Antiqua" w:hAnsi="Book Antiqua" w:cs="Arial"/>
        </w:rPr>
        <w:t xml:space="preserve">what is at stake in terms of the individual’s </w:t>
      </w:r>
      <w:r w:rsidR="009B7FA2">
        <w:rPr>
          <w:rFonts w:ascii="Book Antiqua" w:hAnsi="Book Antiqua" w:cs="Arial"/>
        </w:rPr>
        <w:t xml:space="preserve">credibility. </w:t>
      </w:r>
      <w:r w:rsidR="00027F17">
        <w:rPr>
          <w:rFonts w:ascii="Book Antiqua" w:hAnsi="Book Antiqua" w:cs="Arial"/>
        </w:rPr>
        <w:t>A</w:t>
      </w:r>
      <w:r w:rsidR="003524A6">
        <w:rPr>
          <w:rFonts w:ascii="Book Antiqua" w:hAnsi="Book Antiqua" w:cs="Arial"/>
        </w:rPr>
        <w:t>n</w:t>
      </w:r>
      <w:r w:rsidR="00027F17">
        <w:rPr>
          <w:rFonts w:ascii="Book Antiqua" w:hAnsi="Book Antiqua" w:cs="Arial"/>
        </w:rPr>
        <w:t xml:space="preserve"> arrest warrant from </w:t>
      </w:r>
      <w:r w:rsidR="00B16C5C">
        <w:rPr>
          <w:rFonts w:ascii="Book Antiqua" w:hAnsi="Book Antiqua" w:cs="Arial"/>
        </w:rPr>
        <w:t>Afghanistan</w:t>
      </w:r>
      <w:r w:rsidR="00027F17">
        <w:rPr>
          <w:rFonts w:ascii="Book Antiqua" w:hAnsi="Book Antiqua" w:cs="Arial"/>
        </w:rPr>
        <w:t xml:space="preserve"> that states </w:t>
      </w:r>
      <w:r w:rsidR="00D93136">
        <w:rPr>
          <w:rFonts w:ascii="Book Antiqua" w:hAnsi="Book Antiqua" w:cs="Arial"/>
        </w:rPr>
        <w:t>an</w:t>
      </w:r>
      <w:r w:rsidR="00027F17">
        <w:rPr>
          <w:rFonts w:ascii="Book Antiqua" w:hAnsi="Book Antiqua" w:cs="Arial"/>
        </w:rPr>
        <w:t xml:space="preserve"> individual was arrested on 1 April 2020 </w:t>
      </w:r>
      <w:r w:rsidR="00027F17">
        <w:rPr>
          <w:rFonts w:ascii="Book Antiqua" w:hAnsi="Book Antiqua" w:cs="Arial"/>
        </w:rPr>
        <w:lastRenderedPageBreak/>
        <w:t>in</w:t>
      </w:r>
      <w:r w:rsidR="003524A6">
        <w:rPr>
          <w:rFonts w:ascii="Book Antiqua" w:hAnsi="Book Antiqua" w:cs="Arial"/>
        </w:rPr>
        <w:t xml:space="preserve"> </w:t>
      </w:r>
      <w:r w:rsidR="00B16C5C">
        <w:rPr>
          <w:rFonts w:ascii="Book Antiqua" w:hAnsi="Book Antiqua" w:cs="Arial"/>
        </w:rPr>
        <w:t>Afghanistan</w:t>
      </w:r>
      <w:r w:rsidR="00E40D30">
        <w:rPr>
          <w:rFonts w:ascii="Book Antiqua" w:hAnsi="Book Antiqua" w:cs="Arial"/>
        </w:rPr>
        <w:t xml:space="preserve"> may not advance th</w:t>
      </w:r>
      <w:r w:rsidR="00331101">
        <w:rPr>
          <w:rFonts w:ascii="Book Antiqua" w:hAnsi="Book Antiqua" w:cs="Arial"/>
        </w:rPr>
        <w:t>at</w:t>
      </w:r>
      <w:r w:rsidR="00E40D30">
        <w:rPr>
          <w:rFonts w:ascii="Book Antiqua" w:hAnsi="Book Antiqua" w:cs="Arial"/>
        </w:rPr>
        <w:t xml:space="preserve"> individual’s claim</w:t>
      </w:r>
      <w:r w:rsidR="00B16C5C">
        <w:rPr>
          <w:rFonts w:ascii="Book Antiqua" w:hAnsi="Book Antiqua" w:cs="Arial"/>
        </w:rPr>
        <w:t xml:space="preserve"> if there is reliable EURODAC evidence that the individual was fingerprinted</w:t>
      </w:r>
      <w:r w:rsidR="005F56EF">
        <w:rPr>
          <w:rFonts w:ascii="Book Antiqua" w:hAnsi="Book Antiqua" w:cs="Arial"/>
        </w:rPr>
        <w:t xml:space="preserve"> whilst in detention</w:t>
      </w:r>
      <w:r w:rsidR="00B16C5C">
        <w:rPr>
          <w:rFonts w:ascii="Book Antiqua" w:hAnsi="Book Antiqua" w:cs="Arial"/>
        </w:rPr>
        <w:t xml:space="preserve"> in Germany</w:t>
      </w:r>
      <w:r w:rsidR="005F56EF">
        <w:rPr>
          <w:rFonts w:ascii="Book Antiqua" w:hAnsi="Book Antiqua" w:cs="Arial"/>
        </w:rPr>
        <w:t xml:space="preserve"> on that very date. </w:t>
      </w:r>
      <w:r w:rsidR="00691403">
        <w:rPr>
          <w:rFonts w:ascii="Book Antiqua" w:hAnsi="Book Antiqua" w:cs="Arial"/>
        </w:rPr>
        <w:t>In such a scenario, the</w:t>
      </w:r>
      <w:r w:rsidR="00D54298">
        <w:rPr>
          <w:rFonts w:ascii="Book Antiqua" w:hAnsi="Book Antiqua" w:cs="Arial"/>
        </w:rPr>
        <w:t xml:space="preserve"> judge still has a duty to explain why</w:t>
      </w:r>
      <w:r w:rsidR="00093F2D">
        <w:rPr>
          <w:rFonts w:ascii="Book Antiqua" w:hAnsi="Book Antiqua" w:cs="Arial"/>
        </w:rPr>
        <w:t xml:space="preserve"> (assuming he or she so finds)</w:t>
      </w:r>
      <w:r w:rsidR="00D54298">
        <w:rPr>
          <w:rFonts w:ascii="Book Antiqua" w:hAnsi="Book Antiqua" w:cs="Arial"/>
        </w:rPr>
        <w:t xml:space="preserve"> the arrest warrant does not </w:t>
      </w:r>
      <w:r w:rsidR="00131E82">
        <w:rPr>
          <w:rFonts w:ascii="Book Antiqua" w:hAnsi="Book Antiqua" w:cs="Arial"/>
        </w:rPr>
        <w:t xml:space="preserve">assist the individual’s case; but the </w:t>
      </w:r>
      <w:r w:rsidR="000D4F55">
        <w:rPr>
          <w:rFonts w:ascii="Book Antiqua" w:hAnsi="Book Antiqua" w:cs="Arial"/>
        </w:rPr>
        <w:t xml:space="preserve">reasons </w:t>
      </w:r>
      <w:r w:rsidR="00331101">
        <w:rPr>
          <w:rFonts w:ascii="Book Antiqua" w:hAnsi="Book Antiqua" w:cs="Arial"/>
        </w:rPr>
        <w:t>are likely to</w:t>
      </w:r>
      <w:r w:rsidR="00F20B83">
        <w:rPr>
          <w:rFonts w:ascii="Book Antiqua" w:hAnsi="Book Antiqua" w:cs="Arial"/>
        </w:rPr>
        <w:t xml:space="preserve"> be relatively straightforward. In the absence of the EURODAC </w:t>
      </w:r>
      <w:proofErr w:type="gramStart"/>
      <w:r w:rsidR="00F20B83">
        <w:rPr>
          <w:rFonts w:ascii="Book Antiqua" w:hAnsi="Book Antiqua" w:cs="Arial"/>
        </w:rPr>
        <w:t xml:space="preserve">evidence, </w:t>
      </w:r>
      <w:r w:rsidR="008E19D6">
        <w:rPr>
          <w:rFonts w:ascii="Book Antiqua" w:hAnsi="Book Antiqua" w:cs="Arial"/>
        </w:rPr>
        <w:t xml:space="preserve"> the</w:t>
      </w:r>
      <w:proofErr w:type="gramEnd"/>
      <w:r w:rsidR="008E19D6">
        <w:rPr>
          <w:rFonts w:ascii="Book Antiqua" w:hAnsi="Book Antiqua" w:cs="Arial"/>
        </w:rPr>
        <w:t xml:space="preserve"> requirement of </w:t>
      </w:r>
      <w:r w:rsidR="00001B7B">
        <w:rPr>
          <w:rFonts w:ascii="Book Antiqua" w:hAnsi="Book Antiqua" w:cs="Arial"/>
        </w:rPr>
        <w:t>what</w:t>
      </w:r>
      <w:r w:rsidR="00567806">
        <w:rPr>
          <w:rFonts w:ascii="Book Antiqua" w:hAnsi="Book Antiqua" w:cs="Arial"/>
        </w:rPr>
        <w:t xml:space="preserve"> will</w:t>
      </w:r>
      <w:r w:rsidR="00001B7B">
        <w:rPr>
          <w:rFonts w:ascii="Book Antiqua" w:hAnsi="Book Antiqua" w:cs="Arial"/>
        </w:rPr>
        <w:t xml:space="preserve"> constitute legally adequate reasons</w:t>
      </w:r>
      <w:r w:rsidR="00CE6007">
        <w:rPr>
          <w:rFonts w:ascii="Book Antiqua" w:hAnsi="Book Antiqua" w:cs="Arial"/>
        </w:rPr>
        <w:t xml:space="preserve"> for rejecting the individual’s claim</w:t>
      </w:r>
      <w:r w:rsidR="00001B7B">
        <w:rPr>
          <w:rFonts w:ascii="Book Antiqua" w:hAnsi="Book Antiqua" w:cs="Arial"/>
        </w:rPr>
        <w:t xml:space="preserve"> </w:t>
      </w:r>
      <w:r w:rsidR="004462CF">
        <w:rPr>
          <w:rFonts w:ascii="Book Antiqua" w:hAnsi="Book Antiqua" w:cs="Arial"/>
        </w:rPr>
        <w:t xml:space="preserve">may well be </w:t>
      </w:r>
      <w:r w:rsidR="008E19D6">
        <w:rPr>
          <w:rFonts w:ascii="Book Antiqua" w:hAnsi="Book Antiqua" w:cs="Arial"/>
        </w:rPr>
        <w:t>more onerous</w:t>
      </w:r>
      <w:r w:rsidR="004462CF">
        <w:rPr>
          <w:rFonts w:ascii="Book Antiqua" w:hAnsi="Book Antiqua" w:cs="Arial"/>
        </w:rPr>
        <w:t>.</w:t>
      </w:r>
    </w:p>
    <w:p w14:paraId="63D82EA7" w14:textId="77777777" w:rsidR="00EF39D6" w:rsidRDefault="00EF39D6" w:rsidP="00EF39D6">
      <w:pPr>
        <w:pStyle w:val="ListParagraph"/>
        <w:spacing w:after="240"/>
        <w:ind w:left="567"/>
        <w:jc w:val="both"/>
        <w:rPr>
          <w:rFonts w:ascii="Book Antiqua" w:hAnsi="Book Antiqua" w:cs="Arial"/>
        </w:rPr>
      </w:pPr>
    </w:p>
    <w:p w14:paraId="0829826E" w14:textId="19EC02BD" w:rsidR="002E6DE4" w:rsidRPr="00DC0AB1" w:rsidRDefault="00520A02" w:rsidP="003D246E">
      <w:pPr>
        <w:pStyle w:val="ListParagraph"/>
        <w:numPr>
          <w:ilvl w:val="0"/>
          <w:numId w:val="1"/>
        </w:numPr>
        <w:spacing w:after="240"/>
        <w:ind w:left="567" w:hanging="567"/>
        <w:jc w:val="both"/>
        <w:rPr>
          <w:rFonts w:ascii="Book Antiqua" w:hAnsi="Book Antiqua" w:cs="Arial"/>
        </w:rPr>
      </w:pPr>
      <w:r>
        <w:rPr>
          <w:rFonts w:ascii="Book Antiqua" w:hAnsi="Book Antiqua" w:cs="Arial"/>
        </w:rPr>
        <w:t>To sum up, t</w:t>
      </w:r>
      <w:r w:rsidR="004C4002" w:rsidRPr="00DC0AB1">
        <w:rPr>
          <w:rFonts w:ascii="Book Antiqua" w:hAnsi="Book Antiqua" w:cs="Arial"/>
        </w:rPr>
        <w:t xml:space="preserve">he judicial fact-finder has a duty to make his or her decision by reference to all the relevant evidence and needs to show in their decision that they have done so.  The actual way in which the fact-finder goes about this task is a matter for them.  As has been pointed out, one </w:t>
      </w:r>
      <w:proofErr w:type="gramStart"/>
      <w:r w:rsidR="004C4002" w:rsidRPr="00DC0AB1">
        <w:rPr>
          <w:rFonts w:ascii="Book Antiqua" w:hAnsi="Book Antiqua" w:cs="Arial"/>
        </w:rPr>
        <w:t>has to</w:t>
      </w:r>
      <w:proofErr w:type="gramEnd"/>
      <w:r w:rsidR="004C4002" w:rsidRPr="00DC0AB1">
        <w:rPr>
          <w:rFonts w:ascii="Book Antiqua" w:hAnsi="Book Antiqua" w:cs="Arial"/>
        </w:rPr>
        <w:t xml:space="preserve"> start somewhere.  At the end of the day, what matters is whether the decision contains legally adequate reasons for the outcome.  The greater the apparent cogency and relevance of a particular piece of evidence, the greater is the need for the judicial fact-finder to show that they have had due regard to that evidence; and, if the</w:t>
      </w:r>
      <w:r w:rsidR="0018282F">
        <w:rPr>
          <w:rFonts w:ascii="Book Antiqua" w:hAnsi="Book Antiqua" w:cs="Arial"/>
        </w:rPr>
        <w:t xml:space="preserve"> fact-finder’s</w:t>
      </w:r>
      <w:r w:rsidR="004C4002" w:rsidRPr="00DC0AB1">
        <w:rPr>
          <w:rFonts w:ascii="Book Antiqua" w:hAnsi="Book Antiqua" w:cs="Arial"/>
        </w:rPr>
        <w:t xml:space="preserve"> overall conclusion is contrary to the app</w:t>
      </w:r>
      <w:r w:rsidR="005619DE" w:rsidRPr="00DC0AB1">
        <w:rPr>
          <w:rFonts w:ascii="Book Antiqua" w:hAnsi="Book Antiqua" w:cs="Arial"/>
        </w:rPr>
        <w:t>arent</w:t>
      </w:r>
      <w:r w:rsidR="004C4002" w:rsidRPr="00DC0AB1">
        <w:rPr>
          <w:rFonts w:ascii="Book Antiqua" w:hAnsi="Book Antiqua" w:cs="Arial"/>
        </w:rPr>
        <w:t xml:space="preserve"> thrust of that evidence, the greater is the need to explain why that evidence has not brought about a different outcome. </w:t>
      </w:r>
    </w:p>
    <w:p w14:paraId="2286C15F" w14:textId="40EC4270" w:rsidR="00F8177E" w:rsidRDefault="002E6DE4" w:rsidP="00DC0AB1">
      <w:pPr>
        <w:spacing w:after="240"/>
        <w:jc w:val="both"/>
        <w:rPr>
          <w:rFonts w:ascii="Book Antiqua" w:hAnsi="Book Antiqua" w:cs="Arial"/>
        </w:rPr>
      </w:pPr>
      <w:r>
        <w:rPr>
          <w:rFonts w:ascii="Book Antiqua" w:hAnsi="Book Antiqua" w:cs="Arial"/>
          <w:b/>
          <w:bCs/>
          <w:i/>
          <w:iCs/>
        </w:rPr>
        <w:t>G. DECIDING THE APPEAL</w:t>
      </w:r>
    </w:p>
    <w:p w14:paraId="1B1C8B73" w14:textId="48E77405" w:rsidR="004C4002" w:rsidRDefault="00382F14" w:rsidP="00684194">
      <w:pPr>
        <w:pStyle w:val="ListParagraph"/>
        <w:numPr>
          <w:ilvl w:val="0"/>
          <w:numId w:val="1"/>
        </w:numPr>
        <w:spacing w:after="240"/>
        <w:ind w:left="567" w:hanging="567"/>
        <w:jc w:val="both"/>
        <w:rPr>
          <w:rFonts w:ascii="Book Antiqua" w:hAnsi="Book Antiqua" w:cs="Arial"/>
        </w:rPr>
      </w:pPr>
      <w:r>
        <w:rPr>
          <w:rFonts w:ascii="Book Antiqua" w:hAnsi="Book Antiqua" w:cs="Arial"/>
        </w:rPr>
        <w:t>We can now return to the facts of the present appellant’s case.  As we have seen, the first ground of challenge to the First-tier Tribunal Judge’s decision proceeds on the assumption that, on the facts of this case, the respondent had an obligation to carry out verification of the arrest warrant; and that it was not open to the respondent or, indeed, the First-tier Tribunal Judge “to impugn such a document”.  The arrest warrant is said to be “central to the claim and it was not said it was</w:t>
      </w:r>
      <w:r w:rsidR="00851D10">
        <w:rPr>
          <w:rFonts w:ascii="Book Antiqua" w:hAnsi="Book Antiqua" w:cs="Arial"/>
        </w:rPr>
        <w:t xml:space="preserve"> not</w:t>
      </w:r>
      <w:r>
        <w:rPr>
          <w:rFonts w:ascii="Book Antiqua" w:hAnsi="Book Antiqua" w:cs="Arial"/>
        </w:rPr>
        <w:t xml:space="preserve"> easily verifiable”.  The First-tier Tribunal Judge “erred where the respondent had failed to consider </w:t>
      </w:r>
      <w:r w:rsidR="002C6DCB">
        <w:rPr>
          <w:rFonts w:ascii="Book Antiqua" w:hAnsi="Book Antiqua" w:cs="Arial"/>
        </w:rPr>
        <w:t>routes</w:t>
      </w:r>
      <w:r>
        <w:rPr>
          <w:rFonts w:ascii="Book Antiqua" w:hAnsi="Book Antiqua" w:cs="Arial"/>
        </w:rPr>
        <w:t xml:space="preserve"> which the document could be verified”</w:t>
      </w:r>
      <w:r w:rsidR="00EE52FF">
        <w:rPr>
          <w:rFonts w:ascii="Book Antiqua" w:hAnsi="Book Antiqua" w:cs="Arial"/>
        </w:rPr>
        <w:t xml:space="preserve">.  </w:t>
      </w:r>
    </w:p>
    <w:p w14:paraId="311E7945" w14:textId="77777777" w:rsidR="00EE52FF" w:rsidRDefault="00EE52FF" w:rsidP="00EE52FF">
      <w:pPr>
        <w:pStyle w:val="ListParagraph"/>
        <w:spacing w:after="240"/>
        <w:ind w:left="567"/>
        <w:jc w:val="both"/>
        <w:rPr>
          <w:rFonts w:ascii="Book Antiqua" w:hAnsi="Book Antiqua" w:cs="Arial"/>
        </w:rPr>
      </w:pPr>
    </w:p>
    <w:p w14:paraId="791F1245" w14:textId="754C3744" w:rsidR="00EE52FF" w:rsidRDefault="00636622" w:rsidP="00684194">
      <w:pPr>
        <w:pStyle w:val="ListParagraph"/>
        <w:numPr>
          <w:ilvl w:val="0"/>
          <w:numId w:val="1"/>
        </w:numPr>
        <w:spacing w:after="240"/>
        <w:ind w:left="567" w:hanging="567"/>
        <w:jc w:val="both"/>
        <w:rPr>
          <w:rFonts w:ascii="Book Antiqua" w:hAnsi="Book Antiqua" w:cs="Arial"/>
        </w:rPr>
      </w:pPr>
      <w:r>
        <w:rPr>
          <w:rFonts w:ascii="Book Antiqua" w:hAnsi="Book Antiqua" w:cs="Arial"/>
        </w:rPr>
        <w:t>In his asylum interview</w:t>
      </w:r>
      <w:r w:rsidR="00AC16C3">
        <w:rPr>
          <w:rFonts w:ascii="Book Antiqua" w:hAnsi="Book Antiqua" w:cs="Arial"/>
        </w:rPr>
        <w:t xml:space="preserve">, the appellant made no reference to there being an arrest warrant </w:t>
      </w:r>
      <w:r w:rsidR="00B82F6D">
        <w:rPr>
          <w:rFonts w:ascii="Book Antiqua" w:hAnsi="Book Antiqua" w:cs="Arial"/>
        </w:rPr>
        <w:t>in his name in China.  When asked at Q</w:t>
      </w:r>
      <w:r w:rsidR="00496CDA">
        <w:rPr>
          <w:rFonts w:ascii="Book Antiqua" w:hAnsi="Book Antiqua" w:cs="Arial"/>
        </w:rPr>
        <w:t xml:space="preserve"> </w:t>
      </w:r>
      <w:r w:rsidR="00B82F6D">
        <w:rPr>
          <w:rFonts w:ascii="Book Antiqua" w:hAnsi="Book Antiqua" w:cs="Arial"/>
        </w:rPr>
        <w:t>151 why the Chinese</w:t>
      </w:r>
      <w:r w:rsidR="008038D2">
        <w:rPr>
          <w:rFonts w:ascii="Book Antiqua" w:hAnsi="Book Antiqua" w:cs="Arial"/>
        </w:rPr>
        <w:t xml:space="preserve"> authorities</w:t>
      </w:r>
      <w:r w:rsidR="00B82F6D">
        <w:rPr>
          <w:rFonts w:ascii="Book Antiqua" w:hAnsi="Book Antiqua" w:cs="Arial"/>
        </w:rPr>
        <w:t xml:space="preserve"> would still be interested in the appellant after several years, the appellant replied that they were interested in arresting those who support Tibet’s independence.  At Q</w:t>
      </w:r>
      <w:r w:rsidR="00496CDA">
        <w:rPr>
          <w:rFonts w:ascii="Book Antiqua" w:hAnsi="Book Antiqua" w:cs="Arial"/>
        </w:rPr>
        <w:t xml:space="preserve"> </w:t>
      </w:r>
      <w:r w:rsidR="00B82F6D">
        <w:rPr>
          <w:rFonts w:ascii="Book Antiqua" w:hAnsi="Book Antiqua" w:cs="Arial"/>
        </w:rPr>
        <w:t>152</w:t>
      </w:r>
      <w:r w:rsidR="009C5D51">
        <w:rPr>
          <w:rFonts w:ascii="Book Antiqua" w:hAnsi="Book Antiqua" w:cs="Arial"/>
        </w:rPr>
        <w:t>, the appellant said he had friends who went back to China and he ha</w:t>
      </w:r>
      <w:r w:rsidR="00496CDA">
        <w:rPr>
          <w:rFonts w:ascii="Book Antiqua" w:hAnsi="Book Antiqua" w:cs="Arial"/>
        </w:rPr>
        <w:t>d</w:t>
      </w:r>
      <w:r w:rsidR="009C5D51">
        <w:rPr>
          <w:rFonts w:ascii="Book Antiqua" w:hAnsi="Book Antiqua" w:cs="Arial"/>
        </w:rPr>
        <w:t xml:space="preserve"> asked them to find out what had happened back home.  They had confirmed that he was still wanted.  </w:t>
      </w:r>
    </w:p>
    <w:p w14:paraId="380CE8D6" w14:textId="77777777" w:rsidR="00CC3FD1" w:rsidRDefault="00CC3FD1" w:rsidP="00CC3FD1">
      <w:pPr>
        <w:pStyle w:val="ListParagraph"/>
        <w:spacing w:after="240"/>
        <w:ind w:left="567"/>
        <w:jc w:val="both"/>
        <w:rPr>
          <w:rFonts w:ascii="Book Antiqua" w:hAnsi="Book Antiqua" w:cs="Arial"/>
        </w:rPr>
      </w:pPr>
    </w:p>
    <w:p w14:paraId="797387A5" w14:textId="6027B376" w:rsidR="00226F49" w:rsidRDefault="0025049A" w:rsidP="00684194">
      <w:pPr>
        <w:pStyle w:val="ListParagraph"/>
        <w:numPr>
          <w:ilvl w:val="0"/>
          <w:numId w:val="1"/>
        </w:numPr>
        <w:spacing w:after="240"/>
        <w:ind w:left="567" w:hanging="567"/>
        <w:jc w:val="both"/>
        <w:rPr>
          <w:rFonts w:ascii="Book Antiqua" w:hAnsi="Book Antiqua" w:cs="Arial"/>
        </w:rPr>
      </w:pPr>
      <w:r>
        <w:rPr>
          <w:rFonts w:ascii="Book Antiqua" w:hAnsi="Book Antiqua" w:cs="Arial"/>
        </w:rPr>
        <w:t>The asylum interview took place on 4 March 2019.  The respondent’s decision, refusing the appellant’s claim, is dated 19 March 2019.  There is no suggesti</w:t>
      </w:r>
      <w:r w:rsidR="00226F49">
        <w:rPr>
          <w:rFonts w:ascii="Book Antiqua" w:hAnsi="Book Antiqua" w:cs="Arial"/>
        </w:rPr>
        <w:t>on</w:t>
      </w:r>
      <w:r>
        <w:rPr>
          <w:rFonts w:ascii="Book Antiqua" w:hAnsi="Book Antiqua" w:cs="Arial"/>
        </w:rPr>
        <w:t xml:space="preserve"> that, at the time the refusal letter was prepared, the appellant had sent a copy of the arrest warrant to the respondent.  Nor is there any suggestion that it had accompanied the appellant’s notice of appeal against the respondent’s decision, which was received the First-tier Tribunal on 2 April 2019.  </w:t>
      </w:r>
    </w:p>
    <w:p w14:paraId="6E1C8CB5" w14:textId="77777777" w:rsidR="00226F49" w:rsidRDefault="00226F49" w:rsidP="00226F49">
      <w:pPr>
        <w:pStyle w:val="ListParagraph"/>
        <w:spacing w:after="240"/>
        <w:ind w:left="567"/>
        <w:jc w:val="both"/>
        <w:rPr>
          <w:rFonts w:ascii="Book Antiqua" w:hAnsi="Book Antiqua" w:cs="Arial"/>
        </w:rPr>
      </w:pPr>
    </w:p>
    <w:p w14:paraId="624D38AD" w14:textId="6DAB9581" w:rsidR="00CC3FD1" w:rsidRDefault="0025049A" w:rsidP="00684194">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In fact, </w:t>
      </w:r>
      <w:r w:rsidR="007C1D2B">
        <w:rPr>
          <w:rFonts w:ascii="Book Antiqua" w:hAnsi="Book Antiqua" w:cs="Arial"/>
        </w:rPr>
        <w:t>the document in question</w:t>
      </w:r>
      <w:r>
        <w:rPr>
          <w:rFonts w:ascii="Book Antiqua" w:hAnsi="Book Antiqua" w:cs="Arial"/>
        </w:rPr>
        <w:t xml:space="preserve"> was only sent to the First-tier Tribunal under cover of a letter from Katani &amp; Co dated 16 July 2019,</w:t>
      </w:r>
      <w:r w:rsidR="00625168">
        <w:rPr>
          <w:rFonts w:ascii="Book Antiqua" w:hAnsi="Book Antiqua" w:cs="Arial"/>
        </w:rPr>
        <w:t xml:space="preserve"> the day before the hearing,</w:t>
      </w:r>
      <w:r>
        <w:rPr>
          <w:rFonts w:ascii="Book Antiqua" w:hAnsi="Book Antiqua" w:cs="Arial"/>
        </w:rPr>
        <w:t xml:space="preserve"> as part of the second inventory of productions.  A copy of what itself appears to be a photocopy, </w:t>
      </w:r>
      <w:r>
        <w:rPr>
          <w:rFonts w:ascii="Book Antiqua" w:hAnsi="Book Antiqua" w:cs="Arial"/>
        </w:rPr>
        <w:lastRenderedPageBreak/>
        <w:t>purporting to be the warrant, occurs at page 15 of th</w:t>
      </w:r>
      <w:r w:rsidR="007C1D2B">
        <w:rPr>
          <w:rFonts w:ascii="Book Antiqua" w:hAnsi="Book Antiqua" w:cs="Arial"/>
        </w:rPr>
        <w:t>is</w:t>
      </w:r>
      <w:r>
        <w:rPr>
          <w:rFonts w:ascii="Book Antiqua" w:hAnsi="Book Antiqua" w:cs="Arial"/>
        </w:rPr>
        <w:t xml:space="preserve"> inventory.  It bears a stamp in the name of Global Language Services Ltd, indicating that </w:t>
      </w:r>
      <w:r w:rsidR="00D94F3C">
        <w:rPr>
          <w:rFonts w:ascii="Book Antiqua" w:hAnsi="Book Antiqua" w:cs="Arial"/>
        </w:rPr>
        <w:t>it was translated into English on 16 July 2019.  The English translation, at page 14, carries an identical stamp.  After describing the appellant as suspected of participation in activities of Tibetan separatist organisations and attendance at illegal gatherings, etc</w:t>
      </w:r>
      <w:r w:rsidR="00D92DC1">
        <w:rPr>
          <w:rFonts w:ascii="Book Antiqua" w:hAnsi="Book Antiqua" w:cs="Arial"/>
        </w:rPr>
        <w:t>,</w:t>
      </w:r>
      <w:r w:rsidR="00D94F3C">
        <w:rPr>
          <w:rFonts w:ascii="Book Antiqua" w:hAnsi="Book Antiqua" w:cs="Arial"/>
        </w:rPr>
        <w:t xml:space="preserve"> the warrant request</w:t>
      </w:r>
      <w:r w:rsidR="001F4879">
        <w:rPr>
          <w:rFonts w:ascii="Book Antiqua" w:hAnsi="Book Antiqua" w:cs="Arial"/>
        </w:rPr>
        <w:t>s</w:t>
      </w:r>
      <w:r w:rsidR="00D94F3C">
        <w:rPr>
          <w:rFonts w:ascii="Book Antiqua" w:hAnsi="Book Antiqua" w:cs="Arial"/>
        </w:rPr>
        <w:t xml:space="preserve"> all local public security authorities to take all possible measures to search for the </w:t>
      </w:r>
      <w:r w:rsidR="001F4879">
        <w:rPr>
          <w:rFonts w:ascii="Book Antiqua" w:hAnsi="Book Antiqua" w:cs="Arial"/>
        </w:rPr>
        <w:t>“</w:t>
      </w:r>
      <w:r w:rsidR="00D94F3C">
        <w:rPr>
          <w:rFonts w:ascii="Book Antiqua" w:hAnsi="Book Antiqua" w:cs="Arial"/>
        </w:rPr>
        <w:t>suspect</w:t>
      </w:r>
      <w:r w:rsidR="001F4879">
        <w:rPr>
          <w:rFonts w:ascii="Book Antiqua" w:hAnsi="Book Antiqua" w:cs="Arial"/>
        </w:rPr>
        <w:t>”</w:t>
      </w:r>
      <w:r w:rsidR="00D94F3C">
        <w:rPr>
          <w:rFonts w:ascii="Book Antiqua" w:hAnsi="Book Antiqua" w:cs="Arial"/>
        </w:rPr>
        <w:t xml:space="preserve"> after receiving this warrant.  The public is urged to call the police </w:t>
      </w:r>
      <w:r w:rsidR="001F4879">
        <w:rPr>
          <w:rFonts w:ascii="Book Antiqua" w:hAnsi="Book Antiqua" w:cs="Arial"/>
        </w:rPr>
        <w:t>“</w:t>
      </w:r>
      <w:r w:rsidR="00D94F3C">
        <w:rPr>
          <w:rFonts w:ascii="Book Antiqua" w:hAnsi="Book Antiqua" w:cs="Arial"/>
        </w:rPr>
        <w:t>on 110</w:t>
      </w:r>
      <w:r w:rsidR="001F4879">
        <w:rPr>
          <w:rFonts w:ascii="Book Antiqua" w:hAnsi="Book Antiqua" w:cs="Arial"/>
        </w:rPr>
        <w:t>”</w:t>
      </w:r>
      <w:r w:rsidR="00D94F3C">
        <w:rPr>
          <w:rFonts w:ascii="Book Antiqua" w:hAnsi="Book Antiqua" w:cs="Arial"/>
        </w:rPr>
        <w:t xml:space="preserve"> to report</w:t>
      </w:r>
      <w:r w:rsidR="001F4879">
        <w:rPr>
          <w:rFonts w:ascii="Book Antiqua" w:hAnsi="Book Antiqua" w:cs="Arial"/>
        </w:rPr>
        <w:t>;</w:t>
      </w:r>
      <w:r w:rsidR="00D94F3C">
        <w:rPr>
          <w:rFonts w:ascii="Book Antiqua" w:hAnsi="Book Antiqua" w:cs="Arial"/>
        </w:rPr>
        <w:t xml:space="preserve"> and the bureau is said to be offering a high-value reward to anyone who provides useful information or who captures the suspect and sends him to the local public security authority.  </w:t>
      </w:r>
    </w:p>
    <w:p w14:paraId="47842402" w14:textId="77777777" w:rsidR="00D94F3C" w:rsidRDefault="00D94F3C" w:rsidP="00D94F3C">
      <w:pPr>
        <w:pStyle w:val="ListParagraph"/>
        <w:spacing w:after="240"/>
        <w:ind w:left="567"/>
        <w:jc w:val="both"/>
        <w:rPr>
          <w:rFonts w:ascii="Book Antiqua" w:hAnsi="Book Antiqua" w:cs="Arial"/>
        </w:rPr>
      </w:pPr>
    </w:p>
    <w:p w14:paraId="720FF34C" w14:textId="1A649222" w:rsidR="0081262B" w:rsidRDefault="00333838" w:rsidP="00D21419">
      <w:pPr>
        <w:pStyle w:val="ListParagraph"/>
        <w:numPr>
          <w:ilvl w:val="0"/>
          <w:numId w:val="1"/>
        </w:numPr>
        <w:spacing w:after="240"/>
        <w:ind w:left="567" w:hanging="567"/>
        <w:jc w:val="both"/>
        <w:rPr>
          <w:rFonts w:ascii="Book Antiqua" w:hAnsi="Book Antiqua" w:cs="Arial"/>
        </w:rPr>
      </w:pPr>
      <w:r w:rsidRPr="00B35B3B">
        <w:rPr>
          <w:rFonts w:ascii="Book Antiqua" w:hAnsi="Book Antiqua" w:cs="Arial"/>
        </w:rPr>
        <w:t>In the light of this chronology</w:t>
      </w:r>
      <w:r w:rsidR="00D94F3C" w:rsidRPr="00B35B3B">
        <w:rPr>
          <w:rFonts w:ascii="Book Antiqua" w:hAnsi="Book Antiqua" w:cs="Arial"/>
        </w:rPr>
        <w:t xml:space="preserve">, it can readily be seen that the appellant can derive no assistance whatsoever from the judgments in </w:t>
      </w:r>
      <w:r w:rsidR="00AD1197" w:rsidRPr="00B35B3B">
        <w:rPr>
          <w:rFonts w:ascii="Book Antiqua" w:hAnsi="Book Antiqua" w:cs="Arial"/>
          <w:u w:val="single"/>
        </w:rPr>
        <w:t>PJ</w:t>
      </w:r>
      <w:r w:rsidR="00AD1197" w:rsidRPr="00B35B3B">
        <w:rPr>
          <w:rFonts w:ascii="Book Antiqua" w:hAnsi="Book Antiqua" w:cs="Arial"/>
        </w:rPr>
        <w:t xml:space="preserve"> or </w:t>
      </w:r>
      <w:r w:rsidR="00AD1197" w:rsidRPr="00B35B3B">
        <w:rPr>
          <w:rFonts w:ascii="Book Antiqua" w:hAnsi="Book Antiqua" w:cs="Arial"/>
          <w:u w:val="single"/>
        </w:rPr>
        <w:t>AR</w:t>
      </w:r>
      <w:r w:rsidR="00AD1197" w:rsidRPr="00B35B3B">
        <w:rPr>
          <w:rFonts w:ascii="Book Antiqua" w:hAnsi="Book Antiqua" w:cs="Arial"/>
        </w:rPr>
        <w:t xml:space="preserve">.  The respondent’s </w:t>
      </w:r>
      <w:r w:rsidR="00D92DC1" w:rsidRPr="00B35B3B">
        <w:rPr>
          <w:rFonts w:ascii="Book Antiqua" w:hAnsi="Book Antiqua" w:cs="Arial"/>
        </w:rPr>
        <w:t>P</w:t>
      </w:r>
      <w:r w:rsidR="00AD1197" w:rsidRPr="00B35B3B">
        <w:rPr>
          <w:rFonts w:ascii="Book Antiqua" w:hAnsi="Book Antiqua" w:cs="Arial"/>
        </w:rPr>
        <w:t xml:space="preserve">resenting </w:t>
      </w:r>
      <w:r w:rsidR="00D92DC1" w:rsidRPr="00B35B3B">
        <w:rPr>
          <w:rFonts w:ascii="Book Antiqua" w:hAnsi="Book Antiqua" w:cs="Arial"/>
        </w:rPr>
        <w:t>O</w:t>
      </w:r>
      <w:r w:rsidR="00AD1197" w:rsidRPr="00B35B3B">
        <w:rPr>
          <w:rFonts w:ascii="Book Antiqua" w:hAnsi="Book Antiqua" w:cs="Arial"/>
        </w:rPr>
        <w:t xml:space="preserve">fficer, like the First-tier Tribunal Judge, would have seen the arrest warrant and its translation only upon receipt of the second </w:t>
      </w:r>
      <w:r w:rsidR="00D92DC1" w:rsidRPr="00B35B3B">
        <w:rPr>
          <w:rFonts w:ascii="Book Antiqua" w:hAnsi="Book Antiqua" w:cs="Arial"/>
        </w:rPr>
        <w:t>i</w:t>
      </w:r>
      <w:r w:rsidR="00AD1197" w:rsidRPr="00B35B3B">
        <w:rPr>
          <w:rFonts w:ascii="Book Antiqua" w:hAnsi="Book Antiqua" w:cs="Arial"/>
        </w:rPr>
        <w:t xml:space="preserve">nventory of </w:t>
      </w:r>
      <w:r w:rsidR="00D92DC1" w:rsidRPr="00B35B3B">
        <w:rPr>
          <w:rFonts w:ascii="Book Antiqua" w:hAnsi="Book Antiqua" w:cs="Arial"/>
        </w:rPr>
        <w:t>p</w:t>
      </w:r>
      <w:r w:rsidR="00AD1197" w:rsidRPr="00B35B3B">
        <w:rPr>
          <w:rFonts w:ascii="Book Antiqua" w:hAnsi="Book Antiqua" w:cs="Arial"/>
        </w:rPr>
        <w:t>roductions, which would appear to have been on the</w:t>
      </w:r>
      <w:r w:rsidR="002A6AE6" w:rsidRPr="00B35B3B">
        <w:rPr>
          <w:rFonts w:ascii="Book Antiqua" w:hAnsi="Book Antiqua" w:cs="Arial"/>
        </w:rPr>
        <w:t xml:space="preserve"> very</w:t>
      </w:r>
      <w:r w:rsidR="00AD1197" w:rsidRPr="00B35B3B">
        <w:rPr>
          <w:rFonts w:ascii="Book Antiqua" w:hAnsi="Book Antiqua" w:cs="Arial"/>
        </w:rPr>
        <w:t xml:space="preserve"> day of the hearing.  Mr Winter valiantly submitted that, even so, the duty of verification arose. </w:t>
      </w:r>
      <w:r w:rsidR="00B552C7" w:rsidRPr="00B35B3B">
        <w:rPr>
          <w:rFonts w:ascii="Book Antiqua" w:hAnsi="Book Antiqua" w:cs="Arial"/>
        </w:rPr>
        <w:t xml:space="preserve"> </w:t>
      </w:r>
      <w:r w:rsidR="00AD1197" w:rsidRPr="00B35B3B">
        <w:rPr>
          <w:rFonts w:ascii="Book Antiqua" w:hAnsi="Book Antiqua" w:cs="Arial"/>
        </w:rPr>
        <w:t xml:space="preserve"> If correct, that would, of course, place the respondent in a</w:t>
      </w:r>
      <w:r w:rsidR="002A6AE6" w:rsidRPr="00B35B3B">
        <w:rPr>
          <w:rFonts w:ascii="Book Antiqua" w:hAnsi="Book Antiqua" w:cs="Arial"/>
        </w:rPr>
        <w:t>n immensely</w:t>
      </w:r>
      <w:r w:rsidR="00AD1197" w:rsidRPr="00B35B3B">
        <w:rPr>
          <w:rFonts w:ascii="Book Antiqua" w:hAnsi="Book Antiqua" w:cs="Arial"/>
        </w:rPr>
        <w:t xml:space="preserve"> difficult position.  Either the </w:t>
      </w:r>
      <w:r w:rsidR="00D92DC1" w:rsidRPr="00B35B3B">
        <w:rPr>
          <w:rFonts w:ascii="Book Antiqua" w:hAnsi="Book Antiqua" w:cs="Arial"/>
        </w:rPr>
        <w:t>P</w:t>
      </w:r>
      <w:r w:rsidR="00AD1197" w:rsidRPr="00B35B3B">
        <w:rPr>
          <w:rFonts w:ascii="Book Antiqua" w:hAnsi="Book Antiqua" w:cs="Arial"/>
        </w:rPr>
        <w:t xml:space="preserve">resenting </w:t>
      </w:r>
      <w:r w:rsidR="00D92DC1" w:rsidRPr="00B35B3B">
        <w:rPr>
          <w:rFonts w:ascii="Book Antiqua" w:hAnsi="Book Antiqua" w:cs="Arial"/>
        </w:rPr>
        <w:t>O</w:t>
      </w:r>
      <w:r w:rsidR="00AD1197" w:rsidRPr="00B35B3B">
        <w:rPr>
          <w:rFonts w:ascii="Book Antiqua" w:hAnsi="Book Antiqua" w:cs="Arial"/>
        </w:rPr>
        <w:t xml:space="preserve">fficer would have to seek an adjournment, </w:t>
      </w:r>
      <w:proofErr w:type="gramStart"/>
      <w:r w:rsidR="00AD1197" w:rsidRPr="00B35B3B">
        <w:rPr>
          <w:rFonts w:ascii="Book Antiqua" w:hAnsi="Book Antiqua" w:cs="Arial"/>
        </w:rPr>
        <w:t>in order for</w:t>
      </w:r>
      <w:proofErr w:type="gramEnd"/>
      <w:r w:rsidR="00AD1197" w:rsidRPr="00B35B3B">
        <w:rPr>
          <w:rFonts w:ascii="Book Antiqua" w:hAnsi="Book Antiqua" w:cs="Arial"/>
        </w:rPr>
        <w:t xml:space="preserve"> attempts</w:t>
      </w:r>
      <w:r w:rsidR="008B144C" w:rsidRPr="00B35B3B">
        <w:rPr>
          <w:rFonts w:ascii="Book Antiqua" w:hAnsi="Book Antiqua" w:cs="Arial"/>
        </w:rPr>
        <w:t xml:space="preserve"> at verification</w:t>
      </w:r>
      <w:r w:rsidR="00AD1197" w:rsidRPr="00B35B3B">
        <w:rPr>
          <w:rFonts w:ascii="Book Antiqua" w:hAnsi="Book Antiqua" w:cs="Arial"/>
        </w:rPr>
        <w:t xml:space="preserve"> to take place</w:t>
      </w:r>
      <w:r w:rsidR="008B144C" w:rsidRPr="00B35B3B">
        <w:rPr>
          <w:rFonts w:ascii="Book Antiqua" w:hAnsi="Book Antiqua" w:cs="Arial"/>
        </w:rPr>
        <w:t>;</w:t>
      </w:r>
      <w:r w:rsidR="00AD1197" w:rsidRPr="00B35B3B">
        <w:rPr>
          <w:rFonts w:ascii="Book Antiqua" w:hAnsi="Book Antiqua" w:cs="Arial"/>
        </w:rPr>
        <w:t xml:space="preserve"> or he or she would be precluded from challenging the authenticity of the document before the First-tier Tribunal.  </w:t>
      </w:r>
      <w:r w:rsidR="00B35B3B">
        <w:rPr>
          <w:rFonts w:ascii="Book Antiqua" w:hAnsi="Book Antiqua" w:cs="Arial"/>
        </w:rPr>
        <w:t>Where t</w:t>
      </w:r>
      <w:r w:rsidR="006E3525">
        <w:rPr>
          <w:rFonts w:ascii="Book Antiqua" w:hAnsi="Book Antiqua" w:cs="Arial"/>
        </w:rPr>
        <w:t>he duty of verification is a live issue, the</w:t>
      </w:r>
      <w:r w:rsidR="00AD1197" w:rsidRPr="00B35B3B">
        <w:rPr>
          <w:rFonts w:ascii="Book Antiqua" w:hAnsi="Book Antiqua" w:cs="Arial"/>
        </w:rPr>
        <w:t xml:space="preserve"> timing of</w:t>
      </w:r>
      <w:r w:rsidR="000063A5" w:rsidRPr="00B35B3B">
        <w:rPr>
          <w:rFonts w:ascii="Book Antiqua" w:hAnsi="Book Antiqua" w:cs="Arial"/>
        </w:rPr>
        <w:t xml:space="preserve"> the</w:t>
      </w:r>
      <w:r w:rsidR="00AD1197" w:rsidRPr="00B35B3B">
        <w:rPr>
          <w:rFonts w:ascii="Book Antiqua" w:hAnsi="Book Antiqua" w:cs="Arial"/>
        </w:rPr>
        <w:t xml:space="preserve"> production of the document is</w:t>
      </w:r>
      <w:r w:rsidR="000063A5" w:rsidRPr="00B35B3B">
        <w:rPr>
          <w:rFonts w:ascii="Book Antiqua" w:hAnsi="Book Antiqua" w:cs="Arial"/>
        </w:rPr>
        <w:t>, plainly,</w:t>
      </w:r>
      <w:r w:rsidR="00AD1197" w:rsidRPr="00B35B3B">
        <w:rPr>
          <w:rFonts w:ascii="Book Antiqua" w:hAnsi="Book Antiqua" w:cs="Arial"/>
        </w:rPr>
        <w:t xml:space="preserve"> one of the fact-sensitive matters to which regard must be had in deciding, </w:t>
      </w:r>
      <w:r w:rsidR="00F42747" w:rsidRPr="00B35B3B">
        <w:rPr>
          <w:rFonts w:ascii="Book Antiqua" w:hAnsi="Book Antiqua" w:cs="Arial"/>
        </w:rPr>
        <w:t>in all the circumstances, whether the duty arises</w:t>
      </w:r>
      <w:r w:rsidR="001C0E9A">
        <w:rPr>
          <w:rFonts w:ascii="Book Antiqua" w:hAnsi="Book Antiqua" w:cs="Arial"/>
        </w:rPr>
        <w:t xml:space="preserve"> on the facts of the case</w:t>
      </w:r>
      <w:r w:rsidR="00F42747" w:rsidRPr="00B35B3B">
        <w:rPr>
          <w:rFonts w:ascii="Book Antiqua" w:hAnsi="Book Antiqua" w:cs="Arial"/>
        </w:rPr>
        <w:t xml:space="preserve">.  </w:t>
      </w:r>
    </w:p>
    <w:p w14:paraId="6E324822" w14:textId="77777777" w:rsidR="00B35B3B" w:rsidRDefault="00B35B3B" w:rsidP="00B35B3B">
      <w:pPr>
        <w:pStyle w:val="ListParagraph"/>
        <w:spacing w:after="240"/>
        <w:ind w:left="567"/>
        <w:jc w:val="both"/>
        <w:rPr>
          <w:rFonts w:ascii="Book Antiqua" w:hAnsi="Book Antiqua" w:cs="Arial"/>
        </w:rPr>
      </w:pPr>
    </w:p>
    <w:p w14:paraId="4320BC4A" w14:textId="13CCEC4C" w:rsidR="0081262B" w:rsidRDefault="001C0E9A" w:rsidP="00164774">
      <w:pPr>
        <w:pStyle w:val="ListParagraph"/>
        <w:numPr>
          <w:ilvl w:val="0"/>
          <w:numId w:val="1"/>
        </w:numPr>
        <w:spacing w:after="240"/>
        <w:ind w:left="567" w:hanging="567"/>
        <w:jc w:val="both"/>
        <w:rPr>
          <w:rFonts w:ascii="Book Antiqua" w:hAnsi="Book Antiqua" w:cs="Arial"/>
        </w:rPr>
      </w:pPr>
      <w:r>
        <w:rPr>
          <w:rFonts w:ascii="Book Antiqua" w:hAnsi="Book Antiqua" w:cs="Arial"/>
        </w:rPr>
        <w:t>In the present case, however, the</w:t>
      </w:r>
      <w:r w:rsidR="00A20BC5" w:rsidRPr="003A7666">
        <w:rPr>
          <w:rFonts w:ascii="Book Antiqua" w:hAnsi="Book Antiqua" w:cs="Arial"/>
        </w:rPr>
        <w:t xml:space="preserve"> arrest warrant document is very far from</w:t>
      </w:r>
      <w:r w:rsidR="00227601">
        <w:rPr>
          <w:rFonts w:ascii="Book Antiqua" w:hAnsi="Book Antiqua" w:cs="Arial"/>
        </w:rPr>
        <w:t xml:space="preserve"> having the attributes</w:t>
      </w:r>
      <w:r w:rsidR="00E3413D">
        <w:rPr>
          <w:rFonts w:ascii="Book Antiqua" w:hAnsi="Book Antiqua" w:cs="Arial"/>
        </w:rPr>
        <w:t xml:space="preserve"> d</w:t>
      </w:r>
      <w:r w:rsidR="000A2DC1">
        <w:rPr>
          <w:rFonts w:ascii="Book Antiqua" w:hAnsi="Book Antiqua" w:cs="Arial"/>
        </w:rPr>
        <w:t>escribed in paragraph 37 above</w:t>
      </w:r>
      <w:r w:rsidR="0093664F">
        <w:rPr>
          <w:rFonts w:ascii="Book Antiqua" w:hAnsi="Book Antiqua" w:cs="Arial"/>
        </w:rPr>
        <w:t xml:space="preserve"> as being needed to make the</w:t>
      </w:r>
      <w:r w:rsidR="00D06A13">
        <w:rPr>
          <w:rFonts w:ascii="Book Antiqua" w:hAnsi="Book Antiqua" w:cs="Arial"/>
        </w:rPr>
        <w:t xml:space="preserve"> verification</w:t>
      </w:r>
      <w:r w:rsidR="0093664F">
        <w:rPr>
          <w:rFonts w:ascii="Book Antiqua" w:hAnsi="Book Antiqua" w:cs="Arial"/>
        </w:rPr>
        <w:t xml:space="preserve"> duty a live issue</w:t>
      </w:r>
      <w:r w:rsidR="00A20BC5" w:rsidRPr="003A7666">
        <w:rPr>
          <w:rFonts w:ascii="Book Antiqua" w:hAnsi="Book Antiqua" w:cs="Arial"/>
        </w:rPr>
        <w:t xml:space="preserve">. </w:t>
      </w:r>
      <w:r w:rsidR="003940FE" w:rsidRPr="003A7666">
        <w:rPr>
          <w:rFonts w:ascii="Book Antiqua" w:hAnsi="Book Antiqua" w:cs="Arial"/>
        </w:rPr>
        <w:t>On the contrary,</w:t>
      </w:r>
      <w:r w:rsidR="0093664F">
        <w:rPr>
          <w:rFonts w:ascii="Book Antiqua" w:hAnsi="Book Antiqua" w:cs="Arial"/>
        </w:rPr>
        <w:t xml:space="preserve"> leaving aside its egregiously late production,</w:t>
      </w:r>
      <w:r w:rsidR="003940FE" w:rsidRPr="003A7666">
        <w:rPr>
          <w:rFonts w:ascii="Book Antiqua" w:hAnsi="Book Antiqua" w:cs="Arial"/>
        </w:rPr>
        <w:t xml:space="preserve"> </w:t>
      </w:r>
      <w:r w:rsidR="001749BB" w:rsidRPr="003A7666">
        <w:rPr>
          <w:rFonts w:ascii="Book Antiqua" w:hAnsi="Book Antiqua" w:cs="Arial"/>
        </w:rPr>
        <w:t>t</w:t>
      </w:r>
      <w:r w:rsidR="0081262B" w:rsidRPr="003A7666">
        <w:rPr>
          <w:rFonts w:ascii="Book Antiqua" w:hAnsi="Book Antiqua" w:cs="Arial"/>
        </w:rPr>
        <w:t>he fundamental reason why the duty does not arise in respect of the arrest warrant is becau</w:t>
      </w:r>
      <w:r w:rsidR="001441D6" w:rsidRPr="003A7666">
        <w:rPr>
          <w:rFonts w:ascii="Book Antiqua" w:hAnsi="Book Antiqua" w:cs="Arial"/>
        </w:rPr>
        <w:t>se it</w:t>
      </w:r>
      <w:r w:rsidR="0081262B" w:rsidRPr="003A7666">
        <w:rPr>
          <w:rFonts w:ascii="Book Antiqua" w:hAnsi="Book Antiqua" w:cs="Arial"/>
        </w:rPr>
        <w:t xml:space="preserve"> is merely an unremarkable example of the kind of document encountered by judges of the First-tier Tribunal </w:t>
      </w:r>
      <w:proofErr w:type="gramStart"/>
      <w:r w:rsidR="0081262B" w:rsidRPr="003A7666">
        <w:rPr>
          <w:rFonts w:ascii="Book Antiqua" w:hAnsi="Book Antiqua" w:cs="Arial"/>
        </w:rPr>
        <w:t>on a daily basis</w:t>
      </w:r>
      <w:proofErr w:type="gramEnd"/>
      <w:r w:rsidR="001749BB" w:rsidRPr="003A7666">
        <w:rPr>
          <w:rFonts w:ascii="Book Antiqua" w:hAnsi="Book Antiqua" w:cs="Arial"/>
        </w:rPr>
        <w:t xml:space="preserve"> in protection appeals</w:t>
      </w:r>
      <w:r w:rsidR="0081262B" w:rsidRPr="003A7666">
        <w:rPr>
          <w:rFonts w:ascii="Book Antiqua" w:hAnsi="Book Antiqua" w:cs="Arial"/>
        </w:rPr>
        <w:t xml:space="preserve">.  </w:t>
      </w:r>
      <w:r w:rsidR="00007A57" w:rsidRPr="003A7666">
        <w:rPr>
          <w:rFonts w:ascii="Book Antiqua" w:hAnsi="Book Antiqua" w:cs="Arial"/>
        </w:rPr>
        <w:t xml:space="preserve">If </w:t>
      </w:r>
      <w:r w:rsidR="00134CC7" w:rsidRPr="003A7666">
        <w:rPr>
          <w:rFonts w:ascii="Book Antiqua" w:hAnsi="Book Antiqua" w:cs="Arial"/>
        </w:rPr>
        <w:t>every</w:t>
      </w:r>
      <w:r w:rsidR="0081262B" w:rsidRPr="003A7666">
        <w:rPr>
          <w:rFonts w:ascii="Book Antiqua" w:hAnsi="Book Antiqua" w:cs="Arial"/>
        </w:rPr>
        <w:t xml:space="preserve"> document of this kind were required to be verified by the respondent, the appellate process would be severely impaired.  We remind ourselves of what the Tribunal said at paragraph 36 of </w:t>
      </w:r>
      <w:r w:rsidR="0081262B" w:rsidRPr="003A7666">
        <w:rPr>
          <w:rFonts w:ascii="Book Antiqua" w:hAnsi="Book Antiqua" w:cs="Arial"/>
          <w:u w:val="single"/>
        </w:rPr>
        <w:t>Tanveer Ahmed</w:t>
      </w:r>
      <w:r w:rsidR="0081262B" w:rsidRPr="003A7666">
        <w:rPr>
          <w:rFonts w:ascii="Book Antiqua" w:hAnsi="Book Antiqua" w:cs="Arial"/>
        </w:rPr>
        <w:t xml:space="preserve"> and what Fulford LJ said at paragraph 29 of </w:t>
      </w:r>
      <w:r w:rsidR="0081262B" w:rsidRPr="003A7666">
        <w:rPr>
          <w:rFonts w:ascii="Book Antiqua" w:hAnsi="Book Antiqua" w:cs="Arial"/>
          <w:u w:val="single"/>
        </w:rPr>
        <w:t>PJ</w:t>
      </w:r>
      <w:r w:rsidR="0081262B" w:rsidRPr="003A7666">
        <w:rPr>
          <w:rFonts w:ascii="Book Antiqua" w:hAnsi="Book Antiqua" w:cs="Arial"/>
        </w:rPr>
        <w:t>.  Such an exercise would be entirely disproportionate.</w:t>
      </w:r>
      <w:r w:rsidR="003A7666" w:rsidRPr="003A7666">
        <w:rPr>
          <w:rFonts w:ascii="Book Antiqua" w:hAnsi="Book Antiqua" w:cs="Arial"/>
        </w:rPr>
        <w:t xml:space="preserve"> </w:t>
      </w:r>
      <w:r w:rsidR="0081262B" w:rsidRPr="003A7666">
        <w:rPr>
          <w:rFonts w:ascii="Book Antiqua" w:hAnsi="Book Antiqua" w:cs="Arial"/>
        </w:rPr>
        <w:t>The appellant’s ground (i), accordingly, fail</w:t>
      </w:r>
      <w:r w:rsidR="003A7666" w:rsidRPr="003A7666">
        <w:rPr>
          <w:rFonts w:ascii="Book Antiqua" w:hAnsi="Book Antiqua" w:cs="Arial"/>
        </w:rPr>
        <w:t>s</w:t>
      </w:r>
      <w:r w:rsidR="003A7666">
        <w:rPr>
          <w:rFonts w:ascii="Book Antiqua" w:hAnsi="Book Antiqua" w:cs="Arial"/>
        </w:rPr>
        <w:t>.</w:t>
      </w:r>
    </w:p>
    <w:p w14:paraId="76212FE6" w14:textId="77777777" w:rsidR="003A7666" w:rsidRDefault="003A7666" w:rsidP="003A7666">
      <w:pPr>
        <w:pStyle w:val="ListParagraph"/>
        <w:spacing w:after="240"/>
        <w:ind w:left="567"/>
        <w:jc w:val="both"/>
        <w:rPr>
          <w:rFonts w:ascii="Book Antiqua" w:hAnsi="Book Antiqua" w:cs="Arial"/>
        </w:rPr>
      </w:pPr>
    </w:p>
    <w:p w14:paraId="59E44796" w14:textId="75AE2882" w:rsidR="0081262B" w:rsidRDefault="0081262B" w:rsidP="00684194">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We turn to item (ii) of the grounds.  This contends that the First-tier Tribunal Judge allowed his adverse credibility findings to sway the assessment made of the arrest warrant.  Reference </w:t>
      </w:r>
      <w:r w:rsidR="0048198B">
        <w:rPr>
          <w:rFonts w:ascii="Book Antiqua" w:hAnsi="Book Antiqua" w:cs="Arial"/>
        </w:rPr>
        <w:t>i</w:t>
      </w:r>
      <w:r>
        <w:rPr>
          <w:rFonts w:ascii="Book Antiqua" w:hAnsi="Book Antiqua" w:cs="Arial"/>
        </w:rPr>
        <w:t xml:space="preserve">s made to </w:t>
      </w:r>
      <w:r w:rsidRPr="00CC2CBA">
        <w:rPr>
          <w:rFonts w:ascii="Book Antiqua" w:hAnsi="Book Antiqua" w:cs="Arial"/>
          <w:u w:val="single"/>
        </w:rPr>
        <w:t>TF</w:t>
      </w:r>
      <w:r>
        <w:rPr>
          <w:rFonts w:ascii="Book Antiqua" w:hAnsi="Book Antiqua" w:cs="Arial"/>
        </w:rPr>
        <w:t xml:space="preserve">.  However, </w:t>
      </w:r>
      <w:r w:rsidR="00CC2CBA">
        <w:rPr>
          <w:rFonts w:ascii="Book Antiqua" w:hAnsi="Book Antiqua" w:cs="Arial"/>
        </w:rPr>
        <w:t>w</w:t>
      </w:r>
      <w:r>
        <w:rPr>
          <w:rFonts w:ascii="Book Antiqua" w:hAnsi="Book Antiqua" w:cs="Arial"/>
        </w:rPr>
        <w:t>e approach to the matter in the light of the wider caselaw</w:t>
      </w:r>
      <w:r w:rsidR="008444A1">
        <w:rPr>
          <w:rFonts w:ascii="Book Antiqua" w:hAnsi="Book Antiqua" w:cs="Arial"/>
        </w:rPr>
        <w:t xml:space="preserve"> analysed above,</w:t>
      </w:r>
      <w:r>
        <w:rPr>
          <w:rFonts w:ascii="Book Antiqua" w:hAnsi="Book Antiqua" w:cs="Arial"/>
        </w:rPr>
        <w:t xml:space="preserve"> regarding the treatment of evidence “in the round”.</w:t>
      </w:r>
    </w:p>
    <w:p w14:paraId="259B2421" w14:textId="77777777" w:rsidR="0081262B" w:rsidRDefault="0081262B" w:rsidP="0081262B">
      <w:pPr>
        <w:pStyle w:val="ListParagraph"/>
        <w:spacing w:after="240"/>
        <w:ind w:left="567"/>
        <w:jc w:val="both"/>
        <w:rPr>
          <w:rFonts w:ascii="Book Antiqua" w:hAnsi="Book Antiqua" w:cs="Arial"/>
        </w:rPr>
      </w:pPr>
    </w:p>
    <w:p w14:paraId="51C3C924" w14:textId="5F083FDF" w:rsidR="009B39D0" w:rsidRDefault="0081262B" w:rsidP="00684194">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So far as </w:t>
      </w:r>
      <w:r w:rsidRPr="00CC2CBA">
        <w:rPr>
          <w:rFonts w:ascii="Book Antiqua" w:hAnsi="Book Antiqua" w:cs="Arial"/>
          <w:u w:val="single"/>
        </w:rPr>
        <w:t>TF</w:t>
      </w:r>
      <w:r>
        <w:rPr>
          <w:rFonts w:ascii="Book Antiqua" w:hAnsi="Book Antiqua" w:cs="Arial"/>
        </w:rPr>
        <w:t xml:space="preserve"> is concerned, we have already seen that the </w:t>
      </w:r>
      <w:r w:rsidR="008444A1">
        <w:rPr>
          <w:rFonts w:ascii="Book Antiqua" w:hAnsi="Book Antiqua" w:cs="Arial"/>
        </w:rPr>
        <w:t>opinion</w:t>
      </w:r>
      <w:r>
        <w:rPr>
          <w:rFonts w:ascii="Book Antiqua" w:hAnsi="Book Antiqua" w:cs="Arial"/>
        </w:rPr>
        <w:t xml:space="preserve"> of Lord Glennie was much more nuanced than the</w:t>
      </w:r>
      <w:r w:rsidR="008444A1">
        <w:rPr>
          <w:rFonts w:ascii="Book Antiqua" w:hAnsi="Book Antiqua" w:cs="Arial"/>
        </w:rPr>
        <w:t xml:space="preserve"> present</w:t>
      </w:r>
      <w:r>
        <w:rPr>
          <w:rFonts w:ascii="Book Antiqua" w:hAnsi="Book Antiqua" w:cs="Arial"/>
        </w:rPr>
        <w:t xml:space="preserve"> appellant appears to suggest.  At paragraph 38, Lord Glennie identified </w:t>
      </w:r>
      <w:r w:rsidR="004D0A50">
        <w:rPr>
          <w:rFonts w:ascii="Book Antiqua" w:hAnsi="Book Antiqua" w:cs="Arial"/>
        </w:rPr>
        <w:t xml:space="preserve">the need for </w:t>
      </w:r>
      <w:r w:rsidR="00F91A50">
        <w:rPr>
          <w:rFonts w:ascii="Book Antiqua" w:hAnsi="Book Antiqua" w:cs="Arial"/>
        </w:rPr>
        <w:t xml:space="preserve">caution </w:t>
      </w:r>
      <w:r w:rsidR="004D0A50">
        <w:rPr>
          <w:rFonts w:ascii="Book Antiqua" w:hAnsi="Book Antiqua" w:cs="Arial"/>
        </w:rPr>
        <w:t>before</w:t>
      </w:r>
      <w:r w:rsidR="00F91A50">
        <w:rPr>
          <w:rFonts w:ascii="Book Antiqua" w:hAnsi="Book Antiqua" w:cs="Arial"/>
        </w:rPr>
        <w:t xml:space="preserve"> deciding that, because an </w:t>
      </w:r>
      <w:r w:rsidR="00F91A50">
        <w:rPr>
          <w:rFonts w:ascii="Book Antiqua" w:hAnsi="Book Antiqua" w:cs="Arial"/>
        </w:rPr>
        <w:lastRenderedPageBreak/>
        <w:t>individual may have lied about one point, that mean</w:t>
      </w:r>
      <w:r w:rsidR="004D0A50">
        <w:rPr>
          <w:rFonts w:ascii="Book Antiqua" w:hAnsi="Book Antiqua" w:cs="Arial"/>
        </w:rPr>
        <w:t>t</w:t>
      </w:r>
      <w:r w:rsidR="00F91A50">
        <w:rPr>
          <w:rFonts w:ascii="Book Antiqua" w:hAnsi="Book Antiqua" w:cs="Arial"/>
        </w:rPr>
        <w:t xml:space="preserve"> that he </w:t>
      </w:r>
      <w:r w:rsidR="004D0A50">
        <w:rPr>
          <w:rFonts w:ascii="Book Antiqua" w:hAnsi="Book Antiqua" w:cs="Arial"/>
        </w:rPr>
        <w:t>must be</w:t>
      </w:r>
      <w:r w:rsidR="00F91A50">
        <w:rPr>
          <w:rFonts w:ascii="Book Antiqua" w:hAnsi="Book Antiqua" w:cs="Arial"/>
        </w:rPr>
        <w:t xml:space="preserve"> lying about other matters.  </w:t>
      </w:r>
    </w:p>
    <w:p w14:paraId="5A872706" w14:textId="77777777" w:rsidR="009B39D0" w:rsidRDefault="009B39D0" w:rsidP="009B39D0">
      <w:pPr>
        <w:pStyle w:val="ListParagraph"/>
        <w:spacing w:after="240"/>
        <w:ind w:left="567"/>
        <w:jc w:val="both"/>
        <w:rPr>
          <w:rFonts w:ascii="Book Antiqua" w:hAnsi="Book Antiqua" w:cs="Arial"/>
        </w:rPr>
      </w:pPr>
    </w:p>
    <w:p w14:paraId="4BC5C946" w14:textId="50D46D23" w:rsidR="0081262B" w:rsidRDefault="00F91A50" w:rsidP="00684194">
      <w:pPr>
        <w:pStyle w:val="ListParagraph"/>
        <w:numPr>
          <w:ilvl w:val="0"/>
          <w:numId w:val="1"/>
        </w:numPr>
        <w:spacing w:after="240"/>
        <w:ind w:left="567" w:hanging="567"/>
        <w:jc w:val="both"/>
        <w:rPr>
          <w:rFonts w:ascii="Book Antiqua" w:hAnsi="Book Antiqua" w:cs="Arial"/>
        </w:rPr>
      </w:pPr>
      <w:r>
        <w:rPr>
          <w:rFonts w:ascii="Book Antiqua" w:hAnsi="Book Antiqua" w:cs="Arial"/>
        </w:rPr>
        <w:t>As is plain from the decision of the First-tier Tribunal in the present case, the judge did not take this approach to the arrest warrant.  He did not treat it as another example of the appellant giving deceitful evidence.  Nor did the First-tier Tribunal Judge fall into the related error, identified at paragraph 32</w:t>
      </w:r>
      <w:r w:rsidR="009B39D0">
        <w:rPr>
          <w:rFonts w:ascii="Book Antiqua" w:hAnsi="Book Antiqua" w:cs="Arial"/>
        </w:rPr>
        <w:t xml:space="preserve"> of </w:t>
      </w:r>
      <w:r w:rsidR="009B39D0" w:rsidRPr="009B39D0">
        <w:rPr>
          <w:rFonts w:ascii="Book Antiqua" w:hAnsi="Book Antiqua" w:cs="Arial"/>
          <w:u w:val="single"/>
        </w:rPr>
        <w:t>TF</w:t>
      </w:r>
      <w:r>
        <w:rPr>
          <w:rFonts w:ascii="Book Antiqua" w:hAnsi="Book Antiqua" w:cs="Arial"/>
        </w:rPr>
        <w:t xml:space="preserve">, of treating all evidence supportive of the appellant’s case as merely further examples of him manufacturing </w:t>
      </w:r>
      <w:r w:rsidR="00713A1B">
        <w:rPr>
          <w:rFonts w:ascii="Book Antiqua" w:hAnsi="Book Antiqua" w:cs="Arial"/>
        </w:rPr>
        <w:t>a false claim</w:t>
      </w:r>
      <w:r>
        <w:rPr>
          <w:rFonts w:ascii="Book Antiqua" w:hAnsi="Book Antiqua" w:cs="Arial"/>
        </w:rPr>
        <w:t xml:space="preserve">.  The First-tier Tribunal Judge </w:t>
      </w:r>
      <w:proofErr w:type="gramStart"/>
      <w:r>
        <w:rPr>
          <w:rFonts w:ascii="Book Antiqua" w:hAnsi="Book Antiqua" w:cs="Arial"/>
        </w:rPr>
        <w:t>came to the conclusion</w:t>
      </w:r>
      <w:proofErr w:type="gramEnd"/>
      <w:r>
        <w:rPr>
          <w:rFonts w:ascii="Book Antiqua" w:hAnsi="Book Antiqua" w:cs="Arial"/>
        </w:rPr>
        <w:t xml:space="preserve"> that the arrest warrant was neutral in its significance.  </w:t>
      </w:r>
      <w:r w:rsidR="00FA3D83">
        <w:rPr>
          <w:rFonts w:ascii="Book Antiqua" w:hAnsi="Book Antiqua" w:cs="Arial"/>
        </w:rPr>
        <w:t xml:space="preserve">That is very different from the mischief which the Inner House sought to identify in </w:t>
      </w:r>
      <w:r w:rsidR="00FA3D83" w:rsidRPr="00CC2CBA">
        <w:rPr>
          <w:rFonts w:ascii="Book Antiqua" w:hAnsi="Book Antiqua" w:cs="Arial"/>
          <w:u w:val="single"/>
        </w:rPr>
        <w:t>TF</w:t>
      </w:r>
      <w:r w:rsidR="00FA3D83">
        <w:rPr>
          <w:rFonts w:ascii="Book Antiqua" w:hAnsi="Book Antiqua" w:cs="Arial"/>
        </w:rPr>
        <w:t xml:space="preserve">.  </w:t>
      </w:r>
    </w:p>
    <w:p w14:paraId="7DC7609C" w14:textId="77777777" w:rsidR="00FA3D83" w:rsidRDefault="00FA3D83" w:rsidP="00FA3D83">
      <w:pPr>
        <w:pStyle w:val="ListParagraph"/>
        <w:spacing w:after="240"/>
        <w:ind w:left="567"/>
        <w:jc w:val="both"/>
        <w:rPr>
          <w:rFonts w:ascii="Book Antiqua" w:hAnsi="Book Antiqua" w:cs="Arial"/>
        </w:rPr>
      </w:pPr>
    </w:p>
    <w:p w14:paraId="64D24D3C" w14:textId="21098F0F" w:rsidR="00FA3D83" w:rsidRDefault="006B163D" w:rsidP="00684194">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We have seen that, in paragraph 35 of </w:t>
      </w:r>
      <w:r w:rsidRPr="00CC2CBA">
        <w:rPr>
          <w:rFonts w:ascii="Book Antiqua" w:hAnsi="Book Antiqua" w:cs="Arial"/>
          <w:u w:val="single"/>
        </w:rPr>
        <w:t>AR</w:t>
      </w:r>
      <w:r>
        <w:rPr>
          <w:rFonts w:ascii="Book Antiqua" w:hAnsi="Book Antiqua" w:cs="Arial"/>
        </w:rPr>
        <w:t>, the Inner House recognised that there may be cases where concerns over the veracity of a claimant’s account may be so clear</w:t>
      </w:r>
      <w:r w:rsidR="007443BE">
        <w:rPr>
          <w:rFonts w:ascii="Book Antiqua" w:hAnsi="Book Antiqua" w:cs="Arial"/>
        </w:rPr>
        <w:t>-</w:t>
      </w:r>
      <w:r>
        <w:rPr>
          <w:rFonts w:ascii="Book Antiqua" w:hAnsi="Book Antiqua" w:cs="Arial"/>
        </w:rPr>
        <w:t>cut</w:t>
      </w:r>
      <w:r w:rsidR="007443BE">
        <w:rPr>
          <w:rFonts w:ascii="Book Antiqua" w:hAnsi="Book Antiqua" w:cs="Arial"/>
        </w:rPr>
        <w:t xml:space="preserve"> and decisive</w:t>
      </w:r>
      <w:r>
        <w:rPr>
          <w:rFonts w:ascii="Book Antiqua" w:hAnsi="Book Antiqua" w:cs="Arial"/>
        </w:rPr>
        <w:t xml:space="preserve"> that the decision-maker is driven to</w:t>
      </w:r>
      <w:r w:rsidR="007443BE">
        <w:rPr>
          <w:rFonts w:ascii="Book Antiqua" w:hAnsi="Book Antiqua" w:cs="Arial"/>
        </w:rPr>
        <w:t xml:space="preserve"> a</w:t>
      </w:r>
      <w:r>
        <w:rPr>
          <w:rFonts w:ascii="Book Antiqua" w:hAnsi="Book Antiqua" w:cs="Arial"/>
        </w:rPr>
        <w:t xml:space="preserve"> rejection of supporting documents.  </w:t>
      </w:r>
      <w:proofErr w:type="gramStart"/>
      <w:r>
        <w:rPr>
          <w:rFonts w:ascii="Book Antiqua" w:hAnsi="Book Antiqua" w:cs="Arial"/>
        </w:rPr>
        <w:t>It is plain that th</w:t>
      </w:r>
      <w:r w:rsidR="0015712D">
        <w:rPr>
          <w:rFonts w:ascii="Book Antiqua" w:hAnsi="Book Antiqua" w:cs="Arial"/>
        </w:rPr>
        <w:t>is</w:t>
      </w:r>
      <w:proofErr w:type="gramEnd"/>
      <w:r>
        <w:rPr>
          <w:rFonts w:ascii="Book Antiqua" w:hAnsi="Book Antiqua" w:cs="Arial"/>
        </w:rPr>
        <w:t xml:space="preserve"> was the approach taken by the First-tier Tribunal Judge in the present case.  The appellant had asserted that he was a Tibetan Buddhist.  He had, however, demonstrated a remarkable ignorance of the tenets of that faith, as can be seen from the Asylum Interview Record.  At Q</w:t>
      </w:r>
      <w:r w:rsidR="00CC2CBA">
        <w:rPr>
          <w:rFonts w:ascii="Book Antiqua" w:hAnsi="Book Antiqua" w:cs="Arial"/>
        </w:rPr>
        <w:t xml:space="preserve"> </w:t>
      </w:r>
      <w:r>
        <w:rPr>
          <w:rFonts w:ascii="Book Antiqua" w:hAnsi="Book Antiqua" w:cs="Arial"/>
        </w:rPr>
        <w:t>114 (the reference in paragraph 12(h)</w:t>
      </w:r>
      <w:r w:rsidR="0015712D">
        <w:rPr>
          <w:rFonts w:ascii="Book Antiqua" w:hAnsi="Book Antiqua" w:cs="Arial"/>
        </w:rPr>
        <w:t xml:space="preserve"> of the decision</w:t>
      </w:r>
      <w:r>
        <w:rPr>
          <w:rFonts w:ascii="Book Antiqua" w:hAnsi="Book Antiqua" w:cs="Arial"/>
        </w:rPr>
        <w:t xml:space="preserve"> to Q</w:t>
      </w:r>
      <w:r w:rsidR="000909C2">
        <w:rPr>
          <w:rFonts w:ascii="Book Antiqua" w:hAnsi="Book Antiqua" w:cs="Arial"/>
        </w:rPr>
        <w:t xml:space="preserve"> </w:t>
      </w:r>
      <w:r>
        <w:rPr>
          <w:rFonts w:ascii="Book Antiqua" w:hAnsi="Book Antiqua" w:cs="Arial"/>
        </w:rPr>
        <w:t>104 is plainly a misprint), the appellant said that he prayed to “the flag” because “here there is no Buddhism”.  As someone who was supposed to be a Tibetan Buddhist, who had</w:t>
      </w:r>
      <w:r w:rsidR="00A85C01">
        <w:rPr>
          <w:rFonts w:ascii="Book Antiqua" w:hAnsi="Book Antiqua" w:cs="Arial"/>
        </w:rPr>
        <w:t xml:space="preserve"> by his own account</w:t>
      </w:r>
      <w:r>
        <w:rPr>
          <w:rFonts w:ascii="Book Antiqua" w:hAnsi="Book Antiqua" w:cs="Arial"/>
        </w:rPr>
        <w:t xml:space="preserve"> fled China in part for that reason, the First-tier Tribunal Judge was perfectly entitled to treat th</w:t>
      </w:r>
      <w:r w:rsidR="00A85C01">
        <w:rPr>
          <w:rFonts w:ascii="Book Antiqua" w:hAnsi="Book Antiqua" w:cs="Arial"/>
        </w:rPr>
        <w:t>is</w:t>
      </w:r>
      <w:r>
        <w:rPr>
          <w:rFonts w:ascii="Book Antiqua" w:hAnsi="Book Antiqua" w:cs="Arial"/>
        </w:rPr>
        <w:t xml:space="preserve"> answer as destructive of the appellant’s case to be a Tibetan Buddhist.  That was reinforced by the findings in paragraph 12(</w:t>
      </w:r>
      <w:r w:rsidR="00356EB2">
        <w:rPr>
          <w:rFonts w:ascii="Book Antiqua" w:hAnsi="Book Antiqua" w:cs="Arial"/>
        </w:rPr>
        <w:t xml:space="preserve">i).  </w:t>
      </w:r>
    </w:p>
    <w:p w14:paraId="72E9EDB5" w14:textId="77777777" w:rsidR="00356EB2" w:rsidRDefault="00356EB2" w:rsidP="00356EB2">
      <w:pPr>
        <w:pStyle w:val="ListParagraph"/>
        <w:spacing w:after="240"/>
        <w:ind w:left="567"/>
        <w:jc w:val="both"/>
        <w:rPr>
          <w:rFonts w:ascii="Book Antiqua" w:hAnsi="Book Antiqua" w:cs="Arial"/>
        </w:rPr>
      </w:pPr>
    </w:p>
    <w:p w14:paraId="13511CB6" w14:textId="17608C61" w:rsidR="00356EB2" w:rsidRDefault="00AD4CCB" w:rsidP="00684194">
      <w:pPr>
        <w:pStyle w:val="ListParagraph"/>
        <w:numPr>
          <w:ilvl w:val="0"/>
          <w:numId w:val="1"/>
        </w:numPr>
        <w:spacing w:after="240"/>
        <w:ind w:left="567" w:hanging="567"/>
        <w:jc w:val="both"/>
        <w:rPr>
          <w:rFonts w:ascii="Book Antiqua" w:hAnsi="Book Antiqua" w:cs="Arial"/>
        </w:rPr>
      </w:pPr>
      <w:r>
        <w:rPr>
          <w:rFonts w:ascii="Book Antiqua" w:hAnsi="Book Antiqua" w:cs="Arial"/>
        </w:rPr>
        <w:t>Against that background</w:t>
      </w:r>
      <w:r w:rsidR="00684194">
        <w:rPr>
          <w:rFonts w:ascii="Book Antiqua" w:hAnsi="Book Antiqua" w:cs="Arial"/>
        </w:rPr>
        <w:t xml:space="preserve">, the First-tier Tribunal Judge was entitled to treat the arrest warrant as evidentially neutral. </w:t>
      </w:r>
      <w:r w:rsidR="008C3853">
        <w:rPr>
          <w:rFonts w:ascii="Book Antiqua" w:hAnsi="Book Antiqua" w:cs="Arial"/>
        </w:rPr>
        <w:t>It had no relevance</w:t>
      </w:r>
      <w:r w:rsidR="00010CC4">
        <w:rPr>
          <w:rFonts w:ascii="Book Antiqua" w:hAnsi="Book Antiqua" w:cs="Arial"/>
        </w:rPr>
        <w:t xml:space="preserve"> to the question whether the appellant actually </w:t>
      </w:r>
      <w:proofErr w:type="gramStart"/>
      <w:r w:rsidR="00010CC4">
        <w:rPr>
          <w:rFonts w:ascii="Book Antiqua" w:hAnsi="Book Antiqua" w:cs="Arial"/>
        </w:rPr>
        <w:t>was a practitioner of Tibetan Buddhism</w:t>
      </w:r>
      <w:proofErr w:type="gramEnd"/>
      <w:r w:rsidR="00010CC4">
        <w:rPr>
          <w:rFonts w:ascii="Book Antiqua" w:hAnsi="Book Antiqua" w:cs="Arial"/>
        </w:rPr>
        <w:t>, which was the proposition upon which h</w:t>
      </w:r>
      <w:r w:rsidR="00D9574A">
        <w:rPr>
          <w:rFonts w:ascii="Book Antiqua" w:hAnsi="Book Antiqua" w:cs="Arial"/>
        </w:rPr>
        <w:t>is claim to international protection was based.</w:t>
      </w:r>
      <w:r w:rsidR="00684194">
        <w:rPr>
          <w:rFonts w:ascii="Book Antiqua" w:hAnsi="Book Antiqua" w:cs="Arial"/>
        </w:rPr>
        <w:t xml:space="preserve"> For these reasons, the ground advanced in sub-paragraph (ii) fails.  </w:t>
      </w:r>
    </w:p>
    <w:p w14:paraId="29C73195" w14:textId="77777777" w:rsidR="00684194" w:rsidRDefault="00684194" w:rsidP="00684194">
      <w:pPr>
        <w:pStyle w:val="ListParagraph"/>
        <w:spacing w:after="240"/>
        <w:ind w:left="567"/>
        <w:jc w:val="both"/>
        <w:rPr>
          <w:rFonts w:ascii="Book Antiqua" w:hAnsi="Book Antiqua" w:cs="Arial"/>
        </w:rPr>
      </w:pPr>
    </w:p>
    <w:p w14:paraId="6869D802" w14:textId="6F472DC7" w:rsidR="00684194" w:rsidRPr="00FF0791" w:rsidRDefault="00684194" w:rsidP="00257D30">
      <w:pPr>
        <w:pStyle w:val="ListParagraph"/>
        <w:numPr>
          <w:ilvl w:val="0"/>
          <w:numId w:val="1"/>
        </w:numPr>
        <w:spacing w:after="240"/>
        <w:ind w:left="567" w:hanging="567"/>
        <w:jc w:val="both"/>
        <w:rPr>
          <w:rFonts w:ascii="Book Antiqua" w:hAnsi="Book Antiqua" w:cs="Arial"/>
        </w:rPr>
      </w:pPr>
      <w:r w:rsidRPr="00FF0791">
        <w:rPr>
          <w:rFonts w:ascii="Book Antiqua" w:hAnsi="Book Antiqua" w:cs="Arial"/>
        </w:rPr>
        <w:t>Ground (iii) contends that the First-tier Tribunal Judge “erred by failing to be slow, at paragraph 12(e), to draw adverse inferences from admissions/inconsistencies arising from the screening interview</w:t>
      </w:r>
      <w:r w:rsidR="00FF0791">
        <w:rPr>
          <w:rFonts w:ascii="Book Antiqua" w:hAnsi="Book Antiqua" w:cs="Arial"/>
        </w:rPr>
        <w:t>”</w:t>
      </w:r>
      <w:r w:rsidRPr="00FF0791">
        <w:rPr>
          <w:rFonts w:ascii="Book Antiqua" w:hAnsi="Book Antiqua" w:cs="Arial"/>
        </w:rPr>
        <w:t>.</w:t>
      </w:r>
      <w:r w:rsidR="00FF0791">
        <w:rPr>
          <w:rFonts w:ascii="Book Antiqua" w:hAnsi="Book Antiqua" w:cs="Arial"/>
        </w:rPr>
        <w:t xml:space="preserve"> </w:t>
      </w:r>
      <w:r w:rsidRPr="00FF0791">
        <w:rPr>
          <w:rFonts w:ascii="Book Antiqua" w:hAnsi="Book Antiqua" w:cs="Arial"/>
        </w:rPr>
        <w:t>At paragraph 12(e) the First-tier Tribunal Judge referred to the screening interview of 5 October 2018.  The judge noted that nowhere in that interview did the appellant say anything about</w:t>
      </w:r>
      <w:r w:rsidR="00881DAC">
        <w:rPr>
          <w:rFonts w:ascii="Book Antiqua" w:hAnsi="Book Antiqua" w:cs="Arial"/>
        </w:rPr>
        <w:t xml:space="preserve"> his belief in</w:t>
      </w:r>
      <w:r w:rsidRPr="00FF0791">
        <w:rPr>
          <w:rFonts w:ascii="Book Antiqua" w:hAnsi="Book Antiqua" w:cs="Arial"/>
        </w:rPr>
        <w:t xml:space="preserve"> Tibetan Buddhism or support for Tibetan independence.  Although the</w:t>
      </w:r>
      <w:r w:rsidR="00881DAC">
        <w:rPr>
          <w:rFonts w:ascii="Book Antiqua" w:hAnsi="Book Antiqua" w:cs="Arial"/>
        </w:rPr>
        <w:t xml:space="preserve"> written</w:t>
      </w:r>
      <w:r w:rsidRPr="00FF0791">
        <w:rPr>
          <w:rFonts w:ascii="Book Antiqua" w:hAnsi="Book Antiqua" w:cs="Arial"/>
        </w:rPr>
        <w:t xml:space="preserve"> answer to the question about religion</w:t>
      </w:r>
      <w:r w:rsidR="00881DAC">
        <w:rPr>
          <w:rFonts w:ascii="Book Antiqua" w:hAnsi="Book Antiqua" w:cs="Arial"/>
        </w:rPr>
        <w:t xml:space="preserve"> -</w:t>
      </w:r>
      <w:r w:rsidRPr="00FF0791">
        <w:rPr>
          <w:rFonts w:ascii="Book Antiqua" w:hAnsi="Book Antiqua" w:cs="Arial"/>
        </w:rPr>
        <w:t xml:space="preserve"> “just with </w:t>
      </w:r>
      <w:proofErr w:type="spellStart"/>
      <w:r w:rsidRPr="00FF0791">
        <w:rPr>
          <w:rFonts w:ascii="Book Antiqua" w:hAnsi="Book Antiqua" w:cs="Arial"/>
        </w:rPr>
        <w:t>Balai</w:t>
      </w:r>
      <w:proofErr w:type="spellEnd"/>
      <w:r w:rsidRPr="00FF0791">
        <w:rPr>
          <w:rFonts w:ascii="Book Antiqua" w:hAnsi="Book Antiqua" w:cs="Arial"/>
        </w:rPr>
        <w:t xml:space="preserve"> organisation”</w:t>
      </w:r>
      <w:r w:rsidR="00881DAC">
        <w:rPr>
          <w:rFonts w:ascii="Book Antiqua" w:hAnsi="Book Antiqua" w:cs="Arial"/>
        </w:rPr>
        <w:t>-</w:t>
      </w:r>
      <w:r w:rsidRPr="00FF0791">
        <w:rPr>
          <w:rFonts w:ascii="Book Antiqua" w:hAnsi="Book Antiqua" w:cs="Arial"/>
        </w:rPr>
        <w:t xml:space="preserve"> might have been a misprint for the Dalai (Lama), it is nevertheless true that the appellant did not mention Tibetan</w:t>
      </w:r>
      <w:r w:rsidR="00AB7128">
        <w:rPr>
          <w:rFonts w:ascii="Book Antiqua" w:hAnsi="Book Antiqua" w:cs="Arial"/>
        </w:rPr>
        <w:t xml:space="preserve"> Buddhism or Tibet </w:t>
      </w:r>
      <w:r w:rsidRPr="00FF0791">
        <w:rPr>
          <w:rFonts w:ascii="Book Antiqua" w:hAnsi="Book Antiqua" w:cs="Arial"/>
        </w:rPr>
        <w:t xml:space="preserve">at his screening interview.  </w:t>
      </w:r>
    </w:p>
    <w:p w14:paraId="3F90C2D5" w14:textId="77777777" w:rsidR="00684194" w:rsidRDefault="00684194" w:rsidP="00684194">
      <w:pPr>
        <w:pStyle w:val="ListParagraph"/>
        <w:spacing w:after="240"/>
        <w:ind w:left="567"/>
        <w:jc w:val="both"/>
        <w:rPr>
          <w:rFonts w:ascii="Book Antiqua" w:hAnsi="Book Antiqua" w:cs="Arial"/>
        </w:rPr>
      </w:pPr>
    </w:p>
    <w:p w14:paraId="2F8F33C1" w14:textId="0ADE4D81" w:rsidR="00684194" w:rsidRDefault="00684194" w:rsidP="00684194">
      <w:pPr>
        <w:pStyle w:val="ListParagraph"/>
        <w:numPr>
          <w:ilvl w:val="0"/>
          <w:numId w:val="1"/>
        </w:numPr>
        <w:spacing w:after="240"/>
        <w:ind w:left="567" w:hanging="567"/>
        <w:jc w:val="both"/>
        <w:rPr>
          <w:rFonts w:ascii="Book Antiqua" w:hAnsi="Book Antiqua" w:cs="Arial"/>
        </w:rPr>
      </w:pPr>
      <w:r>
        <w:rPr>
          <w:rFonts w:ascii="Book Antiqua" w:hAnsi="Book Antiqua" w:cs="Arial"/>
        </w:rPr>
        <w:t>It is trite that a person claiming international protection is not expected in his screening interview to set out every detail of his claim.  What might be reasonably expected to be found in</w:t>
      </w:r>
      <w:r w:rsidR="00252A45">
        <w:rPr>
          <w:rFonts w:ascii="Book Antiqua" w:hAnsi="Book Antiqua" w:cs="Arial"/>
        </w:rPr>
        <w:t xml:space="preserve"> a person’s answers at</w:t>
      </w:r>
      <w:r>
        <w:rPr>
          <w:rFonts w:ascii="Book Antiqua" w:hAnsi="Book Antiqua" w:cs="Arial"/>
        </w:rPr>
        <w:t xml:space="preserve"> an asylum screening interview will depend on the facts of the </w:t>
      </w:r>
      <w:proofErr w:type="gramStart"/>
      <w:r>
        <w:rPr>
          <w:rFonts w:ascii="Book Antiqua" w:hAnsi="Book Antiqua" w:cs="Arial"/>
        </w:rPr>
        <w:t>particular case</w:t>
      </w:r>
      <w:proofErr w:type="gramEnd"/>
      <w:r>
        <w:rPr>
          <w:rFonts w:ascii="Book Antiqua" w:hAnsi="Book Antiqua" w:cs="Arial"/>
        </w:rPr>
        <w:t>.  A person who volunteers themselves to the respondent,</w:t>
      </w:r>
      <w:r w:rsidR="00221783">
        <w:rPr>
          <w:rFonts w:ascii="Book Antiqua" w:hAnsi="Book Antiqua" w:cs="Arial"/>
        </w:rPr>
        <w:t xml:space="preserve"> in </w:t>
      </w:r>
      <w:r w:rsidR="00221783">
        <w:rPr>
          <w:rFonts w:ascii="Book Antiqua" w:hAnsi="Book Antiqua" w:cs="Arial"/>
        </w:rPr>
        <w:lastRenderedPageBreak/>
        <w:t>order</w:t>
      </w:r>
      <w:r>
        <w:rPr>
          <w:rFonts w:ascii="Book Antiqua" w:hAnsi="Book Antiqua" w:cs="Arial"/>
        </w:rPr>
        <w:t xml:space="preserve"> to make a claim for asylum</w:t>
      </w:r>
      <w:r w:rsidR="00DF2530">
        <w:rPr>
          <w:rFonts w:ascii="Book Antiqua" w:hAnsi="Book Antiqua" w:cs="Arial"/>
        </w:rPr>
        <w:t>,</w:t>
      </w:r>
      <w:r w:rsidR="00221783">
        <w:rPr>
          <w:rFonts w:ascii="Book Antiqua" w:hAnsi="Book Antiqua" w:cs="Arial"/>
        </w:rPr>
        <w:t xml:space="preserve"> after</w:t>
      </w:r>
      <w:r>
        <w:rPr>
          <w:rFonts w:ascii="Book Antiqua" w:hAnsi="Book Antiqua" w:cs="Arial"/>
        </w:rPr>
        <w:t xml:space="preserve"> having lived in the United Kingdom for a significant period of time</w:t>
      </w:r>
      <w:r w:rsidR="00DF2530">
        <w:rPr>
          <w:rFonts w:ascii="Book Antiqua" w:hAnsi="Book Antiqua" w:cs="Arial"/>
        </w:rPr>
        <w:t>,</w:t>
      </w:r>
      <w:r>
        <w:rPr>
          <w:rFonts w:ascii="Book Antiqua" w:hAnsi="Book Antiqua" w:cs="Arial"/>
        </w:rPr>
        <w:t xml:space="preserve"> might, as a general matter, be expected to provide somewhat more detail than, say, a person who is screened immediately after an ar</w:t>
      </w:r>
      <w:r w:rsidR="00BC0AB3">
        <w:rPr>
          <w:rFonts w:ascii="Book Antiqua" w:hAnsi="Book Antiqua" w:cs="Arial"/>
        </w:rPr>
        <w:t>d</w:t>
      </w:r>
      <w:r>
        <w:rPr>
          <w:rFonts w:ascii="Book Antiqua" w:hAnsi="Book Antiqua" w:cs="Arial"/>
        </w:rPr>
        <w:t xml:space="preserve">uous journey to this country, concealed in the back of a lorry.  </w:t>
      </w:r>
    </w:p>
    <w:p w14:paraId="23C14CCE" w14:textId="77777777" w:rsidR="00684194" w:rsidRDefault="00684194" w:rsidP="00684194">
      <w:pPr>
        <w:pStyle w:val="ListParagraph"/>
        <w:spacing w:after="240"/>
        <w:ind w:left="567"/>
        <w:jc w:val="both"/>
        <w:rPr>
          <w:rFonts w:ascii="Book Antiqua" w:hAnsi="Book Antiqua" w:cs="Arial"/>
        </w:rPr>
      </w:pPr>
    </w:p>
    <w:p w14:paraId="49AC3E92" w14:textId="338BC893" w:rsidR="00684194" w:rsidRDefault="00684194" w:rsidP="00684194">
      <w:pPr>
        <w:pStyle w:val="ListParagraph"/>
        <w:numPr>
          <w:ilvl w:val="0"/>
          <w:numId w:val="1"/>
        </w:numPr>
        <w:spacing w:after="240"/>
        <w:ind w:left="567" w:hanging="567"/>
        <w:jc w:val="both"/>
        <w:rPr>
          <w:rFonts w:ascii="Book Antiqua" w:hAnsi="Book Antiqua" w:cs="Arial"/>
        </w:rPr>
      </w:pPr>
      <w:r>
        <w:rPr>
          <w:rFonts w:ascii="Book Antiqua" w:hAnsi="Book Antiqua" w:cs="Arial"/>
        </w:rPr>
        <w:t>In the present case, the appellant had been in the United Kingdom for several years before he was arrested in connection with immigration matters.  That was when he claimed asylum.  Notwithstanding that the appellant was claiming following an event (his arrest) over</w:t>
      </w:r>
      <w:r w:rsidR="00FC1FBA">
        <w:rPr>
          <w:rFonts w:ascii="Book Antiqua" w:hAnsi="Book Antiqua" w:cs="Arial"/>
        </w:rPr>
        <w:t xml:space="preserve"> the timing of</w:t>
      </w:r>
      <w:r>
        <w:rPr>
          <w:rFonts w:ascii="Book Antiqua" w:hAnsi="Book Antiqua" w:cs="Arial"/>
        </w:rPr>
        <w:t xml:space="preserve"> which he had no control, we</w:t>
      </w:r>
      <w:r w:rsidR="00FC1FBA">
        <w:rPr>
          <w:rFonts w:ascii="Book Antiqua" w:hAnsi="Book Antiqua" w:cs="Arial"/>
        </w:rPr>
        <w:t xml:space="preserve"> nevertheless</w:t>
      </w:r>
      <w:r>
        <w:rPr>
          <w:rFonts w:ascii="Book Antiqua" w:hAnsi="Book Antiqua" w:cs="Arial"/>
        </w:rPr>
        <w:t xml:space="preserve"> consider that the First-tier Tribunal Judge was entitled to </w:t>
      </w:r>
      <w:r w:rsidR="00FC1FBA">
        <w:rPr>
          <w:rFonts w:ascii="Book Antiqua" w:hAnsi="Book Antiqua" w:cs="Arial"/>
        </w:rPr>
        <w:t>have some regard to</w:t>
      </w:r>
      <w:r>
        <w:rPr>
          <w:rFonts w:ascii="Book Antiqua" w:hAnsi="Book Antiqua" w:cs="Arial"/>
        </w:rPr>
        <w:t xml:space="preserve"> the fact that Tibet and Tibetan issues did not feature in the reasons given by the appellant for claiming asylum.</w:t>
      </w:r>
    </w:p>
    <w:p w14:paraId="6FE948AB" w14:textId="77777777" w:rsidR="00684194" w:rsidRDefault="00684194" w:rsidP="00684194">
      <w:pPr>
        <w:pStyle w:val="ListParagraph"/>
        <w:spacing w:after="240"/>
        <w:ind w:left="567"/>
        <w:jc w:val="both"/>
        <w:rPr>
          <w:rFonts w:ascii="Book Antiqua" w:hAnsi="Book Antiqua" w:cs="Arial"/>
        </w:rPr>
      </w:pPr>
    </w:p>
    <w:p w14:paraId="6395BBF5" w14:textId="3564D06B" w:rsidR="00684194" w:rsidRDefault="00684194" w:rsidP="00684194">
      <w:pPr>
        <w:pStyle w:val="ListParagraph"/>
        <w:numPr>
          <w:ilvl w:val="0"/>
          <w:numId w:val="1"/>
        </w:numPr>
        <w:spacing w:after="240"/>
        <w:ind w:left="567" w:hanging="567"/>
        <w:jc w:val="both"/>
        <w:rPr>
          <w:rFonts w:ascii="Book Antiqua" w:hAnsi="Book Antiqua" w:cs="Arial"/>
        </w:rPr>
      </w:pPr>
      <w:r>
        <w:rPr>
          <w:rFonts w:ascii="Book Antiqua" w:hAnsi="Book Antiqua" w:cs="Arial"/>
        </w:rPr>
        <w:t xml:space="preserve">In </w:t>
      </w:r>
      <w:r w:rsidR="00EA095C">
        <w:rPr>
          <w:rFonts w:ascii="Book Antiqua" w:hAnsi="Book Antiqua" w:cs="Arial"/>
        </w:rPr>
        <w:t xml:space="preserve">any event, however, reading the decision of the First-tier Tribunal as a whole, it is manifest that the basis for the First-tier Tribunal Judge’s adverse credibility findings </w:t>
      </w:r>
      <w:r w:rsidR="001C5506">
        <w:rPr>
          <w:rFonts w:ascii="Book Antiqua" w:hAnsi="Book Antiqua" w:cs="Arial"/>
        </w:rPr>
        <w:t>arose</w:t>
      </w:r>
      <w:r w:rsidR="00EA095C">
        <w:rPr>
          <w:rFonts w:ascii="Book Antiqua" w:hAnsi="Book Antiqua" w:cs="Arial"/>
        </w:rPr>
        <w:t xml:space="preserve"> not from the screening interview but from the detailed asylum interview.  It was in that interview that the appellant</w:t>
      </w:r>
      <w:r w:rsidR="009B7B03">
        <w:rPr>
          <w:rFonts w:ascii="Book Antiqua" w:hAnsi="Book Antiqua" w:cs="Arial"/>
        </w:rPr>
        <w:t xml:space="preserve"> made the remarkable assertion </w:t>
      </w:r>
      <w:r w:rsidR="00EA095C">
        <w:rPr>
          <w:rFonts w:ascii="Book Antiqua" w:hAnsi="Book Antiqua" w:cs="Arial"/>
        </w:rPr>
        <w:t xml:space="preserve">that there was no Buddhism in the country in which he was claiming asylum.  </w:t>
      </w:r>
    </w:p>
    <w:p w14:paraId="02589F51" w14:textId="77777777" w:rsidR="00EA095C" w:rsidRDefault="00EA095C" w:rsidP="00EA095C">
      <w:pPr>
        <w:pStyle w:val="ListParagraph"/>
        <w:spacing w:after="240"/>
        <w:ind w:left="567"/>
        <w:jc w:val="both"/>
        <w:rPr>
          <w:rFonts w:ascii="Book Antiqua" w:hAnsi="Book Antiqua" w:cs="Arial"/>
        </w:rPr>
      </w:pPr>
    </w:p>
    <w:p w14:paraId="1CE49CD4" w14:textId="77777777" w:rsidR="00EA095C" w:rsidRDefault="00EA095C" w:rsidP="00684194">
      <w:pPr>
        <w:pStyle w:val="ListParagraph"/>
        <w:numPr>
          <w:ilvl w:val="0"/>
          <w:numId w:val="1"/>
        </w:numPr>
        <w:spacing w:after="240"/>
        <w:ind w:left="567" w:hanging="567"/>
        <w:jc w:val="both"/>
        <w:rPr>
          <w:rFonts w:ascii="Book Antiqua" w:hAnsi="Book Antiqua" w:cs="Arial"/>
        </w:rPr>
      </w:pPr>
      <w:r>
        <w:rPr>
          <w:rFonts w:ascii="Book Antiqua" w:hAnsi="Book Antiqua" w:cs="Arial"/>
        </w:rPr>
        <w:t>For these reasons, ground (iii) is not made out.</w:t>
      </w:r>
    </w:p>
    <w:p w14:paraId="09611F8D" w14:textId="77777777" w:rsidR="00EA095C" w:rsidRDefault="00EA095C" w:rsidP="00EA095C">
      <w:pPr>
        <w:pStyle w:val="ListParagraph"/>
        <w:spacing w:after="240"/>
        <w:ind w:left="567"/>
        <w:jc w:val="both"/>
        <w:rPr>
          <w:rFonts w:ascii="Book Antiqua" w:hAnsi="Book Antiqua" w:cs="Arial"/>
        </w:rPr>
      </w:pPr>
    </w:p>
    <w:p w14:paraId="6E0426FB" w14:textId="4663620C" w:rsidR="002D7D7C" w:rsidRPr="002E6DE4" w:rsidRDefault="00D432D6" w:rsidP="002D7D7C">
      <w:pPr>
        <w:jc w:val="both"/>
        <w:rPr>
          <w:rFonts w:ascii="Book Antiqua" w:hAnsi="Book Antiqua" w:cs="Arial"/>
          <w:b/>
          <w:i/>
          <w:iCs/>
        </w:rPr>
      </w:pPr>
      <w:r>
        <w:rPr>
          <w:rFonts w:ascii="Book Antiqua" w:hAnsi="Book Antiqua" w:cs="Arial"/>
          <w:b/>
          <w:i/>
          <w:iCs/>
        </w:rPr>
        <w:t>H.  DECISION</w:t>
      </w:r>
    </w:p>
    <w:p w14:paraId="30586551" w14:textId="77777777" w:rsidR="002D7D7C" w:rsidRDefault="002D7D7C" w:rsidP="002D7D7C">
      <w:pPr>
        <w:jc w:val="both"/>
        <w:rPr>
          <w:rFonts w:ascii="Book Antiqua" w:hAnsi="Book Antiqua" w:cs="Arial"/>
        </w:rPr>
      </w:pPr>
    </w:p>
    <w:p w14:paraId="4EF8B681" w14:textId="16743984" w:rsidR="00D432D6" w:rsidRDefault="00EA095C" w:rsidP="00EA095C">
      <w:pPr>
        <w:spacing w:after="240"/>
        <w:jc w:val="both"/>
        <w:rPr>
          <w:rFonts w:ascii="Book Antiqua" w:hAnsi="Book Antiqua" w:cs="Arial"/>
        </w:rPr>
      </w:pPr>
      <w:r>
        <w:rPr>
          <w:rFonts w:ascii="Book Antiqua" w:hAnsi="Book Antiqua" w:cs="Arial"/>
        </w:rPr>
        <w:t>The decision of the First-tier Tribunal Judge does not contain an error on a point of law.  The appellant’s appeal is accordingly dismissed.</w:t>
      </w:r>
    </w:p>
    <w:p w14:paraId="445B3A0D" w14:textId="77777777" w:rsidR="000B33ED" w:rsidRDefault="000B33ED" w:rsidP="002D7D7C">
      <w:pPr>
        <w:jc w:val="both"/>
        <w:rPr>
          <w:rFonts w:ascii="Book Antiqua" w:hAnsi="Book Antiqua" w:cs="Arial"/>
          <w:b/>
          <w:u w:val="single"/>
        </w:rPr>
      </w:pPr>
    </w:p>
    <w:p w14:paraId="6BA4DE59" w14:textId="77777777" w:rsidR="000B33ED" w:rsidRDefault="000B33ED" w:rsidP="002D7D7C">
      <w:pPr>
        <w:jc w:val="both"/>
        <w:rPr>
          <w:rFonts w:ascii="Book Antiqua" w:hAnsi="Book Antiqua" w:cs="Arial"/>
          <w:b/>
          <w:u w:val="single"/>
        </w:rPr>
      </w:pPr>
    </w:p>
    <w:p w14:paraId="367397B2" w14:textId="77777777" w:rsidR="000B33ED" w:rsidRDefault="000B33ED" w:rsidP="002D7D7C">
      <w:pPr>
        <w:jc w:val="both"/>
        <w:rPr>
          <w:rFonts w:ascii="Book Antiqua" w:hAnsi="Book Antiqua" w:cs="Arial"/>
          <w:b/>
          <w:u w:val="single"/>
        </w:rPr>
      </w:pPr>
    </w:p>
    <w:p w14:paraId="3C243334" w14:textId="2EF2DF77" w:rsidR="002D7D7C" w:rsidRPr="002D7D7C" w:rsidRDefault="002D7D7C" w:rsidP="002D7D7C">
      <w:pPr>
        <w:jc w:val="both"/>
        <w:rPr>
          <w:rFonts w:ascii="Book Antiqua" w:hAnsi="Book Antiqua" w:cs="Arial"/>
        </w:rPr>
      </w:pPr>
      <w:bookmarkStart w:id="17" w:name="_GoBack"/>
      <w:bookmarkEnd w:id="17"/>
      <w:r w:rsidRPr="002D7D7C">
        <w:rPr>
          <w:rFonts w:ascii="Book Antiqua" w:hAnsi="Book Antiqua" w:cs="Arial"/>
          <w:b/>
          <w:u w:val="single"/>
        </w:rPr>
        <w:t>Direction Regarding Anonymity – Rule 14 of the Tribunal Procedure (Upper Tribunal) Rules 2008</w:t>
      </w:r>
    </w:p>
    <w:p w14:paraId="53CD1FE4" w14:textId="77777777" w:rsidR="002D7D7C" w:rsidRPr="002D7D7C" w:rsidRDefault="002D7D7C" w:rsidP="002D7D7C">
      <w:pPr>
        <w:jc w:val="both"/>
        <w:rPr>
          <w:rFonts w:ascii="Book Antiqua" w:hAnsi="Book Antiqua" w:cs="Arial"/>
        </w:rPr>
      </w:pPr>
    </w:p>
    <w:p w14:paraId="40E14CE8" w14:textId="62C9CED8" w:rsidR="005F09E3" w:rsidRPr="00C3462F" w:rsidRDefault="002D7D7C" w:rsidP="00D53B5C">
      <w:pPr>
        <w:jc w:val="both"/>
        <w:rPr>
          <w:rFonts w:ascii="Book Antiqua" w:hAnsi="Book Antiqua" w:cs="Arial"/>
        </w:rPr>
      </w:pPr>
      <w:r w:rsidRPr="002D7D7C">
        <w:rPr>
          <w:rFonts w:ascii="Book Antiqua" w:hAnsi="Book Antiqua" w:cs="Arial"/>
        </w:rPr>
        <w:t xml:space="preserve">Unless and </w:t>
      </w:r>
      <w:r w:rsidRPr="002D7D7C">
        <w:rPr>
          <w:rFonts w:ascii="Book Antiqua" w:hAnsi="Book Antiqua"/>
        </w:rPr>
        <w:t xml:space="preserve">until a Tribunal or court directs otherwise, the </w:t>
      </w:r>
      <w:r w:rsidR="003A40C6">
        <w:rPr>
          <w:rFonts w:ascii="Book Antiqua" w:hAnsi="Book Antiqua"/>
        </w:rPr>
        <w:t>a</w:t>
      </w:r>
      <w:r w:rsidRPr="002D7D7C">
        <w:rPr>
          <w:rFonts w:ascii="Book Antiqua" w:hAnsi="Book Antiqua"/>
        </w:rPr>
        <w:t xml:space="preserve">ppellant is granted anonymity.  No report of these proceedings shall directly or indirectly identify him or any member of their family.  This direction applies both to the </w:t>
      </w:r>
      <w:r w:rsidR="003A40C6">
        <w:rPr>
          <w:rFonts w:ascii="Book Antiqua" w:hAnsi="Book Antiqua"/>
        </w:rPr>
        <w:t>a</w:t>
      </w:r>
      <w:r w:rsidRPr="002D7D7C">
        <w:rPr>
          <w:rFonts w:ascii="Book Antiqua" w:hAnsi="Book Antiqua"/>
        </w:rPr>
        <w:t xml:space="preserve">ppellant and to the </w:t>
      </w:r>
      <w:r w:rsidR="003A40C6">
        <w:rPr>
          <w:rFonts w:ascii="Book Antiqua" w:hAnsi="Book Antiqua"/>
        </w:rPr>
        <w:t>r</w:t>
      </w:r>
      <w:r w:rsidRPr="002D7D7C">
        <w:rPr>
          <w:rFonts w:ascii="Book Antiqua" w:hAnsi="Book Antiqua"/>
        </w:rPr>
        <w:t>espondent.  Failure to comply with this direction could lead to contempt of court proceedings.</w:t>
      </w:r>
    </w:p>
    <w:p w14:paraId="11ADE3CD" w14:textId="77777777" w:rsidR="00A509FA" w:rsidRPr="00C3462F" w:rsidRDefault="00A509FA" w:rsidP="00780F86">
      <w:pPr>
        <w:ind w:left="540" w:hanging="540"/>
        <w:jc w:val="both"/>
        <w:rPr>
          <w:rFonts w:ascii="Book Antiqua" w:hAnsi="Book Antiqua" w:cs="Arial"/>
        </w:rPr>
      </w:pPr>
    </w:p>
    <w:p w14:paraId="39B3797D" w14:textId="37B36006" w:rsidR="001554CB" w:rsidRPr="00C3462F" w:rsidRDefault="00A876D5" w:rsidP="00D53B5C">
      <w:pPr>
        <w:jc w:val="both"/>
        <w:rPr>
          <w:rFonts w:ascii="Book Antiqua" w:hAnsi="Book Antiqua" w:cs="Arial"/>
        </w:rPr>
      </w:pPr>
      <w:r>
        <w:rPr>
          <w:rFonts w:ascii="Lucida Handwriting" w:hAnsi="Lucida Handwriting" w:cs="Arial"/>
        </w:rPr>
        <w:t xml:space="preserve">Mr Justice Lane                                                                           </w:t>
      </w:r>
      <w:r w:rsidR="005F09E3">
        <w:rPr>
          <w:rFonts w:ascii="Book Antiqua" w:hAnsi="Book Antiqua" w:cs="Arial"/>
        </w:rPr>
        <w:t>7</w:t>
      </w:r>
      <w:r w:rsidR="003E030C">
        <w:rPr>
          <w:rFonts w:ascii="Book Antiqua" w:hAnsi="Book Antiqua" w:cs="Arial"/>
        </w:rPr>
        <w:t xml:space="preserve"> January 2021</w:t>
      </w:r>
    </w:p>
    <w:p w14:paraId="35488C0C" w14:textId="77777777" w:rsidR="00CA3919" w:rsidRDefault="00CA3919" w:rsidP="003E030C">
      <w:pPr>
        <w:tabs>
          <w:tab w:val="left" w:pos="2520"/>
        </w:tabs>
        <w:rPr>
          <w:rFonts w:ascii="Book Antiqua" w:hAnsi="Book Antiqua" w:cs="Arial"/>
          <w:color w:val="000000"/>
        </w:rPr>
      </w:pPr>
      <w:r>
        <w:rPr>
          <w:rFonts w:ascii="Book Antiqua" w:hAnsi="Book Antiqua" w:cs="Arial"/>
          <w:color w:val="000000"/>
        </w:rPr>
        <w:t>The Hon. Mr Justice</w:t>
      </w:r>
      <w:r w:rsidR="005035E7" w:rsidRPr="00C3462F">
        <w:rPr>
          <w:rFonts w:ascii="Book Antiqua" w:hAnsi="Book Antiqua" w:cs="Arial"/>
          <w:color w:val="000000"/>
        </w:rPr>
        <w:t xml:space="preserve"> Lane</w:t>
      </w:r>
    </w:p>
    <w:p w14:paraId="3B3187D2" w14:textId="77777777" w:rsidR="00CA3919" w:rsidRDefault="00CA3919" w:rsidP="003E030C">
      <w:pPr>
        <w:tabs>
          <w:tab w:val="left" w:pos="2520"/>
        </w:tabs>
        <w:rPr>
          <w:rFonts w:ascii="Book Antiqua" w:hAnsi="Book Antiqua" w:cs="Arial"/>
          <w:color w:val="000000"/>
        </w:rPr>
      </w:pPr>
      <w:r>
        <w:rPr>
          <w:rFonts w:ascii="Book Antiqua" w:hAnsi="Book Antiqua" w:cs="Arial"/>
          <w:color w:val="000000"/>
        </w:rPr>
        <w:t>President of the Upper Tribunal</w:t>
      </w:r>
    </w:p>
    <w:p w14:paraId="4E8173B7" w14:textId="0A8D22F6" w:rsidR="00CA3919" w:rsidRPr="00C3462F" w:rsidRDefault="00CA3919" w:rsidP="003E030C">
      <w:pPr>
        <w:tabs>
          <w:tab w:val="left" w:pos="2520"/>
        </w:tabs>
        <w:rPr>
          <w:rFonts w:ascii="Book Antiqua" w:hAnsi="Book Antiqua" w:cs="Arial"/>
          <w:color w:val="000000"/>
        </w:rPr>
      </w:pPr>
      <w:r>
        <w:rPr>
          <w:rFonts w:ascii="Book Antiqua" w:hAnsi="Book Antiqua" w:cs="Arial"/>
          <w:color w:val="000000"/>
        </w:rPr>
        <w:t>Immigration and Asylum Chamber</w:t>
      </w:r>
      <w:r w:rsidR="0072497A" w:rsidRPr="00C3462F">
        <w:rPr>
          <w:rFonts w:ascii="Book Antiqua" w:hAnsi="Book Antiqua" w:cs="Arial"/>
          <w:color w:val="000000"/>
        </w:rPr>
        <w:t xml:space="preserve"> </w:t>
      </w:r>
      <w:r w:rsidRPr="00C3462F">
        <w:rPr>
          <w:rFonts w:ascii="Book Antiqua" w:hAnsi="Book Antiqua" w:cs="Arial"/>
          <w:color w:val="000000"/>
        </w:rPr>
        <w:t xml:space="preserve"> </w:t>
      </w:r>
    </w:p>
    <w:p w14:paraId="0A62729C" w14:textId="77777777" w:rsidR="00B95326" w:rsidRPr="00C3462F" w:rsidRDefault="00B95326" w:rsidP="00A635CE">
      <w:pPr>
        <w:jc w:val="center"/>
        <w:rPr>
          <w:rFonts w:ascii="Book Antiqua" w:hAnsi="Book Antiqua" w:cs="Arial"/>
        </w:rPr>
      </w:pPr>
    </w:p>
    <w:sectPr w:rsidR="00B95326" w:rsidRPr="00C3462F"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F84F8" w14:textId="77777777" w:rsidR="00446321" w:rsidRDefault="00446321">
      <w:r>
        <w:separator/>
      </w:r>
    </w:p>
  </w:endnote>
  <w:endnote w:type="continuationSeparator" w:id="0">
    <w:p w14:paraId="11BDB9B1" w14:textId="77777777" w:rsidR="00446321" w:rsidRDefault="00446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DD293" w14:textId="77777777" w:rsidR="00684194" w:rsidRPr="00616FA4" w:rsidRDefault="00684194" w:rsidP="00593795">
    <w:pPr>
      <w:pStyle w:val="Footer"/>
      <w:jc w:val="center"/>
      <w:rPr>
        <w:rFonts w:ascii="Book Antiqua" w:hAnsi="Book Antiqua" w:cs="Arial"/>
      </w:rPr>
    </w:pPr>
    <w:r w:rsidRPr="00616FA4">
      <w:rPr>
        <w:rStyle w:val="PageNumber"/>
        <w:rFonts w:ascii="Book Antiqua" w:hAnsi="Book Antiqua" w:cs="Arial"/>
      </w:rPr>
      <w:fldChar w:fldCharType="begin"/>
    </w:r>
    <w:r w:rsidRPr="00616FA4">
      <w:rPr>
        <w:rStyle w:val="PageNumber"/>
        <w:rFonts w:ascii="Book Antiqua" w:hAnsi="Book Antiqua" w:cs="Arial"/>
      </w:rPr>
      <w:instrText xml:space="preserve"> PAGE </w:instrText>
    </w:r>
    <w:r w:rsidRPr="00616FA4">
      <w:rPr>
        <w:rStyle w:val="PageNumber"/>
        <w:rFonts w:ascii="Book Antiqua" w:hAnsi="Book Antiqua" w:cs="Arial"/>
      </w:rPr>
      <w:fldChar w:fldCharType="separate"/>
    </w:r>
    <w:r w:rsidRPr="00616FA4">
      <w:rPr>
        <w:rStyle w:val="PageNumber"/>
        <w:rFonts w:ascii="Book Antiqua" w:hAnsi="Book Antiqua" w:cs="Arial"/>
        <w:noProof/>
      </w:rPr>
      <w:t>3</w:t>
    </w:r>
    <w:r w:rsidRPr="00616FA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13531" w14:textId="2DB6C9B1" w:rsidR="00684194" w:rsidRPr="00C3462F" w:rsidRDefault="00684194" w:rsidP="00090CF9">
    <w:pPr>
      <w:jc w:val="center"/>
      <w:rPr>
        <w:rFonts w:ascii="Book Antiqua" w:hAnsi="Book Antiqua" w:cs="Arial"/>
        <w:b/>
      </w:rPr>
    </w:pPr>
    <w:r w:rsidRPr="00C3462F">
      <w:rPr>
        <w:rFonts w:ascii="Book Antiqua" w:hAnsi="Book Antiqua" w:cs="Arial"/>
        <w:b/>
        <w:spacing w:val="-6"/>
      </w:rPr>
      <w:t>©</w:t>
    </w:r>
    <w:r>
      <w:rPr>
        <w:rFonts w:ascii="Book Antiqua" w:hAnsi="Book Antiqua" w:cs="Arial"/>
        <w:b/>
      </w:rPr>
      <w:t xml:space="preserve"> CROWN COPYRIGHT 202</w:t>
    </w:r>
    <w:r w:rsidR="00A635CE">
      <w:rPr>
        <w:rFonts w:ascii="Book Antiqua" w:hAnsi="Book Antiqua" w:cs="Arial"/>
        <w: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8668D" w14:textId="77777777" w:rsidR="00446321" w:rsidRDefault="00446321">
      <w:r>
        <w:separator/>
      </w:r>
    </w:p>
  </w:footnote>
  <w:footnote w:type="continuationSeparator" w:id="0">
    <w:p w14:paraId="5F45933E" w14:textId="77777777" w:rsidR="00446321" w:rsidRDefault="00446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F2B74" w14:textId="1A9D5814" w:rsidR="00684194" w:rsidRPr="00C3462F" w:rsidRDefault="00684194"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9AEBA" w14:textId="77777777" w:rsidR="00684194" w:rsidRPr="00C3462F" w:rsidRDefault="00684194">
    <w:pPr>
      <w:pStyle w:val="Header"/>
      <w:rPr>
        <w:rFonts w:ascii="Book Antiqua" w:hAnsi="Book Antiqua"/>
      </w:rPr>
    </w:pPr>
    <w:r w:rsidRPr="00C3462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45305"/>
    <w:multiLevelType w:val="hybridMultilevel"/>
    <w:tmpl w:val="306275AA"/>
    <w:lvl w:ilvl="0" w:tplc="EE8864A2">
      <w:start w:val="1"/>
      <w:numFmt w:val="lowerRoman"/>
      <w:lvlText w:val="(%1)"/>
      <w:lvlJc w:val="left"/>
      <w:pPr>
        <w:ind w:left="1854" w:hanging="72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 w15:restartNumberingAfterBreak="0">
    <w:nsid w:val="12654D9D"/>
    <w:multiLevelType w:val="hybridMultilevel"/>
    <w:tmpl w:val="553E84EA"/>
    <w:lvl w:ilvl="0" w:tplc="79203150">
      <w:start w:val="1"/>
      <w:numFmt w:val="lowerRoman"/>
      <w:lvlText w:val="(%1)"/>
      <w:lvlJc w:val="left"/>
      <w:pPr>
        <w:ind w:left="2421" w:hanging="72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 w15:restartNumberingAfterBreak="0">
    <w:nsid w:val="53E533E4"/>
    <w:multiLevelType w:val="hybridMultilevel"/>
    <w:tmpl w:val="CF8A606A"/>
    <w:lvl w:ilvl="0" w:tplc="806E7F0E">
      <w:start w:val="1"/>
      <w:numFmt w:val="lowerRoman"/>
      <w:lvlText w:val="(%1)"/>
      <w:lvlJc w:val="left"/>
      <w:pPr>
        <w:ind w:left="1854" w:hanging="72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3" w15:restartNumberingAfterBreak="0">
    <w:nsid w:val="58515FFF"/>
    <w:multiLevelType w:val="hybridMultilevel"/>
    <w:tmpl w:val="5E74EDAA"/>
    <w:lvl w:ilvl="0" w:tplc="4C84B5A0">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CC5B3C"/>
    <w:multiLevelType w:val="hybridMultilevel"/>
    <w:tmpl w:val="5372A622"/>
    <w:lvl w:ilvl="0" w:tplc="CF8A86D0">
      <w:start w:val="1"/>
      <w:numFmt w:val="lowerRoman"/>
      <w:lvlText w:val="%1."/>
      <w:lvlJc w:val="left"/>
      <w:pPr>
        <w:ind w:left="1854" w:hanging="72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15:restartNumberingAfterBreak="0">
    <w:nsid w:val="79CB4635"/>
    <w:multiLevelType w:val="hybridMultilevel"/>
    <w:tmpl w:val="AB545658"/>
    <w:lvl w:ilvl="0" w:tplc="CABC01C2">
      <w:start w:val="1"/>
      <w:numFmt w:val="lowerRoman"/>
      <w:lvlText w:val="%1."/>
      <w:lvlJc w:val="left"/>
      <w:pPr>
        <w:ind w:left="1854" w:hanging="72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E5"/>
    <w:rsid w:val="00000621"/>
    <w:rsid w:val="00001B7B"/>
    <w:rsid w:val="000036C2"/>
    <w:rsid w:val="000063A5"/>
    <w:rsid w:val="00006774"/>
    <w:rsid w:val="00007A57"/>
    <w:rsid w:val="00010CC4"/>
    <w:rsid w:val="00012618"/>
    <w:rsid w:val="00015709"/>
    <w:rsid w:val="0001693A"/>
    <w:rsid w:val="000205ED"/>
    <w:rsid w:val="00024659"/>
    <w:rsid w:val="000270EF"/>
    <w:rsid w:val="00027F17"/>
    <w:rsid w:val="00032B9D"/>
    <w:rsid w:val="00033D3D"/>
    <w:rsid w:val="00033F89"/>
    <w:rsid w:val="00036A5E"/>
    <w:rsid w:val="00036C1F"/>
    <w:rsid w:val="00040DE0"/>
    <w:rsid w:val="00041299"/>
    <w:rsid w:val="00044F60"/>
    <w:rsid w:val="00054586"/>
    <w:rsid w:val="00062F02"/>
    <w:rsid w:val="000637AA"/>
    <w:rsid w:val="000662E2"/>
    <w:rsid w:val="00067738"/>
    <w:rsid w:val="00071A7E"/>
    <w:rsid w:val="00072C34"/>
    <w:rsid w:val="000746C0"/>
    <w:rsid w:val="00074D1D"/>
    <w:rsid w:val="000818EE"/>
    <w:rsid w:val="000909C2"/>
    <w:rsid w:val="00090CF9"/>
    <w:rsid w:val="00092580"/>
    <w:rsid w:val="00093D4D"/>
    <w:rsid w:val="00093F2D"/>
    <w:rsid w:val="00094706"/>
    <w:rsid w:val="00094EE4"/>
    <w:rsid w:val="00095AE7"/>
    <w:rsid w:val="0009736C"/>
    <w:rsid w:val="000A0FAB"/>
    <w:rsid w:val="000A2DC1"/>
    <w:rsid w:val="000A4BA1"/>
    <w:rsid w:val="000B00FF"/>
    <w:rsid w:val="000B33ED"/>
    <w:rsid w:val="000B7AE7"/>
    <w:rsid w:val="000C1463"/>
    <w:rsid w:val="000C1FF7"/>
    <w:rsid w:val="000C28D9"/>
    <w:rsid w:val="000D27E0"/>
    <w:rsid w:val="000D3B71"/>
    <w:rsid w:val="000D4F55"/>
    <w:rsid w:val="000D5D94"/>
    <w:rsid w:val="000E56CF"/>
    <w:rsid w:val="000E5B24"/>
    <w:rsid w:val="000F1A0E"/>
    <w:rsid w:val="000F1CD2"/>
    <w:rsid w:val="000F7092"/>
    <w:rsid w:val="00100A94"/>
    <w:rsid w:val="0010208F"/>
    <w:rsid w:val="00102776"/>
    <w:rsid w:val="00106408"/>
    <w:rsid w:val="00107B93"/>
    <w:rsid w:val="001165A7"/>
    <w:rsid w:val="00117338"/>
    <w:rsid w:val="00120031"/>
    <w:rsid w:val="001212AB"/>
    <w:rsid w:val="00123CAD"/>
    <w:rsid w:val="0012566A"/>
    <w:rsid w:val="00126C50"/>
    <w:rsid w:val="00130834"/>
    <w:rsid w:val="00131E82"/>
    <w:rsid w:val="00134CC7"/>
    <w:rsid w:val="00134CF6"/>
    <w:rsid w:val="001416CE"/>
    <w:rsid w:val="00141F75"/>
    <w:rsid w:val="001441D6"/>
    <w:rsid w:val="001457E9"/>
    <w:rsid w:val="001465EE"/>
    <w:rsid w:val="001541EC"/>
    <w:rsid w:val="00154626"/>
    <w:rsid w:val="001554CB"/>
    <w:rsid w:val="0015712D"/>
    <w:rsid w:val="00157AB5"/>
    <w:rsid w:val="00164FF9"/>
    <w:rsid w:val="00167054"/>
    <w:rsid w:val="00167D3A"/>
    <w:rsid w:val="001749BB"/>
    <w:rsid w:val="00181D04"/>
    <w:rsid w:val="0018282F"/>
    <w:rsid w:val="00183A6D"/>
    <w:rsid w:val="00183A80"/>
    <w:rsid w:val="00184AB5"/>
    <w:rsid w:val="00184BB4"/>
    <w:rsid w:val="00186148"/>
    <w:rsid w:val="00186FE9"/>
    <w:rsid w:val="00193A7A"/>
    <w:rsid w:val="00195F97"/>
    <w:rsid w:val="001A3082"/>
    <w:rsid w:val="001A6775"/>
    <w:rsid w:val="001B131E"/>
    <w:rsid w:val="001B186A"/>
    <w:rsid w:val="001B2A8A"/>
    <w:rsid w:val="001B2F75"/>
    <w:rsid w:val="001B4A5B"/>
    <w:rsid w:val="001B5C4A"/>
    <w:rsid w:val="001C0878"/>
    <w:rsid w:val="001C0E9A"/>
    <w:rsid w:val="001C286D"/>
    <w:rsid w:val="001C3699"/>
    <w:rsid w:val="001C43C4"/>
    <w:rsid w:val="001C4D03"/>
    <w:rsid w:val="001C5506"/>
    <w:rsid w:val="001C72C7"/>
    <w:rsid w:val="001C7CA0"/>
    <w:rsid w:val="001E68FD"/>
    <w:rsid w:val="001F1919"/>
    <w:rsid w:val="001F2716"/>
    <w:rsid w:val="001F4879"/>
    <w:rsid w:val="0020044D"/>
    <w:rsid w:val="00207617"/>
    <w:rsid w:val="002112E5"/>
    <w:rsid w:val="00211732"/>
    <w:rsid w:val="00221783"/>
    <w:rsid w:val="0022199B"/>
    <w:rsid w:val="00225331"/>
    <w:rsid w:val="00226F49"/>
    <w:rsid w:val="00227601"/>
    <w:rsid w:val="002308F6"/>
    <w:rsid w:val="0023134B"/>
    <w:rsid w:val="00232ED6"/>
    <w:rsid w:val="00237A68"/>
    <w:rsid w:val="00241CAD"/>
    <w:rsid w:val="0024239C"/>
    <w:rsid w:val="0025049A"/>
    <w:rsid w:val="002520E6"/>
    <w:rsid w:val="00252A45"/>
    <w:rsid w:val="00260F96"/>
    <w:rsid w:val="00262A8E"/>
    <w:rsid w:val="002677C6"/>
    <w:rsid w:val="00270826"/>
    <w:rsid w:val="00270E13"/>
    <w:rsid w:val="0027399C"/>
    <w:rsid w:val="00274165"/>
    <w:rsid w:val="00277001"/>
    <w:rsid w:val="002833F9"/>
    <w:rsid w:val="00283659"/>
    <w:rsid w:val="00290B73"/>
    <w:rsid w:val="002A0315"/>
    <w:rsid w:val="002A4F95"/>
    <w:rsid w:val="002A68E7"/>
    <w:rsid w:val="002A6AE6"/>
    <w:rsid w:val="002B24DE"/>
    <w:rsid w:val="002B2506"/>
    <w:rsid w:val="002B5BD0"/>
    <w:rsid w:val="002C51B0"/>
    <w:rsid w:val="002C6B15"/>
    <w:rsid w:val="002C6BD4"/>
    <w:rsid w:val="002C6DCB"/>
    <w:rsid w:val="002D0539"/>
    <w:rsid w:val="002D2B72"/>
    <w:rsid w:val="002D3411"/>
    <w:rsid w:val="002D6634"/>
    <w:rsid w:val="002D68BF"/>
    <w:rsid w:val="002D7D7C"/>
    <w:rsid w:val="002E2929"/>
    <w:rsid w:val="002E3389"/>
    <w:rsid w:val="002E3C0D"/>
    <w:rsid w:val="002E6DE4"/>
    <w:rsid w:val="002F672C"/>
    <w:rsid w:val="002F6B98"/>
    <w:rsid w:val="002F7EBA"/>
    <w:rsid w:val="00302E62"/>
    <w:rsid w:val="003037C7"/>
    <w:rsid w:val="00315E15"/>
    <w:rsid w:val="003208EB"/>
    <w:rsid w:val="00324980"/>
    <w:rsid w:val="00331101"/>
    <w:rsid w:val="00333838"/>
    <w:rsid w:val="003369B2"/>
    <w:rsid w:val="00336CBF"/>
    <w:rsid w:val="003431E6"/>
    <w:rsid w:val="00343FE3"/>
    <w:rsid w:val="003458F5"/>
    <w:rsid w:val="003524A6"/>
    <w:rsid w:val="003546C8"/>
    <w:rsid w:val="00356EB2"/>
    <w:rsid w:val="00381484"/>
    <w:rsid w:val="00382ED1"/>
    <w:rsid w:val="00382F14"/>
    <w:rsid w:val="00390CEF"/>
    <w:rsid w:val="003940FE"/>
    <w:rsid w:val="00396456"/>
    <w:rsid w:val="003A16D9"/>
    <w:rsid w:val="003A283A"/>
    <w:rsid w:val="003A399C"/>
    <w:rsid w:val="003A40C6"/>
    <w:rsid w:val="003A7666"/>
    <w:rsid w:val="003A7CF2"/>
    <w:rsid w:val="003B3AF2"/>
    <w:rsid w:val="003C5493"/>
    <w:rsid w:val="003C5851"/>
    <w:rsid w:val="003C5CE5"/>
    <w:rsid w:val="003D10AE"/>
    <w:rsid w:val="003D2529"/>
    <w:rsid w:val="003E030C"/>
    <w:rsid w:val="003E267B"/>
    <w:rsid w:val="003E379E"/>
    <w:rsid w:val="003E4429"/>
    <w:rsid w:val="003E7CD1"/>
    <w:rsid w:val="003F5690"/>
    <w:rsid w:val="003F586F"/>
    <w:rsid w:val="004009A8"/>
    <w:rsid w:val="00400B43"/>
    <w:rsid w:val="004011A0"/>
    <w:rsid w:val="00402B9E"/>
    <w:rsid w:val="004104D4"/>
    <w:rsid w:val="00413691"/>
    <w:rsid w:val="004249CB"/>
    <w:rsid w:val="00427347"/>
    <w:rsid w:val="004307E2"/>
    <w:rsid w:val="00432487"/>
    <w:rsid w:val="00437ED6"/>
    <w:rsid w:val="0044127D"/>
    <w:rsid w:val="004448DB"/>
    <w:rsid w:val="0044567E"/>
    <w:rsid w:val="004462CF"/>
    <w:rsid w:val="00446321"/>
    <w:rsid w:val="00446C9A"/>
    <w:rsid w:val="00452F2B"/>
    <w:rsid w:val="00457032"/>
    <w:rsid w:val="004576C7"/>
    <w:rsid w:val="004722EB"/>
    <w:rsid w:val="00477193"/>
    <w:rsid w:val="0048198B"/>
    <w:rsid w:val="00481D8B"/>
    <w:rsid w:val="0049125C"/>
    <w:rsid w:val="00494799"/>
    <w:rsid w:val="00496CDA"/>
    <w:rsid w:val="00496CFC"/>
    <w:rsid w:val="004A1848"/>
    <w:rsid w:val="004A6B2A"/>
    <w:rsid w:val="004A6F4A"/>
    <w:rsid w:val="004C14AB"/>
    <w:rsid w:val="004C4002"/>
    <w:rsid w:val="004D0A50"/>
    <w:rsid w:val="004E3E2B"/>
    <w:rsid w:val="004E4717"/>
    <w:rsid w:val="004E6484"/>
    <w:rsid w:val="004E6DCE"/>
    <w:rsid w:val="004F2DC5"/>
    <w:rsid w:val="004F4CA5"/>
    <w:rsid w:val="004F6A9D"/>
    <w:rsid w:val="00501462"/>
    <w:rsid w:val="005035E7"/>
    <w:rsid w:val="00506613"/>
    <w:rsid w:val="00506B23"/>
    <w:rsid w:val="00507FEC"/>
    <w:rsid w:val="00510F0E"/>
    <w:rsid w:val="00520A02"/>
    <w:rsid w:val="005224D6"/>
    <w:rsid w:val="00540EB7"/>
    <w:rsid w:val="00541518"/>
    <w:rsid w:val="00542956"/>
    <w:rsid w:val="0054361F"/>
    <w:rsid w:val="005464AC"/>
    <w:rsid w:val="005479E1"/>
    <w:rsid w:val="00553E0A"/>
    <w:rsid w:val="00555287"/>
    <w:rsid w:val="00555EE1"/>
    <w:rsid w:val="005570FD"/>
    <w:rsid w:val="005575EA"/>
    <w:rsid w:val="0056190E"/>
    <w:rsid w:val="005619DE"/>
    <w:rsid w:val="00561C8F"/>
    <w:rsid w:val="00564E41"/>
    <w:rsid w:val="00566B8F"/>
    <w:rsid w:val="00567806"/>
    <w:rsid w:val="00573B00"/>
    <w:rsid w:val="00575C60"/>
    <w:rsid w:val="0057790C"/>
    <w:rsid w:val="005874E5"/>
    <w:rsid w:val="00593795"/>
    <w:rsid w:val="00593821"/>
    <w:rsid w:val="005A18A0"/>
    <w:rsid w:val="005A549B"/>
    <w:rsid w:val="005A75FF"/>
    <w:rsid w:val="005B2A64"/>
    <w:rsid w:val="005C1E10"/>
    <w:rsid w:val="005C360F"/>
    <w:rsid w:val="005C452C"/>
    <w:rsid w:val="005D10AB"/>
    <w:rsid w:val="005D23C0"/>
    <w:rsid w:val="005D3556"/>
    <w:rsid w:val="005D3807"/>
    <w:rsid w:val="005D6EA7"/>
    <w:rsid w:val="005D767D"/>
    <w:rsid w:val="005D773B"/>
    <w:rsid w:val="005E5239"/>
    <w:rsid w:val="005F09E3"/>
    <w:rsid w:val="005F16CA"/>
    <w:rsid w:val="005F4BA6"/>
    <w:rsid w:val="005F4FB4"/>
    <w:rsid w:val="005F56EF"/>
    <w:rsid w:val="006000E8"/>
    <w:rsid w:val="00601D8F"/>
    <w:rsid w:val="006103A8"/>
    <w:rsid w:val="006123C1"/>
    <w:rsid w:val="00616FA4"/>
    <w:rsid w:val="00621630"/>
    <w:rsid w:val="00625168"/>
    <w:rsid w:val="00636622"/>
    <w:rsid w:val="00637F57"/>
    <w:rsid w:val="0064386A"/>
    <w:rsid w:val="00651BDF"/>
    <w:rsid w:val="00653E97"/>
    <w:rsid w:val="006553D9"/>
    <w:rsid w:val="00657665"/>
    <w:rsid w:val="00660342"/>
    <w:rsid w:val="00666597"/>
    <w:rsid w:val="0068004A"/>
    <w:rsid w:val="006824C8"/>
    <w:rsid w:val="00683142"/>
    <w:rsid w:val="006840ED"/>
    <w:rsid w:val="00684194"/>
    <w:rsid w:val="00684A74"/>
    <w:rsid w:val="00690B8A"/>
    <w:rsid w:val="00691403"/>
    <w:rsid w:val="006A28D6"/>
    <w:rsid w:val="006A2F41"/>
    <w:rsid w:val="006A6342"/>
    <w:rsid w:val="006A7C2E"/>
    <w:rsid w:val="006B163D"/>
    <w:rsid w:val="006B4B87"/>
    <w:rsid w:val="006C7F8A"/>
    <w:rsid w:val="006D0C23"/>
    <w:rsid w:val="006D50FE"/>
    <w:rsid w:val="006E2334"/>
    <w:rsid w:val="006E3525"/>
    <w:rsid w:val="006E4822"/>
    <w:rsid w:val="006F283F"/>
    <w:rsid w:val="006F2CF1"/>
    <w:rsid w:val="006F44A5"/>
    <w:rsid w:val="006F74C5"/>
    <w:rsid w:val="00702A2C"/>
    <w:rsid w:val="00703866"/>
    <w:rsid w:val="007038ED"/>
    <w:rsid w:val="00703BC3"/>
    <w:rsid w:val="00704B61"/>
    <w:rsid w:val="00707823"/>
    <w:rsid w:val="00713A1B"/>
    <w:rsid w:val="00713EC3"/>
    <w:rsid w:val="00717A3F"/>
    <w:rsid w:val="00717F42"/>
    <w:rsid w:val="0072497A"/>
    <w:rsid w:val="007334B3"/>
    <w:rsid w:val="0073357D"/>
    <w:rsid w:val="007373EB"/>
    <w:rsid w:val="0073749A"/>
    <w:rsid w:val="00741990"/>
    <w:rsid w:val="00742A08"/>
    <w:rsid w:val="00742CB1"/>
    <w:rsid w:val="007443BE"/>
    <w:rsid w:val="00744F54"/>
    <w:rsid w:val="007464AE"/>
    <w:rsid w:val="00747F84"/>
    <w:rsid w:val="00750088"/>
    <w:rsid w:val="007552A9"/>
    <w:rsid w:val="00761858"/>
    <w:rsid w:val="007625CE"/>
    <w:rsid w:val="00764A55"/>
    <w:rsid w:val="00767D59"/>
    <w:rsid w:val="00775062"/>
    <w:rsid w:val="00775F3B"/>
    <w:rsid w:val="00776E97"/>
    <w:rsid w:val="00780F86"/>
    <w:rsid w:val="00783961"/>
    <w:rsid w:val="00787A67"/>
    <w:rsid w:val="0079128A"/>
    <w:rsid w:val="007912AD"/>
    <w:rsid w:val="00792D0B"/>
    <w:rsid w:val="0079760C"/>
    <w:rsid w:val="007B0824"/>
    <w:rsid w:val="007B5D3C"/>
    <w:rsid w:val="007B730E"/>
    <w:rsid w:val="007B7497"/>
    <w:rsid w:val="007C0144"/>
    <w:rsid w:val="007C1507"/>
    <w:rsid w:val="007C1D2B"/>
    <w:rsid w:val="007C4A71"/>
    <w:rsid w:val="007C5171"/>
    <w:rsid w:val="007D355C"/>
    <w:rsid w:val="007D5A68"/>
    <w:rsid w:val="007E1497"/>
    <w:rsid w:val="007E1842"/>
    <w:rsid w:val="007F1189"/>
    <w:rsid w:val="007F1958"/>
    <w:rsid w:val="00801CAE"/>
    <w:rsid w:val="00803224"/>
    <w:rsid w:val="008038D2"/>
    <w:rsid w:val="00811DE1"/>
    <w:rsid w:val="008123A1"/>
    <w:rsid w:val="0081262B"/>
    <w:rsid w:val="008157F9"/>
    <w:rsid w:val="00821B72"/>
    <w:rsid w:val="008230F0"/>
    <w:rsid w:val="0082352C"/>
    <w:rsid w:val="00823EF2"/>
    <w:rsid w:val="008303B8"/>
    <w:rsid w:val="00833DCE"/>
    <w:rsid w:val="008358B1"/>
    <w:rsid w:val="008444A1"/>
    <w:rsid w:val="00851D10"/>
    <w:rsid w:val="008543B4"/>
    <w:rsid w:val="0085655C"/>
    <w:rsid w:val="00856B5B"/>
    <w:rsid w:val="00857784"/>
    <w:rsid w:val="0086025E"/>
    <w:rsid w:val="00870CFF"/>
    <w:rsid w:val="00871A2B"/>
    <w:rsid w:val="00871D34"/>
    <w:rsid w:val="00871E5D"/>
    <w:rsid w:val="008752AE"/>
    <w:rsid w:val="008771E2"/>
    <w:rsid w:val="00881DAC"/>
    <w:rsid w:val="00892D65"/>
    <w:rsid w:val="0089562A"/>
    <w:rsid w:val="0089761B"/>
    <w:rsid w:val="008B0251"/>
    <w:rsid w:val="008B0814"/>
    <w:rsid w:val="008B144C"/>
    <w:rsid w:val="008B270C"/>
    <w:rsid w:val="008B292F"/>
    <w:rsid w:val="008B5078"/>
    <w:rsid w:val="008B5445"/>
    <w:rsid w:val="008C0981"/>
    <w:rsid w:val="008C3853"/>
    <w:rsid w:val="008C3D3D"/>
    <w:rsid w:val="008C48E4"/>
    <w:rsid w:val="008D021F"/>
    <w:rsid w:val="008D4131"/>
    <w:rsid w:val="008D7C86"/>
    <w:rsid w:val="008E19D6"/>
    <w:rsid w:val="008F1932"/>
    <w:rsid w:val="008F3A0B"/>
    <w:rsid w:val="008F68E5"/>
    <w:rsid w:val="0090162B"/>
    <w:rsid w:val="00901C9C"/>
    <w:rsid w:val="009055B2"/>
    <w:rsid w:val="0090689A"/>
    <w:rsid w:val="0091109D"/>
    <w:rsid w:val="00921062"/>
    <w:rsid w:val="009237E9"/>
    <w:rsid w:val="00923E9F"/>
    <w:rsid w:val="00925AB2"/>
    <w:rsid w:val="00930203"/>
    <w:rsid w:val="0093223C"/>
    <w:rsid w:val="00933076"/>
    <w:rsid w:val="009335A0"/>
    <w:rsid w:val="0093664F"/>
    <w:rsid w:val="00941CD5"/>
    <w:rsid w:val="00954A48"/>
    <w:rsid w:val="00955BED"/>
    <w:rsid w:val="00960994"/>
    <w:rsid w:val="00964BA3"/>
    <w:rsid w:val="00970906"/>
    <w:rsid w:val="009722BC"/>
    <w:rsid w:val="009727A3"/>
    <w:rsid w:val="0097596E"/>
    <w:rsid w:val="009768F1"/>
    <w:rsid w:val="009775A2"/>
    <w:rsid w:val="0098389F"/>
    <w:rsid w:val="00987774"/>
    <w:rsid w:val="00990A3E"/>
    <w:rsid w:val="009A0F71"/>
    <w:rsid w:val="009A11E8"/>
    <w:rsid w:val="009B1F78"/>
    <w:rsid w:val="009B3757"/>
    <w:rsid w:val="009B39D0"/>
    <w:rsid w:val="009B3BBB"/>
    <w:rsid w:val="009B654D"/>
    <w:rsid w:val="009B7B03"/>
    <w:rsid w:val="009B7FA2"/>
    <w:rsid w:val="009C1D3D"/>
    <w:rsid w:val="009C3C28"/>
    <w:rsid w:val="009C5D51"/>
    <w:rsid w:val="009C6478"/>
    <w:rsid w:val="009D2151"/>
    <w:rsid w:val="009D38E9"/>
    <w:rsid w:val="009D6263"/>
    <w:rsid w:val="009E11C0"/>
    <w:rsid w:val="009E6576"/>
    <w:rsid w:val="009F0D09"/>
    <w:rsid w:val="009F2C28"/>
    <w:rsid w:val="009F5220"/>
    <w:rsid w:val="00A00F32"/>
    <w:rsid w:val="00A108FD"/>
    <w:rsid w:val="00A13EC1"/>
    <w:rsid w:val="00A15234"/>
    <w:rsid w:val="00A16D9F"/>
    <w:rsid w:val="00A201AB"/>
    <w:rsid w:val="00A20BC5"/>
    <w:rsid w:val="00A2237C"/>
    <w:rsid w:val="00A236CF"/>
    <w:rsid w:val="00A23C0F"/>
    <w:rsid w:val="00A24E9A"/>
    <w:rsid w:val="00A268F9"/>
    <w:rsid w:val="00A3192C"/>
    <w:rsid w:val="00A31C8B"/>
    <w:rsid w:val="00A32DDF"/>
    <w:rsid w:val="00A36543"/>
    <w:rsid w:val="00A43913"/>
    <w:rsid w:val="00A509FA"/>
    <w:rsid w:val="00A56274"/>
    <w:rsid w:val="00A621FD"/>
    <w:rsid w:val="00A635CE"/>
    <w:rsid w:val="00A6373F"/>
    <w:rsid w:val="00A64659"/>
    <w:rsid w:val="00A702C0"/>
    <w:rsid w:val="00A72649"/>
    <w:rsid w:val="00A7438D"/>
    <w:rsid w:val="00A75BA4"/>
    <w:rsid w:val="00A77B26"/>
    <w:rsid w:val="00A845DC"/>
    <w:rsid w:val="00A85C01"/>
    <w:rsid w:val="00A876D5"/>
    <w:rsid w:val="00A901EF"/>
    <w:rsid w:val="00A92212"/>
    <w:rsid w:val="00A92810"/>
    <w:rsid w:val="00A92D3E"/>
    <w:rsid w:val="00AA116A"/>
    <w:rsid w:val="00AB6CD4"/>
    <w:rsid w:val="00AB7128"/>
    <w:rsid w:val="00AC16C3"/>
    <w:rsid w:val="00AC7B88"/>
    <w:rsid w:val="00AD1197"/>
    <w:rsid w:val="00AD1B74"/>
    <w:rsid w:val="00AD4CCB"/>
    <w:rsid w:val="00AD5553"/>
    <w:rsid w:val="00AD604C"/>
    <w:rsid w:val="00AD6C5C"/>
    <w:rsid w:val="00AE32CE"/>
    <w:rsid w:val="00AF3260"/>
    <w:rsid w:val="00AF4785"/>
    <w:rsid w:val="00AF7E53"/>
    <w:rsid w:val="00B03324"/>
    <w:rsid w:val="00B16C5C"/>
    <w:rsid w:val="00B219F2"/>
    <w:rsid w:val="00B23251"/>
    <w:rsid w:val="00B26AA2"/>
    <w:rsid w:val="00B3524D"/>
    <w:rsid w:val="00B35B3B"/>
    <w:rsid w:val="00B37A12"/>
    <w:rsid w:val="00B40F69"/>
    <w:rsid w:val="00B46616"/>
    <w:rsid w:val="00B529FA"/>
    <w:rsid w:val="00B552C7"/>
    <w:rsid w:val="00B57685"/>
    <w:rsid w:val="00B6447F"/>
    <w:rsid w:val="00B7040A"/>
    <w:rsid w:val="00B82F6D"/>
    <w:rsid w:val="00B83391"/>
    <w:rsid w:val="00B91C26"/>
    <w:rsid w:val="00B935F1"/>
    <w:rsid w:val="00B95326"/>
    <w:rsid w:val="00B97231"/>
    <w:rsid w:val="00B976D0"/>
    <w:rsid w:val="00BA4EBB"/>
    <w:rsid w:val="00BA4F02"/>
    <w:rsid w:val="00BA7505"/>
    <w:rsid w:val="00BA7859"/>
    <w:rsid w:val="00BB3837"/>
    <w:rsid w:val="00BB63E7"/>
    <w:rsid w:val="00BC0AB3"/>
    <w:rsid w:val="00BC1DDD"/>
    <w:rsid w:val="00BC2956"/>
    <w:rsid w:val="00BD4196"/>
    <w:rsid w:val="00BE2042"/>
    <w:rsid w:val="00BE567A"/>
    <w:rsid w:val="00BF22CA"/>
    <w:rsid w:val="00BF23BB"/>
    <w:rsid w:val="00BF38C8"/>
    <w:rsid w:val="00C10895"/>
    <w:rsid w:val="00C12F97"/>
    <w:rsid w:val="00C16E8D"/>
    <w:rsid w:val="00C17658"/>
    <w:rsid w:val="00C20365"/>
    <w:rsid w:val="00C25B62"/>
    <w:rsid w:val="00C26032"/>
    <w:rsid w:val="00C32DAA"/>
    <w:rsid w:val="00C345E1"/>
    <w:rsid w:val="00C3462F"/>
    <w:rsid w:val="00C34898"/>
    <w:rsid w:val="00C43BFD"/>
    <w:rsid w:val="00C644DA"/>
    <w:rsid w:val="00C64519"/>
    <w:rsid w:val="00C67A76"/>
    <w:rsid w:val="00C67DED"/>
    <w:rsid w:val="00C7362E"/>
    <w:rsid w:val="00C74B4C"/>
    <w:rsid w:val="00C87769"/>
    <w:rsid w:val="00CA35C8"/>
    <w:rsid w:val="00CA3919"/>
    <w:rsid w:val="00CB1275"/>
    <w:rsid w:val="00CB1591"/>
    <w:rsid w:val="00CB36E0"/>
    <w:rsid w:val="00CB61C9"/>
    <w:rsid w:val="00CB6C15"/>
    <w:rsid w:val="00CB6E35"/>
    <w:rsid w:val="00CB7511"/>
    <w:rsid w:val="00CC2CBA"/>
    <w:rsid w:val="00CC3FD1"/>
    <w:rsid w:val="00CC59FF"/>
    <w:rsid w:val="00CE1A46"/>
    <w:rsid w:val="00CE6007"/>
    <w:rsid w:val="00CE7F95"/>
    <w:rsid w:val="00D03B5B"/>
    <w:rsid w:val="00D06A13"/>
    <w:rsid w:val="00D10BC1"/>
    <w:rsid w:val="00D20757"/>
    <w:rsid w:val="00D22438"/>
    <w:rsid w:val="00D22636"/>
    <w:rsid w:val="00D31AF8"/>
    <w:rsid w:val="00D3595D"/>
    <w:rsid w:val="00D40FD9"/>
    <w:rsid w:val="00D41C08"/>
    <w:rsid w:val="00D432D6"/>
    <w:rsid w:val="00D53769"/>
    <w:rsid w:val="00D53B5C"/>
    <w:rsid w:val="00D54298"/>
    <w:rsid w:val="00D579AB"/>
    <w:rsid w:val="00D650DC"/>
    <w:rsid w:val="00D71ACF"/>
    <w:rsid w:val="00D733A2"/>
    <w:rsid w:val="00D8403A"/>
    <w:rsid w:val="00D8583E"/>
    <w:rsid w:val="00D85C13"/>
    <w:rsid w:val="00D910E8"/>
    <w:rsid w:val="00D9111A"/>
    <w:rsid w:val="00D91BE3"/>
    <w:rsid w:val="00D92A14"/>
    <w:rsid w:val="00D92B0C"/>
    <w:rsid w:val="00D92DC1"/>
    <w:rsid w:val="00D93136"/>
    <w:rsid w:val="00D94AFC"/>
    <w:rsid w:val="00D94F3C"/>
    <w:rsid w:val="00D9574A"/>
    <w:rsid w:val="00DA04DA"/>
    <w:rsid w:val="00DA7497"/>
    <w:rsid w:val="00DB1E2C"/>
    <w:rsid w:val="00DB376D"/>
    <w:rsid w:val="00DB3E68"/>
    <w:rsid w:val="00DB4AA5"/>
    <w:rsid w:val="00DB515D"/>
    <w:rsid w:val="00DB6E3D"/>
    <w:rsid w:val="00DB70AE"/>
    <w:rsid w:val="00DC0AB1"/>
    <w:rsid w:val="00DC7D80"/>
    <w:rsid w:val="00DD115E"/>
    <w:rsid w:val="00DD5071"/>
    <w:rsid w:val="00DD5C39"/>
    <w:rsid w:val="00DD62C8"/>
    <w:rsid w:val="00DD7AFE"/>
    <w:rsid w:val="00DE390C"/>
    <w:rsid w:val="00DE6E5C"/>
    <w:rsid w:val="00DE7DB7"/>
    <w:rsid w:val="00DF2530"/>
    <w:rsid w:val="00DF3E13"/>
    <w:rsid w:val="00DF61D4"/>
    <w:rsid w:val="00E00A0A"/>
    <w:rsid w:val="00E03323"/>
    <w:rsid w:val="00E066DE"/>
    <w:rsid w:val="00E07F57"/>
    <w:rsid w:val="00E07FFC"/>
    <w:rsid w:val="00E16552"/>
    <w:rsid w:val="00E21F72"/>
    <w:rsid w:val="00E2376D"/>
    <w:rsid w:val="00E30683"/>
    <w:rsid w:val="00E3295F"/>
    <w:rsid w:val="00E32FED"/>
    <w:rsid w:val="00E3413D"/>
    <w:rsid w:val="00E34712"/>
    <w:rsid w:val="00E3515F"/>
    <w:rsid w:val="00E40D30"/>
    <w:rsid w:val="00E453D8"/>
    <w:rsid w:val="00E50BCE"/>
    <w:rsid w:val="00E574BF"/>
    <w:rsid w:val="00E61292"/>
    <w:rsid w:val="00E66C03"/>
    <w:rsid w:val="00E6734A"/>
    <w:rsid w:val="00E71FB0"/>
    <w:rsid w:val="00E77C4D"/>
    <w:rsid w:val="00E806E7"/>
    <w:rsid w:val="00E81254"/>
    <w:rsid w:val="00E81D01"/>
    <w:rsid w:val="00E85B65"/>
    <w:rsid w:val="00E940DE"/>
    <w:rsid w:val="00EA095C"/>
    <w:rsid w:val="00EB77C2"/>
    <w:rsid w:val="00EC0974"/>
    <w:rsid w:val="00EC47FA"/>
    <w:rsid w:val="00EC4AB8"/>
    <w:rsid w:val="00ED03A4"/>
    <w:rsid w:val="00ED3068"/>
    <w:rsid w:val="00ED56C5"/>
    <w:rsid w:val="00ED590F"/>
    <w:rsid w:val="00ED5A15"/>
    <w:rsid w:val="00ED6137"/>
    <w:rsid w:val="00EE45D8"/>
    <w:rsid w:val="00EE52FF"/>
    <w:rsid w:val="00EE6D73"/>
    <w:rsid w:val="00EF1B75"/>
    <w:rsid w:val="00EF2051"/>
    <w:rsid w:val="00EF39D6"/>
    <w:rsid w:val="00EF7879"/>
    <w:rsid w:val="00F100CF"/>
    <w:rsid w:val="00F20B83"/>
    <w:rsid w:val="00F22EDA"/>
    <w:rsid w:val="00F24AF3"/>
    <w:rsid w:val="00F27E1B"/>
    <w:rsid w:val="00F27EED"/>
    <w:rsid w:val="00F33159"/>
    <w:rsid w:val="00F345AA"/>
    <w:rsid w:val="00F369BC"/>
    <w:rsid w:val="00F42747"/>
    <w:rsid w:val="00F5135B"/>
    <w:rsid w:val="00F532B7"/>
    <w:rsid w:val="00F53CC1"/>
    <w:rsid w:val="00F53D33"/>
    <w:rsid w:val="00F55D5E"/>
    <w:rsid w:val="00F5752F"/>
    <w:rsid w:val="00F6052D"/>
    <w:rsid w:val="00F607AA"/>
    <w:rsid w:val="00F6442C"/>
    <w:rsid w:val="00F65A12"/>
    <w:rsid w:val="00F8177E"/>
    <w:rsid w:val="00F81EB1"/>
    <w:rsid w:val="00F82C98"/>
    <w:rsid w:val="00F83358"/>
    <w:rsid w:val="00F844CF"/>
    <w:rsid w:val="00F91A50"/>
    <w:rsid w:val="00FA3126"/>
    <w:rsid w:val="00FA3D83"/>
    <w:rsid w:val="00FB0928"/>
    <w:rsid w:val="00FB7656"/>
    <w:rsid w:val="00FC1403"/>
    <w:rsid w:val="00FC1FBA"/>
    <w:rsid w:val="00FD32EC"/>
    <w:rsid w:val="00FE11A9"/>
    <w:rsid w:val="00FF0791"/>
    <w:rsid w:val="00FF1338"/>
    <w:rsid w:val="00FF37FE"/>
    <w:rsid w:val="00FF3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760DC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uiPriority w:val="99"/>
    <w:rsid w:val="00B95326"/>
    <w:rPr>
      <w:color w:val="0000FF"/>
      <w:u w:val="single"/>
    </w:rPr>
  </w:style>
  <w:style w:type="paragraph" w:styleId="ListParagraph">
    <w:name w:val="List Paragraph"/>
    <w:basedOn w:val="Normal"/>
    <w:uiPriority w:val="34"/>
    <w:qFormat/>
    <w:rsid w:val="00BB63E7"/>
    <w:pPr>
      <w:ind w:left="720"/>
      <w:contextualSpacing/>
    </w:pPr>
  </w:style>
  <w:style w:type="paragraph" w:styleId="NormalWeb">
    <w:name w:val="Normal (Web)"/>
    <w:basedOn w:val="Normal"/>
    <w:uiPriority w:val="99"/>
    <w:unhideWhenUsed/>
    <w:rsid w:val="00C32DA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3362">
      <w:bodyDiv w:val="1"/>
      <w:marLeft w:val="0"/>
      <w:marRight w:val="0"/>
      <w:marTop w:val="0"/>
      <w:marBottom w:val="0"/>
      <w:divBdr>
        <w:top w:val="none" w:sz="0" w:space="0" w:color="auto"/>
        <w:left w:val="none" w:sz="0" w:space="0" w:color="auto"/>
        <w:bottom w:val="none" w:sz="0" w:space="0" w:color="auto"/>
        <w:right w:val="none" w:sz="0" w:space="0" w:color="auto"/>
      </w:divBdr>
    </w:div>
    <w:div w:id="179508971">
      <w:bodyDiv w:val="1"/>
      <w:marLeft w:val="0"/>
      <w:marRight w:val="0"/>
      <w:marTop w:val="0"/>
      <w:marBottom w:val="0"/>
      <w:divBdr>
        <w:top w:val="none" w:sz="0" w:space="0" w:color="auto"/>
        <w:left w:val="none" w:sz="0" w:space="0" w:color="auto"/>
        <w:bottom w:val="none" w:sz="0" w:space="0" w:color="auto"/>
        <w:right w:val="none" w:sz="0" w:space="0" w:color="auto"/>
      </w:divBdr>
      <w:divsChild>
        <w:div w:id="1387682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564373">
      <w:bodyDiv w:val="1"/>
      <w:marLeft w:val="0"/>
      <w:marRight w:val="0"/>
      <w:marTop w:val="0"/>
      <w:marBottom w:val="0"/>
      <w:divBdr>
        <w:top w:val="none" w:sz="0" w:space="0" w:color="auto"/>
        <w:left w:val="none" w:sz="0" w:space="0" w:color="auto"/>
        <w:bottom w:val="none" w:sz="0" w:space="0" w:color="auto"/>
        <w:right w:val="none" w:sz="0" w:space="0" w:color="auto"/>
      </w:divBdr>
    </w:div>
    <w:div w:id="807551563">
      <w:bodyDiv w:val="1"/>
      <w:marLeft w:val="0"/>
      <w:marRight w:val="0"/>
      <w:marTop w:val="0"/>
      <w:marBottom w:val="0"/>
      <w:divBdr>
        <w:top w:val="none" w:sz="0" w:space="0" w:color="auto"/>
        <w:left w:val="none" w:sz="0" w:space="0" w:color="auto"/>
        <w:bottom w:val="none" w:sz="0" w:space="0" w:color="auto"/>
        <w:right w:val="none" w:sz="0" w:space="0" w:color="auto"/>
      </w:divBdr>
      <w:divsChild>
        <w:div w:id="14402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971957">
      <w:bodyDiv w:val="1"/>
      <w:marLeft w:val="0"/>
      <w:marRight w:val="0"/>
      <w:marTop w:val="0"/>
      <w:marBottom w:val="0"/>
      <w:divBdr>
        <w:top w:val="none" w:sz="0" w:space="0" w:color="auto"/>
        <w:left w:val="none" w:sz="0" w:space="0" w:color="auto"/>
        <w:bottom w:val="none" w:sz="0" w:space="0" w:color="auto"/>
        <w:right w:val="none" w:sz="0" w:space="0" w:color="auto"/>
      </w:divBdr>
      <w:divsChild>
        <w:div w:id="1827239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26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11834</Words>
  <Characters>59069</Characters>
  <Application>Microsoft Office Word</Application>
  <DocSecurity>0</DocSecurity>
  <Lines>492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2021-02-11T14:30:00Z</dcterms:created>
  <dcterms:modified xsi:type="dcterms:W3CDTF">2021-02-11T14:30:00Z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