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2625D" w14:textId="77777777" w:rsidR="00003182" w:rsidRPr="00A56832" w:rsidRDefault="00F14980" w:rsidP="00003182">
      <w:pPr>
        <w:jc w:val="center"/>
        <w:rPr>
          <w:rFonts w:ascii="Book Antiqua" w:hAnsi="Book Antiqua" w:cs="Arial"/>
          <w:sz w:val="16"/>
          <w:szCs w:val="16"/>
        </w:rPr>
      </w:pPr>
      <w:r w:rsidRPr="00A60F7E">
        <w:rPr>
          <w:noProof/>
          <w:lang w:val="en-US" w:eastAsia="en-US"/>
        </w:rPr>
        <w:drawing>
          <wp:inline distT="0" distB="0" distL="0" distR="0" wp14:anchorId="6984E9D9" wp14:editId="20B447A6">
            <wp:extent cx="1043940" cy="90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909320"/>
                    </a:xfrm>
                    <a:prstGeom prst="rect">
                      <a:avLst/>
                    </a:prstGeom>
                    <a:noFill/>
                    <a:ln>
                      <a:noFill/>
                    </a:ln>
                  </pic:spPr>
                </pic:pic>
              </a:graphicData>
            </a:graphic>
          </wp:inline>
        </w:drawing>
      </w:r>
    </w:p>
    <w:p w14:paraId="5A045EC1" w14:textId="77777777" w:rsidR="00003182" w:rsidRPr="00A56832" w:rsidRDefault="00003182" w:rsidP="00003182">
      <w:pPr>
        <w:rPr>
          <w:rFonts w:ascii="Book Antiqua" w:hAnsi="Book Antiqua" w:cs="Arial"/>
        </w:rPr>
      </w:pPr>
    </w:p>
    <w:p w14:paraId="74B3EB33" w14:textId="77777777" w:rsidR="00003182" w:rsidRPr="00A56832" w:rsidRDefault="00003182" w:rsidP="00003182">
      <w:pPr>
        <w:tabs>
          <w:tab w:val="right" w:pos="9639"/>
        </w:tabs>
        <w:rPr>
          <w:rFonts w:ascii="Book Antiqua" w:hAnsi="Book Antiqua" w:cs="Arial"/>
          <w:b/>
        </w:rPr>
      </w:pPr>
      <w:r>
        <w:rPr>
          <w:rFonts w:ascii="Book Antiqua" w:hAnsi="Book Antiqua" w:cs="Arial"/>
          <w:b/>
        </w:rPr>
        <w:t xml:space="preserve">Upper </w:t>
      </w:r>
      <w:r w:rsidRPr="00A56832">
        <w:rPr>
          <w:rFonts w:ascii="Book Antiqua" w:hAnsi="Book Antiqua" w:cs="Arial"/>
          <w:b/>
        </w:rPr>
        <w:t xml:space="preserve">Tribunal </w:t>
      </w:r>
    </w:p>
    <w:p w14:paraId="77285556" w14:textId="307AC592" w:rsidR="00003182" w:rsidRDefault="00003182" w:rsidP="007C5B4E">
      <w:pPr>
        <w:tabs>
          <w:tab w:val="right" w:pos="9639"/>
        </w:tabs>
        <w:rPr>
          <w:rFonts w:ascii="Book Antiqua" w:hAnsi="Book Antiqua" w:cs="Arial"/>
        </w:rPr>
      </w:pPr>
      <w:r w:rsidRPr="00A56832">
        <w:rPr>
          <w:rFonts w:ascii="Book Antiqua" w:hAnsi="Book Antiqua" w:cs="Arial"/>
          <w:b/>
        </w:rPr>
        <w:t>(Immigration and Asylum Chamber)</w:t>
      </w:r>
      <w:r w:rsidRPr="00A56832">
        <w:rPr>
          <w:rFonts w:ascii="Book Antiqua" w:hAnsi="Book Antiqua" w:cs="Arial"/>
          <w:b/>
        </w:rPr>
        <w:tab/>
      </w:r>
    </w:p>
    <w:p w14:paraId="70FA3A31" w14:textId="4A9766EE" w:rsidR="007C5B4E" w:rsidRDefault="007C5B4E" w:rsidP="007C5B4E">
      <w:pPr>
        <w:tabs>
          <w:tab w:val="right" w:pos="9639"/>
        </w:tabs>
        <w:rPr>
          <w:rFonts w:ascii="Book Antiqua" w:hAnsi="Book Antiqua" w:cs="Arial"/>
        </w:rPr>
      </w:pPr>
    </w:p>
    <w:p w14:paraId="33548182" w14:textId="3947A1F7" w:rsidR="007C5B4E" w:rsidRPr="00A84FC5" w:rsidRDefault="007C5B4E" w:rsidP="007C5B4E">
      <w:pPr>
        <w:tabs>
          <w:tab w:val="right" w:pos="9639"/>
        </w:tabs>
        <w:rPr>
          <w:rFonts w:ascii="Book Antiqua" w:hAnsi="Book Antiqua" w:cs="Arial"/>
        </w:rPr>
      </w:pPr>
      <w:bookmarkStart w:id="0" w:name="_Hlk63946635"/>
      <w:proofErr w:type="spellStart"/>
      <w:r w:rsidRPr="007C5B4E">
        <w:rPr>
          <w:rFonts w:ascii="Book Antiqua" w:hAnsi="Book Antiqua" w:cs="Arial"/>
        </w:rPr>
        <w:t>Binaku</w:t>
      </w:r>
      <w:proofErr w:type="spellEnd"/>
      <w:r w:rsidRPr="007C5B4E">
        <w:rPr>
          <w:rFonts w:ascii="Book Antiqua" w:hAnsi="Book Antiqua" w:cs="Arial"/>
        </w:rPr>
        <w:t xml:space="preserve"> </w:t>
      </w:r>
      <w:r w:rsidRPr="00A84FC5">
        <w:rPr>
          <w:rFonts w:ascii="Book Antiqua" w:hAnsi="Book Antiqua" w:cs="Arial"/>
        </w:rPr>
        <w:t>(s.11 TCEA; s.117C NIAA; para. 399D)</w:t>
      </w:r>
      <w:r w:rsidR="00F4313C" w:rsidRPr="00A84FC5">
        <w:rPr>
          <w:rFonts w:ascii="Book Antiqua" w:hAnsi="Book Antiqua" w:cs="Arial"/>
        </w:rPr>
        <w:t xml:space="preserve"> [2021] UKUT </w:t>
      </w:r>
      <w:r w:rsidR="00AD7071">
        <w:rPr>
          <w:rFonts w:ascii="Book Antiqua" w:hAnsi="Book Antiqua" w:cs="Arial"/>
        </w:rPr>
        <w:t>00034</w:t>
      </w:r>
      <w:r w:rsidR="00F4313C" w:rsidRPr="00A84FC5">
        <w:rPr>
          <w:rFonts w:ascii="Book Antiqua" w:hAnsi="Book Antiqua" w:cs="Arial"/>
        </w:rPr>
        <w:t xml:space="preserve"> (IAC)</w:t>
      </w:r>
    </w:p>
    <w:bookmarkEnd w:id="0"/>
    <w:p w14:paraId="2D549F7D" w14:textId="22774EE3" w:rsidR="007C5B4E" w:rsidRDefault="007C5B4E" w:rsidP="007C5B4E">
      <w:pPr>
        <w:tabs>
          <w:tab w:val="right" w:pos="9639"/>
        </w:tabs>
        <w:rPr>
          <w:rFonts w:ascii="Book Antiqua" w:hAnsi="Book Antiqua" w:cs="Arial"/>
        </w:rPr>
      </w:pPr>
    </w:p>
    <w:p w14:paraId="561A1116" w14:textId="77777777" w:rsidR="007C5B4E" w:rsidRPr="00A56832" w:rsidRDefault="007C5B4E" w:rsidP="007C5B4E">
      <w:pPr>
        <w:tabs>
          <w:tab w:val="right" w:pos="9639"/>
        </w:tabs>
        <w:rPr>
          <w:rFonts w:ascii="Book Antiqua" w:hAnsi="Book Antiqua" w:cs="Arial"/>
        </w:rPr>
      </w:pPr>
    </w:p>
    <w:p w14:paraId="615EB336" w14:textId="77777777" w:rsidR="00003182" w:rsidRPr="00A56832" w:rsidRDefault="00003182" w:rsidP="00003182">
      <w:pPr>
        <w:jc w:val="center"/>
        <w:rPr>
          <w:rFonts w:ascii="Book Antiqua" w:hAnsi="Book Antiqua" w:cs="Arial"/>
          <w:b/>
          <w:u w:val="single"/>
        </w:rPr>
      </w:pPr>
      <w:r w:rsidRPr="00A56832">
        <w:rPr>
          <w:rFonts w:ascii="Book Antiqua" w:hAnsi="Book Antiqua" w:cs="Arial"/>
          <w:b/>
          <w:u w:val="single"/>
        </w:rPr>
        <w:t>THE IMMIGRATION ACTS</w:t>
      </w:r>
    </w:p>
    <w:p w14:paraId="090DF8E9" w14:textId="77777777" w:rsidR="00003182" w:rsidRPr="00A56832" w:rsidRDefault="00003182" w:rsidP="000618E1">
      <w:pPr>
        <w:rPr>
          <w:rFonts w:ascii="Book Antiqua" w:hAnsi="Book Antiqua" w:cs="Arial"/>
          <w:b/>
          <w:u w:val="single"/>
        </w:rPr>
      </w:pPr>
    </w:p>
    <w:tbl>
      <w:tblPr>
        <w:tblW w:w="0" w:type="auto"/>
        <w:tblLook w:val="01E0" w:firstRow="1" w:lastRow="1" w:firstColumn="1" w:lastColumn="1" w:noHBand="0" w:noVBand="0"/>
      </w:tblPr>
      <w:tblGrid>
        <w:gridCol w:w="5697"/>
        <w:gridCol w:w="3941"/>
      </w:tblGrid>
      <w:tr w:rsidR="00003182" w:rsidRPr="00A56832" w14:paraId="45C75F2D" w14:textId="77777777" w:rsidTr="00A60F7E">
        <w:tc>
          <w:tcPr>
            <w:tcW w:w="5868" w:type="dxa"/>
            <w:shd w:val="clear" w:color="auto" w:fill="auto"/>
          </w:tcPr>
          <w:p w14:paraId="7812B166" w14:textId="34FD96BF" w:rsidR="00003182" w:rsidRPr="00A60F7E" w:rsidRDefault="00003182" w:rsidP="00A60F7E">
            <w:pPr>
              <w:jc w:val="both"/>
              <w:rPr>
                <w:rFonts w:ascii="Book Antiqua" w:hAnsi="Book Antiqua" w:cs="Arial"/>
                <w:b/>
              </w:rPr>
            </w:pPr>
            <w:r w:rsidRPr="00A60F7E">
              <w:rPr>
                <w:rFonts w:ascii="Book Antiqua" w:hAnsi="Book Antiqua" w:cs="Arial"/>
                <w:b/>
              </w:rPr>
              <w:t xml:space="preserve">Heard </w:t>
            </w:r>
            <w:r w:rsidR="00873130">
              <w:rPr>
                <w:rFonts w:ascii="Book Antiqua" w:hAnsi="Book Antiqua" w:cs="Arial"/>
                <w:b/>
              </w:rPr>
              <w:t>remotely</w:t>
            </w:r>
            <w:r w:rsidR="006D01B2">
              <w:rPr>
                <w:rFonts w:ascii="Book Antiqua" w:hAnsi="Book Antiqua" w:cs="Arial"/>
                <w:b/>
              </w:rPr>
              <w:t xml:space="preserve"> by </w:t>
            </w:r>
            <w:r w:rsidR="006D01B2" w:rsidRPr="006D01B2">
              <w:rPr>
                <w:rFonts w:ascii="Book Antiqua" w:hAnsi="Book Antiqua" w:cs="Arial"/>
                <w:b/>
                <w:i/>
                <w:iCs/>
              </w:rPr>
              <w:t>Skype for Business</w:t>
            </w:r>
          </w:p>
        </w:tc>
        <w:tc>
          <w:tcPr>
            <w:tcW w:w="3986" w:type="dxa"/>
            <w:shd w:val="clear" w:color="auto" w:fill="auto"/>
          </w:tcPr>
          <w:p w14:paraId="002C7D16" w14:textId="77777777" w:rsidR="00003182" w:rsidRPr="00A60F7E" w:rsidRDefault="00003182" w:rsidP="00A60F7E">
            <w:pPr>
              <w:jc w:val="center"/>
              <w:rPr>
                <w:rFonts w:ascii="Book Antiqua" w:hAnsi="Book Antiqua" w:cs="Arial"/>
                <w:b/>
              </w:rPr>
            </w:pPr>
            <w:r w:rsidRPr="00A60F7E">
              <w:rPr>
                <w:rFonts w:ascii="Book Antiqua" w:hAnsi="Book Antiqua" w:cs="Arial"/>
                <w:b/>
              </w:rPr>
              <w:t>Decision &amp; Reasons Promulgated</w:t>
            </w:r>
          </w:p>
        </w:tc>
      </w:tr>
      <w:tr w:rsidR="00003182" w:rsidRPr="00A56832" w14:paraId="20C913F9" w14:textId="77777777" w:rsidTr="00A60F7E">
        <w:tc>
          <w:tcPr>
            <w:tcW w:w="5868" w:type="dxa"/>
            <w:shd w:val="clear" w:color="auto" w:fill="auto"/>
          </w:tcPr>
          <w:p w14:paraId="0C9B254F" w14:textId="7799E27D" w:rsidR="00003182" w:rsidRPr="00A60F7E" w:rsidRDefault="00003182" w:rsidP="00A60F7E">
            <w:pPr>
              <w:jc w:val="both"/>
              <w:rPr>
                <w:rFonts w:ascii="Book Antiqua" w:hAnsi="Book Antiqua" w:cs="Arial"/>
                <w:b/>
              </w:rPr>
            </w:pPr>
            <w:r w:rsidRPr="00A60F7E">
              <w:rPr>
                <w:rFonts w:ascii="Book Antiqua" w:hAnsi="Book Antiqua" w:cs="Arial"/>
                <w:b/>
              </w:rPr>
              <w:t xml:space="preserve">On </w:t>
            </w:r>
            <w:r w:rsidR="00873130">
              <w:rPr>
                <w:rFonts w:ascii="Book Antiqua" w:hAnsi="Book Antiqua" w:cs="Arial"/>
                <w:b/>
              </w:rPr>
              <w:t>5 November and 2 December 2020</w:t>
            </w:r>
          </w:p>
        </w:tc>
        <w:tc>
          <w:tcPr>
            <w:tcW w:w="3986" w:type="dxa"/>
            <w:shd w:val="clear" w:color="auto" w:fill="auto"/>
          </w:tcPr>
          <w:p w14:paraId="36F2EF0A" w14:textId="77777777" w:rsidR="00003182" w:rsidRPr="00A60F7E" w:rsidRDefault="00003182" w:rsidP="00A60F7E">
            <w:pPr>
              <w:jc w:val="both"/>
              <w:rPr>
                <w:rFonts w:ascii="Book Antiqua" w:hAnsi="Book Antiqua" w:cs="Arial"/>
                <w:b/>
                <w:sz w:val="20"/>
                <w:szCs w:val="20"/>
              </w:rPr>
            </w:pPr>
          </w:p>
        </w:tc>
      </w:tr>
      <w:tr w:rsidR="00003182" w:rsidRPr="00A56832" w14:paraId="421A2FA9" w14:textId="77777777" w:rsidTr="00A60F7E">
        <w:tc>
          <w:tcPr>
            <w:tcW w:w="5868" w:type="dxa"/>
            <w:shd w:val="clear" w:color="auto" w:fill="auto"/>
          </w:tcPr>
          <w:p w14:paraId="5D0FF9EB" w14:textId="77777777" w:rsidR="00003182" w:rsidRPr="00A60F7E" w:rsidRDefault="00003182" w:rsidP="00A60F7E">
            <w:pPr>
              <w:jc w:val="both"/>
              <w:rPr>
                <w:rFonts w:ascii="Book Antiqua" w:hAnsi="Book Antiqua" w:cs="Arial"/>
                <w:b/>
                <w:sz w:val="20"/>
                <w:szCs w:val="20"/>
              </w:rPr>
            </w:pPr>
          </w:p>
        </w:tc>
        <w:tc>
          <w:tcPr>
            <w:tcW w:w="3986" w:type="dxa"/>
            <w:shd w:val="clear" w:color="auto" w:fill="auto"/>
          </w:tcPr>
          <w:p w14:paraId="48F38AA1" w14:textId="77777777" w:rsidR="00003182" w:rsidRPr="00A60F7E" w:rsidRDefault="00003182" w:rsidP="00A60F7E">
            <w:pPr>
              <w:jc w:val="both"/>
              <w:rPr>
                <w:rFonts w:ascii="Book Antiqua" w:hAnsi="Book Antiqua" w:cs="Arial"/>
                <w:b/>
                <w:sz w:val="20"/>
                <w:szCs w:val="20"/>
              </w:rPr>
            </w:pPr>
            <w:r w:rsidRPr="00A60F7E">
              <w:rPr>
                <w:rFonts w:ascii="Book Antiqua" w:hAnsi="Book Antiqua" w:cs="Arial"/>
                <w:sz w:val="20"/>
                <w:szCs w:val="20"/>
              </w:rPr>
              <w:t>…………………………………</w:t>
            </w:r>
          </w:p>
        </w:tc>
      </w:tr>
    </w:tbl>
    <w:p w14:paraId="01A332D3" w14:textId="77777777" w:rsidR="00003182" w:rsidRPr="00A56832" w:rsidRDefault="00003182" w:rsidP="00785087">
      <w:pPr>
        <w:rPr>
          <w:rFonts w:ascii="Book Antiqua" w:hAnsi="Book Antiqua" w:cs="Arial"/>
        </w:rPr>
      </w:pPr>
    </w:p>
    <w:p w14:paraId="6CE1869E" w14:textId="77777777" w:rsidR="00003182" w:rsidRPr="00A56832" w:rsidRDefault="00003182" w:rsidP="00003182">
      <w:pPr>
        <w:jc w:val="center"/>
        <w:rPr>
          <w:rFonts w:ascii="Book Antiqua" w:hAnsi="Book Antiqua" w:cs="Arial"/>
          <w:b/>
        </w:rPr>
      </w:pPr>
      <w:r w:rsidRPr="00A56832">
        <w:rPr>
          <w:rFonts w:ascii="Book Antiqua" w:hAnsi="Book Antiqua" w:cs="Arial"/>
          <w:b/>
        </w:rPr>
        <w:t>Before</w:t>
      </w:r>
    </w:p>
    <w:p w14:paraId="22F63D8F" w14:textId="54AC7912" w:rsidR="00003182" w:rsidRDefault="00003182" w:rsidP="00003182">
      <w:pPr>
        <w:jc w:val="center"/>
        <w:rPr>
          <w:rFonts w:ascii="Book Antiqua" w:hAnsi="Book Antiqua" w:cs="Arial"/>
          <w:b/>
        </w:rPr>
      </w:pPr>
    </w:p>
    <w:p w14:paraId="77AD9382" w14:textId="3453C084" w:rsidR="00873130" w:rsidRPr="00A56832" w:rsidRDefault="00873130" w:rsidP="00003182">
      <w:pPr>
        <w:jc w:val="center"/>
        <w:rPr>
          <w:rFonts w:ascii="Book Antiqua" w:hAnsi="Book Antiqua" w:cs="Arial"/>
          <w:b/>
        </w:rPr>
      </w:pPr>
      <w:r>
        <w:rPr>
          <w:rFonts w:ascii="Book Antiqua" w:hAnsi="Book Antiqua" w:cs="Arial"/>
          <w:b/>
        </w:rPr>
        <w:t>THE HON. MR JUSTICE LANE, PRESIDENT</w:t>
      </w:r>
    </w:p>
    <w:p w14:paraId="5BA45404" w14:textId="77777777" w:rsidR="00003182" w:rsidRPr="00A56832" w:rsidRDefault="00003182" w:rsidP="00003182">
      <w:pPr>
        <w:jc w:val="center"/>
        <w:rPr>
          <w:rFonts w:ascii="Book Antiqua" w:hAnsi="Book Antiqua" w:cs="Arial"/>
          <w:b/>
        </w:rPr>
      </w:pPr>
      <w:r>
        <w:rPr>
          <w:rFonts w:ascii="Book Antiqua" w:hAnsi="Book Antiqua" w:cs="Arial"/>
          <w:b/>
        </w:rPr>
        <w:t xml:space="preserve">UPPER TRIBUNAL JUDGE NORTON-TAYLOR </w:t>
      </w:r>
    </w:p>
    <w:p w14:paraId="4A37F8B7" w14:textId="77777777" w:rsidR="00003182" w:rsidRPr="00A56832" w:rsidRDefault="00003182" w:rsidP="00003182">
      <w:pPr>
        <w:jc w:val="center"/>
        <w:rPr>
          <w:rFonts w:ascii="Book Antiqua" w:hAnsi="Book Antiqua" w:cs="Arial"/>
          <w:b/>
        </w:rPr>
      </w:pPr>
    </w:p>
    <w:p w14:paraId="604D6776" w14:textId="77777777" w:rsidR="00003182" w:rsidRPr="00A56832" w:rsidRDefault="00003182" w:rsidP="00003182">
      <w:pPr>
        <w:jc w:val="center"/>
        <w:rPr>
          <w:rFonts w:ascii="Book Antiqua" w:hAnsi="Book Antiqua" w:cs="Arial"/>
          <w:b/>
        </w:rPr>
      </w:pPr>
      <w:r w:rsidRPr="00A56832">
        <w:rPr>
          <w:rFonts w:ascii="Book Antiqua" w:hAnsi="Book Antiqua" w:cs="Arial"/>
          <w:b/>
        </w:rPr>
        <w:t>Between</w:t>
      </w:r>
    </w:p>
    <w:p w14:paraId="1486F1B0" w14:textId="77777777" w:rsidR="00003182" w:rsidRPr="00A56832" w:rsidRDefault="00003182" w:rsidP="00003182">
      <w:pPr>
        <w:jc w:val="center"/>
        <w:rPr>
          <w:rFonts w:ascii="Book Antiqua" w:hAnsi="Book Antiqua" w:cs="Arial"/>
          <w:b/>
        </w:rPr>
      </w:pPr>
    </w:p>
    <w:p w14:paraId="17F29BEC" w14:textId="5E1AE288" w:rsidR="00915F0B" w:rsidRPr="004750EB" w:rsidRDefault="00873130" w:rsidP="00BD1445">
      <w:pPr>
        <w:jc w:val="center"/>
        <w:rPr>
          <w:rFonts w:ascii="Book Antiqua" w:hAnsi="Book Antiqua" w:cs="Arial"/>
          <w:b/>
          <w:caps/>
        </w:rPr>
      </w:pPr>
      <w:r w:rsidRPr="004750EB">
        <w:rPr>
          <w:rFonts w:ascii="Book Antiqua" w:hAnsi="Book Antiqua" w:cs="Arial"/>
          <w:b/>
          <w:caps/>
        </w:rPr>
        <w:t>shaban binaku</w:t>
      </w:r>
    </w:p>
    <w:p w14:paraId="51545BF0" w14:textId="7996A401" w:rsidR="00003182" w:rsidRPr="00AD7071" w:rsidRDefault="00003182" w:rsidP="00003182">
      <w:pPr>
        <w:jc w:val="center"/>
        <w:rPr>
          <w:rFonts w:ascii="Book Antiqua" w:hAnsi="Book Antiqua" w:cs="Arial"/>
          <w:caps/>
        </w:rPr>
      </w:pPr>
      <w:r w:rsidRPr="00AD7071">
        <w:rPr>
          <w:rFonts w:ascii="Book Antiqua" w:hAnsi="Book Antiqua" w:cs="Arial"/>
          <w:caps/>
        </w:rPr>
        <w:t xml:space="preserve">(anonymity directioN </w:t>
      </w:r>
      <w:r w:rsidR="00416533" w:rsidRPr="00AD7071">
        <w:rPr>
          <w:rFonts w:ascii="Book Antiqua" w:hAnsi="Book Antiqua" w:cs="Arial"/>
          <w:caps/>
        </w:rPr>
        <w:t>NOT MADE)</w:t>
      </w:r>
    </w:p>
    <w:p w14:paraId="2C57F0AA" w14:textId="77777777" w:rsidR="00003182" w:rsidRPr="00A56832" w:rsidRDefault="00003182" w:rsidP="00003182">
      <w:pPr>
        <w:jc w:val="right"/>
        <w:rPr>
          <w:rFonts w:ascii="Book Antiqua" w:hAnsi="Book Antiqua" w:cs="Arial"/>
          <w:u w:val="single"/>
        </w:rPr>
      </w:pPr>
      <w:r w:rsidRPr="00A56832">
        <w:rPr>
          <w:rFonts w:ascii="Book Antiqua" w:hAnsi="Book Antiqua" w:cs="Arial"/>
          <w:u w:val="single"/>
        </w:rPr>
        <w:t>Appellant</w:t>
      </w:r>
    </w:p>
    <w:p w14:paraId="44B86181" w14:textId="77777777" w:rsidR="00003182" w:rsidRPr="00A56832" w:rsidRDefault="00003182" w:rsidP="00003182">
      <w:pPr>
        <w:jc w:val="center"/>
        <w:rPr>
          <w:rFonts w:ascii="Book Antiqua" w:hAnsi="Book Antiqua" w:cs="Arial"/>
          <w:b/>
        </w:rPr>
      </w:pPr>
    </w:p>
    <w:p w14:paraId="70817118" w14:textId="77777777" w:rsidR="00003182" w:rsidRPr="00A56832" w:rsidRDefault="00003182" w:rsidP="00003182">
      <w:pPr>
        <w:jc w:val="center"/>
        <w:rPr>
          <w:rFonts w:ascii="Book Antiqua" w:hAnsi="Book Antiqua" w:cs="Arial"/>
          <w:b/>
        </w:rPr>
      </w:pPr>
      <w:r w:rsidRPr="00A56832">
        <w:rPr>
          <w:rFonts w:ascii="Book Antiqua" w:hAnsi="Book Antiqua" w:cs="Arial"/>
          <w:b/>
        </w:rPr>
        <w:t>and</w:t>
      </w:r>
    </w:p>
    <w:p w14:paraId="30DCA0C1" w14:textId="77777777" w:rsidR="00003182" w:rsidRPr="00A56832" w:rsidRDefault="00003182" w:rsidP="00003182">
      <w:pPr>
        <w:jc w:val="center"/>
        <w:rPr>
          <w:rFonts w:ascii="Book Antiqua" w:hAnsi="Book Antiqua" w:cs="Arial"/>
          <w:b/>
        </w:rPr>
      </w:pPr>
    </w:p>
    <w:p w14:paraId="1B0FC97B" w14:textId="1DF57891" w:rsidR="00003182" w:rsidRPr="00A56832" w:rsidRDefault="00003182" w:rsidP="00785087">
      <w:pPr>
        <w:jc w:val="center"/>
        <w:rPr>
          <w:rFonts w:ascii="Book Antiqua" w:hAnsi="Book Antiqua" w:cs="Arial"/>
          <w:b/>
          <w:caps/>
        </w:rPr>
      </w:pPr>
      <w:r>
        <w:rPr>
          <w:rFonts w:ascii="Book Antiqua" w:hAnsi="Book Antiqua" w:cs="Arial"/>
          <w:b/>
          <w:caps/>
        </w:rPr>
        <w:t xml:space="preserve">SECRETARY OF STATE FOR THE HOME DEPARTMENT </w:t>
      </w:r>
    </w:p>
    <w:p w14:paraId="47B14475" w14:textId="77777777" w:rsidR="00003182" w:rsidRPr="00A56832" w:rsidRDefault="00003182" w:rsidP="00003182">
      <w:pPr>
        <w:jc w:val="right"/>
        <w:rPr>
          <w:rFonts w:ascii="Book Antiqua" w:hAnsi="Book Antiqua" w:cs="Arial"/>
          <w:u w:val="single"/>
        </w:rPr>
      </w:pPr>
      <w:r w:rsidRPr="00A56832">
        <w:rPr>
          <w:rFonts w:ascii="Book Antiqua" w:hAnsi="Book Antiqua" w:cs="Arial"/>
          <w:u w:val="single"/>
        </w:rPr>
        <w:t>Respondent</w:t>
      </w:r>
    </w:p>
    <w:p w14:paraId="769C0EFF" w14:textId="77777777" w:rsidR="00003182" w:rsidRPr="00A56832" w:rsidRDefault="00003182" w:rsidP="00003182">
      <w:pPr>
        <w:rPr>
          <w:rFonts w:ascii="Book Antiqua" w:hAnsi="Book Antiqua" w:cs="Arial"/>
          <w:u w:val="single"/>
        </w:rPr>
      </w:pPr>
    </w:p>
    <w:p w14:paraId="702D8261" w14:textId="439C179E" w:rsidR="00785087" w:rsidRDefault="00785087" w:rsidP="00416533">
      <w:pPr>
        <w:rPr>
          <w:rFonts w:ascii="Book Antiqua" w:hAnsi="Book Antiqua" w:cs="Arial"/>
          <w:bCs/>
        </w:rPr>
      </w:pPr>
    </w:p>
    <w:p w14:paraId="3CE9194C" w14:textId="1190FE71" w:rsidR="006D35BD" w:rsidRDefault="006D35BD" w:rsidP="006D35BD">
      <w:pPr>
        <w:rPr>
          <w:rFonts w:ascii="Book Antiqua" w:hAnsi="Book Antiqua" w:cs="Arial"/>
          <w:b/>
        </w:rPr>
      </w:pPr>
      <w:r w:rsidRPr="00A56832">
        <w:rPr>
          <w:rFonts w:ascii="Book Antiqua" w:hAnsi="Book Antiqua" w:cs="Arial"/>
          <w:b/>
          <w:u w:val="single"/>
        </w:rPr>
        <w:t>Representation</w:t>
      </w:r>
      <w:r w:rsidRPr="00A56832">
        <w:rPr>
          <w:rFonts w:ascii="Book Antiqua" w:hAnsi="Book Antiqua" w:cs="Arial"/>
          <w:b/>
        </w:rPr>
        <w:t>:</w:t>
      </w:r>
    </w:p>
    <w:p w14:paraId="027DDF3D" w14:textId="77777777" w:rsidR="00A96FBE" w:rsidRPr="00A56832" w:rsidRDefault="00A96FBE" w:rsidP="006D35BD">
      <w:pPr>
        <w:rPr>
          <w:rFonts w:ascii="Book Antiqua" w:hAnsi="Book Antiqua" w:cs="Arial"/>
        </w:rPr>
      </w:pPr>
      <w:bookmarkStart w:id="1" w:name="_GoBack"/>
      <w:bookmarkEnd w:id="1"/>
    </w:p>
    <w:p w14:paraId="557C6062" w14:textId="77777777" w:rsidR="006D35BD" w:rsidRPr="00A56832" w:rsidRDefault="006D35BD" w:rsidP="006D35BD">
      <w:pPr>
        <w:tabs>
          <w:tab w:val="left" w:pos="2520"/>
        </w:tabs>
        <w:ind w:left="2520" w:hanging="2520"/>
        <w:rPr>
          <w:rFonts w:ascii="Book Antiqua" w:hAnsi="Book Antiqua" w:cs="Arial"/>
        </w:rPr>
      </w:pPr>
      <w:r w:rsidRPr="00A56832">
        <w:rPr>
          <w:rFonts w:ascii="Book Antiqua" w:hAnsi="Book Antiqua" w:cs="Arial"/>
        </w:rPr>
        <w:t xml:space="preserve">For the </w:t>
      </w:r>
      <w:r>
        <w:rPr>
          <w:rFonts w:ascii="Book Antiqua" w:hAnsi="Book Antiqua" w:cs="Arial"/>
        </w:rPr>
        <w:t>a</w:t>
      </w:r>
      <w:r w:rsidRPr="00A56832">
        <w:rPr>
          <w:rFonts w:ascii="Book Antiqua" w:hAnsi="Book Antiqua" w:cs="Arial"/>
        </w:rPr>
        <w:t>ppellant:</w:t>
      </w:r>
      <w:r w:rsidRPr="00A56832">
        <w:rPr>
          <w:rFonts w:ascii="Book Antiqua" w:hAnsi="Book Antiqua" w:cs="Arial"/>
        </w:rPr>
        <w:tab/>
      </w:r>
      <w:r>
        <w:rPr>
          <w:rFonts w:ascii="Book Antiqua" w:hAnsi="Book Antiqua" w:cs="Arial"/>
        </w:rPr>
        <w:t>Mr Z Malik, Counsel, instructed by SMA Solicitors</w:t>
      </w:r>
    </w:p>
    <w:p w14:paraId="1F8A7F66" w14:textId="77777777" w:rsidR="006D35BD" w:rsidRPr="00A56832" w:rsidRDefault="006D35BD" w:rsidP="006D35BD">
      <w:pPr>
        <w:tabs>
          <w:tab w:val="left" w:pos="2520"/>
        </w:tabs>
        <w:rPr>
          <w:rFonts w:ascii="Book Antiqua" w:hAnsi="Book Antiqua" w:cs="Arial"/>
        </w:rPr>
      </w:pPr>
      <w:r w:rsidRPr="00A56832">
        <w:rPr>
          <w:rFonts w:ascii="Book Antiqua" w:hAnsi="Book Antiqua" w:cs="Arial"/>
        </w:rPr>
        <w:t xml:space="preserve">For the </w:t>
      </w:r>
      <w:r>
        <w:rPr>
          <w:rFonts w:ascii="Book Antiqua" w:hAnsi="Book Antiqua" w:cs="Arial"/>
        </w:rPr>
        <w:t>r</w:t>
      </w:r>
      <w:r w:rsidRPr="00A56832">
        <w:rPr>
          <w:rFonts w:ascii="Book Antiqua" w:hAnsi="Book Antiqua" w:cs="Arial"/>
        </w:rPr>
        <w:t>espondent:</w:t>
      </w:r>
      <w:r w:rsidRPr="00A56832">
        <w:rPr>
          <w:rFonts w:ascii="Book Antiqua" w:hAnsi="Book Antiqua" w:cs="Arial"/>
        </w:rPr>
        <w:tab/>
      </w:r>
      <w:r>
        <w:rPr>
          <w:rFonts w:ascii="Book Antiqua" w:hAnsi="Book Antiqua" w:cs="Arial"/>
        </w:rPr>
        <w:t>Mr I Jarvis, Senior Home Office Presenting Officer</w:t>
      </w:r>
    </w:p>
    <w:p w14:paraId="5642DA4B" w14:textId="5DBD5D8A" w:rsidR="006D35BD" w:rsidRDefault="006D35BD" w:rsidP="00416533">
      <w:pPr>
        <w:rPr>
          <w:rFonts w:ascii="Book Antiqua" w:hAnsi="Book Antiqua" w:cs="Arial"/>
          <w:bCs/>
        </w:rPr>
      </w:pPr>
    </w:p>
    <w:p w14:paraId="44BA5F5C" w14:textId="77777777" w:rsidR="006D35BD" w:rsidRDefault="006D35BD" w:rsidP="00416533">
      <w:pPr>
        <w:rPr>
          <w:rFonts w:ascii="Book Antiqua" w:hAnsi="Book Antiqua" w:cs="Arial"/>
          <w:bCs/>
        </w:rPr>
      </w:pPr>
    </w:p>
    <w:p w14:paraId="023EB3AD" w14:textId="7AB2C9BF" w:rsidR="00EC6DCA" w:rsidRDefault="006A0089" w:rsidP="00EC6DCA">
      <w:pPr>
        <w:rPr>
          <w:rFonts w:ascii="Book Antiqua" w:hAnsi="Book Antiqua" w:cs="Arial"/>
          <w:bCs/>
          <w:i/>
          <w:iCs/>
        </w:rPr>
      </w:pPr>
      <w:bookmarkStart w:id="2" w:name="_Hlk63946676"/>
      <w:r>
        <w:rPr>
          <w:rFonts w:ascii="Book Antiqua" w:hAnsi="Book Antiqua" w:cs="Arial"/>
          <w:bCs/>
          <w:i/>
          <w:iCs/>
        </w:rPr>
        <w:t>The p</w:t>
      </w:r>
      <w:r w:rsidR="00D26B6E" w:rsidRPr="00723A5B">
        <w:rPr>
          <w:rFonts w:ascii="Book Antiqua" w:hAnsi="Book Antiqua" w:cs="Arial"/>
          <w:bCs/>
          <w:i/>
          <w:iCs/>
        </w:rPr>
        <w:t>rocedural issue</w:t>
      </w:r>
      <w:r w:rsidR="00480334">
        <w:rPr>
          <w:rFonts w:ascii="Book Antiqua" w:hAnsi="Book Antiqua" w:cs="Arial"/>
          <w:bCs/>
          <w:i/>
          <w:iCs/>
        </w:rPr>
        <w:t xml:space="preserve">: appeals </w:t>
      </w:r>
      <w:r w:rsidR="00870DEA">
        <w:rPr>
          <w:rFonts w:ascii="Book Antiqua" w:hAnsi="Book Antiqua" w:cs="Arial"/>
          <w:bCs/>
          <w:i/>
          <w:iCs/>
        </w:rPr>
        <w:t xml:space="preserve">under section 11 of the </w:t>
      </w:r>
      <w:r w:rsidR="000F0D5D">
        <w:rPr>
          <w:rFonts w:ascii="Book Antiqua" w:hAnsi="Book Antiqua" w:cs="Arial"/>
          <w:bCs/>
          <w:i/>
          <w:iCs/>
        </w:rPr>
        <w:t>TCEA 2007</w:t>
      </w:r>
    </w:p>
    <w:p w14:paraId="505F5483" w14:textId="77777777" w:rsidR="00EC6DCA" w:rsidRDefault="00EC6DCA" w:rsidP="00EC6DCA">
      <w:pPr>
        <w:rPr>
          <w:rFonts w:ascii="Book Antiqua" w:hAnsi="Book Antiqua" w:cs="Arial"/>
          <w:bCs/>
          <w:i/>
          <w:iCs/>
        </w:rPr>
      </w:pPr>
    </w:p>
    <w:p w14:paraId="5CB82825" w14:textId="70C57C6E" w:rsidR="00304F64" w:rsidRPr="00EC6DCA" w:rsidRDefault="00C350B1" w:rsidP="00EC6DCA">
      <w:pPr>
        <w:pStyle w:val="ListParagraph"/>
        <w:numPr>
          <w:ilvl w:val="0"/>
          <w:numId w:val="21"/>
        </w:numPr>
        <w:rPr>
          <w:rFonts w:ascii="Book Antiqua" w:hAnsi="Book Antiqua" w:cs="Arial"/>
          <w:bCs/>
          <w:i/>
          <w:iCs/>
        </w:rPr>
      </w:pPr>
      <w:r w:rsidRPr="00EC6DCA">
        <w:rPr>
          <w:rFonts w:ascii="Book Antiqua" w:hAnsi="Book Antiqua" w:cs="Arial"/>
          <w:i/>
          <w:iCs/>
        </w:rPr>
        <w:t>The appellate regime established by the Nationality, Immigration and Asylum Act 2002, as amended, is concerned with outcomes comprising the determination of available grounds of appeal;</w:t>
      </w:r>
    </w:p>
    <w:p w14:paraId="463CD0D2" w14:textId="77777777" w:rsidR="00304F64" w:rsidRPr="00B655D9" w:rsidRDefault="00304F64" w:rsidP="00304F64">
      <w:pPr>
        <w:pStyle w:val="ListParagraph"/>
        <w:spacing w:before="240"/>
        <w:jc w:val="both"/>
        <w:rPr>
          <w:rFonts w:ascii="Book Antiqua" w:hAnsi="Book Antiqua" w:cs="Arial"/>
          <w:i/>
          <w:iCs/>
        </w:rPr>
      </w:pPr>
    </w:p>
    <w:p w14:paraId="550B85FE" w14:textId="77777777" w:rsidR="00304F64" w:rsidRPr="00B655D9" w:rsidRDefault="00C350B1" w:rsidP="00304F64">
      <w:pPr>
        <w:pStyle w:val="ListParagraph"/>
        <w:numPr>
          <w:ilvl w:val="0"/>
          <w:numId w:val="21"/>
        </w:numPr>
        <w:spacing w:before="240"/>
        <w:jc w:val="both"/>
        <w:rPr>
          <w:rFonts w:ascii="Book Antiqua" w:hAnsi="Book Antiqua" w:cs="Arial"/>
          <w:i/>
          <w:iCs/>
        </w:rPr>
      </w:pPr>
      <w:r w:rsidRPr="00B655D9">
        <w:rPr>
          <w:rFonts w:ascii="Book Antiqua" w:hAnsi="Book Antiqua" w:cs="Arial"/>
          <w:i/>
          <w:iCs/>
        </w:rPr>
        <w:lastRenderedPageBreak/>
        <w:t>A party who has achieved the exact outcome(s) sought by way of an appeal to the First-tier Tribunal being allowed on all available grounds relied on (in respect of an individual) or because it has been dismissed on all grounds (in respect of the Secretary of State) cannot appeal to the Upper Tribunal under section 11(2) of the Tribunals, Courts and Enforcement Act 2007 against particular findings and/or reasons stated by the judge;</w:t>
      </w:r>
    </w:p>
    <w:p w14:paraId="36203977" w14:textId="77777777" w:rsidR="00304F64" w:rsidRPr="00B655D9" w:rsidRDefault="00304F64" w:rsidP="00304F64">
      <w:pPr>
        <w:pStyle w:val="ListParagraph"/>
        <w:rPr>
          <w:rFonts w:ascii="Book Antiqua" w:hAnsi="Book Antiqua" w:cs="Arial"/>
          <w:i/>
          <w:iCs/>
          <w:u w:val="single"/>
        </w:rPr>
      </w:pPr>
    </w:p>
    <w:p w14:paraId="1E044170" w14:textId="3427D398" w:rsidR="00C350B1" w:rsidRPr="006A0089" w:rsidRDefault="00C350B1" w:rsidP="00304F64">
      <w:pPr>
        <w:pStyle w:val="ListParagraph"/>
        <w:numPr>
          <w:ilvl w:val="0"/>
          <w:numId w:val="21"/>
        </w:numPr>
        <w:spacing w:before="240"/>
        <w:jc w:val="both"/>
        <w:rPr>
          <w:rFonts w:ascii="Book Antiqua" w:hAnsi="Book Antiqua" w:cs="Arial"/>
        </w:rPr>
      </w:pPr>
      <w:proofErr w:type="spellStart"/>
      <w:r w:rsidRPr="00B655D9">
        <w:rPr>
          <w:rFonts w:ascii="Book Antiqua" w:hAnsi="Book Antiqua" w:cs="Arial"/>
          <w:i/>
          <w:iCs/>
          <w:u w:val="single"/>
        </w:rPr>
        <w:t>Devani</w:t>
      </w:r>
      <w:proofErr w:type="spellEnd"/>
      <w:r w:rsidRPr="00B655D9">
        <w:rPr>
          <w:rFonts w:ascii="Book Antiqua" w:hAnsi="Book Antiqua" w:cs="Arial"/>
          <w:i/>
          <w:iCs/>
        </w:rPr>
        <w:t xml:space="preserve"> </w:t>
      </w:r>
      <w:r w:rsidR="000D1BFE" w:rsidRPr="00B655D9">
        <w:rPr>
          <w:rFonts w:ascii="Book Antiqua" w:hAnsi="Book Antiqua" w:cs="Arial"/>
          <w:i/>
          <w:iCs/>
        </w:rPr>
        <w:t xml:space="preserve">[2020] EWCA </w:t>
      </w:r>
      <w:proofErr w:type="spellStart"/>
      <w:r w:rsidR="000D1BFE" w:rsidRPr="00B655D9">
        <w:rPr>
          <w:rFonts w:ascii="Book Antiqua" w:hAnsi="Book Antiqua" w:cs="Arial"/>
          <w:i/>
          <w:iCs/>
        </w:rPr>
        <w:t>Civ</w:t>
      </w:r>
      <w:proofErr w:type="spellEnd"/>
      <w:r w:rsidR="000D1BFE" w:rsidRPr="00B655D9">
        <w:rPr>
          <w:rFonts w:ascii="Book Antiqua" w:hAnsi="Book Antiqua" w:cs="Arial"/>
          <w:i/>
          <w:iCs/>
        </w:rPr>
        <w:t xml:space="preserve"> 612; [2020] 1 WLR 2613 </w:t>
      </w:r>
      <w:r w:rsidRPr="00B655D9">
        <w:rPr>
          <w:rFonts w:ascii="Book Antiqua" w:hAnsi="Book Antiqua" w:cs="Arial"/>
          <w:i/>
          <w:iCs/>
        </w:rPr>
        <w:t>represents binding authority from the Court of Appeal to this effect.</w:t>
      </w:r>
    </w:p>
    <w:p w14:paraId="082E9669" w14:textId="77777777" w:rsidR="006A0089" w:rsidRPr="006A0089" w:rsidRDefault="006A0089" w:rsidP="006A0089">
      <w:pPr>
        <w:pStyle w:val="ListParagraph"/>
        <w:rPr>
          <w:rFonts w:ascii="Book Antiqua" w:hAnsi="Book Antiqua" w:cs="Arial"/>
        </w:rPr>
      </w:pPr>
    </w:p>
    <w:p w14:paraId="76ED49A1" w14:textId="269FD481" w:rsidR="006A0089" w:rsidRPr="006A0089" w:rsidRDefault="006A0089" w:rsidP="00EC6DCA">
      <w:pPr>
        <w:spacing w:before="240"/>
        <w:jc w:val="both"/>
        <w:rPr>
          <w:rFonts w:ascii="Book Antiqua" w:hAnsi="Book Antiqua" w:cs="Arial"/>
          <w:i/>
          <w:iCs/>
        </w:rPr>
      </w:pPr>
      <w:r>
        <w:rPr>
          <w:rFonts w:ascii="Book Antiqua" w:hAnsi="Book Antiqua" w:cs="Arial"/>
          <w:i/>
          <w:iCs/>
        </w:rPr>
        <w:t>The s</w:t>
      </w:r>
      <w:r w:rsidRPr="006A0089">
        <w:rPr>
          <w:rFonts w:ascii="Book Antiqua" w:hAnsi="Book Antiqua" w:cs="Arial"/>
          <w:i/>
          <w:iCs/>
        </w:rPr>
        <w:t>ubstantive issue</w:t>
      </w:r>
      <w:r w:rsidR="00584BE1">
        <w:rPr>
          <w:rFonts w:ascii="Book Antiqua" w:hAnsi="Book Antiqua" w:cs="Arial"/>
          <w:i/>
          <w:iCs/>
        </w:rPr>
        <w:t xml:space="preserve">: </w:t>
      </w:r>
      <w:r w:rsidR="00A92F3C">
        <w:rPr>
          <w:rFonts w:ascii="Book Antiqua" w:hAnsi="Book Antiqua" w:cs="Arial"/>
          <w:i/>
          <w:iCs/>
        </w:rPr>
        <w:t xml:space="preserve">the relationship between Part 5A </w:t>
      </w:r>
      <w:r w:rsidR="00B17C2F">
        <w:rPr>
          <w:rFonts w:ascii="Book Antiqua" w:hAnsi="Book Antiqua" w:cs="Arial"/>
          <w:i/>
          <w:iCs/>
        </w:rPr>
        <w:t>of the NIAA 2002 and the Immigration Rules</w:t>
      </w:r>
    </w:p>
    <w:p w14:paraId="13B4318C" w14:textId="77777777" w:rsidR="001F7580" w:rsidRPr="001F7580" w:rsidRDefault="001F7580" w:rsidP="001F7580">
      <w:pPr>
        <w:pStyle w:val="ListParagraph"/>
        <w:rPr>
          <w:rFonts w:ascii="Book Antiqua" w:hAnsi="Book Antiqua" w:cs="Arial"/>
        </w:rPr>
      </w:pPr>
    </w:p>
    <w:p w14:paraId="074F8EBA" w14:textId="77777777" w:rsidR="006A0089" w:rsidRPr="006A0089" w:rsidRDefault="006A0089" w:rsidP="006A0089">
      <w:pPr>
        <w:pStyle w:val="ListParagraph"/>
        <w:numPr>
          <w:ilvl w:val="0"/>
          <w:numId w:val="21"/>
        </w:numPr>
        <w:spacing w:before="240"/>
        <w:jc w:val="both"/>
        <w:rPr>
          <w:rFonts w:ascii="Book Antiqua" w:hAnsi="Book Antiqua" w:cs="Arial"/>
          <w:i/>
          <w:iCs/>
        </w:rPr>
      </w:pPr>
      <w:r w:rsidRPr="006A0089">
        <w:rPr>
          <w:rFonts w:ascii="Book Antiqua" w:hAnsi="Book Antiqua" w:cs="Arial"/>
          <w:i/>
          <w:iCs/>
        </w:rPr>
        <w:t xml:space="preserve">By virtue of section 117A(1) of the 2002 Act, a tribunal is bound to apply the provisions of primary legislation, as set out in sections 117B and 117C, when determining an appeal concerning Article 8.  </w:t>
      </w:r>
    </w:p>
    <w:p w14:paraId="1223309E" w14:textId="77777777" w:rsidR="006A0089" w:rsidRPr="006A0089" w:rsidRDefault="006A0089" w:rsidP="006A0089">
      <w:pPr>
        <w:pStyle w:val="ListParagraph"/>
        <w:spacing w:before="240"/>
        <w:jc w:val="both"/>
        <w:rPr>
          <w:rFonts w:ascii="Book Antiqua" w:hAnsi="Book Antiqua" w:cs="Arial"/>
          <w:i/>
          <w:iCs/>
        </w:rPr>
      </w:pPr>
    </w:p>
    <w:p w14:paraId="6B0CD5F8" w14:textId="77777777" w:rsidR="006A0089" w:rsidRPr="006A0089" w:rsidRDefault="006A0089" w:rsidP="006A0089">
      <w:pPr>
        <w:pStyle w:val="ListParagraph"/>
        <w:numPr>
          <w:ilvl w:val="0"/>
          <w:numId w:val="21"/>
        </w:numPr>
        <w:spacing w:before="240"/>
        <w:jc w:val="both"/>
        <w:rPr>
          <w:rFonts w:ascii="Book Antiqua" w:hAnsi="Book Antiqua" w:cs="Arial"/>
          <w:i/>
          <w:iCs/>
        </w:rPr>
      </w:pPr>
      <w:r w:rsidRPr="006A0089">
        <w:rPr>
          <w:rFonts w:ascii="Book Antiqua" w:hAnsi="Book Antiqua" w:cs="Arial"/>
          <w:i/>
          <w:iCs/>
        </w:rPr>
        <w:t>In cases concerning the deportation of foreign criminals (as defined), it is clear from section 117A(2)(b) of the 2002 Act that the core legislative provisions are those set out in section 117C. It is now well-established that these provisions provide a structured approach to the application of Article 8 which will produce in all cases a final result compatible with protected rights.</w:t>
      </w:r>
    </w:p>
    <w:p w14:paraId="66796A40" w14:textId="77777777" w:rsidR="006A0089" w:rsidRPr="006A0089" w:rsidRDefault="006A0089" w:rsidP="006A0089">
      <w:pPr>
        <w:pStyle w:val="ListParagraph"/>
        <w:spacing w:before="240"/>
        <w:jc w:val="both"/>
        <w:rPr>
          <w:rFonts w:ascii="Book Antiqua" w:hAnsi="Book Antiqua" w:cs="Arial"/>
          <w:i/>
          <w:iCs/>
        </w:rPr>
      </w:pPr>
    </w:p>
    <w:p w14:paraId="5AEE0D76" w14:textId="77777777" w:rsidR="006A0089" w:rsidRPr="006A0089" w:rsidRDefault="006A0089" w:rsidP="006A0089">
      <w:pPr>
        <w:pStyle w:val="ListParagraph"/>
        <w:numPr>
          <w:ilvl w:val="0"/>
          <w:numId w:val="21"/>
        </w:numPr>
        <w:spacing w:before="240"/>
        <w:jc w:val="both"/>
        <w:rPr>
          <w:rFonts w:ascii="Book Antiqua" w:hAnsi="Book Antiqua" w:cs="Arial"/>
          <w:i/>
          <w:iCs/>
        </w:rPr>
      </w:pPr>
      <w:r w:rsidRPr="006A0089">
        <w:rPr>
          <w:rFonts w:ascii="Book Antiqua" w:hAnsi="Book Antiqua" w:cs="Arial"/>
          <w:i/>
          <w:iCs/>
        </w:rPr>
        <w:t>It is the structured approach set out in section 117C of the 2002 Act which governs the task to be undertaken by the tribunal, not the provisions of the Rules.</w:t>
      </w:r>
    </w:p>
    <w:p w14:paraId="79875D80" w14:textId="77777777" w:rsidR="006A0089" w:rsidRPr="006A0089" w:rsidRDefault="006A0089" w:rsidP="006A0089">
      <w:pPr>
        <w:pStyle w:val="ListParagraph"/>
        <w:spacing w:before="240"/>
        <w:jc w:val="both"/>
        <w:rPr>
          <w:rFonts w:ascii="Book Antiqua" w:hAnsi="Book Antiqua" w:cs="Arial"/>
          <w:i/>
          <w:iCs/>
        </w:rPr>
      </w:pPr>
    </w:p>
    <w:p w14:paraId="591AFE72" w14:textId="77777777" w:rsidR="006A0089" w:rsidRPr="006A0089" w:rsidRDefault="006A0089" w:rsidP="006A0089">
      <w:pPr>
        <w:pStyle w:val="ListParagraph"/>
        <w:numPr>
          <w:ilvl w:val="0"/>
          <w:numId w:val="21"/>
        </w:numPr>
        <w:spacing w:before="240"/>
        <w:jc w:val="both"/>
        <w:rPr>
          <w:rFonts w:ascii="Book Antiqua" w:hAnsi="Book Antiqua" w:cs="Arial"/>
          <w:i/>
          <w:iCs/>
        </w:rPr>
      </w:pPr>
      <w:r w:rsidRPr="006A0089">
        <w:rPr>
          <w:rFonts w:ascii="Book Antiqua" w:hAnsi="Book Antiqua" w:cs="Arial"/>
          <w:i/>
          <w:iCs/>
        </w:rPr>
        <w:t xml:space="preserve">A foreign criminal who has re-entered the United Kingdom in breach of an extant deportation order is subject to the same deportation regime as those who have yet to be removed or who have been removed and are seeking a revocation of a deportation order from abroad. The phrases “cases concerning the deportation of foreign criminals” in section 117A(2) and “a decision to deport a foreign criminal” in section 117C(7) are to be interpreted accordingly.  </w:t>
      </w:r>
    </w:p>
    <w:p w14:paraId="7BA03A7F" w14:textId="77777777" w:rsidR="006A0089" w:rsidRPr="006A0089" w:rsidRDefault="006A0089" w:rsidP="006A0089">
      <w:pPr>
        <w:pStyle w:val="ListParagraph"/>
        <w:spacing w:before="240"/>
        <w:jc w:val="both"/>
        <w:rPr>
          <w:rFonts w:ascii="Book Antiqua" w:hAnsi="Book Antiqua" w:cs="Arial"/>
          <w:i/>
          <w:iCs/>
        </w:rPr>
      </w:pPr>
    </w:p>
    <w:p w14:paraId="4CF1073B" w14:textId="77777777" w:rsidR="006A0089" w:rsidRPr="006A0089" w:rsidRDefault="006A0089" w:rsidP="006A0089">
      <w:pPr>
        <w:pStyle w:val="ListParagraph"/>
        <w:numPr>
          <w:ilvl w:val="0"/>
          <w:numId w:val="21"/>
        </w:numPr>
        <w:spacing w:before="240"/>
        <w:jc w:val="both"/>
        <w:rPr>
          <w:rFonts w:ascii="Book Antiqua" w:hAnsi="Book Antiqua" w:cs="Arial"/>
          <w:i/>
          <w:iCs/>
        </w:rPr>
      </w:pPr>
      <w:r w:rsidRPr="006A0089">
        <w:rPr>
          <w:rFonts w:ascii="Book Antiqua" w:hAnsi="Book Antiqua" w:cs="Arial"/>
          <w:i/>
          <w:iCs/>
        </w:rPr>
        <w:t>Paragraph 399D of the Rules has no relevance to the application of the statutory criteria set out in section 117C(4), (5) and (6);</w:t>
      </w:r>
    </w:p>
    <w:p w14:paraId="55AF4E41" w14:textId="77777777" w:rsidR="006A0089" w:rsidRPr="006A0089" w:rsidRDefault="006A0089" w:rsidP="006A0089">
      <w:pPr>
        <w:pStyle w:val="ListParagraph"/>
        <w:spacing w:before="240"/>
        <w:jc w:val="both"/>
        <w:rPr>
          <w:rFonts w:ascii="Book Antiqua" w:hAnsi="Book Antiqua" w:cs="Arial"/>
          <w:i/>
          <w:iCs/>
        </w:rPr>
      </w:pPr>
    </w:p>
    <w:p w14:paraId="71C7B0FD" w14:textId="6C017FB2" w:rsidR="00416533" w:rsidRPr="006A0089" w:rsidRDefault="006A0089" w:rsidP="006A0089">
      <w:pPr>
        <w:pStyle w:val="ListParagraph"/>
        <w:numPr>
          <w:ilvl w:val="0"/>
          <w:numId w:val="21"/>
        </w:numPr>
        <w:spacing w:before="240"/>
        <w:jc w:val="both"/>
        <w:rPr>
          <w:rFonts w:ascii="Book Antiqua" w:hAnsi="Book Antiqua" w:cs="Arial"/>
        </w:rPr>
      </w:pPr>
      <w:r w:rsidRPr="006A0089">
        <w:rPr>
          <w:rFonts w:ascii="Book Antiqua" w:hAnsi="Book Antiqua" w:cs="Arial"/>
          <w:i/>
          <w:iCs/>
        </w:rPr>
        <w:t>It follows that the structured approach to be undertaken by a tribunal considering an Article 8 appeal in the context of deportation begins and ends with Part 5A of the 2002 Act.</w:t>
      </w:r>
      <w:r w:rsidRPr="006A0089">
        <w:rPr>
          <w:rFonts w:ascii="Book Antiqua" w:hAnsi="Book Antiqua" w:cs="Arial"/>
        </w:rPr>
        <w:t xml:space="preserve">  </w:t>
      </w:r>
    </w:p>
    <w:p w14:paraId="52171994" w14:textId="6563994A" w:rsidR="00003182" w:rsidRDefault="00003182" w:rsidP="00785087">
      <w:pPr>
        <w:tabs>
          <w:tab w:val="left" w:pos="2520"/>
        </w:tabs>
        <w:rPr>
          <w:rFonts w:ascii="Book Antiqua" w:hAnsi="Book Antiqua" w:cs="Arial"/>
        </w:rPr>
      </w:pPr>
    </w:p>
    <w:bookmarkEnd w:id="2"/>
    <w:p w14:paraId="38FC85DF" w14:textId="4AA89B9F" w:rsidR="00544FE8" w:rsidRDefault="00544FE8" w:rsidP="00785087">
      <w:pPr>
        <w:tabs>
          <w:tab w:val="left" w:pos="2520"/>
        </w:tabs>
        <w:rPr>
          <w:rFonts w:ascii="Book Antiqua" w:hAnsi="Book Antiqua" w:cs="Arial"/>
        </w:rPr>
      </w:pPr>
    </w:p>
    <w:p w14:paraId="07E84B53" w14:textId="77777777" w:rsidR="00847C4E" w:rsidRDefault="00847C4E" w:rsidP="00003182">
      <w:pPr>
        <w:tabs>
          <w:tab w:val="left" w:pos="2520"/>
        </w:tabs>
        <w:jc w:val="center"/>
        <w:rPr>
          <w:rFonts w:ascii="Book Antiqua" w:hAnsi="Book Antiqua" w:cs="Arial"/>
          <w:b/>
          <w:u w:val="single"/>
        </w:rPr>
      </w:pPr>
    </w:p>
    <w:p w14:paraId="5B3D370E" w14:textId="6E622674" w:rsidR="00003182" w:rsidRPr="00A56832" w:rsidRDefault="00003182" w:rsidP="00003182">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AND REASONS</w:t>
      </w:r>
    </w:p>
    <w:p w14:paraId="399190DB" w14:textId="77777777" w:rsidR="006D644F" w:rsidRDefault="006D644F" w:rsidP="00003182">
      <w:pPr>
        <w:tabs>
          <w:tab w:val="left" w:pos="2520"/>
        </w:tabs>
        <w:jc w:val="both"/>
        <w:rPr>
          <w:rFonts w:ascii="Book Antiqua" w:hAnsi="Book Antiqua" w:cs="Arial"/>
        </w:rPr>
      </w:pPr>
    </w:p>
    <w:p w14:paraId="2DBEC054" w14:textId="77777777" w:rsidR="00C02412" w:rsidRDefault="00C02412" w:rsidP="00003182">
      <w:pPr>
        <w:tabs>
          <w:tab w:val="left" w:pos="2520"/>
        </w:tabs>
        <w:jc w:val="both"/>
        <w:rPr>
          <w:rFonts w:ascii="Book Antiqua" w:hAnsi="Book Antiqua" w:cs="Arial"/>
        </w:rPr>
      </w:pPr>
    </w:p>
    <w:p w14:paraId="77C20A1D" w14:textId="1F5D611F" w:rsidR="003B737E" w:rsidRPr="00A15861" w:rsidRDefault="005147A0" w:rsidP="00A15861">
      <w:pPr>
        <w:tabs>
          <w:tab w:val="left" w:pos="2520"/>
        </w:tabs>
        <w:jc w:val="both"/>
        <w:rPr>
          <w:rFonts w:ascii="Book Antiqua" w:hAnsi="Book Antiqua" w:cs="Arial"/>
          <w:b/>
          <w:u w:val="single"/>
        </w:rPr>
      </w:pPr>
      <w:r w:rsidRPr="00400377">
        <w:rPr>
          <w:rFonts w:ascii="Book Antiqua" w:hAnsi="Book Antiqua" w:cs="Arial"/>
          <w:b/>
          <w:u w:val="single"/>
        </w:rPr>
        <w:t>INTRODUCTION</w:t>
      </w:r>
    </w:p>
    <w:p w14:paraId="209F991D" w14:textId="7F56D2FC" w:rsidR="00D46CC5" w:rsidRDefault="00785087" w:rsidP="00865BFE">
      <w:pPr>
        <w:numPr>
          <w:ilvl w:val="0"/>
          <w:numId w:val="18"/>
        </w:numPr>
        <w:spacing w:before="240"/>
        <w:jc w:val="both"/>
        <w:rPr>
          <w:rFonts w:ascii="Book Antiqua" w:hAnsi="Book Antiqua" w:cs="Arial"/>
        </w:rPr>
      </w:pPr>
      <w:r>
        <w:rPr>
          <w:rFonts w:ascii="Book Antiqua" w:hAnsi="Book Antiqua" w:cs="Arial"/>
        </w:rPr>
        <w:t>Th</w:t>
      </w:r>
      <w:r w:rsidR="00B13B8D">
        <w:rPr>
          <w:rFonts w:ascii="Book Antiqua" w:hAnsi="Book Antiqua" w:cs="Arial"/>
        </w:rPr>
        <w:t>is is an appeal</w:t>
      </w:r>
      <w:r w:rsidR="007962CC">
        <w:rPr>
          <w:rFonts w:ascii="Book Antiqua" w:hAnsi="Book Antiqua" w:cs="Arial"/>
        </w:rPr>
        <w:t xml:space="preserve"> </w:t>
      </w:r>
      <w:r w:rsidR="00003182">
        <w:rPr>
          <w:rFonts w:ascii="Book Antiqua" w:hAnsi="Book Antiqua" w:cs="Arial"/>
        </w:rPr>
        <w:t>against the</w:t>
      </w:r>
      <w:r w:rsidR="006A5976">
        <w:rPr>
          <w:rFonts w:ascii="Book Antiqua" w:hAnsi="Book Antiqua" w:cs="Arial"/>
        </w:rPr>
        <w:t xml:space="preserve"> decision of First-tier </w:t>
      </w:r>
      <w:r w:rsidR="00A31790">
        <w:rPr>
          <w:rFonts w:ascii="Book Antiqua" w:hAnsi="Book Antiqua" w:cs="Arial"/>
        </w:rPr>
        <w:t>Tribunal</w:t>
      </w:r>
      <w:r w:rsidR="00480201">
        <w:rPr>
          <w:rFonts w:ascii="Book Antiqua" w:hAnsi="Book Antiqua" w:cs="Arial"/>
        </w:rPr>
        <w:t xml:space="preserve"> </w:t>
      </w:r>
      <w:r w:rsidR="006A5976">
        <w:rPr>
          <w:rFonts w:ascii="Book Antiqua" w:hAnsi="Book Antiqua" w:cs="Arial"/>
        </w:rPr>
        <w:t>Judge</w:t>
      </w:r>
      <w:r w:rsidR="00151895">
        <w:rPr>
          <w:rFonts w:ascii="Book Antiqua" w:hAnsi="Book Antiqua" w:cs="Arial"/>
        </w:rPr>
        <w:t xml:space="preserve"> </w:t>
      </w:r>
      <w:r w:rsidR="007962CC">
        <w:rPr>
          <w:rFonts w:ascii="Book Antiqua" w:hAnsi="Book Antiqua" w:cs="Arial"/>
        </w:rPr>
        <w:t>Bunting</w:t>
      </w:r>
      <w:r w:rsidR="00136835">
        <w:rPr>
          <w:rFonts w:ascii="Book Antiqua" w:hAnsi="Book Antiqua" w:cs="Arial"/>
        </w:rPr>
        <w:t xml:space="preserve"> (</w:t>
      </w:r>
      <w:r w:rsidR="007962CC">
        <w:rPr>
          <w:rFonts w:ascii="Book Antiqua" w:hAnsi="Book Antiqua" w:cs="Arial"/>
        </w:rPr>
        <w:t>“the judge”</w:t>
      </w:r>
      <w:r w:rsidR="00480201">
        <w:rPr>
          <w:rFonts w:ascii="Book Antiqua" w:hAnsi="Book Antiqua" w:cs="Arial"/>
        </w:rPr>
        <w:t>)</w:t>
      </w:r>
      <w:r w:rsidR="00151895">
        <w:rPr>
          <w:rFonts w:ascii="Book Antiqua" w:hAnsi="Book Antiqua" w:cs="Arial"/>
        </w:rPr>
        <w:t>, promulgated on</w:t>
      </w:r>
      <w:r w:rsidR="00003182">
        <w:rPr>
          <w:rFonts w:ascii="Book Antiqua" w:hAnsi="Book Antiqua" w:cs="Arial"/>
        </w:rPr>
        <w:t xml:space="preserve"> </w:t>
      </w:r>
      <w:r w:rsidR="00CB38F3">
        <w:rPr>
          <w:rFonts w:ascii="Book Antiqua" w:hAnsi="Book Antiqua" w:cs="Arial"/>
        </w:rPr>
        <w:t>25 February 2020</w:t>
      </w:r>
      <w:r w:rsidR="00003182">
        <w:rPr>
          <w:rFonts w:ascii="Book Antiqua" w:hAnsi="Book Antiqua" w:cs="Arial"/>
        </w:rPr>
        <w:t xml:space="preserve">, </w:t>
      </w:r>
      <w:r w:rsidR="008E50CC">
        <w:rPr>
          <w:rFonts w:ascii="Book Antiqua" w:hAnsi="Book Antiqua" w:cs="Arial"/>
        </w:rPr>
        <w:t>by</w:t>
      </w:r>
      <w:r>
        <w:rPr>
          <w:rFonts w:ascii="Book Antiqua" w:hAnsi="Book Antiqua" w:cs="Arial"/>
        </w:rPr>
        <w:t xml:space="preserve"> which she </w:t>
      </w:r>
      <w:r w:rsidR="00811B78">
        <w:rPr>
          <w:rFonts w:ascii="Book Antiqua" w:hAnsi="Book Antiqua" w:cs="Arial"/>
        </w:rPr>
        <w:t>di</w:t>
      </w:r>
      <w:r w:rsidR="00151895">
        <w:rPr>
          <w:rFonts w:ascii="Book Antiqua" w:hAnsi="Book Antiqua" w:cs="Arial"/>
        </w:rPr>
        <w:t xml:space="preserve">smissed the </w:t>
      </w:r>
      <w:r w:rsidR="0014471D">
        <w:rPr>
          <w:rFonts w:ascii="Book Antiqua" w:hAnsi="Book Antiqua" w:cs="Arial"/>
        </w:rPr>
        <w:t>a</w:t>
      </w:r>
      <w:r w:rsidR="00151895">
        <w:rPr>
          <w:rFonts w:ascii="Book Antiqua" w:hAnsi="Book Antiqua" w:cs="Arial"/>
        </w:rPr>
        <w:t>ppellant’s appeal</w:t>
      </w:r>
      <w:r>
        <w:rPr>
          <w:rFonts w:ascii="Book Antiqua" w:hAnsi="Book Antiqua" w:cs="Arial"/>
        </w:rPr>
        <w:t xml:space="preserve"> against the </w:t>
      </w:r>
      <w:r w:rsidR="0014471D">
        <w:rPr>
          <w:rFonts w:ascii="Book Antiqua" w:hAnsi="Book Antiqua" w:cs="Arial"/>
        </w:rPr>
        <w:t>r</w:t>
      </w:r>
      <w:r>
        <w:rPr>
          <w:rFonts w:ascii="Book Antiqua" w:hAnsi="Book Antiqua" w:cs="Arial"/>
        </w:rPr>
        <w:t xml:space="preserve">espondent’s </w:t>
      </w:r>
      <w:r w:rsidR="00022BE2">
        <w:rPr>
          <w:rFonts w:ascii="Book Antiqua" w:hAnsi="Book Antiqua" w:cs="Arial"/>
        </w:rPr>
        <w:t xml:space="preserve">decision to refuse </w:t>
      </w:r>
      <w:r>
        <w:rPr>
          <w:rFonts w:ascii="Book Antiqua" w:hAnsi="Book Antiqua" w:cs="Arial"/>
        </w:rPr>
        <w:t>his</w:t>
      </w:r>
      <w:r w:rsidR="00CB38F3">
        <w:rPr>
          <w:rFonts w:ascii="Book Antiqua" w:hAnsi="Book Antiqua" w:cs="Arial"/>
        </w:rPr>
        <w:t xml:space="preserve"> human rights claim</w:t>
      </w:r>
      <w:r w:rsidR="00575175">
        <w:rPr>
          <w:rFonts w:ascii="Book Antiqua" w:hAnsi="Book Antiqua" w:cs="Arial"/>
        </w:rPr>
        <w:t>,</w:t>
      </w:r>
      <w:r w:rsidR="007C48E5">
        <w:rPr>
          <w:rFonts w:ascii="Book Antiqua" w:hAnsi="Book Antiqua" w:cs="Arial"/>
        </w:rPr>
        <w:t xml:space="preserve"> which in turn had </w:t>
      </w:r>
      <w:r w:rsidR="007C48E5">
        <w:rPr>
          <w:rFonts w:ascii="Book Antiqua" w:hAnsi="Book Antiqua" w:cs="Arial"/>
        </w:rPr>
        <w:lastRenderedPageBreak/>
        <w:t>been</w:t>
      </w:r>
      <w:r w:rsidR="00D46CC5">
        <w:rPr>
          <w:rFonts w:ascii="Book Antiqua" w:hAnsi="Book Antiqua" w:cs="Arial"/>
        </w:rPr>
        <w:t xml:space="preserve"> made in the context of the appellant having re-entered the United Kingdom in breach of a deportation order.</w:t>
      </w:r>
    </w:p>
    <w:p w14:paraId="7FC6F375" w14:textId="1F1ABEE2" w:rsidR="00E210A7" w:rsidRDefault="007B53FE" w:rsidP="00865BFE">
      <w:pPr>
        <w:numPr>
          <w:ilvl w:val="0"/>
          <w:numId w:val="18"/>
        </w:numPr>
        <w:spacing w:before="240"/>
        <w:jc w:val="both"/>
        <w:rPr>
          <w:rFonts w:ascii="Book Antiqua" w:hAnsi="Book Antiqua" w:cs="Arial"/>
        </w:rPr>
      </w:pPr>
      <w:r>
        <w:rPr>
          <w:rFonts w:ascii="Book Antiqua" w:hAnsi="Book Antiqua" w:cs="Arial"/>
        </w:rPr>
        <w:t xml:space="preserve">This </w:t>
      </w:r>
      <w:r w:rsidR="007C48E5">
        <w:rPr>
          <w:rFonts w:ascii="Book Antiqua" w:hAnsi="Book Antiqua" w:cs="Arial"/>
        </w:rPr>
        <w:t>case</w:t>
      </w:r>
      <w:r w:rsidR="00E31F09">
        <w:rPr>
          <w:rFonts w:ascii="Book Antiqua" w:hAnsi="Book Antiqua" w:cs="Arial"/>
        </w:rPr>
        <w:t xml:space="preserve"> raises two issues</w:t>
      </w:r>
      <w:r w:rsidR="00EB7F44">
        <w:rPr>
          <w:rFonts w:ascii="Book Antiqua" w:hAnsi="Book Antiqua" w:cs="Arial"/>
        </w:rPr>
        <w:t>;</w:t>
      </w:r>
      <w:r w:rsidR="00E755EC">
        <w:rPr>
          <w:rFonts w:ascii="Book Antiqua" w:hAnsi="Book Antiqua" w:cs="Arial"/>
        </w:rPr>
        <w:t xml:space="preserve"> one procedural in nature</w:t>
      </w:r>
      <w:r w:rsidR="00EB7F44">
        <w:rPr>
          <w:rFonts w:ascii="Book Antiqua" w:hAnsi="Book Antiqua" w:cs="Arial"/>
        </w:rPr>
        <w:t>,</w:t>
      </w:r>
      <w:r w:rsidR="009426CF">
        <w:rPr>
          <w:rFonts w:ascii="Book Antiqua" w:hAnsi="Book Antiqua" w:cs="Arial"/>
        </w:rPr>
        <w:t xml:space="preserve"> the other substantive.</w:t>
      </w:r>
      <w:r w:rsidR="00222F12">
        <w:rPr>
          <w:rFonts w:ascii="Book Antiqua" w:hAnsi="Book Antiqua" w:cs="Arial"/>
        </w:rPr>
        <w:t xml:space="preserve"> </w:t>
      </w:r>
      <w:r w:rsidR="00B23137">
        <w:rPr>
          <w:rFonts w:ascii="Book Antiqua" w:hAnsi="Book Antiqua" w:cs="Arial"/>
        </w:rPr>
        <w:t>In respect of the former</w:t>
      </w:r>
      <w:r w:rsidR="00CC2870">
        <w:rPr>
          <w:rFonts w:ascii="Book Antiqua" w:hAnsi="Book Antiqua" w:cs="Arial"/>
        </w:rPr>
        <w:t>,</w:t>
      </w:r>
      <w:r w:rsidR="00AC18EC">
        <w:rPr>
          <w:rFonts w:ascii="Book Antiqua" w:hAnsi="Book Antiqua" w:cs="Arial"/>
        </w:rPr>
        <w:t xml:space="preserve"> we </w:t>
      </w:r>
      <w:r w:rsidR="00D32BB2">
        <w:rPr>
          <w:rFonts w:ascii="Book Antiqua" w:hAnsi="Book Antiqua" w:cs="Arial"/>
        </w:rPr>
        <w:t>can</w:t>
      </w:r>
      <w:r w:rsidR="00327CC5">
        <w:rPr>
          <w:rFonts w:ascii="Book Antiqua" w:hAnsi="Book Antiqua" w:cs="Arial"/>
        </w:rPr>
        <w:t xml:space="preserve"> state the question </w:t>
      </w:r>
      <w:r w:rsidR="00F21386">
        <w:rPr>
          <w:rFonts w:ascii="Book Antiqua" w:hAnsi="Book Antiqua" w:cs="Arial"/>
        </w:rPr>
        <w:t>as follows</w:t>
      </w:r>
      <w:r w:rsidR="00327CC5">
        <w:rPr>
          <w:rFonts w:ascii="Book Antiqua" w:hAnsi="Book Antiqua" w:cs="Arial"/>
        </w:rPr>
        <w:t xml:space="preserve">: can </w:t>
      </w:r>
      <w:r w:rsidR="00D32BB2">
        <w:rPr>
          <w:rFonts w:ascii="Book Antiqua" w:hAnsi="Book Antiqua" w:cs="Arial"/>
        </w:rPr>
        <w:t>a party who has succeeded</w:t>
      </w:r>
      <w:r w:rsidR="00EE4974">
        <w:rPr>
          <w:rFonts w:ascii="Book Antiqua" w:hAnsi="Book Antiqua" w:cs="Arial"/>
        </w:rPr>
        <w:t xml:space="preserve"> on al</w:t>
      </w:r>
      <w:r w:rsidR="00A17701">
        <w:rPr>
          <w:rFonts w:ascii="Book Antiqua" w:hAnsi="Book Antiqua" w:cs="Arial"/>
        </w:rPr>
        <w:t>l</w:t>
      </w:r>
      <w:r w:rsidR="00EE4974">
        <w:rPr>
          <w:rFonts w:ascii="Book Antiqua" w:hAnsi="Book Antiqua" w:cs="Arial"/>
        </w:rPr>
        <w:t xml:space="preserve"> available grounds</w:t>
      </w:r>
      <w:r w:rsidR="00327CC5">
        <w:rPr>
          <w:rFonts w:ascii="Book Antiqua" w:hAnsi="Book Antiqua" w:cs="Arial"/>
        </w:rPr>
        <w:t xml:space="preserve"> in an appeal</w:t>
      </w:r>
      <w:r w:rsidR="000616B2">
        <w:rPr>
          <w:rFonts w:ascii="Book Antiqua" w:hAnsi="Book Antiqua" w:cs="Arial"/>
        </w:rPr>
        <w:t xml:space="preserve"> before the First-tier Tribunal</w:t>
      </w:r>
      <w:r w:rsidR="00795FF9">
        <w:rPr>
          <w:rFonts w:ascii="Book Antiqua" w:hAnsi="Book Antiqua" w:cs="Arial"/>
        </w:rPr>
        <w:t xml:space="preserve"> </w:t>
      </w:r>
      <w:r w:rsidR="00F21386">
        <w:rPr>
          <w:rFonts w:ascii="Book Antiqua" w:hAnsi="Book Antiqua" w:cs="Arial"/>
        </w:rPr>
        <w:t xml:space="preserve">and </w:t>
      </w:r>
      <w:r w:rsidR="00795FF9">
        <w:rPr>
          <w:rFonts w:ascii="Book Antiqua" w:hAnsi="Book Antiqua" w:cs="Arial"/>
        </w:rPr>
        <w:t xml:space="preserve">who may </w:t>
      </w:r>
      <w:r w:rsidR="00F21386">
        <w:rPr>
          <w:rFonts w:ascii="Book Antiqua" w:hAnsi="Book Antiqua" w:cs="Arial"/>
        </w:rPr>
        <w:t xml:space="preserve">therefore </w:t>
      </w:r>
      <w:r w:rsidR="00795FF9">
        <w:rPr>
          <w:rFonts w:ascii="Book Antiqua" w:hAnsi="Book Antiqua" w:cs="Arial"/>
        </w:rPr>
        <w:t>be described as “the winner”</w:t>
      </w:r>
      <w:r w:rsidR="00F21386">
        <w:rPr>
          <w:rFonts w:ascii="Book Antiqua" w:hAnsi="Book Antiqua" w:cs="Arial"/>
        </w:rPr>
        <w:t>,</w:t>
      </w:r>
      <w:r w:rsidR="000616B2">
        <w:rPr>
          <w:rFonts w:ascii="Book Antiqua" w:hAnsi="Book Antiqua" w:cs="Arial"/>
        </w:rPr>
        <w:t xml:space="preserve"> </w:t>
      </w:r>
      <w:r w:rsidR="00A17701">
        <w:rPr>
          <w:rFonts w:ascii="Book Antiqua" w:hAnsi="Book Antiqua" w:cs="Arial"/>
        </w:rPr>
        <w:t xml:space="preserve">then </w:t>
      </w:r>
      <w:r w:rsidR="000616B2">
        <w:rPr>
          <w:rFonts w:ascii="Book Antiqua" w:hAnsi="Book Antiqua" w:cs="Arial"/>
        </w:rPr>
        <w:t>appeal to the Upper Tribunal</w:t>
      </w:r>
      <w:r w:rsidR="00B04033">
        <w:rPr>
          <w:rFonts w:ascii="Book Antiqua" w:hAnsi="Book Antiqua" w:cs="Arial"/>
        </w:rPr>
        <w:t xml:space="preserve"> on a point of law</w:t>
      </w:r>
      <w:r w:rsidR="003A192D">
        <w:rPr>
          <w:rFonts w:ascii="Book Antiqua" w:hAnsi="Book Antiqua" w:cs="Arial"/>
        </w:rPr>
        <w:t>?</w:t>
      </w:r>
      <w:r w:rsidR="00360948">
        <w:rPr>
          <w:rFonts w:ascii="Book Antiqua" w:hAnsi="Book Antiqua" w:cs="Arial"/>
        </w:rPr>
        <w:t xml:space="preserve">  </w:t>
      </w:r>
    </w:p>
    <w:p w14:paraId="40B37A34" w14:textId="19BE55F9" w:rsidR="00811B78" w:rsidRDefault="00360948" w:rsidP="00865BFE">
      <w:pPr>
        <w:numPr>
          <w:ilvl w:val="0"/>
          <w:numId w:val="18"/>
        </w:numPr>
        <w:spacing w:before="240"/>
        <w:jc w:val="both"/>
        <w:rPr>
          <w:rFonts w:ascii="Book Antiqua" w:hAnsi="Book Antiqua" w:cs="Arial"/>
        </w:rPr>
      </w:pPr>
      <w:r>
        <w:rPr>
          <w:rFonts w:ascii="Book Antiqua" w:hAnsi="Book Antiqua" w:cs="Arial"/>
        </w:rPr>
        <w:t>On this</w:t>
      </w:r>
      <w:r w:rsidR="00DB763A">
        <w:rPr>
          <w:rFonts w:ascii="Book Antiqua" w:hAnsi="Book Antiqua" w:cs="Arial"/>
        </w:rPr>
        <w:t xml:space="preserve"> the parties are divided</w:t>
      </w:r>
      <w:r w:rsidR="00994070">
        <w:rPr>
          <w:rFonts w:ascii="Book Antiqua" w:hAnsi="Book Antiqua" w:cs="Arial"/>
        </w:rPr>
        <w:t>. T</w:t>
      </w:r>
      <w:r w:rsidR="008E0744">
        <w:rPr>
          <w:rFonts w:ascii="Book Antiqua" w:hAnsi="Book Antiqua" w:cs="Arial"/>
        </w:rPr>
        <w:t>he appellant argu</w:t>
      </w:r>
      <w:r w:rsidR="00994070">
        <w:rPr>
          <w:rFonts w:ascii="Book Antiqua" w:hAnsi="Book Antiqua" w:cs="Arial"/>
        </w:rPr>
        <w:t>es</w:t>
      </w:r>
      <w:r w:rsidR="008E0744">
        <w:rPr>
          <w:rFonts w:ascii="Book Antiqua" w:hAnsi="Book Antiqua" w:cs="Arial"/>
        </w:rPr>
        <w:t xml:space="preserve"> that the </w:t>
      </w:r>
      <w:r w:rsidR="00432C8F">
        <w:rPr>
          <w:rFonts w:ascii="Book Antiqua" w:hAnsi="Book Antiqua" w:cs="Arial"/>
        </w:rPr>
        <w:t xml:space="preserve">winning </w:t>
      </w:r>
      <w:r w:rsidR="008E0744">
        <w:rPr>
          <w:rFonts w:ascii="Book Antiqua" w:hAnsi="Book Antiqua" w:cs="Arial"/>
        </w:rPr>
        <w:t>party can</w:t>
      </w:r>
      <w:r w:rsidR="003D2D3B">
        <w:rPr>
          <w:rFonts w:ascii="Book Antiqua" w:hAnsi="Book Antiqua" w:cs="Arial"/>
        </w:rPr>
        <w:t xml:space="preserve"> </w:t>
      </w:r>
      <w:r w:rsidR="008E0744">
        <w:rPr>
          <w:rFonts w:ascii="Book Antiqua" w:hAnsi="Book Antiqua" w:cs="Arial"/>
        </w:rPr>
        <w:t xml:space="preserve">appeal and </w:t>
      </w:r>
      <w:r w:rsidR="003D2D3B">
        <w:rPr>
          <w:rFonts w:ascii="Book Antiqua" w:hAnsi="Book Antiqua" w:cs="Arial"/>
        </w:rPr>
        <w:t xml:space="preserve">therefore </w:t>
      </w:r>
      <w:r w:rsidR="00794F5C">
        <w:rPr>
          <w:rFonts w:ascii="Book Antiqua" w:hAnsi="Book Antiqua" w:cs="Arial"/>
        </w:rPr>
        <w:t>must</w:t>
      </w:r>
      <w:r w:rsidR="007A79F2">
        <w:rPr>
          <w:rFonts w:ascii="Book Antiqua" w:hAnsi="Book Antiqua" w:cs="Arial"/>
        </w:rPr>
        <w:t xml:space="preserve"> comply with the </w:t>
      </w:r>
      <w:r w:rsidR="00281D3D">
        <w:rPr>
          <w:rFonts w:ascii="Book Antiqua" w:hAnsi="Book Antiqua" w:cs="Arial"/>
        </w:rPr>
        <w:t xml:space="preserve">applicable </w:t>
      </w:r>
      <w:r w:rsidR="007A79F2">
        <w:rPr>
          <w:rFonts w:ascii="Book Antiqua" w:hAnsi="Book Antiqua" w:cs="Arial"/>
        </w:rPr>
        <w:t>procedural steps</w:t>
      </w:r>
      <w:r w:rsidR="00794F5C">
        <w:rPr>
          <w:rFonts w:ascii="Book Antiqua" w:hAnsi="Book Antiqua" w:cs="Arial"/>
        </w:rPr>
        <w:t>. T</w:t>
      </w:r>
      <w:r w:rsidR="008A620E">
        <w:rPr>
          <w:rFonts w:ascii="Book Antiqua" w:hAnsi="Book Antiqua" w:cs="Arial"/>
        </w:rPr>
        <w:t>he respondent submits</w:t>
      </w:r>
      <w:r w:rsidR="006F02F4">
        <w:rPr>
          <w:rFonts w:ascii="Book Antiqua" w:hAnsi="Book Antiqua" w:cs="Arial"/>
        </w:rPr>
        <w:t xml:space="preserve"> that</w:t>
      </w:r>
      <w:r w:rsidR="00281D3D">
        <w:rPr>
          <w:rFonts w:ascii="Book Antiqua" w:hAnsi="Book Antiqua" w:cs="Arial"/>
        </w:rPr>
        <w:t xml:space="preserve"> the only appropriate</w:t>
      </w:r>
      <w:r w:rsidR="00C31047">
        <w:rPr>
          <w:rFonts w:ascii="Book Antiqua" w:hAnsi="Book Antiqua" w:cs="Arial"/>
        </w:rPr>
        <w:t xml:space="preserve"> vehicle</w:t>
      </w:r>
      <w:r w:rsidR="00B31528">
        <w:rPr>
          <w:rFonts w:ascii="Book Antiqua" w:hAnsi="Book Antiqua" w:cs="Arial"/>
        </w:rPr>
        <w:t xml:space="preserve"> for</w:t>
      </w:r>
      <w:r w:rsidR="00B5639F">
        <w:rPr>
          <w:rFonts w:ascii="Book Antiqua" w:hAnsi="Book Antiqua" w:cs="Arial"/>
        </w:rPr>
        <w:t xml:space="preserve"> </w:t>
      </w:r>
      <w:r w:rsidR="008D338D">
        <w:rPr>
          <w:rFonts w:ascii="Book Antiqua" w:hAnsi="Book Antiqua" w:cs="Arial"/>
        </w:rPr>
        <w:t xml:space="preserve">that party </w:t>
      </w:r>
      <w:r w:rsidR="00067C31">
        <w:rPr>
          <w:rFonts w:ascii="Book Antiqua" w:hAnsi="Book Antiqua" w:cs="Arial"/>
        </w:rPr>
        <w:t>to raise</w:t>
      </w:r>
      <w:r w:rsidR="00A434D3">
        <w:rPr>
          <w:rFonts w:ascii="Book Antiqua" w:hAnsi="Book Antiqua" w:cs="Arial"/>
        </w:rPr>
        <w:t xml:space="preserve"> such a ground is by way of a response</w:t>
      </w:r>
      <w:r w:rsidR="00976161">
        <w:rPr>
          <w:rFonts w:ascii="Book Antiqua" w:hAnsi="Book Antiqua" w:cs="Arial"/>
        </w:rPr>
        <w:t xml:space="preserve"> under rule 24 of the Tribunal Procedure (Upper Tribunal)</w:t>
      </w:r>
      <w:r w:rsidR="00001DB8">
        <w:rPr>
          <w:rFonts w:ascii="Book Antiqua" w:hAnsi="Book Antiqua" w:cs="Arial"/>
        </w:rPr>
        <w:t xml:space="preserve"> Rules 2008 (</w:t>
      </w:r>
      <w:r w:rsidR="00822BC0">
        <w:rPr>
          <w:rFonts w:ascii="Book Antiqua" w:hAnsi="Book Antiqua" w:cs="Arial"/>
        </w:rPr>
        <w:t xml:space="preserve">SI </w:t>
      </w:r>
      <w:r w:rsidR="00FF6675">
        <w:rPr>
          <w:rFonts w:ascii="Book Antiqua" w:hAnsi="Book Antiqua" w:cs="Arial"/>
        </w:rPr>
        <w:t>2008/2698)</w:t>
      </w:r>
      <w:r w:rsidR="00FD0434">
        <w:rPr>
          <w:rFonts w:ascii="Book Antiqua" w:hAnsi="Book Antiqua" w:cs="Arial"/>
        </w:rPr>
        <w:t xml:space="preserve"> (</w:t>
      </w:r>
      <w:r w:rsidR="005166BE">
        <w:rPr>
          <w:rFonts w:ascii="Book Antiqua" w:hAnsi="Book Antiqua" w:cs="Arial"/>
        </w:rPr>
        <w:t xml:space="preserve">a </w:t>
      </w:r>
      <w:r w:rsidR="00FD0434">
        <w:rPr>
          <w:rFonts w:ascii="Book Antiqua" w:hAnsi="Book Antiqua" w:cs="Arial"/>
        </w:rPr>
        <w:t>“</w:t>
      </w:r>
      <w:r w:rsidR="005166BE">
        <w:rPr>
          <w:rFonts w:ascii="Book Antiqua" w:hAnsi="Book Antiqua" w:cs="Arial"/>
        </w:rPr>
        <w:t>rule 24 response”)</w:t>
      </w:r>
      <w:r w:rsidR="00E210A7">
        <w:rPr>
          <w:rFonts w:ascii="Book Antiqua" w:hAnsi="Book Antiqua" w:cs="Arial"/>
        </w:rPr>
        <w:t xml:space="preserve"> when the losing party</w:t>
      </w:r>
      <w:r w:rsidR="00F20AF7">
        <w:rPr>
          <w:rFonts w:ascii="Book Antiqua" w:hAnsi="Book Antiqua" w:cs="Arial"/>
        </w:rPr>
        <w:t xml:space="preserve"> has applied for, and been granted, permission to appeal</w:t>
      </w:r>
      <w:r w:rsidR="00E210A7">
        <w:rPr>
          <w:rFonts w:ascii="Book Antiqua" w:hAnsi="Book Antiqua" w:cs="Arial"/>
        </w:rPr>
        <w:t>.</w:t>
      </w:r>
    </w:p>
    <w:p w14:paraId="190AB779" w14:textId="0F36C388" w:rsidR="00BE23BD" w:rsidRDefault="00690786" w:rsidP="00865BFE">
      <w:pPr>
        <w:numPr>
          <w:ilvl w:val="0"/>
          <w:numId w:val="18"/>
        </w:numPr>
        <w:spacing w:before="240"/>
        <w:jc w:val="both"/>
        <w:rPr>
          <w:rFonts w:ascii="Book Antiqua" w:hAnsi="Book Antiqua" w:cs="Arial"/>
        </w:rPr>
      </w:pPr>
      <w:r>
        <w:rPr>
          <w:rFonts w:ascii="Book Antiqua" w:hAnsi="Book Antiqua" w:cs="Arial"/>
        </w:rPr>
        <w:t xml:space="preserve">We have concluded </w:t>
      </w:r>
      <w:r w:rsidR="0027583F">
        <w:rPr>
          <w:rFonts w:ascii="Book Antiqua" w:hAnsi="Book Antiqua" w:cs="Arial"/>
        </w:rPr>
        <w:t>that the respondent’s position is broadly correct</w:t>
      </w:r>
      <w:r w:rsidR="003D58A3">
        <w:rPr>
          <w:rFonts w:ascii="Book Antiqua" w:hAnsi="Book Antiqua" w:cs="Arial"/>
        </w:rPr>
        <w:t>, but,</w:t>
      </w:r>
      <w:r w:rsidR="00BE23BD">
        <w:rPr>
          <w:rFonts w:ascii="Book Antiqua" w:hAnsi="Book Antiqua" w:cs="Arial"/>
        </w:rPr>
        <w:t xml:space="preserve"> for reasons</w:t>
      </w:r>
      <w:r w:rsidR="00435796">
        <w:rPr>
          <w:rFonts w:ascii="Book Antiqua" w:hAnsi="Book Antiqua" w:cs="Arial"/>
        </w:rPr>
        <w:t xml:space="preserve"> set out in due course, the answer to the procedural question is entirely academic</w:t>
      </w:r>
      <w:r w:rsidR="00FF6D18">
        <w:rPr>
          <w:rFonts w:ascii="Book Antiqua" w:hAnsi="Book Antiqua" w:cs="Arial"/>
        </w:rPr>
        <w:t xml:space="preserve"> in this case</w:t>
      </w:r>
      <w:r w:rsidR="00134A01">
        <w:rPr>
          <w:rFonts w:ascii="Book Antiqua" w:hAnsi="Book Antiqua" w:cs="Arial"/>
        </w:rPr>
        <w:t xml:space="preserve"> and</w:t>
      </w:r>
      <w:r w:rsidR="00620CE2">
        <w:rPr>
          <w:rFonts w:ascii="Book Antiqua" w:hAnsi="Book Antiqua" w:cs="Arial"/>
        </w:rPr>
        <w:t xml:space="preserve"> the observations we make on the issue do not form part of the </w:t>
      </w:r>
      <w:r w:rsidR="00620CE2" w:rsidRPr="00620CE2">
        <w:rPr>
          <w:rFonts w:ascii="Book Antiqua" w:hAnsi="Book Antiqua" w:cs="Arial"/>
          <w:i/>
          <w:iCs/>
        </w:rPr>
        <w:t>ratio</w:t>
      </w:r>
      <w:r w:rsidR="00620CE2">
        <w:rPr>
          <w:rFonts w:ascii="Book Antiqua" w:hAnsi="Book Antiqua" w:cs="Arial"/>
        </w:rPr>
        <w:t xml:space="preserve"> of our decision</w:t>
      </w:r>
      <w:r w:rsidR="00535A31">
        <w:rPr>
          <w:rFonts w:ascii="Book Antiqua" w:hAnsi="Book Antiqua" w:cs="Arial"/>
        </w:rPr>
        <w:t xml:space="preserve">.  </w:t>
      </w:r>
    </w:p>
    <w:p w14:paraId="3839D804" w14:textId="7D3DD26E" w:rsidR="00E01D67" w:rsidRDefault="00E01D67" w:rsidP="00865BFE">
      <w:pPr>
        <w:numPr>
          <w:ilvl w:val="0"/>
          <w:numId w:val="18"/>
        </w:numPr>
        <w:spacing w:before="240"/>
        <w:jc w:val="both"/>
        <w:rPr>
          <w:rFonts w:ascii="Book Antiqua" w:hAnsi="Book Antiqua" w:cs="Arial"/>
        </w:rPr>
      </w:pPr>
      <w:r>
        <w:rPr>
          <w:rFonts w:ascii="Book Antiqua" w:hAnsi="Book Antiqua" w:cs="Arial"/>
        </w:rPr>
        <w:t>The substantive issue concerns</w:t>
      </w:r>
      <w:r w:rsidR="00565E17">
        <w:rPr>
          <w:rFonts w:ascii="Book Antiqua" w:hAnsi="Book Antiqua" w:cs="Arial"/>
        </w:rPr>
        <w:t xml:space="preserve"> the relationship between the Immigration Rules</w:t>
      </w:r>
      <w:r w:rsidR="008A2B6D">
        <w:rPr>
          <w:rFonts w:ascii="Book Antiqua" w:hAnsi="Book Antiqua" w:cs="Arial"/>
        </w:rPr>
        <w:t xml:space="preserve"> (“the Rules”)</w:t>
      </w:r>
      <w:r w:rsidR="00565E17">
        <w:rPr>
          <w:rFonts w:ascii="Book Antiqua" w:hAnsi="Book Antiqua" w:cs="Arial"/>
        </w:rPr>
        <w:t xml:space="preserve"> relating to deportation and the statutory framework set out in Part </w:t>
      </w:r>
      <w:r w:rsidR="008A2B6D">
        <w:rPr>
          <w:rFonts w:ascii="Book Antiqua" w:hAnsi="Book Antiqua" w:cs="Arial"/>
        </w:rPr>
        <w:t>5A of the Nationality, Immigration and Asylum Act 2002, as amended</w:t>
      </w:r>
      <w:r w:rsidR="005500F2">
        <w:rPr>
          <w:rFonts w:ascii="Book Antiqua" w:hAnsi="Book Antiqua" w:cs="Arial"/>
        </w:rPr>
        <w:t xml:space="preserve"> (“the 2002 Act”)</w:t>
      </w:r>
      <w:r w:rsidR="005104BE">
        <w:rPr>
          <w:rFonts w:ascii="Book Antiqua" w:hAnsi="Book Antiqua" w:cs="Arial"/>
        </w:rPr>
        <w:t xml:space="preserve">, </w:t>
      </w:r>
      <w:r w:rsidR="00610A51">
        <w:rPr>
          <w:rFonts w:ascii="Book Antiqua" w:hAnsi="Book Antiqua" w:cs="Arial"/>
        </w:rPr>
        <w:t>with a particular focus on section 117C.</w:t>
      </w:r>
      <w:r w:rsidR="009F2341">
        <w:rPr>
          <w:rFonts w:ascii="Book Antiqua" w:hAnsi="Book Antiqua" w:cs="Arial"/>
        </w:rPr>
        <w:t xml:space="preserve"> At its heart,</w:t>
      </w:r>
      <w:r w:rsidR="00B92A4B">
        <w:rPr>
          <w:rFonts w:ascii="Book Antiqua" w:hAnsi="Book Antiqua" w:cs="Arial"/>
        </w:rPr>
        <w:t xml:space="preserve"> the question</w:t>
      </w:r>
      <w:r w:rsidR="0074030B">
        <w:rPr>
          <w:rFonts w:ascii="Book Antiqua" w:hAnsi="Book Antiqua" w:cs="Arial"/>
        </w:rPr>
        <w:t xml:space="preserve"> is whether</w:t>
      </w:r>
      <w:r w:rsidR="00E24801">
        <w:rPr>
          <w:rFonts w:ascii="Book Antiqua" w:hAnsi="Book Antiqua" w:cs="Arial"/>
        </w:rPr>
        <w:t xml:space="preserve"> the satisfaction</w:t>
      </w:r>
      <w:r w:rsidR="0053646D">
        <w:rPr>
          <w:rFonts w:ascii="Book Antiqua" w:hAnsi="Book Antiqua" w:cs="Arial"/>
        </w:rPr>
        <w:t xml:space="preserve"> by an individual of the relevant criteria under section 117C</w:t>
      </w:r>
      <w:r w:rsidR="00AF6FF6">
        <w:rPr>
          <w:rFonts w:ascii="Book Antiqua" w:hAnsi="Book Antiqua" w:cs="Arial"/>
        </w:rPr>
        <w:t>(4), (5), and (6)</w:t>
      </w:r>
      <w:r w:rsidR="0053646D">
        <w:rPr>
          <w:rFonts w:ascii="Book Antiqua" w:hAnsi="Book Antiqua" w:cs="Arial"/>
        </w:rPr>
        <w:t xml:space="preserve"> of the </w:t>
      </w:r>
      <w:r w:rsidR="008C62D2">
        <w:rPr>
          <w:rFonts w:ascii="Book Antiqua" w:hAnsi="Book Antiqua" w:cs="Arial"/>
        </w:rPr>
        <w:t>2002</w:t>
      </w:r>
      <w:r w:rsidR="0053646D">
        <w:rPr>
          <w:rFonts w:ascii="Book Antiqua" w:hAnsi="Book Antiqua" w:cs="Arial"/>
        </w:rPr>
        <w:t xml:space="preserve"> Act is determinative</w:t>
      </w:r>
      <w:r w:rsidR="0094219A">
        <w:rPr>
          <w:rFonts w:ascii="Book Antiqua" w:hAnsi="Book Antiqua" w:cs="Arial"/>
        </w:rPr>
        <w:t xml:space="preserve"> of </w:t>
      </w:r>
      <w:r w:rsidR="003D58A3">
        <w:rPr>
          <w:rFonts w:ascii="Book Antiqua" w:hAnsi="Book Antiqua" w:cs="Arial"/>
        </w:rPr>
        <w:t xml:space="preserve">an </w:t>
      </w:r>
      <w:r w:rsidR="0094219A">
        <w:rPr>
          <w:rFonts w:ascii="Book Antiqua" w:hAnsi="Book Antiqua" w:cs="Arial"/>
        </w:rPr>
        <w:t>appeal, notwithstanding</w:t>
      </w:r>
      <w:r w:rsidR="000F7BF1">
        <w:rPr>
          <w:rFonts w:ascii="Book Antiqua" w:hAnsi="Book Antiqua" w:cs="Arial"/>
        </w:rPr>
        <w:t xml:space="preserve"> the provisions of the Rules</w:t>
      </w:r>
      <w:r w:rsidR="00AF6FF6">
        <w:rPr>
          <w:rFonts w:ascii="Book Antiqua" w:hAnsi="Book Antiqua" w:cs="Arial"/>
        </w:rPr>
        <w:t>.</w:t>
      </w:r>
    </w:p>
    <w:p w14:paraId="40D492FA" w14:textId="0723EBA5" w:rsidR="0026001B" w:rsidRDefault="0026001B" w:rsidP="00865BFE">
      <w:pPr>
        <w:numPr>
          <w:ilvl w:val="0"/>
          <w:numId w:val="18"/>
        </w:numPr>
        <w:spacing w:before="240"/>
        <w:jc w:val="both"/>
        <w:rPr>
          <w:rFonts w:ascii="Book Antiqua" w:hAnsi="Book Antiqua" w:cs="Arial"/>
        </w:rPr>
      </w:pPr>
      <w:r>
        <w:rPr>
          <w:rFonts w:ascii="Book Antiqua" w:hAnsi="Book Antiqua" w:cs="Arial"/>
        </w:rPr>
        <w:t>In contrast to the position regarding the procedural question,</w:t>
      </w:r>
      <w:r w:rsidR="00ED2C88">
        <w:rPr>
          <w:rFonts w:ascii="Book Antiqua" w:hAnsi="Book Antiqua" w:cs="Arial"/>
        </w:rPr>
        <w:t xml:space="preserve"> the parties are in agreement</w:t>
      </w:r>
      <w:r w:rsidR="00E70EF7">
        <w:rPr>
          <w:rFonts w:ascii="Book Antiqua" w:hAnsi="Book Antiqua" w:cs="Arial"/>
        </w:rPr>
        <w:t xml:space="preserve"> as to the correct answer</w:t>
      </w:r>
      <w:r w:rsidR="00AF2266">
        <w:rPr>
          <w:rFonts w:ascii="Book Antiqua" w:hAnsi="Book Antiqua" w:cs="Arial"/>
        </w:rPr>
        <w:t>:</w:t>
      </w:r>
      <w:r w:rsidR="00683541">
        <w:rPr>
          <w:rFonts w:ascii="Book Antiqua" w:hAnsi="Book Antiqua" w:cs="Arial"/>
        </w:rPr>
        <w:t xml:space="preserve"> the ability to meet either of the two exceptions</w:t>
      </w:r>
      <w:r w:rsidR="0030319B">
        <w:rPr>
          <w:rFonts w:ascii="Book Antiqua" w:hAnsi="Book Antiqua" w:cs="Arial"/>
        </w:rPr>
        <w:t xml:space="preserve"> or to show very compelling circumstances over and above those described in the exceptions will be determinative</w:t>
      </w:r>
      <w:r w:rsidR="00AC0B03">
        <w:rPr>
          <w:rFonts w:ascii="Book Antiqua" w:hAnsi="Book Antiqua" w:cs="Arial"/>
        </w:rPr>
        <w:t xml:space="preserve"> of an appeal. That view accords with our own and provides the basis upon which</w:t>
      </w:r>
      <w:r w:rsidR="00564823">
        <w:rPr>
          <w:rFonts w:ascii="Book Antiqua" w:hAnsi="Book Antiqua" w:cs="Arial"/>
        </w:rPr>
        <w:t xml:space="preserve"> we have concluded that the First-tier Tribunal erred in law and that the decision in this </w:t>
      </w:r>
      <w:r w:rsidR="00ED15F1">
        <w:rPr>
          <w:rFonts w:ascii="Book Antiqua" w:hAnsi="Book Antiqua" w:cs="Arial"/>
        </w:rPr>
        <w:t>appeal should be re</w:t>
      </w:r>
      <w:r w:rsidR="00ED0138">
        <w:rPr>
          <w:rFonts w:ascii="Book Antiqua" w:hAnsi="Book Antiqua" w:cs="Arial"/>
        </w:rPr>
        <w:t>-</w:t>
      </w:r>
      <w:r w:rsidR="00ED15F1">
        <w:rPr>
          <w:rFonts w:ascii="Book Antiqua" w:hAnsi="Book Antiqua" w:cs="Arial"/>
        </w:rPr>
        <w:t>made in the appellant’s favour.</w:t>
      </w:r>
      <w:r w:rsidR="00863A00">
        <w:rPr>
          <w:rFonts w:ascii="Book Antiqua" w:hAnsi="Book Antiqua" w:cs="Arial"/>
        </w:rPr>
        <w:t xml:space="preserve">  </w:t>
      </w:r>
    </w:p>
    <w:p w14:paraId="58F05D01" w14:textId="13D5065F" w:rsidR="00B26761" w:rsidRPr="00C02412" w:rsidRDefault="00ED15F1" w:rsidP="00865BFE">
      <w:pPr>
        <w:numPr>
          <w:ilvl w:val="0"/>
          <w:numId w:val="18"/>
        </w:numPr>
        <w:spacing w:before="240"/>
        <w:jc w:val="both"/>
        <w:rPr>
          <w:rFonts w:ascii="Book Antiqua" w:hAnsi="Book Antiqua" w:cs="Arial"/>
        </w:rPr>
      </w:pPr>
      <w:r>
        <w:rPr>
          <w:rFonts w:ascii="Book Antiqua" w:hAnsi="Book Antiqua" w:cs="Arial"/>
        </w:rPr>
        <w:t>Before moving on, we wish to express our gratitude to both representatives for</w:t>
      </w:r>
      <w:r w:rsidR="00785BA5">
        <w:rPr>
          <w:rFonts w:ascii="Book Antiqua" w:hAnsi="Book Antiqua" w:cs="Arial"/>
        </w:rPr>
        <w:t xml:space="preserve"> the</w:t>
      </w:r>
      <w:r w:rsidR="00A145CC">
        <w:rPr>
          <w:rFonts w:ascii="Book Antiqua" w:hAnsi="Book Antiqua" w:cs="Arial"/>
        </w:rPr>
        <w:t xml:space="preserve"> skill</w:t>
      </w:r>
      <w:r w:rsidR="00AF3269">
        <w:rPr>
          <w:rFonts w:ascii="Book Antiqua" w:hAnsi="Book Antiqua" w:cs="Arial"/>
        </w:rPr>
        <w:t xml:space="preserve"> </w:t>
      </w:r>
      <w:r w:rsidR="008E6384">
        <w:rPr>
          <w:rFonts w:ascii="Book Antiqua" w:hAnsi="Book Antiqua" w:cs="Arial"/>
        </w:rPr>
        <w:t>with which they</w:t>
      </w:r>
      <w:r w:rsidR="00B84B73">
        <w:rPr>
          <w:rFonts w:ascii="Book Antiqua" w:hAnsi="Book Antiqua" w:cs="Arial"/>
        </w:rPr>
        <w:t xml:space="preserve"> presented their respective cases, both in writing and orally.</w:t>
      </w:r>
    </w:p>
    <w:p w14:paraId="0E87B7BF" w14:textId="753D50C4" w:rsidR="00B26761" w:rsidRPr="00B26761" w:rsidRDefault="005147A0" w:rsidP="00B26761">
      <w:pPr>
        <w:spacing w:before="240"/>
        <w:jc w:val="both"/>
        <w:rPr>
          <w:rFonts w:ascii="Book Antiqua" w:hAnsi="Book Antiqua" w:cs="Arial"/>
          <w:b/>
          <w:bCs/>
          <w:u w:val="single"/>
        </w:rPr>
      </w:pPr>
      <w:r w:rsidRPr="00B26761">
        <w:rPr>
          <w:rFonts w:ascii="Book Antiqua" w:hAnsi="Book Antiqua" w:cs="Arial"/>
          <w:b/>
          <w:bCs/>
          <w:u w:val="single"/>
        </w:rPr>
        <w:t>BACKGROUND</w:t>
      </w:r>
    </w:p>
    <w:p w14:paraId="2D78B812" w14:textId="163AA86E" w:rsidR="00B26761" w:rsidRDefault="00B84B73" w:rsidP="00865BFE">
      <w:pPr>
        <w:numPr>
          <w:ilvl w:val="0"/>
          <w:numId w:val="18"/>
        </w:numPr>
        <w:spacing w:before="240"/>
        <w:jc w:val="both"/>
        <w:rPr>
          <w:rFonts w:ascii="Book Antiqua" w:hAnsi="Book Antiqua" w:cs="Arial"/>
        </w:rPr>
      </w:pPr>
      <w:r>
        <w:rPr>
          <w:rFonts w:ascii="Book Antiqua" w:hAnsi="Book Antiqua" w:cs="Arial"/>
        </w:rPr>
        <w:t xml:space="preserve">The appellant is a citizen of </w:t>
      </w:r>
      <w:r w:rsidR="007A4CCA">
        <w:rPr>
          <w:rFonts w:ascii="Book Antiqua" w:hAnsi="Book Antiqua" w:cs="Arial"/>
        </w:rPr>
        <w:t>Kosovo</w:t>
      </w:r>
      <w:r>
        <w:rPr>
          <w:rFonts w:ascii="Book Antiqua" w:hAnsi="Book Antiqua" w:cs="Arial"/>
        </w:rPr>
        <w:t>,</w:t>
      </w:r>
      <w:r w:rsidR="00EC0CC8">
        <w:rPr>
          <w:rFonts w:ascii="Book Antiqua" w:hAnsi="Book Antiqua" w:cs="Arial"/>
        </w:rPr>
        <w:t xml:space="preserve"> born in 1979.</w:t>
      </w:r>
      <w:r w:rsidR="0020249B">
        <w:rPr>
          <w:rFonts w:ascii="Book Antiqua" w:hAnsi="Book Antiqua" w:cs="Arial"/>
        </w:rPr>
        <w:t xml:space="preserve"> He first arrived in </w:t>
      </w:r>
      <w:r w:rsidR="00DF63F7">
        <w:rPr>
          <w:rFonts w:ascii="Book Antiqua" w:hAnsi="Book Antiqua" w:cs="Arial"/>
        </w:rPr>
        <w:t>th</w:t>
      </w:r>
      <w:r w:rsidR="000E4E38">
        <w:rPr>
          <w:rFonts w:ascii="Book Antiqua" w:hAnsi="Book Antiqua" w:cs="Arial"/>
        </w:rPr>
        <w:t>e</w:t>
      </w:r>
      <w:r w:rsidR="00DF63F7">
        <w:rPr>
          <w:rFonts w:ascii="Book Antiqua" w:hAnsi="Book Antiqua" w:cs="Arial"/>
        </w:rPr>
        <w:t xml:space="preserve"> </w:t>
      </w:r>
      <w:r w:rsidR="0020249B">
        <w:rPr>
          <w:rFonts w:ascii="Book Antiqua" w:hAnsi="Book Antiqua" w:cs="Arial"/>
        </w:rPr>
        <w:t>United Kingdom in June 1998</w:t>
      </w:r>
      <w:r w:rsidR="00153938">
        <w:rPr>
          <w:rFonts w:ascii="Book Antiqua" w:hAnsi="Book Antiqua" w:cs="Arial"/>
        </w:rPr>
        <w:t>, whereupon he made an asylum claim.</w:t>
      </w:r>
      <w:r w:rsidR="007C1450">
        <w:rPr>
          <w:rFonts w:ascii="Book Antiqua" w:hAnsi="Book Antiqua" w:cs="Arial"/>
        </w:rPr>
        <w:t xml:space="preserve"> This was refused in July 2005 and an appeal</w:t>
      </w:r>
      <w:r w:rsidR="00515AA5">
        <w:rPr>
          <w:rFonts w:ascii="Book Antiqua" w:hAnsi="Book Antiqua" w:cs="Arial"/>
        </w:rPr>
        <w:t xml:space="preserve"> dismissed in April 2009.</w:t>
      </w:r>
      <w:r w:rsidR="00395B68">
        <w:rPr>
          <w:rFonts w:ascii="Book Antiqua" w:hAnsi="Book Antiqua" w:cs="Arial"/>
        </w:rPr>
        <w:t xml:space="preserve"> In the interim, the appellant had been convicted</w:t>
      </w:r>
      <w:r w:rsidR="004C5CC0">
        <w:rPr>
          <w:rFonts w:ascii="Book Antiqua" w:hAnsi="Book Antiqua" w:cs="Arial"/>
        </w:rPr>
        <w:t xml:space="preserve"> </w:t>
      </w:r>
      <w:r w:rsidR="00A927D0">
        <w:rPr>
          <w:rFonts w:ascii="Book Antiqua" w:hAnsi="Book Antiqua" w:cs="Arial"/>
        </w:rPr>
        <w:t xml:space="preserve">in November 2008 </w:t>
      </w:r>
      <w:r w:rsidR="004C5CC0">
        <w:rPr>
          <w:rFonts w:ascii="Book Antiqua" w:hAnsi="Book Antiqua" w:cs="Arial"/>
        </w:rPr>
        <w:t>of theft and possession of a weapon and was sentenced to 12 months’ imprisonment.</w:t>
      </w:r>
      <w:r w:rsidR="007A4CCA">
        <w:rPr>
          <w:rFonts w:ascii="Book Antiqua" w:hAnsi="Book Antiqua" w:cs="Arial"/>
        </w:rPr>
        <w:t xml:space="preserve"> This resulted in a deportation order being made on 21 September 2009.</w:t>
      </w:r>
      <w:r w:rsidR="0061348F">
        <w:rPr>
          <w:rFonts w:ascii="Book Antiqua" w:hAnsi="Book Antiqua" w:cs="Arial"/>
        </w:rPr>
        <w:t xml:space="preserve"> </w:t>
      </w:r>
      <w:r w:rsidR="009F3E83">
        <w:rPr>
          <w:rFonts w:ascii="Book Antiqua" w:hAnsi="Book Antiqua" w:cs="Arial"/>
        </w:rPr>
        <w:t xml:space="preserve">The appellant married </w:t>
      </w:r>
      <w:r w:rsidR="002A3CE9">
        <w:rPr>
          <w:rFonts w:ascii="Book Antiqua" w:hAnsi="Book Antiqua" w:cs="Arial"/>
        </w:rPr>
        <w:t xml:space="preserve">his wife, a naturalised British citizen, in June 2010. </w:t>
      </w:r>
      <w:r w:rsidR="0061348F">
        <w:rPr>
          <w:rFonts w:ascii="Book Antiqua" w:hAnsi="Book Antiqua" w:cs="Arial"/>
        </w:rPr>
        <w:t>In October 2011 the appellant accrued further convictions, this time for supplying Class A drugs</w:t>
      </w:r>
      <w:r w:rsidR="0049577F">
        <w:rPr>
          <w:rFonts w:ascii="Book Antiqua" w:hAnsi="Book Antiqua" w:cs="Arial"/>
        </w:rPr>
        <w:t>, and</w:t>
      </w:r>
      <w:r w:rsidR="006C6C68">
        <w:rPr>
          <w:rFonts w:ascii="Book Antiqua" w:hAnsi="Book Antiqua" w:cs="Arial"/>
        </w:rPr>
        <w:t xml:space="preserve"> was sentenced to 3 years’ imprisonment. </w:t>
      </w:r>
      <w:r w:rsidR="009E2AAB">
        <w:rPr>
          <w:rFonts w:ascii="Book Antiqua" w:hAnsi="Book Antiqua" w:cs="Arial"/>
        </w:rPr>
        <w:t xml:space="preserve">An appeal </w:t>
      </w:r>
      <w:r w:rsidR="005F3EC9">
        <w:rPr>
          <w:rFonts w:ascii="Book Antiqua" w:hAnsi="Book Antiqua" w:cs="Arial"/>
        </w:rPr>
        <w:t xml:space="preserve">against </w:t>
      </w:r>
      <w:r w:rsidR="00882779">
        <w:rPr>
          <w:rFonts w:ascii="Book Antiqua" w:hAnsi="Book Antiqua" w:cs="Arial"/>
        </w:rPr>
        <w:t xml:space="preserve">a </w:t>
      </w:r>
      <w:r w:rsidR="00882779">
        <w:rPr>
          <w:rFonts w:ascii="Book Antiqua" w:hAnsi="Book Antiqua" w:cs="Arial"/>
        </w:rPr>
        <w:lastRenderedPageBreak/>
        <w:t xml:space="preserve">decision to deport him was dismissed </w:t>
      </w:r>
      <w:r w:rsidR="005E45AC">
        <w:rPr>
          <w:rFonts w:ascii="Book Antiqua" w:hAnsi="Book Antiqua" w:cs="Arial"/>
        </w:rPr>
        <w:t xml:space="preserve">in April 2012. </w:t>
      </w:r>
      <w:r w:rsidR="006C6C68">
        <w:rPr>
          <w:rFonts w:ascii="Book Antiqua" w:hAnsi="Book Antiqua" w:cs="Arial"/>
        </w:rPr>
        <w:t xml:space="preserve">Having signed a disclaimer, </w:t>
      </w:r>
      <w:r w:rsidR="00D659C4">
        <w:rPr>
          <w:rFonts w:ascii="Book Antiqua" w:hAnsi="Book Antiqua" w:cs="Arial"/>
        </w:rPr>
        <w:t>the appellant</w:t>
      </w:r>
      <w:r w:rsidR="006C6C68">
        <w:rPr>
          <w:rFonts w:ascii="Book Antiqua" w:hAnsi="Book Antiqua" w:cs="Arial"/>
        </w:rPr>
        <w:t xml:space="preserve"> was deported to Kosovo</w:t>
      </w:r>
      <w:r w:rsidR="00F2202D">
        <w:rPr>
          <w:rFonts w:ascii="Book Antiqua" w:hAnsi="Book Antiqua" w:cs="Arial"/>
        </w:rPr>
        <w:t xml:space="preserve"> </w:t>
      </w:r>
      <w:r w:rsidR="008538B1">
        <w:rPr>
          <w:rFonts w:ascii="Book Antiqua" w:hAnsi="Book Antiqua" w:cs="Arial"/>
        </w:rPr>
        <w:t>on 3</w:t>
      </w:r>
      <w:r w:rsidR="00F2202D">
        <w:rPr>
          <w:rFonts w:ascii="Book Antiqua" w:hAnsi="Book Antiqua" w:cs="Arial"/>
        </w:rPr>
        <w:t xml:space="preserve"> July 2012.</w:t>
      </w:r>
    </w:p>
    <w:p w14:paraId="3CBD9177" w14:textId="71BA3181" w:rsidR="000472CC" w:rsidRDefault="00442E13" w:rsidP="00865BFE">
      <w:pPr>
        <w:numPr>
          <w:ilvl w:val="0"/>
          <w:numId w:val="18"/>
        </w:numPr>
        <w:spacing w:before="240"/>
        <w:jc w:val="both"/>
        <w:rPr>
          <w:rFonts w:ascii="Book Antiqua" w:hAnsi="Book Antiqua" w:cs="Arial"/>
        </w:rPr>
      </w:pPr>
      <w:r>
        <w:rPr>
          <w:rFonts w:ascii="Book Antiqua" w:hAnsi="Book Antiqua" w:cs="Arial"/>
        </w:rPr>
        <w:t xml:space="preserve">The appellant then re-entered the United Kingdom </w:t>
      </w:r>
      <w:r w:rsidR="000C3C38">
        <w:rPr>
          <w:rFonts w:ascii="Book Antiqua" w:hAnsi="Book Antiqua" w:cs="Arial"/>
        </w:rPr>
        <w:t>on</w:t>
      </w:r>
      <w:r w:rsidR="00C6665D">
        <w:rPr>
          <w:rFonts w:ascii="Book Antiqua" w:hAnsi="Book Antiqua" w:cs="Arial"/>
        </w:rPr>
        <w:t xml:space="preserve"> an unspecified date</w:t>
      </w:r>
      <w:r w:rsidR="00190DD3">
        <w:rPr>
          <w:rFonts w:ascii="Book Antiqua" w:hAnsi="Book Antiqua" w:cs="Arial"/>
        </w:rPr>
        <w:t xml:space="preserve"> in 2014, in breach of the deportation order.</w:t>
      </w:r>
      <w:r w:rsidR="00E73EB1">
        <w:rPr>
          <w:rFonts w:ascii="Book Antiqua" w:hAnsi="Book Antiqua" w:cs="Arial"/>
        </w:rPr>
        <w:t xml:space="preserve"> </w:t>
      </w:r>
      <w:r w:rsidR="002953E8">
        <w:rPr>
          <w:rFonts w:ascii="Book Antiqua" w:hAnsi="Book Antiqua" w:cs="Arial"/>
        </w:rPr>
        <w:t>His presence in this country was only detected when he was arrested</w:t>
      </w:r>
      <w:r w:rsidR="00BA2307">
        <w:rPr>
          <w:rFonts w:ascii="Book Antiqua" w:hAnsi="Book Antiqua" w:cs="Arial"/>
        </w:rPr>
        <w:t xml:space="preserve"> in June 2018.</w:t>
      </w:r>
      <w:r w:rsidR="00B467E4">
        <w:rPr>
          <w:rFonts w:ascii="Book Antiqua" w:hAnsi="Book Antiqua" w:cs="Arial"/>
        </w:rPr>
        <w:t xml:space="preserve"> Representations were submitted</w:t>
      </w:r>
      <w:r w:rsidR="002D567F">
        <w:rPr>
          <w:rFonts w:ascii="Book Antiqua" w:hAnsi="Book Antiqua" w:cs="Arial"/>
        </w:rPr>
        <w:t xml:space="preserve"> </w:t>
      </w:r>
      <w:r w:rsidR="007C7859">
        <w:rPr>
          <w:rFonts w:ascii="Book Antiqua" w:hAnsi="Book Antiqua" w:cs="Arial"/>
        </w:rPr>
        <w:t xml:space="preserve">in January </w:t>
      </w:r>
      <w:r w:rsidR="006D2FE7">
        <w:rPr>
          <w:rFonts w:ascii="Book Antiqua" w:hAnsi="Book Antiqua" w:cs="Arial"/>
        </w:rPr>
        <w:t xml:space="preserve">2018 </w:t>
      </w:r>
      <w:r w:rsidR="002D567F">
        <w:rPr>
          <w:rFonts w:ascii="Book Antiqua" w:hAnsi="Book Antiqua" w:cs="Arial"/>
        </w:rPr>
        <w:t>requesting that</w:t>
      </w:r>
      <w:r w:rsidR="009C3668">
        <w:rPr>
          <w:rFonts w:ascii="Book Antiqua" w:hAnsi="Book Antiqua" w:cs="Arial"/>
        </w:rPr>
        <w:t xml:space="preserve"> the deportation order be revoked.</w:t>
      </w:r>
      <w:r w:rsidR="00775B9A">
        <w:rPr>
          <w:rFonts w:ascii="Book Antiqua" w:hAnsi="Book Antiqua" w:cs="Arial"/>
        </w:rPr>
        <w:t xml:space="preserve"> Th</w:t>
      </w:r>
      <w:r w:rsidR="00DF63F7">
        <w:rPr>
          <w:rFonts w:ascii="Book Antiqua" w:hAnsi="Book Antiqua" w:cs="Arial"/>
        </w:rPr>
        <w:t>ese were</w:t>
      </w:r>
      <w:r w:rsidR="00775B9A">
        <w:rPr>
          <w:rFonts w:ascii="Book Antiqua" w:hAnsi="Book Antiqua" w:cs="Arial"/>
        </w:rPr>
        <w:t xml:space="preserve"> predicated on the appellant’s</w:t>
      </w:r>
      <w:r w:rsidR="00413F42">
        <w:rPr>
          <w:rFonts w:ascii="Book Antiqua" w:hAnsi="Book Antiqua" w:cs="Arial"/>
        </w:rPr>
        <w:t xml:space="preserve"> family life in the United Kingdom with his wife and the couple’s</w:t>
      </w:r>
      <w:r w:rsidR="00A43DB1">
        <w:rPr>
          <w:rFonts w:ascii="Book Antiqua" w:hAnsi="Book Antiqua" w:cs="Arial"/>
        </w:rPr>
        <w:t xml:space="preserve"> two children, born in November 2014 and July 2017, both of whom are British citizens.</w:t>
      </w:r>
      <w:r w:rsidR="00293C47">
        <w:rPr>
          <w:rFonts w:ascii="Book Antiqua" w:hAnsi="Book Antiqua" w:cs="Arial"/>
        </w:rPr>
        <w:t xml:space="preserve"> It was said that </w:t>
      </w:r>
      <w:r w:rsidR="00305390">
        <w:rPr>
          <w:rFonts w:ascii="Book Antiqua" w:hAnsi="Book Antiqua" w:cs="Arial"/>
        </w:rPr>
        <w:t>the appellant</w:t>
      </w:r>
      <w:r w:rsidR="00293C47">
        <w:rPr>
          <w:rFonts w:ascii="Book Antiqua" w:hAnsi="Book Antiqua" w:cs="Arial"/>
        </w:rPr>
        <w:t xml:space="preserve"> and his wife suffered from significant mental health problems and that the family unit could </w:t>
      </w:r>
      <w:r w:rsidR="007039B8">
        <w:rPr>
          <w:rFonts w:ascii="Book Antiqua" w:hAnsi="Book Antiqua" w:cs="Arial"/>
        </w:rPr>
        <w:t xml:space="preserve">neither relocate to Kosovo, nor be </w:t>
      </w:r>
      <w:r w:rsidR="00EA2E4F">
        <w:rPr>
          <w:rFonts w:ascii="Book Antiqua" w:hAnsi="Book Antiqua" w:cs="Arial"/>
        </w:rPr>
        <w:t>split up</w:t>
      </w:r>
      <w:r w:rsidR="007039B8">
        <w:rPr>
          <w:rFonts w:ascii="Book Antiqua" w:hAnsi="Book Antiqua" w:cs="Arial"/>
        </w:rPr>
        <w:t>.</w:t>
      </w:r>
    </w:p>
    <w:p w14:paraId="4063FF7F" w14:textId="0B48978A" w:rsidR="00915F0B" w:rsidRPr="00C02412" w:rsidRDefault="000472CC" w:rsidP="00865BFE">
      <w:pPr>
        <w:numPr>
          <w:ilvl w:val="0"/>
          <w:numId w:val="18"/>
        </w:numPr>
        <w:spacing w:before="240"/>
        <w:jc w:val="both"/>
        <w:rPr>
          <w:rFonts w:ascii="Book Antiqua" w:hAnsi="Book Antiqua" w:cs="Arial"/>
        </w:rPr>
      </w:pPr>
      <w:r>
        <w:rPr>
          <w:rFonts w:ascii="Book Antiqua" w:hAnsi="Book Antiqua" w:cs="Arial"/>
        </w:rPr>
        <w:t xml:space="preserve">Following an initial rejection of the representations and </w:t>
      </w:r>
      <w:r w:rsidR="00C65C06">
        <w:rPr>
          <w:rFonts w:ascii="Book Antiqua" w:hAnsi="Book Antiqua" w:cs="Arial"/>
        </w:rPr>
        <w:t>the instigation</w:t>
      </w:r>
      <w:r w:rsidR="00AC27D6">
        <w:rPr>
          <w:rFonts w:ascii="Book Antiqua" w:hAnsi="Book Antiqua" w:cs="Arial"/>
        </w:rPr>
        <w:t xml:space="preserve"> of judicial review proceedings, the respondent agreed to reconsider the appellant’s case</w:t>
      </w:r>
      <w:r w:rsidR="00CF2BE0">
        <w:rPr>
          <w:rFonts w:ascii="Book Antiqua" w:hAnsi="Book Antiqua" w:cs="Arial"/>
        </w:rPr>
        <w:t xml:space="preserve"> and consequently refused his human rights claim </w:t>
      </w:r>
      <w:r w:rsidR="00EA2E4F">
        <w:rPr>
          <w:rFonts w:ascii="Book Antiqua" w:hAnsi="Book Antiqua" w:cs="Arial"/>
        </w:rPr>
        <w:t>by a</w:t>
      </w:r>
      <w:r w:rsidR="00CF2BE0">
        <w:rPr>
          <w:rFonts w:ascii="Book Antiqua" w:hAnsi="Book Antiqua" w:cs="Arial"/>
        </w:rPr>
        <w:t xml:space="preserve"> decision dated</w:t>
      </w:r>
      <w:r w:rsidR="00674E50">
        <w:rPr>
          <w:rFonts w:ascii="Book Antiqua" w:hAnsi="Book Antiqua" w:cs="Arial"/>
        </w:rPr>
        <w:t xml:space="preserve"> 7 June 2019.</w:t>
      </w:r>
    </w:p>
    <w:p w14:paraId="574D8679" w14:textId="427DEF1A" w:rsidR="00915F0B" w:rsidRPr="00915F0B" w:rsidRDefault="005147A0" w:rsidP="00915F0B">
      <w:pPr>
        <w:spacing w:before="240"/>
        <w:jc w:val="both"/>
        <w:rPr>
          <w:rFonts w:ascii="Book Antiqua" w:hAnsi="Book Antiqua" w:cs="Arial"/>
          <w:b/>
          <w:u w:val="single"/>
        </w:rPr>
      </w:pPr>
      <w:r w:rsidRPr="00915F0B">
        <w:rPr>
          <w:rFonts w:ascii="Book Antiqua" w:hAnsi="Book Antiqua" w:cs="Arial"/>
          <w:b/>
          <w:u w:val="single"/>
        </w:rPr>
        <w:t xml:space="preserve">THE </w:t>
      </w:r>
      <w:r>
        <w:rPr>
          <w:rFonts w:ascii="Book Antiqua" w:hAnsi="Book Antiqua" w:cs="Arial"/>
          <w:b/>
          <w:u w:val="single"/>
        </w:rPr>
        <w:t>DECISION OF THE FIRST-TIER TRIBUNAL</w:t>
      </w:r>
    </w:p>
    <w:p w14:paraId="542CB9E8" w14:textId="1F2ABB7D" w:rsidR="00915F0B" w:rsidRDefault="00C12E7F" w:rsidP="00865BFE">
      <w:pPr>
        <w:numPr>
          <w:ilvl w:val="0"/>
          <w:numId w:val="18"/>
        </w:numPr>
        <w:spacing w:before="240"/>
        <w:jc w:val="both"/>
        <w:rPr>
          <w:rFonts w:ascii="Book Antiqua" w:hAnsi="Book Antiqua" w:cs="Arial"/>
        </w:rPr>
      </w:pPr>
      <w:r>
        <w:rPr>
          <w:rFonts w:ascii="Book Antiqua" w:hAnsi="Book Antiqua" w:cs="Arial"/>
        </w:rPr>
        <w:t>The judge</w:t>
      </w:r>
      <w:r w:rsidR="00F91504">
        <w:rPr>
          <w:rFonts w:ascii="Book Antiqua" w:hAnsi="Book Antiqua" w:cs="Arial"/>
        </w:rPr>
        <w:t xml:space="preserve"> record</w:t>
      </w:r>
      <w:r w:rsidR="00EA2E4F">
        <w:rPr>
          <w:rFonts w:ascii="Book Antiqua" w:hAnsi="Book Antiqua" w:cs="Arial"/>
        </w:rPr>
        <w:t>ed</w:t>
      </w:r>
      <w:r w:rsidR="00F91504">
        <w:rPr>
          <w:rFonts w:ascii="Book Antiqua" w:hAnsi="Book Antiqua" w:cs="Arial"/>
        </w:rPr>
        <w:t xml:space="preserve"> that </w:t>
      </w:r>
      <w:r w:rsidR="00B4525D">
        <w:rPr>
          <w:rFonts w:ascii="Book Antiqua" w:hAnsi="Book Antiqua" w:cs="Arial"/>
        </w:rPr>
        <w:t xml:space="preserve">the appellant was not pursuing a claim that his appeal should </w:t>
      </w:r>
      <w:r w:rsidR="00B75381">
        <w:rPr>
          <w:rFonts w:ascii="Book Antiqua" w:hAnsi="Book Antiqua" w:cs="Arial"/>
        </w:rPr>
        <w:t>succeed on the basis of his mental health problems</w:t>
      </w:r>
      <w:r w:rsidR="00A461A6">
        <w:rPr>
          <w:rFonts w:ascii="Book Antiqua" w:hAnsi="Book Antiqua" w:cs="Arial"/>
        </w:rPr>
        <w:t xml:space="preserve"> alone</w:t>
      </w:r>
      <w:r w:rsidR="004C1A0C">
        <w:rPr>
          <w:rFonts w:ascii="Book Antiqua" w:hAnsi="Book Antiqua" w:cs="Arial"/>
        </w:rPr>
        <w:t>.</w:t>
      </w:r>
      <w:r w:rsidR="006717C4">
        <w:rPr>
          <w:rFonts w:ascii="Book Antiqua" w:hAnsi="Book Antiqua" w:cs="Arial"/>
        </w:rPr>
        <w:t xml:space="preserve"> </w:t>
      </w:r>
      <w:r w:rsidR="007A7724">
        <w:rPr>
          <w:rFonts w:ascii="Book Antiqua" w:hAnsi="Book Antiqua" w:cs="Arial"/>
        </w:rPr>
        <w:t>She subsequently concluded that the appellant could not</w:t>
      </w:r>
      <w:r w:rsidR="008B1E33">
        <w:rPr>
          <w:rFonts w:ascii="Book Antiqua" w:hAnsi="Book Antiqua" w:cs="Arial"/>
        </w:rPr>
        <w:t xml:space="preserve"> meet the private life exception</w:t>
      </w:r>
      <w:r w:rsidR="00E415E2">
        <w:rPr>
          <w:rFonts w:ascii="Book Antiqua" w:hAnsi="Book Antiqua" w:cs="Arial"/>
        </w:rPr>
        <w:t xml:space="preserve"> under section 117C(4) of the 2002 Act.</w:t>
      </w:r>
    </w:p>
    <w:p w14:paraId="25915123" w14:textId="2E916533" w:rsidR="00E415E2" w:rsidRDefault="00E415E2" w:rsidP="00865BFE">
      <w:pPr>
        <w:numPr>
          <w:ilvl w:val="0"/>
          <w:numId w:val="18"/>
        </w:numPr>
        <w:spacing w:before="240"/>
        <w:jc w:val="both"/>
        <w:rPr>
          <w:rFonts w:ascii="Book Antiqua" w:hAnsi="Book Antiqua" w:cs="Arial"/>
        </w:rPr>
      </w:pPr>
      <w:r>
        <w:rPr>
          <w:rFonts w:ascii="Book Antiqua" w:hAnsi="Book Antiqua" w:cs="Arial"/>
        </w:rPr>
        <w:t>The</w:t>
      </w:r>
      <w:r w:rsidR="00CD7F1F">
        <w:rPr>
          <w:rFonts w:ascii="Book Antiqua" w:hAnsi="Book Antiqua" w:cs="Arial"/>
        </w:rPr>
        <w:t xml:space="preserve"> </w:t>
      </w:r>
      <w:r w:rsidR="00565154">
        <w:rPr>
          <w:rFonts w:ascii="Book Antiqua" w:hAnsi="Book Antiqua" w:cs="Arial"/>
        </w:rPr>
        <w:t xml:space="preserve">primary </w:t>
      </w:r>
      <w:r w:rsidR="00CD7F1F">
        <w:rPr>
          <w:rFonts w:ascii="Book Antiqua" w:hAnsi="Book Antiqua" w:cs="Arial"/>
        </w:rPr>
        <w:t>focus</w:t>
      </w:r>
      <w:r w:rsidR="00446A64">
        <w:rPr>
          <w:rFonts w:ascii="Book Antiqua" w:hAnsi="Book Antiqua" w:cs="Arial"/>
        </w:rPr>
        <w:t xml:space="preserve"> of the judge</w:t>
      </w:r>
      <w:r w:rsidR="00FE3BD4">
        <w:rPr>
          <w:rFonts w:ascii="Book Antiqua" w:hAnsi="Book Antiqua" w:cs="Arial"/>
        </w:rPr>
        <w:t>’</w:t>
      </w:r>
      <w:r w:rsidR="00446A64">
        <w:rPr>
          <w:rFonts w:ascii="Book Antiqua" w:hAnsi="Book Antiqua" w:cs="Arial"/>
        </w:rPr>
        <w:t>s</w:t>
      </w:r>
      <w:r w:rsidR="00565154">
        <w:rPr>
          <w:rFonts w:ascii="Book Antiqua" w:hAnsi="Book Antiqua" w:cs="Arial"/>
        </w:rPr>
        <w:t xml:space="preserve"> attention was on</w:t>
      </w:r>
      <w:r w:rsidR="00FE3BD4">
        <w:rPr>
          <w:rFonts w:ascii="Book Antiqua" w:hAnsi="Book Antiqua" w:cs="Arial"/>
        </w:rPr>
        <w:t xml:space="preserve"> the position of the two children</w:t>
      </w:r>
      <w:r w:rsidR="00842106">
        <w:rPr>
          <w:rFonts w:ascii="Book Antiqua" w:hAnsi="Book Antiqua" w:cs="Arial"/>
        </w:rPr>
        <w:t xml:space="preserve">. </w:t>
      </w:r>
      <w:r w:rsidR="00D30874">
        <w:rPr>
          <w:rFonts w:ascii="Book Antiqua" w:hAnsi="Book Antiqua" w:cs="Arial"/>
        </w:rPr>
        <w:t>Having accepted</w:t>
      </w:r>
      <w:r w:rsidR="00FA2E81">
        <w:rPr>
          <w:rFonts w:ascii="Book Antiqua" w:hAnsi="Book Antiqua" w:cs="Arial"/>
        </w:rPr>
        <w:t xml:space="preserve"> in full</w:t>
      </w:r>
      <w:r w:rsidR="00A94E0B">
        <w:rPr>
          <w:rFonts w:ascii="Book Antiqua" w:hAnsi="Book Antiqua" w:cs="Arial"/>
        </w:rPr>
        <w:t xml:space="preserve"> </w:t>
      </w:r>
      <w:r w:rsidR="001B6B96">
        <w:rPr>
          <w:rFonts w:ascii="Book Antiqua" w:hAnsi="Book Antiqua" w:cs="Arial"/>
        </w:rPr>
        <w:t xml:space="preserve">all of the evidence presented by the appellant, including </w:t>
      </w:r>
      <w:r w:rsidR="00A94E0B">
        <w:rPr>
          <w:rFonts w:ascii="Book Antiqua" w:hAnsi="Book Antiqua" w:cs="Arial"/>
        </w:rPr>
        <w:t>a significant body of medical evidence</w:t>
      </w:r>
      <w:r w:rsidR="001B6B96">
        <w:rPr>
          <w:rFonts w:ascii="Book Antiqua" w:hAnsi="Book Antiqua" w:cs="Arial"/>
        </w:rPr>
        <w:t xml:space="preserve"> and</w:t>
      </w:r>
      <w:r w:rsidR="00A94E0B">
        <w:rPr>
          <w:rFonts w:ascii="Book Antiqua" w:hAnsi="Book Antiqua" w:cs="Arial"/>
        </w:rPr>
        <w:t xml:space="preserve"> the report of an </w:t>
      </w:r>
      <w:r w:rsidR="00AE4376">
        <w:rPr>
          <w:rFonts w:ascii="Book Antiqua" w:hAnsi="Book Antiqua" w:cs="Arial"/>
        </w:rPr>
        <w:t>i</w:t>
      </w:r>
      <w:r w:rsidR="00A94E0B">
        <w:rPr>
          <w:rFonts w:ascii="Book Antiqua" w:hAnsi="Book Antiqua" w:cs="Arial"/>
        </w:rPr>
        <w:t>ndependent social worker,</w:t>
      </w:r>
      <w:r w:rsidR="00AE4376">
        <w:rPr>
          <w:rFonts w:ascii="Book Antiqua" w:hAnsi="Book Antiqua" w:cs="Arial"/>
        </w:rPr>
        <w:t xml:space="preserve"> the judge</w:t>
      </w:r>
      <w:r w:rsidR="00082499">
        <w:rPr>
          <w:rFonts w:ascii="Book Antiqua" w:hAnsi="Book Antiqua" w:cs="Arial"/>
        </w:rPr>
        <w:t xml:space="preserve"> concluded</w:t>
      </w:r>
      <w:r w:rsidR="00AE3373">
        <w:rPr>
          <w:rFonts w:ascii="Book Antiqua" w:hAnsi="Book Antiqua" w:cs="Arial"/>
        </w:rPr>
        <w:t xml:space="preserve"> that it would be</w:t>
      </w:r>
      <w:r w:rsidR="009032DD">
        <w:rPr>
          <w:rFonts w:ascii="Book Antiqua" w:hAnsi="Book Antiqua" w:cs="Arial"/>
        </w:rPr>
        <w:t xml:space="preserve"> unduly harsh on the children</w:t>
      </w:r>
      <w:r w:rsidR="00842106">
        <w:rPr>
          <w:rFonts w:ascii="Book Antiqua" w:hAnsi="Book Antiqua" w:cs="Arial"/>
        </w:rPr>
        <w:t xml:space="preserve"> to </w:t>
      </w:r>
      <w:r w:rsidR="00A627DB">
        <w:rPr>
          <w:rFonts w:ascii="Book Antiqua" w:hAnsi="Book Antiqua" w:cs="Arial"/>
        </w:rPr>
        <w:t xml:space="preserve">have to go to live in Kosovo or to be separated from their father. </w:t>
      </w:r>
      <w:r w:rsidR="0089063D">
        <w:rPr>
          <w:rFonts w:ascii="Book Antiqua" w:hAnsi="Book Antiqua" w:cs="Arial"/>
        </w:rPr>
        <w:t>T</w:t>
      </w:r>
      <w:r w:rsidR="00F5563C">
        <w:rPr>
          <w:rFonts w:ascii="Book Antiqua" w:hAnsi="Book Antiqua" w:cs="Arial"/>
        </w:rPr>
        <w:t xml:space="preserve">he effect of that conclusion was that the appellant had satisfied the family life exception under section </w:t>
      </w:r>
      <w:r w:rsidR="0089301A">
        <w:rPr>
          <w:rFonts w:ascii="Book Antiqua" w:hAnsi="Book Antiqua" w:cs="Arial"/>
        </w:rPr>
        <w:t>117C(5) of the 2002 Act.</w:t>
      </w:r>
    </w:p>
    <w:p w14:paraId="52E4CCFA" w14:textId="603703E4" w:rsidR="00915F0B" w:rsidRPr="00C02412" w:rsidRDefault="0089063D" w:rsidP="00865BFE">
      <w:pPr>
        <w:numPr>
          <w:ilvl w:val="0"/>
          <w:numId w:val="18"/>
        </w:numPr>
        <w:spacing w:before="240"/>
        <w:jc w:val="both"/>
        <w:rPr>
          <w:rFonts w:ascii="Book Antiqua" w:hAnsi="Book Antiqua" w:cs="Arial"/>
        </w:rPr>
      </w:pPr>
      <w:r>
        <w:rPr>
          <w:rFonts w:ascii="Book Antiqua" w:hAnsi="Book Antiqua" w:cs="Arial"/>
        </w:rPr>
        <w:t>Importantly,</w:t>
      </w:r>
      <w:r w:rsidR="008E4EBD">
        <w:rPr>
          <w:rFonts w:ascii="Book Antiqua" w:hAnsi="Book Antiqua" w:cs="Arial"/>
        </w:rPr>
        <w:t xml:space="preserve"> the judge’s consideration of the appellant’s case did not end there. As the appellant</w:t>
      </w:r>
      <w:r w:rsidR="00745803">
        <w:rPr>
          <w:rFonts w:ascii="Book Antiqua" w:hAnsi="Book Antiqua" w:cs="Arial"/>
        </w:rPr>
        <w:t xml:space="preserve"> had re-entered the United Kingdom in breach of a deportation order, the judge directed herself to paragraph </w:t>
      </w:r>
      <w:r w:rsidR="00E40247">
        <w:rPr>
          <w:rFonts w:ascii="Book Antiqua" w:hAnsi="Book Antiqua" w:cs="Arial"/>
        </w:rPr>
        <w:t>399D of the Rules.</w:t>
      </w:r>
      <w:r w:rsidR="00B3090D">
        <w:rPr>
          <w:rFonts w:ascii="Book Antiqua" w:hAnsi="Book Antiqua" w:cs="Arial"/>
        </w:rPr>
        <w:t xml:space="preserve">  </w:t>
      </w:r>
      <w:r w:rsidR="00EA2E4F">
        <w:rPr>
          <w:rFonts w:ascii="Book Antiqua" w:hAnsi="Book Antiqua" w:cs="Arial"/>
        </w:rPr>
        <w:t>S</w:t>
      </w:r>
      <w:r w:rsidR="00C40F30">
        <w:rPr>
          <w:rFonts w:ascii="Book Antiqua" w:hAnsi="Book Antiqua" w:cs="Arial"/>
        </w:rPr>
        <w:t>he noted</w:t>
      </w:r>
      <w:r w:rsidR="00770BDC">
        <w:rPr>
          <w:rFonts w:ascii="Book Antiqua" w:hAnsi="Book Antiqua" w:cs="Arial"/>
        </w:rPr>
        <w:t xml:space="preserve"> that</w:t>
      </w:r>
      <w:r w:rsidR="005A1371">
        <w:rPr>
          <w:rFonts w:ascii="Book Antiqua" w:hAnsi="Book Antiqua" w:cs="Arial"/>
        </w:rPr>
        <w:t xml:space="preserve"> the threshold </w:t>
      </w:r>
      <w:r w:rsidR="00770BDC">
        <w:rPr>
          <w:rFonts w:ascii="Book Antiqua" w:hAnsi="Book Antiqua" w:cs="Arial"/>
        </w:rPr>
        <w:t>in</w:t>
      </w:r>
      <w:r w:rsidR="00D92BF0">
        <w:rPr>
          <w:rFonts w:ascii="Book Antiqua" w:hAnsi="Book Antiqua" w:cs="Arial"/>
        </w:rPr>
        <w:t xml:space="preserve"> that provision was a “extremely demanding one”, as</w:t>
      </w:r>
      <w:r w:rsidR="00B121DE">
        <w:rPr>
          <w:rFonts w:ascii="Book Antiqua" w:hAnsi="Book Antiqua" w:cs="Arial"/>
        </w:rPr>
        <w:t xml:space="preserve"> made clear by the Court of Appeal in </w:t>
      </w:r>
      <w:r w:rsidR="00D35134" w:rsidRPr="00A57DC9">
        <w:rPr>
          <w:rFonts w:ascii="Book Antiqua" w:hAnsi="Book Antiqua" w:cs="Arial"/>
          <w:u w:val="single"/>
        </w:rPr>
        <w:t>SSHD v SU</w:t>
      </w:r>
      <w:r w:rsidR="00D35134">
        <w:rPr>
          <w:rFonts w:ascii="Book Antiqua" w:hAnsi="Book Antiqua" w:cs="Arial"/>
        </w:rPr>
        <w:t xml:space="preserve"> </w:t>
      </w:r>
      <w:r w:rsidR="00D561F0">
        <w:rPr>
          <w:rFonts w:ascii="Book Antiqua" w:hAnsi="Book Antiqua" w:cs="Arial"/>
        </w:rPr>
        <w:t>[2017</w:t>
      </w:r>
      <w:r w:rsidR="00A57DC9">
        <w:rPr>
          <w:rFonts w:ascii="Book Antiqua" w:hAnsi="Book Antiqua" w:cs="Arial"/>
        </w:rPr>
        <w:t xml:space="preserve">] EWCA </w:t>
      </w:r>
      <w:proofErr w:type="spellStart"/>
      <w:r w:rsidR="00A57DC9">
        <w:rPr>
          <w:rFonts w:ascii="Book Antiqua" w:hAnsi="Book Antiqua" w:cs="Arial"/>
        </w:rPr>
        <w:t>Civ</w:t>
      </w:r>
      <w:proofErr w:type="spellEnd"/>
      <w:r w:rsidR="00A57DC9">
        <w:rPr>
          <w:rFonts w:ascii="Book Antiqua" w:hAnsi="Book Antiqua" w:cs="Arial"/>
        </w:rPr>
        <w:t xml:space="preserve"> 1069; [2017] 4 WLR 175.</w:t>
      </w:r>
      <w:r w:rsidR="00FC7435">
        <w:rPr>
          <w:rFonts w:ascii="Book Antiqua" w:hAnsi="Book Antiqua" w:cs="Arial"/>
        </w:rPr>
        <w:t xml:space="preserve"> The judge regarded</w:t>
      </w:r>
      <w:r w:rsidR="00105E6C">
        <w:rPr>
          <w:rFonts w:ascii="Book Antiqua" w:hAnsi="Book Antiqua" w:cs="Arial"/>
        </w:rPr>
        <w:t xml:space="preserve"> her conclusion that relocation or separation</w:t>
      </w:r>
      <w:r w:rsidR="00412171">
        <w:rPr>
          <w:rFonts w:ascii="Book Antiqua" w:hAnsi="Book Antiqua" w:cs="Arial"/>
        </w:rPr>
        <w:t xml:space="preserve"> </w:t>
      </w:r>
      <w:r w:rsidR="00EE377B">
        <w:rPr>
          <w:rFonts w:ascii="Book Antiqua" w:hAnsi="Book Antiqua" w:cs="Arial"/>
        </w:rPr>
        <w:t xml:space="preserve">was unduly harsh </w:t>
      </w:r>
      <w:r w:rsidR="00412171">
        <w:rPr>
          <w:rFonts w:ascii="Book Antiqua" w:hAnsi="Book Antiqua" w:cs="Arial"/>
        </w:rPr>
        <w:t>as “one factor in the 399D balancing exercise.”</w:t>
      </w:r>
      <w:r w:rsidR="000F05B0">
        <w:rPr>
          <w:rFonts w:ascii="Book Antiqua" w:hAnsi="Book Antiqua" w:cs="Arial"/>
        </w:rPr>
        <w:t xml:space="preserve"> Having considered other surrounding circumstances resting on both sides of the balance sheet, the judge ultimately concluded that the</w:t>
      </w:r>
      <w:r w:rsidR="00C02412">
        <w:rPr>
          <w:rFonts w:ascii="Book Antiqua" w:hAnsi="Book Antiqua" w:cs="Arial"/>
        </w:rPr>
        <w:t xml:space="preserve"> very high threshold established by paragraph 399D had not been met and thus the appellant’s appeal f</w:t>
      </w:r>
      <w:r w:rsidR="00CA13F4">
        <w:rPr>
          <w:rFonts w:ascii="Book Antiqua" w:hAnsi="Book Antiqua" w:cs="Arial"/>
        </w:rPr>
        <w:t>ell</w:t>
      </w:r>
      <w:r w:rsidR="00C02412">
        <w:rPr>
          <w:rFonts w:ascii="Book Antiqua" w:hAnsi="Book Antiqua" w:cs="Arial"/>
        </w:rPr>
        <w:t xml:space="preserve"> to be dismissed.</w:t>
      </w:r>
    </w:p>
    <w:p w14:paraId="2E98688A" w14:textId="6B8D2FAE" w:rsidR="00915F0B" w:rsidRPr="00915F0B" w:rsidRDefault="005147A0" w:rsidP="00915F0B">
      <w:pPr>
        <w:spacing w:before="240"/>
        <w:jc w:val="both"/>
        <w:rPr>
          <w:rFonts w:ascii="Book Antiqua" w:hAnsi="Book Antiqua" w:cs="Arial"/>
          <w:b/>
          <w:u w:val="single"/>
        </w:rPr>
      </w:pPr>
      <w:r w:rsidRPr="00915F0B">
        <w:rPr>
          <w:rFonts w:ascii="Book Antiqua" w:hAnsi="Book Antiqua" w:cs="Arial"/>
          <w:b/>
          <w:u w:val="single"/>
        </w:rPr>
        <w:t>THE GROUNDS OF APPEAL AND GRANT OF PERMISSION</w:t>
      </w:r>
    </w:p>
    <w:p w14:paraId="27EF482E" w14:textId="399D324C" w:rsidR="00915F0B" w:rsidRDefault="006E1F3F" w:rsidP="00865BFE">
      <w:pPr>
        <w:numPr>
          <w:ilvl w:val="0"/>
          <w:numId w:val="18"/>
        </w:numPr>
        <w:spacing w:before="240"/>
        <w:jc w:val="both"/>
        <w:rPr>
          <w:rFonts w:ascii="Book Antiqua" w:hAnsi="Book Antiqua" w:cs="Arial"/>
        </w:rPr>
      </w:pPr>
      <w:r>
        <w:rPr>
          <w:rFonts w:ascii="Book Antiqua" w:hAnsi="Book Antiqua" w:cs="Arial"/>
        </w:rPr>
        <w:t>The grounds of appeal took aim at</w:t>
      </w:r>
      <w:r w:rsidR="001C348F">
        <w:rPr>
          <w:rFonts w:ascii="Book Antiqua" w:hAnsi="Book Antiqua" w:cs="Arial"/>
        </w:rPr>
        <w:t xml:space="preserve"> the judge</w:t>
      </w:r>
      <w:r w:rsidR="00EF41D5">
        <w:rPr>
          <w:rFonts w:ascii="Book Antiqua" w:hAnsi="Book Antiqua" w:cs="Arial"/>
        </w:rPr>
        <w:t>’</w:t>
      </w:r>
      <w:r w:rsidR="001C348F">
        <w:rPr>
          <w:rFonts w:ascii="Book Antiqua" w:hAnsi="Book Antiqua" w:cs="Arial"/>
        </w:rPr>
        <w:t>s consideration of a number of factors</w:t>
      </w:r>
      <w:r w:rsidR="00EF41D5">
        <w:rPr>
          <w:rFonts w:ascii="Book Antiqua" w:hAnsi="Book Antiqua" w:cs="Arial"/>
        </w:rPr>
        <w:t xml:space="preserve"> weighed up in the proportionality exercise. Nothing</w:t>
      </w:r>
      <w:r w:rsidR="00A20AE3">
        <w:rPr>
          <w:rFonts w:ascii="Book Antiqua" w:hAnsi="Book Antiqua" w:cs="Arial"/>
        </w:rPr>
        <w:t xml:space="preserve"> was specifically raised in respect of</w:t>
      </w:r>
      <w:r w:rsidR="00A41E58">
        <w:rPr>
          <w:rFonts w:ascii="Book Antiqua" w:hAnsi="Book Antiqua" w:cs="Arial"/>
        </w:rPr>
        <w:t xml:space="preserve"> the interaction between</w:t>
      </w:r>
      <w:r w:rsidR="00BF7FD4">
        <w:rPr>
          <w:rFonts w:ascii="Book Antiqua" w:hAnsi="Book Antiqua" w:cs="Arial"/>
        </w:rPr>
        <w:t xml:space="preserve"> the </w:t>
      </w:r>
      <w:r w:rsidR="00635884">
        <w:rPr>
          <w:rFonts w:ascii="Book Antiqua" w:hAnsi="Book Antiqua" w:cs="Arial"/>
        </w:rPr>
        <w:t>conclusion that the exception under section 117C(5)</w:t>
      </w:r>
      <w:r w:rsidR="005245A9">
        <w:rPr>
          <w:rFonts w:ascii="Book Antiqua" w:hAnsi="Book Antiqua" w:cs="Arial"/>
        </w:rPr>
        <w:t xml:space="preserve"> had been met and the failure to have</w:t>
      </w:r>
      <w:r w:rsidR="003117F8">
        <w:rPr>
          <w:rFonts w:ascii="Book Antiqua" w:hAnsi="Book Antiqua" w:cs="Arial"/>
        </w:rPr>
        <w:t xml:space="preserve"> satisfied the test under paragraph 399D.</w:t>
      </w:r>
    </w:p>
    <w:p w14:paraId="52D7467F" w14:textId="5E9F59BC" w:rsidR="003117F8" w:rsidRDefault="003117F8" w:rsidP="00865BFE">
      <w:pPr>
        <w:numPr>
          <w:ilvl w:val="0"/>
          <w:numId w:val="18"/>
        </w:numPr>
        <w:spacing w:before="240"/>
        <w:jc w:val="both"/>
        <w:rPr>
          <w:rFonts w:ascii="Book Antiqua" w:hAnsi="Book Antiqua" w:cs="Arial"/>
        </w:rPr>
      </w:pPr>
      <w:r>
        <w:rPr>
          <w:rFonts w:ascii="Book Antiqua" w:hAnsi="Book Antiqua" w:cs="Arial"/>
        </w:rPr>
        <w:lastRenderedPageBreak/>
        <w:t>In granting permission, Upper Tribunal Judge Norton-Taylor</w:t>
      </w:r>
      <w:r w:rsidR="0075534E">
        <w:rPr>
          <w:rFonts w:ascii="Book Antiqua" w:hAnsi="Book Antiqua" w:cs="Arial"/>
        </w:rPr>
        <w:t xml:space="preserve"> deemed it appropriate</w:t>
      </w:r>
      <w:r w:rsidR="00D11650">
        <w:rPr>
          <w:rFonts w:ascii="Book Antiqua" w:hAnsi="Book Antiqua" w:cs="Arial"/>
        </w:rPr>
        <w:t xml:space="preserve"> to state an additional issue</w:t>
      </w:r>
      <w:r w:rsidR="00156685">
        <w:rPr>
          <w:rFonts w:ascii="Book Antiqua" w:hAnsi="Book Antiqua" w:cs="Arial"/>
        </w:rPr>
        <w:t xml:space="preserve"> in relation to which the judge may have erred in law. This was put in the following terms:</w:t>
      </w:r>
    </w:p>
    <w:p w14:paraId="538EBE60" w14:textId="65A29FD5" w:rsidR="00F70158" w:rsidRPr="003C44AA" w:rsidRDefault="00156685" w:rsidP="003C44AA">
      <w:pPr>
        <w:spacing w:before="240"/>
        <w:ind w:left="1440"/>
        <w:jc w:val="both"/>
        <w:rPr>
          <w:rFonts w:ascii="Book Antiqua" w:hAnsi="Book Antiqua" w:cs="Arial"/>
          <w:sz w:val="22"/>
          <w:szCs w:val="22"/>
        </w:rPr>
      </w:pPr>
      <w:r w:rsidRPr="00182276">
        <w:rPr>
          <w:rFonts w:ascii="Book Antiqua" w:hAnsi="Book Antiqua" w:cs="Arial"/>
          <w:sz w:val="22"/>
          <w:szCs w:val="22"/>
        </w:rPr>
        <w:t>“</w:t>
      </w:r>
      <w:r w:rsidR="0007725E">
        <w:rPr>
          <w:rFonts w:ascii="Book Antiqua" w:hAnsi="Book Antiqua" w:cs="Arial"/>
          <w:sz w:val="22"/>
          <w:szCs w:val="22"/>
        </w:rPr>
        <w:t>[W]</w:t>
      </w:r>
      <w:r w:rsidR="0068190C" w:rsidRPr="00182276">
        <w:rPr>
          <w:rFonts w:ascii="Book Antiqua" w:hAnsi="Book Antiqua" w:cs="Arial"/>
          <w:sz w:val="22"/>
          <w:szCs w:val="22"/>
        </w:rPr>
        <w:t>as the judge entitled to conclude that the appellant had to meet the test under paragraph 399D of the Immigration Rules in order to succeed, notwithstanding the fact that exception 2 under section 117C</w:t>
      </w:r>
      <w:r w:rsidR="00182276" w:rsidRPr="00182276">
        <w:rPr>
          <w:rFonts w:ascii="Book Antiqua" w:hAnsi="Book Antiqua" w:cs="Arial"/>
          <w:sz w:val="22"/>
          <w:szCs w:val="22"/>
        </w:rPr>
        <w:t xml:space="preserve"> [of the 2002 Act] applied, or </w:t>
      </w:r>
      <w:r w:rsidR="00CA13F4">
        <w:rPr>
          <w:rFonts w:ascii="Book Antiqua" w:hAnsi="Book Antiqua" w:cs="Arial"/>
          <w:sz w:val="22"/>
          <w:szCs w:val="22"/>
        </w:rPr>
        <w:t xml:space="preserve">was </w:t>
      </w:r>
      <w:r w:rsidR="00182276" w:rsidRPr="00182276">
        <w:rPr>
          <w:rFonts w:ascii="Book Antiqua" w:hAnsi="Book Antiqua" w:cs="Arial"/>
          <w:sz w:val="22"/>
          <w:szCs w:val="22"/>
        </w:rPr>
        <w:t>satisfaction of that exception determinative of the appeal?”</w:t>
      </w:r>
      <w:r w:rsidR="00811B78">
        <w:rPr>
          <w:rFonts w:ascii="Book Antiqua" w:hAnsi="Book Antiqua" w:cs="Arial"/>
        </w:rPr>
        <w:t xml:space="preserve"> </w:t>
      </w:r>
    </w:p>
    <w:p w14:paraId="3F56AC41" w14:textId="153D8B78" w:rsidR="00F70158" w:rsidRDefault="00443ECC" w:rsidP="00865BFE">
      <w:pPr>
        <w:numPr>
          <w:ilvl w:val="0"/>
          <w:numId w:val="18"/>
        </w:numPr>
        <w:spacing w:before="240"/>
        <w:jc w:val="both"/>
        <w:rPr>
          <w:rFonts w:ascii="Book Antiqua" w:hAnsi="Book Antiqua" w:cs="Arial"/>
        </w:rPr>
      </w:pPr>
      <w:r>
        <w:rPr>
          <w:rFonts w:ascii="Book Antiqua" w:hAnsi="Book Antiqua" w:cs="Arial"/>
        </w:rPr>
        <w:t xml:space="preserve">In the event, it is </w:t>
      </w:r>
      <w:r w:rsidR="00945375">
        <w:rPr>
          <w:rFonts w:ascii="Book Antiqua" w:hAnsi="Book Antiqua" w:cs="Arial"/>
        </w:rPr>
        <w:t xml:space="preserve">the answer to </w:t>
      </w:r>
      <w:r>
        <w:rPr>
          <w:rFonts w:ascii="Book Antiqua" w:hAnsi="Book Antiqua" w:cs="Arial"/>
        </w:rPr>
        <w:t xml:space="preserve">this question which has </w:t>
      </w:r>
      <w:r w:rsidR="00FE4541">
        <w:rPr>
          <w:rFonts w:ascii="Book Antiqua" w:hAnsi="Book Antiqua" w:cs="Arial"/>
        </w:rPr>
        <w:t xml:space="preserve">provided the basis on which </w:t>
      </w:r>
      <w:r w:rsidR="00CA13F4">
        <w:rPr>
          <w:rFonts w:ascii="Book Antiqua" w:hAnsi="Book Antiqua" w:cs="Arial"/>
        </w:rPr>
        <w:t xml:space="preserve">we </w:t>
      </w:r>
      <w:r w:rsidR="003860AB">
        <w:rPr>
          <w:rFonts w:ascii="Book Antiqua" w:hAnsi="Book Antiqua" w:cs="Arial"/>
        </w:rPr>
        <w:t>have ultimately decided this appeal.</w:t>
      </w:r>
    </w:p>
    <w:p w14:paraId="2D9F68EA" w14:textId="62B54687" w:rsidR="00807A5A" w:rsidRPr="00807A5A" w:rsidRDefault="00807A5A" w:rsidP="00807A5A">
      <w:pPr>
        <w:spacing w:before="240"/>
        <w:jc w:val="both"/>
        <w:rPr>
          <w:rFonts w:ascii="Book Antiqua" w:hAnsi="Book Antiqua" w:cs="Arial"/>
          <w:b/>
          <w:u w:val="single"/>
        </w:rPr>
      </w:pPr>
      <w:r w:rsidRPr="00807A5A">
        <w:rPr>
          <w:rFonts w:ascii="Book Antiqua" w:hAnsi="Book Antiqua" w:cs="Arial"/>
          <w:b/>
          <w:u w:val="single"/>
        </w:rPr>
        <w:t>THE PROCEDURAL ISSUE</w:t>
      </w:r>
      <w:r w:rsidR="002F1314">
        <w:rPr>
          <w:rFonts w:ascii="Book Antiqua" w:hAnsi="Book Antiqua" w:cs="Arial"/>
          <w:b/>
          <w:u w:val="single"/>
        </w:rPr>
        <w:t xml:space="preserve">: </w:t>
      </w:r>
      <w:r w:rsidR="00091457">
        <w:rPr>
          <w:rFonts w:ascii="Book Antiqua" w:hAnsi="Book Antiqua" w:cs="Arial"/>
          <w:b/>
          <w:u w:val="single"/>
        </w:rPr>
        <w:t>RELEVANT LEGAL FRAMEWORK</w:t>
      </w:r>
    </w:p>
    <w:p w14:paraId="72125CE5" w14:textId="4A3B89E9" w:rsidR="00091457" w:rsidRDefault="00132798" w:rsidP="00865BFE">
      <w:pPr>
        <w:numPr>
          <w:ilvl w:val="0"/>
          <w:numId w:val="18"/>
        </w:numPr>
        <w:spacing w:before="240"/>
        <w:jc w:val="both"/>
        <w:rPr>
          <w:rFonts w:ascii="Book Antiqua" w:hAnsi="Book Antiqua" w:cs="Arial"/>
        </w:rPr>
      </w:pPr>
      <w:r>
        <w:rPr>
          <w:rFonts w:ascii="Book Antiqua" w:hAnsi="Book Antiqua" w:cs="Arial"/>
        </w:rPr>
        <w:t>The two core legislative provisions relevant to the procedural issue are sections 11 and 13 of the Tribunal</w:t>
      </w:r>
      <w:r w:rsidR="008705A6">
        <w:rPr>
          <w:rFonts w:ascii="Book Antiqua" w:hAnsi="Book Antiqua" w:cs="Arial"/>
        </w:rPr>
        <w:t>s, Courts and Enforcement</w:t>
      </w:r>
      <w:r w:rsidR="00F20561">
        <w:rPr>
          <w:rFonts w:ascii="Book Antiqua" w:hAnsi="Book Antiqua" w:cs="Arial"/>
        </w:rPr>
        <w:t xml:space="preserve"> Act 2007</w:t>
      </w:r>
      <w:r w:rsidR="00BA622E">
        <w:rPr>
          <w:rFonts w:ascii="Book Antiqua" w:hAnsi="Book Antiqua" w:cs="Arial"/>
        </w:rPr>
        <w:t xml:space="preserve"> (“the 2007 Act”)</w:t>
      </w:r>
      <w:r w:rsidR="00F20561">
        <w:rPr>
          <w:rFonts w:ascii="Book Antiqua" w:hAnsi="Book Antiqua" w:cs="Arial"/>
        </w:rPr>
        <w:t xml:space="preserve">. </w:t>
      </w:r>
      <w:r w:rsidR="00C52624">
        <w:rPr>
          <w:rFonts w:ascii="Book Antiqua" w:hAnsi="Book Antiqua" w:cs="Arial"/>
        </w:rPr>
        <w:t>S</w:t>
      </w:r>
      <w:r w:rsidR="00813C9B">
        <w:rPr>
          <w:rFonts w:ascii="Book Antiqua" w:hAnsi="Book Antiqua" w:cs="Arial"/>
        </w:rPr>
        <w:t>ubs</w:t>
      </w:r>
      <w:r w:rsidR="00C52624">
        <w:rPr>
          <w:rFonts w:ascii="Book Antiqua" w:hAnsi="Book Antiqua" w:cs="Arial"/>
        </w:rPr>
        <w:t>ection</w:t>
      </w:r>
      <w:r w:rsidR="00813C9B">
        <w:rPr>
          <w:rFonts w:ascii="Book Antiqua" w:hAnsi="Book Antiqua" w:cs="Arial"/>
        </w:rPr>
        <w:t>s (1) and (2) of section</w:t>
      </w:r>
      <w:r w:rsidR="00C52624">
        <w:rPr>
          <w:rFonts w:ascii="Book Antiqua" w:hAnsi="Book Antiqua" w:cs="Arial"/>
        </w:rPr>
        <w:t xml:space="preserve"> 11</w:t>
      </w:r>
      <w:r w:rsidR="0001525F">
        <w:rPr>
          <w:rFonts w:ascii="Book Antiqua" w:hAnsi="Book Antiqua" w:cs="Arial"/>
        </w:rPr>
        <w:t xml:space="preserve"> provide:</w:t>
      </w:r>
    </w:p>
    <w:p w14:paraId="51716FC5" w14:textId="5F4620F6" w:rsidR="00DB1CC3" w:rsidRPr="00C26A60" w:rsidRDefault="0001525F" w:rsidP="00DB1CC3">
      <w:pPr>
        <w:spacing w:before="240"/>
        <w:ind w:left="1440"/>
        <w:jc w:val="both"/>
        <w:rPr>
          <w:rFonts w:ascii="Book Antiqua" w:hAnsi="Book Antiqua" w:cs="Arial"/>
          <w:sz w:val="22"/>
          <w:szCs w:val="22"/>
        </w:rPr>
      </w:pPr>
      <w:r w:rsidRPr="00C26A60">
        <w:rPr>
          <w:rFonts w:ascii="Book Antiqua" w:hAnsi="Book Antiqua" w:cs="Arial"/>
          <w:sz w:val="22"/>
          <w:szCs w:val="22"/>
        </w:rPr>
        <w:t>“</w:t>
      </w:r>
      <w:r w:rsidR="00DB1CC3" w:rsidRPr="00C26A60">
        <w:rPr>
          <w:rFonts w:ascii="Book Antiqua" w:hAnsi="Book Antiqua" w:cs="Arial"/>
          <w:sz w:val="22"/>
          <w:szCs w:val="22"/>
        </w:rPr>
        <w:t>(1) For the purposes of subsection (2), the reference to a right of appeal is to a right to appeal to the Upper Tribunal on any point of law arising from a decision made by the First-tier Tribunal other than an excluded decision.</w:t>
      </w:r>
    </w:p>
    <w:p w14:paraId="10FFC869" w14:textId="4E2340BE" w:rsidR="0001525F" w:rsidRPr="00C26A60" w:rsidRDefault="00DB1CC3" w:rsidP="00DB1CC3">
      <w:pPr>
        <w:spacing w:before="240"/>
        <w:ind w:left="1440"/>
        <w:jc w:val="both"/>
        <w:rPr>
          <w:rFonts w:ascii="Book Antiqua" w:hAnsi="Book Antiqua" w:cs="Arial"/>
          <w:sz w:val="22"/>
          <w:szCs w:val="22"/>
        </w:rPr>
      </w:pPr>
      <w:r w:rsidRPr="00C26A60">
        <w:rPr>
          <w:rFonts w:ascii="Book Antiqua" w:hAnsi="Book Antiqua" w:cs="Arial"/>
          <w:sz w:val="22"/>
          <w:szCs w:val="22"/>
        </w:rPr>
        <w:t>(2) Any party to a case has a right of appeal, subject to subsection (8).”</w:t>
      </w:r>
    </w:p>
    <w:p w14:paraId="47196D0F" w14:textId="7C7D21DD" w:rsidR="00DB1CC3" w:rsidRDefault="00213C56" w:rsidP="00865BFE">
      <w:pPr>
        <w:numPr>
          <w:ilvl w:val="0"/>
          <w:numId w:val="18"/>
        </w:numPr>
        <w:spacing w:before="240"/>
        <w:jc w:val="both"/>
        <w:rPr>
          <w:rFonts w:ascii="Book Antiqua" w:hAnsi="Book Antiqua" w:cs="Arial"/>
        </w:rPr>
      </w:pPr>
      <w:r>
        <w:rPr>
          <w:rFonts w:ascii="Book Antiqua" w:hAnsi="Book Antiqua" w:cs="Arial"/>
        </w:rPr>
        <w:t xml:space="preserve">Subsections </w:t>
      </w:r>
      <w:r w:rsidR="007142CF">
        <w:rPr>
          <w:rFonts w:ascii="Book Antiqua" w:hAnsi="Book Antiqua" w:cs="Arial"/>
        </w:rPr>
        <w:t xml:space="preserve">(1) and </w:t>
      </w:r>
      <w:r w:rsidR="0003119A">
        <w:rPr>
          <w:rFonts w:ascii="Book Antiqua" w:hAnsi="Book Antiqua" w:cs="Arial"/>
        </w:rPr>
        <w:t>(2) of section 13 provide:</w:t>
      </w:r>
    </w:p>
    <w:p w14:paraId="129E1CFB" w14:textId="77777777" w:rsidR="00C54F8C" w:rsidRPr="00212ABF" w:rsidRDefault="00C54F8C" w:rsidP="00212ABF">
      <w:pPr>
        <w:pStyle w:val="ListParagraph"/>
        <w:spacing w:before="240"/>
        <w:ind w:left="1440"/>
        <w:rPr>
          <w:rFonts w:ascii="Book Antiqua" w:hAnsi="Book Antiqua" w:cs="Arial"/>
          <w:sz w:val="22"/>
          <w:szCs w:val="22"/>
        </w:rPr>
      </w:pPr>
      <w:r w:rsidRPr="00212ABF">
        <w:rPr>
          <w:rFonts w:ascii="Book Antiqua" w:hAnsi="Book Antiqua" w:cs="Arial"/>
          <w:sz w:val="22"/>
          <w:szCs w:val="22"/>
        </w:rPr>
        <w:t>“(1) For the purposes of subsection (2), the reference to a right of appeal is to a right to appeal to the relevant appellate court on any point of law arising from a decision made by the Upper Tribunal other than an excluded decision.</w:t>
      </w:r>
    </w:p>
    <w:p w14:paraId="70895C98" w14:textId="1BFA70BB" w:rsidR="00C54F8C" w:rsidRPr="00212ABF" w:rsidRDefault="00C54F8C" w:rsidP="00212ABF">
      <w:pPr>
        <w:spacing w:before="240"/>
        <w:ind w:left="720" w:firstLine="720"/>
        <w:jc w:val="both"/>
        <w:rPr>
          <w:rFonts w:ascii="Book Antiqua" w:hAnsi="Book Antiqua" w:cs="Arial"/>
          <w:sz w:val="22"/>
          <w:szCs w:val="22"/>
        </w:rPr>
      </w:pPr>
      <w:r w:rsidRPr="00212ABF">
        <w:rPr>
          <w:rFonts w:ascii="Book Antiqua" w:hAnsi="Book Antiqua" w:cs="Arial"/>
          <w:sz w:val="22"/>
          <w:szCs w:val="22"/>
        </w:rPr>
        <w:t>(2) Any party to a case has a right of appeal, subject to subsection (14).”</w:t>
      </w:r>
    </w:p>
    <w:p w14:paraId="099AAB07" w14:textId="29247385" w:rsidR="00DB1CC3" w:rsidRPr="003D5FE9" w:rsidRDefault="00461B18" w:rsidP="00865BFE">
      <w:pPr>
        <w:numPr>
          <w:ilvl w:val="0"/>
          <w:numId w:val="18"/>
        </w:numPr>
        <w:spacing w:before="240"/>
        <w:jc w:val="both"/>
        <w:rPr>
          <w:rFonts w:ascii="Book Antiqua" w:hAnsi="Book Antiqua" w:cs="Arial"/>
        </w:rPr>
      </w:pPr>
      <w:r>
        <w:rPr>
          <w:rFonts w:ascii="Book Antiqua" w:hAnsi="Book Antiqua" w:cs="Arial"/>
        </w:rPr>
        <w:t>Subsections (8) of section 11 and (14</w:t>
      </w:r>
      <w:r w:rsidR="00F615D6">
        <w:rPr>
          <w:rFonts w:ascii="Book Antiqua" w:hAnsi="Book Antiqua" w:cs="Arial"/>
        </w:rPr>
        <w:t>) of section 13 have no bearing on our consideration of this case.</w:t>
      </w:r>
    </w:p>
    <w:p w14:paraId="5F76FE34" w14:textId="477BD74A" w:rsidR="00DB1CC3" w:rsidRPr="00DB1CC3" w:rsidRDefault="00DB1CC3" w:rsidP="00DB1CC3">
      <w:pPr>
        <w:spacing w:before="240"/>
        <w:jc w:val="both"/>
        <w:rPr>
          <w:rFonts w:ascii="Book Antiqua" w:hAnsi="Book Antiqua" w:cs="Arial"/>
          <w:b/>
          <w:bCs/>
          <w:u w:val="single"/>
        </w:rPr>
      </w:pPr>
      <w:r w:rsidRPr="00DB1CC3">
        <w:rPr>
          <w:rFonts w:ascii="Book Antiqua" w:hAnsi="Book Antiqua" w:cs="Arial"/>
          <w:b/>
          <w:bCs/>
          <w:u w:val="single"/>
        </w:rPr>
        <w:t>THE PROCEDURAL ISSUE: DISCUSSION</w:t>
      </w:r>
    </w:p>
    <w:p w14:paraId="16E96AE7" w14:textId="0C4D8125" w:rsidR="00DF3464" w:rsidRDefault="001D328D" w:rsidP="00865BFE">
      <w:pPr>
        <w:numPr>
          <w:ilvl w:val="0"/>
          <w:numId w:val="18"/>
        </w:numPr>
        <w:spacing w:before="240"/>
        <w:jc w:val="both"/>
        <w:rPr>
          <w:rFonts w:ascii="Book Antiqua" w:hAnsi="Book Antiqua" w:cs="Arial"/>
        </w:rPr>
      </w:pPr>
      <w:r>
        <w:rPr>
          <w:rFonts w:ascii="Book Antiqua" w:hAnsi="Book Antiqua" w:cs="Arial"/>
        </w:rPr>
        <w:t xml:space="preserve">The procedural issue in this case </w:t>
      </w:r>
      <w:r w:rsidR="003D5FE9">
        <w:rPr>
          <w:rFonts w:ascii="Book Antiqua" w:hAnsi="Book Antiqua" w:cs="Arial"/>
        </w:rPr>
        <w:t xml:space="preserve">arose because, following the grant of permission, </w:t>
      </w:r>
      <w:r w:rsidR="0035362E">
        <w:rPr>
          <w:rFonts w:ascii="Book Antiqua" w:hAnsi="Book Antiqua" w:cs="Arial"/>
        </w:rPr>
        <w:t>the respondent provided</w:t>
      </w:r>
      <w:r w:rsidR="007D612B">
        <w:rPr>
          <w:rFonts w:ascii="Book Antiqua" w:hAnsi="Book Antiqua" w:cs="Arial"/>
        </w:rPr>
        <w:t xml:space="preserve"> a rule 24</w:t>
      </w:r>
      <w:r w:rsidR="00FD0434">
        <w:rPr>
          <w:rFonts w:ascii="Book Antiqua" w:hAnsi="Book Antiqua" w:cs="Arial"/>
        </w:rPr>
        <w:t xml:space="preserve"> response</w:t>
      </w:r>
      <w:r w:rsidR="007D612B">
        <w:rPr>
          <w:rFonts w:ascii="Book Antiqua" w:hAnsi="Book Antiqua" w:cs="Arial"/>
        </w:rPr>
        <w:t>.</w:t>
      </w:r>
      <w:r w:rsidR="00342B77">
        <w:rPr>
          <w:rFonts w:ascii="Book Antiqua" w:hAnsi="Book Antiqua" w:cs="Arial"/>
        </w:rPr>
        <w:t xml:space="preserve"> This purported</w:t>
      </w:r>
      <w:r w:rsidR="00AD7754">
        <w:rPr>
          <w:rFonts w:ascii="Book Antiqua" w:hAnsi="Book Antiqua" w:cs="Arial"/>
        </w:rPr>
        <w:t xml:space="preserve"> to challenge the judge</w:t>
      </w:r>
      <w:r w:rsidR="00777D31">
        <w:rPr>
          <w:rFonts w:ascii="Book Antiqua" w:hAnsi="Book Antiqua" w:cs="Arial"/>
        </w:rPr>
        <w:t>’</w:t>
      </w:r>
      <w:r w:rsidR="00AD7754">
        <w:rPr>
          <w:rFonts w:ascii="Book Antiqua" w:hAnsi="Book Antiqua" w:cs="Arial"/>
        </w:rPr>
        <w:t xml:space="preserve">s </w:t>
      </w:r>
      <w:r w:rsidR="004409E6">
        <w:rPr>
          <w:rFonts w:ascii="Book Antiqua" w:hAnsi="Book Antiqua" w:cs="Arial"/>
        </w:rPr>
        <w:t>findings</w:t>
      </w:r>
      <w:r w:rsidR="00126226">
        <w:rPr>
          <w:rFonts w:ascii="Book Antiqua" w:hAnsi="Book Antiqua" w:cs="Arial"/>
        </w:rPr>
        <w:t xml:space="preserve"> on the undue harshness issue under section </w:t>
      </w:r>
      <w:r w:rsidR="00370C92">
        <w:rPr>
          <w:rFonts w:ascii="Book Antiqua" w:hAnsi="Book Antiqua" w:cs="Arial"/>
        </w:rPr>
        <w:t xml:space="preserve">117C(5) of the 2002 </w:t>
      </w:r>
      <w:r w:rsidR="00777D31">
        <w:rPr>
          <w:rFonts w:ascii="Book Antiqua" w:hAnsi="Book Antiqua" w:cs="Arial"/>
        </w:rPr>
        <w:t>Act.</w:t>
      </w:r>
    </w:p>
    <w:p w14:paraId="0962DE99" w14:textId="2020A5C2" w:rsidR="00DF3464" w:rsidRDefault="00172AB4" w:rsidP="00865BFE">
      <w:pPr>
        <w:numPr>
          <w:ilvl w:val="0"/>
          <w:numId w:val="18"/>
        </w:numPr>
        <w:spacing w:before="240"/>
        <w:jc w:val="both"/>
        <w:rPr>
          <w:rFonts w:ascii="Book Antiqua" w:hAnsi="Book Antiqua" w:cs="Arial"/>
        </w:rPr>
      </w:pPr>
      <w:r>
        <w:rPr>
          <w:rFonts w:ascii="Book Antiqua" w:hAnsi="Book Antiqua" w:cs="Arial"/>
        </w:rPr>
        <w:t>This</w:t>
      </w:r>
      <w:r w:rsidR="00DE4626">
        <w:rPr>
          <w:rFonts w:ascii="Book Antiqua" w:hAnsi="Book Antiqua" w:cs="Arial"/>
        </w:rPr>
        <w:t xml:space="preserve"> attempted challenge</w:t>
      </w:r>
      <w:r w:rsidR="003C47DF">
        <w:rPr>
          <w:rFonts w:ascii="Book Antiqua" w:hAnsi="Book Antiqua" w:cs="Arial"/>
        </w:rPr>
        <w:t xml:space="preserve"> </w:t>
      </w:r>
      <w:r w:rsidR="00B34179">
        <w:rPr>
          <w:rFonts w:ascii="Book Antiqua" w:hAnsi="Book Antiqua" w:cs="Arial"/>
        </w:rPr>
        <w:t>was</w:t>
      </w:r>
      <w:r w:rsidR="003C47DF">
        <w:rPr>
          <w:rFonts w:ascii="Book Antiqua" w:hAnsi="Book Antiqua" w:cs="Arial"/>
        </w:rPr>
        <w:t xml:space="preserve"> re</w:t>
      </w:r>
      <w:r w:rsidR="00E82685">
        <w:rPr>
          <w:rFonts w:ascii="Book Antiqua" w:hAnsi="Book Antiqua" w:cs="Arial"/>
        </w:rPr>
        <w:t>f</w:t>
      </w:r>
      <w:r w:rsidR="003C47DF">
        <w:rPr>
          <w:rFonts w:ascii="Book Antiqua" w:hAnsi="Book Antiqua" w:cs="Arial"/>
        </w:rPr>
        <w:t xml:space="preserve">uted in the appellant’s </w:t>
      </w:r>
      <w:r w:rsidR="001D55D1">
        <w:rPr>
          <w:rFonts w:ascii="Book Antiqua" w:hAnsi="Book Antiqua" w:cs="Arial"/>
        </w:rPr>
        <w:t>first</w:t>
      </w:r>
      <w:r w:rsidR="003C47DF">
        <w:rPr>
          <w:rFonts w:ascii="Book Antiqua" w:hAnsi="Book Antiqua" w:cs="Arial"/>
        </w:rPr>
        <w:t xml:space="preserve"> skeleton argument</w:t>
      </w:r>
      <w:r w:rsidR="00E61803">
        <w:rPr>
          <w:rFonts w:ascii="Book Antiqua" w:hAnsi="Book Antiqua" w:cs="Arial"/>
        </w:rPr>
        <w:t xml:space="preserve">, wherein it </w:t>
      </w:r>
      <w:r w:rsidR="00740E47">
        <w:rPr>
          <w:rFonts w:ascii="Book Antiqua" w:hAnsi="Book Antiqua" w:cs="Arial"/>
        </w:rPr>
        <w:t>was</w:t>
      </w:r>
      <w:r w:rsidR="00E61803">
        <w:rPr>
          <w:rFonts w:ascii="Book Antiqua" w:hAnsi="Book Antiqua" w:cs="Arial"/>
        </w:rPr>
        <w:t xml:space="preserve"> asserted that the respondent had not sought to appeal to the Upper Tribunal</w:t>
      </w:r>
      <w:r w:rsidR="00C05829">
        <w:rPr>
          <w:rFonts w:ascii="Book Antiqua" w:hAnsi="Book Antiqua" w:cs="Arial"/>
        </w:rPr>
        <w:t xml:space="preserve"> on the issue in question and therefore was precluded from</w:t>
      </w:r>
      <w:r w:rsidR="00700E5A">
        <w:rPr>
          <w:rFonts w:ascii="Book Antiqua" w:hAnsi="Book Antiqua" w:cs="Arial"/>
        </w:rPr>
        <w:t xml:space="preserve"> mounting an attack at this stage. The rule 24 response</w:t>
      </w:r>
      <w:r w:rsidR="003A1DE6">
        <w:rPr>
          <w:rFonts w:ascii="Book Antiqua" w:hAnsi="Book Antiqua" w:cs="Arial"/>
        </w:rPr>
        <w:t xml:space="preserve"> could not cure this</w:t>
      </w:r>
      <w:r w:rsidR="003C7EC7">
        <w:rPr>
          <w:rFonts w:ascii="Book Antiqua" w:hAnsi="Book Antiqua" w:cs="Arial"/>
        </w:rPr>
        <w:t xml:space="preserve"> jurisdictional </w:t>
      </w:r>
      <w:r w:rsidR="003A1DE6">
        <w:rPr>
          <w:rFonts w:ascii="Book Antiqua" w:hAnsi="Book Antiqua" w:cs="Arial"/>
        </w:rPr>
        <w:t>defect</w:t>
      </w:r>
      <w:r w:rsidR="003C7EC7">
        <w:rPr>
          <w:rFonts w:ascii="Book Antiqua" w:hAnsi="Book Antiqua" w:cs="Arial"/>
        </w:rPr>
        <w:t>.</w:t>
      </w:r>
    </w:p>
    <w:p w14:paraId="052347F6" w14:textId="63D768AC" w:rsidR="003C7EC7" w:rsidRDefault="00C16C02" w:rsidP="00865BFE">
      <w:pPr>
        <w:numPr>
          <w:ilvl w:val="0"/>
          <w:numId w:val="18"/>
        </w:numPr>
        <w:spacing w:before="240"/>
        <w:jc w:val="both"/>
        <w:rPr>
          <w:rFonts w:ascii="Book Antiqua" w:hAnsi="Book Antiqua" w:cs="Arial"/>
        </w:rPr>
      </w:pPr>
      <w:r>
        <w:rPr>
          <w:rFonts w:ascii="Book Antiqua" w:hAnsi="Book Antiqua" w:cs="Arial"/>
        </w:rPr>
        <w:t>It is this</w:t>
      </w:r>
      <w:r w:rsidR="00FF05D9">
        <w:rPr>
          <w:rFonts w:ascii="Book Antiqua" w:hAnsi="Book Antiqua" w:cs="Arial"/>
        </w:rPr>
        <w:t xml:space="preserve"> initial</w:t>
      </w:r>
      <w:r w:rsidR="007B2B00">
        <w:rPr>
          <w:rFonts w:ascii="Book Antiqua" w:hAnsi="Book Antiqua" w:cs="Arial"/>
        </w:rPr>
        <w:t xml:space="preserve"> dispute which put in train the considerable amount of thought</w:t>
      </w:r>
      <w:r w:rsidR="00402A4E">
        <w:rPr>
          <w:rFonts w:ascii="Book Antiqua" w:hAnsi="Book Antiqua" w:cs="Arial"/>
        </w:rPr>
        <w:t xml:space="preserve"> applied </w:t>
      </w:r>
      <w:r w:rsidR="00ED1C46">
        <w:rPr>
          <w:rFonts w:ascii="Book Antiqua" w:hAnsi="Book Antiqua" w:cs="Arial"/>
        </w:rPr>
        <w:t xml:space="preserve">by the parties </w:t>
      </w:r>
      <w:r w:rsidR="00402A4E">
        <w:rPr>
          <w:rFonts w:ascii="Book Antiqua" w:hAnsi="Book Antiqua" w:cs="Arial"/>
        </w:rPr>
        <w:t>to</w:t>
      </w:r>
      <w:r w:rsidR="0038663E">
        <w:rPr>
          <w:rFonts w:ascii="Book Antiqua" w:hAnsi="Book Antiqua" w:cs="Arial"/>
        </w:rPr>
        <w:t xml:space="preserve"> </w:t>
      </w:r>
      <w:r w:rsidR="00402A4E">
        <w:rPr>
          <w:rFonts w:ascii="Book Antiqua" w:hAnsi="Book Antiqua" w:cs="Arial"/>
        </w:rPr>
        <w:t>what we are describing as the procedural issue in this case, as</w:t>
      </w:r>
      <w:r w:rsidR="006E2CEB">
        <w:rPr>
          <w:rFonts w:ascii="Book Antiqua" w:hAnsi="Book Antiqua" w:cs="Arial"/>
        </w:rPr>
        <w:t xml:space="preserve"> set out in paragraph</w:t>
      </w:r>
      <w:r w:rsidR="0038663E">
        <w:rPr>
          <w:rFonts w:ascii="Book Antiqua" w:hAnsi="Book Antiqua" w:cs="Arial"/>
        </w:rPr>
        <w:t xml:space="preserve"> 2</w:t>
      </w:r>
      <w:r w:rsidR="006E2CEB">
        <w:rPr>
          <w:rFonts w:ascii="Book Antiqua" w:hAnsi="Book Antiqua" w:cs="Arial"/>
        </w:rPr>
        <w:t>, above.</w:t>
      </w:r>
    </w:p>
    <w:p w14:paraId="244E8AD6" w14:textId="26B1BA47" w:rsidR="00FB25C3" w:rsidRDefault="00ED1C46" w:rsidP="00865BFE">
      <w:pPr>
        <w:numPr>
          <w:ilvl w:val="0"/>
          <w:numId w:val="18"/>
        </w:numPr>
        <w:spacing w:before="240"/>
        <w:jc w:val="both"/>
        <w:rPr>
          <w:rFonts w:ascii="Book Antiqua" w:hAnsi="Book Antiqua" w:cs="Arial"/>
        </w:rPr>
      </w:pPr>
      <w:r>
        <w:rPr>
          <w:rFonts w:ascii="Book Antiqua" w:hAnsi="Book Antiqua" w:cs="Arial"/>
        </w:rPr>
        <w:t xml:space="preserve">Before </w:t>
      </w:r>
      <w:r w:rsidR="00D93197">
        <w:rPr>
          <w:rFonts w:ascii="Book Antiqua" w:hAnsi="Book Antiqua" w:cs="Arial"/>
        </w:rPr>
        <w:t xml:space="preserve">turning to address the respective arguments, we </w:t>
      </w:r>
      <w:r w:rsidR="00CD38F6">
        <w:rPr>
          <w:rFonts w:ascii="Book Antiqua" w:hAnsi="Book Antiqua" w:cs="Arial"/>
        </w:rPr>
        <w:t>record the respondent’s</w:t>
      </w:r>
      <w:r w:rsidR="00967EC1">
        <w:rPr>
          <w:rFonts w:ascii="Book Antiqua" w:hAnsi="Book Antiqua" w:cs="Arial"/>
        </w:rPr>
        <w:t xml:space="preserve"> decision (contained in Mr Jarvis</w:t>
      </w:r>
      <w:r w:rsidR="001F333D">
        <w:rPr>
          <w:rFonts w:ascii="Book Antiqua" w:hAnsi="Book Antiqua" w:cs="Arial"/>
        </w:rPr>
        <w:t>’ skeleton argument dated 4 November 2020) to withdraw reliance on the rule 24 response</w:t>
      </w:r>
      <w:r w:rsidR="001E0176">
        <w:rPr>
          <w:rFonts w:ascii="Book Antiqua" w:hAnsi="Book Antiqua" w:cs="Arial"/>
        </w:rPr>
        <w:t>. That</w:t>
      </w:r>
      <w:r w:rsidR="00E75EB7">
        <w:rPr>
          <w:rFonts w:ascii="Book Antiqua" w:hAnsi="Book Antiqua" w:cs="Arial"/>
        </w:rPr>
        <w:t xml:space="preserve"> ha</w:t>
      </w:r>
      <w:r w:rsidR="0043234B">
        <w:rPr>
          <w:rFonts w:ascii="Book Antiqua" w:hAnsi="Book Antiqua" w:cs="Arial"/>
        </w:rPr>
        <w:t>d</w:t>
      </w:r>
      <w:r w:rsidR="00E75EB7">
        <w:rPr>
          <w:rFonts w:ascii="Book Antiqua" w:hAnsi="Book Antiqua" w:cs="Arial"/>
        </w:rPr>
        <w:t xml:space="preserve"> the effect of leaving the judge’s findings on the undue harshness issue</w:t>
      </w:r>
      <w:r w:rsidR="00EA5645">
        <w:rPr>
          <w:rFonts w:ascii="Book Antiqua" w:hAnsi="Book Antiqua" w:cs="Arial"/>
        </w:rPr>
        <w:t xml:space="preserve"> unchallenged</w:t>
      </w:r>
      <w:r w:rsidR="00FB25C3">
        <w:rPr>
          <w:rFonts w:ascii="Book Antiqua" w:hAnsi="Book Antiqua" w:cs="Arial"/>
        </w:rPr>
        <w:t xml:space="preserve">, whatever our conclusions on </w:t>
      </w:r>
      <w:r w:rsidR="007025C6">
        <w:rPr>
          <w:rFonts w:ascii="Book Antiqua" w:hAnsi="Book Antiqua" w:cs="Arial"/>
        </w:rPr>
        <w:t>the</w:t>
      </w:r>
      <w:r w:rsidR="00FB25C3">
        <w:rPr>
          <w:rFonts w:ascii="Book Antiqua" w:hAnsi="Book Antiqua" w:cs="Arial"/>
        </w:rPr>
        <w:t xml:space="preserve"> procedural issue.</w:t>
      </w:r>
      <w:r w:rsidR="005D2C70">
        <w:rPr>
          <w:rFonts w:ascii="Book Antiqua" w:hAnsi="Book Antiqua" w:cs="Arial"/>
        </w:rPr>
        <w:t xml:space="preserve"> The decision to resile from the response was of course entirely a matter for the respondent.</w:t>
      </w:r>
      <w:r w:rsidR="00925DA7">
        <w:rPr>
          <w:rFonts w:ascii="Book Antiqua" w:hAnsi="Book Antiqua" w:cs="Arial"/>
        </w:rPr>
        <w:t xml:space="preserve"> For what it is worth, we</w:t>
      </w:r>
      <w:r w:rsidR="003A52C0">
        <w:rPr>
          <w:rFonts w:ascii="Book Antiqua" w:hAnsi="Book Antiqua" w:cs="Arial"/>
        </w:rPr>
        <w:t xml:space="preserve"> regard it as wholly justified. The judge clearly </w:t>
      </w:r>
      <w:r w:rsidR="0043234B">
        <w:rPr>
          <w:rFonts w:ascii="Book Antiqua" w:hAnsi="Book Antiqua" w:cs="Arial"/>
        </w:rPr>
        <w:t>took</w:t>
      </w:r>
      <w:r w:rsidR="003A52C0">
        <w:rPr>
          <w:rFonts w:ascii="Book Antiqua" w:hAnsi="Book Antiqua" w:cs="Arial"/>
        </w:rPr>
        <w:t xml:space="preserve"> relevant evidence </w:t>
      </w:r>
      <w:r w:rsidR="0043234B">
        <w:rPr>
          <w:rFonts w:ascii="Book Antiqua" w:hAnsi="Book Antiqua" w:cs="Arial"/>
        </w:rPr>
        <w:t xml:space="preserve">into account </w:t>
      </w:r>
      <w:r w:rsidR="003A52C0">
        <w:rPr>
          <w:rFonts w:ascii="Book Antiqua" w:hAnsi="Book Antiqua" w:cs="Arial"/>
        </w:rPr>
        <w:t>and made</w:t>
      </w:r>
      <w:r w:rsidR="002B1066">
        <w:rPr>
          <w:rFonts w:ascii="Book Antiqua" w:hAnsi="Book Antiqua" w:cs="Arial"/>
        </w:rPr>
        <w:t xml:space="preserve"> eminently sustainable findings thereon in accordance with sound legal self-directions.</w:t>
      </w:r>
    </w:p>
    <w:p w14:paraId="66120231" w14:textId="05C4AFE7" w:rsidR="000476CF" w:rsidRDefault="00F15344" w:rsidP="00865BFE">
      <w:pPr>
        <w:numPr>
          <w:ilvl w:val="0"/>
          <w:numId w:val="18"/>
        </w:numPr>
        <w:spacing w:before="240"/>
        <w:jc w:val="both"/>
        <w:rPr>
          <w:rFonts w:ascii="Book Antiqua" w:hAnsi="Book Antiqua" w:cs="Arial"/>
        </w:rPr>
      </w:pPr>
      <w:r>
        <w:rPr>
          <w:rFonts w:ascii="Book Antiqua" w:hAnsi="Book Antiqua" w:cs="Arial"/>
        </w:rPr>
        <w:t xml:space="preserve">Rather than </w:t>
      </w:r>
      <w:r w:rsidR="008B3F47">
        <w:rPr>
          <w:rFonts w:ascii="Book Antiqua" w:hAnsi="Book Antiqua" w:cs="Arial"/>
        </w:rPr>
        <w:t xml:space="preserve">setting </w:t>
      </w:r>
      <w:r>
        <w:rPr>
          <w:rFonts w:ascii="Book Antiqua" w:hAnsi="Book Antiqua" w:cs="Arial"/>
        </w:rPr>
        <w:t xml:space="preserve">out the parties’ submissions on the proceeded issue in detail here, we will endeavour to address </w:t>
      </w:r>
      <w:r w:rsidR="008B3F47">
        <w:rPr>
          <w:rFonts w:ascii="Book Antiqua" w:hAnsi="Book Antiqua" w:cs="Arial"/>
        </w:rPr>
        <w:t>their substance</w:t>
      </w:r>
      <w:r w:rsidR="00A336F9">
        <w:rPr>
          <w:rFonts w:ascii="Book Antiqua" w:hAnsi="Book Antiqua" w:cs="Arial"/>
        </w:rPr>
        <w:t xml:space="preserve"> as we </w:t>
      </w:r>
      <w:r w:rsidR="008B3F47">
        <w:rPr>
          <w:rFonts w:ascii="Book Antiqua" w:hAnsi="Book Antiqua" w:cs="Arial"/>
        </w:rPr>
        <w:t xml:space="preserve">progress </w:t>
      </w:r>
      <w:r w:rsidR="00A336F9">
        <w:rPr>
          <w:rFonts w:ascii="Book Antiqua" w:hAnsi="Book Antiqua" w:cs="Arial"/>
        </w:rPr>
        <w:t xml:space="preserve">through the discussion. </w:t>
      </w:r>
      <w:r w:rsidR="00F714D4">
        <w:rPr>
          <w:rFonts w:ascii="Book Antiqua" w:hAnsi="Book Antiqua" w:cs="Arial"/>
        </w:rPr>
        <w:t>S</w:t>
      </w:r>
      <w:r w:rsidR="005264C7">
        <w:rPr>
          <w:rFonts w:ascii="Book Antiqua" w:hAnsi="Book Antiqua" w:cs="Arial"/>
        </w:rPr>
        <w:t xml:space="preserve">uffice it to say </w:t>
      </w:r>
      <w:r w:rsidR="00F714D4">
        <w:rPr>
          <w:rFonts w:ascii="Book Antiqua" w:hAnsi="Book Antiqua" w:cs="Arial"/>
        </w:rPr>
        <w:t xml:space="preserve">at this stage </w:t>
      </w:r>
      <w:r w:rsidR="005264C7">
        <w:rPr>
          <w:rFonts w:ascii="Book Antiqua" w:hAnsi="Book Antiqua" w:cs="Arial"/>
        </w:rPr>
        <w:t xml:space="preserve">that </w:t>
      </w:r>
      <w:r w:rsidR="00110176">
        <w:rPr>
          <w:rFonts w:ascii="Book Antiqua" w:hAnsi="Book Antiqua" w:cs="Arial"/>
        </w:rPr>
        <w:t xml:space="preserve">the </w:t>
      </w:r>
      <w:r w:rsidR="004C6603">
        <w:rPr>
          <w:rFonts w:ascii="Book Antiqua" w:hAnsi="Book Antiqua" w:cs="Arial"/>
        </w:rPr>
        <w:t>disputed territory</w:t>
      </w:r>
      <w:r w:rsidR="00704FC3">
        <w:rPr>
          <w:rFonts w:ascii="Book Antiqua" w:hAnsi="Book Antiqua" w:cs="Arial"/>
        </w:rPr>
        <w:t xml:space="preserve"> is said to be occupied</w:t>
      </w:r>
      <w:r w:rsidR="00EC5B70">
        <w:rPr>
          <w:rFonts w:ascii="Book Antiqua" w:hAnsi="Book Antiqua" w:cs="Arial"/>
        </w:rPr>
        <w:t xml:space="preserve"> by two</w:t>
      </w:r>
      <w:r w:rsidR="00FC6D6A">
        <w:rPr>
          <w:rFonts w:ascii="Book Antiqua" w:hAnsi="Book Antiqua" w:cs="Arial"/>
        </w:rPr>
        <w:t xml:space="preserve"> judgments of the Court of Appeal</w:t>
      </w:r>
      <w:r w:rsidR="009262F3">
        <w:rPr>
          <w:rFonts w:ascii="Book Antiqua" w:hAnsi="Book Antiqua" w:cs="Arial"/>
        </w:rPr>
        <w:t>:</w:t>
      </w:r>
      <w:r w:rsidR="008529CC">
        <w:rPr>
          <w:rFonts w:ascii="Book Antiqua" w:hAnsi="Book Antiqua" w:cs="Arial"/>
        </w:rPr>
        <w:t xml:space="preserve"> </w:t>
      </w:r>
      <w:proofErr w:type="spellStart"/>
      <w:r w:rsidR="00C75FB5" w:rsidRPr="009D6A12">
        <w:rPr>
          <w:rFonts w:ascii="Book Antiqua" w:hAnsi="Book Antiqua" w:cs="Arial"/>
          <w:u w:val="single"/>
        </w:rPr>
        <w:t>Devani</w:t>
      </w:r>
      <w:proofErr w:type="spellEnd"/>
      <w:r w:rsidR="00C75FB5">
        <w:rPr>
          <w:rFonts w:ascii="Book Antiqua" w:hAnsi="Book Antiqua" w:cs="Arial"/>
        </w:rPr>
        <w:t xml:space="preserve"> [2020] EWCA </w:t>
      </w:r>
      <w:proofErr w:type="spellStart"/>
      <w:r w:rsidR="00C75FB5">
        <w:rPr>
          <w:rFonts w:ascii="Book Antiqua" w:hAnsi="Book Antiqua" w:cs="Arial"/>
        </w:rPr>
        <w:t>Civ</w:t>
      </w:r>
      <w:proofErr w:type="spellEnd"/>
      <w:r w:rsidR="00C75FB5">
        <w:rPr>
          <w:rFonts w:ascii="Book Antiqua" w:hAnsi="Book Antiqua" w:cs="Arial"/>
        </w:rPr>
        <w:t xml:space="preserve"> 612;</w:t>
      </w:r>
      <w:r w:rsidR="009D6A12">
        <w:rPr>
          <w:rFonts w:ascii="Book Antiqua" w:hAnsi="Book Antiqua" w:cs="Arial"/>
        </w:rPr>
        <w:t xml:space="preserve"> [2020] 1 WLR 2613</w:t>
      </w:r>
      <w:r w:rsidR="00CA3206">
        <w:rPr>
          <w:rFonts w:ascii="Book Antiqua" w:hAnsi="Book Antiqua" w:cs="Arial"/>
        </w:rPr>
        <w:t xml:space="preserve"> and </w:t>
      </w:r>
      <w:r w:rsidR="00CA3206" w:rsidRPr="009D6A12">
        <w:rPr>
          <w:rFonts w:ascii="Book Antiqua" w:hAnsi="Book Antiqua" w:cs="Arial"/>
          <w:u w:val="single"/>
        </w:rPr>
        <w:t>Anwar</w:t>
      </w:r>
      <w:r w:rsidR="00CA3206">
        <w:rPr>
          <w:rFonts w:ascii="Book Antiqua" w:hAnsi="Book Antiqua" w:cs="Arial"/>
        </w:rPr>
        <w:t xml:space="preserve"> [2017] EWCA Civ 2134</w:t>
      </w:r>
      <w:r w:rsidR="009D6A12">
        <w:rPr>
          <w:rFonts w:ascii="Book Antiqua" w:hAnsi="Book Antiqua" w:cs="Arial"/>
        </w:rPr>
        <w:t>.</w:t>
      </w:r>
      <w:r w:rsidR="001A6928">
        <w:rPr>
          <w:rFonts w:ascii="Book Antiqua" w:hAnsi="Book Antiqua" w:cs="Arial"/>
        </w:rPr>
        <w:t xml:space="preserve"> Mr Malik</w:t>
      </w:r>
      <w:r w:rsidR="000476CF">
        <w:rPr>
          <w:rFonts w:ascii="Book Antiqua" w:hAnsi="Book Antiqua" w:cs="Arial"/>
        </w:rPr>
        <w:t xml:space="preserve"> relies on </w:t>
      </w:r>
      <w:r w:rsidR="000476CF" w:rsidRPr="007C6EB7">
        <w:rPr>
          <w:rFonts w:ascii="Book Antiqua" w:hAnsi="Book Antiqua" w:cs="Arial"/>
          <w:u w:val="single"/>
        </w:rPr>
        <w:t>Anwar</w:t>
      </w:r>
      <w:r w:rsidR="000476CF">
        <w:rPr>
          <w:rFonts w:ascii="Book Antiqua" w:hAnsi="Book Antiqua" w:cs="Arial"/>
        </w:rPr>
        <w:t xml:space="preserve"> </w:t>
      </w:r>
      <w:r w:rsidR="00782297">
        <w:rPr>
          <w:rFonts w:ascii="Book Antiqua" w:hAnsi="Book Antiqua" w:cs="Arial"/>
        </w:rPr>
        <w:t>as authority for the proposition</w:t>
      </w:r>
      <w:r w:rsidR="000476CF">
        <w:rPr>
          <w:rFonts w:ascii="Book Antiqua" w:hAnsi="Book Antiqua" w:cs="Arial"/>
        </w:rPr>
        <w:t xml:space="preserve"> that the winning party before the First-tier Tribunal can appeal to the Upper Tribunal on a point of law</w:t>
      </w:r>
      <w:r w:rsidR="00C61A41">
        <w:rPr>
          <w:rFonts w:ascii="Book Antiqua" w:hAnsi="Book Antiqua" w:cs="Arial"/>
        </w:rPr>
        <w:t>.</w:t>
      </w:r>
      <w:r w:rsidR="008D7881">
        <w:rPr>
          <w:rFonts w:ascii="Book Antiqua" w:hAnsi="Book Antiqua" w:cs="Arial"/>
        </w:rPr>
        <w:t xml:space="preserve"> </w:t>
      </w:r>
      <w:r w:rsidR="0085662A">
        <w:rPr>
          <w:rFonts w:ascii="Book Antiqua" w:hAnsi="Book Antiqua" w:cs="Arial"/>
        </w:rPr>
        <w:t xml:space="preserve">He submits that </w:t>
      </w:r>
      <w:proofErr w:type="spellStart"/>
      <w:r w:rsidR="0085662A" w:rsidRPr="009D7800">
        <w:rPr>
          <w:rFonts w:ascii="Book Antiqua" w:hAnsi="Book Antiqua" w:cs="Arial"/>
          <w:u w:val="single"/>
        </w:rPr>
        <w:t>Devani</w:t>
      </w:r>
      <w:proofErr w:type="spellEnd"/>
      <w:r w:rsidR="0085662A">
        <w:rPr>
          <w:rFonts w:ascii="Book Antiqua" w:hAnsi="Book Antiqua" w:cs="Arial"/>
        </w:rPr>
        <w:t xml:space="preserve"> </w:t>
      </w:r>
      <w:r w:rsidR="005F33C7">
        <w:rPr>
          <w:rFonts w:ascii="Book Antiqua" w:hAnsi="Book Antiqua" w:cs="Arial"/>
        </w:rPr>
        <w:t>should be read consistently with that judgment and</w:t>
      </w:r>
      <w:r w:rsidR="00064127">
        <w:rPr>
          <w:rFonts w:ascii="Book Antiqua" w:hAnsi="Book Antiqua" w:cs="Arial"/>
        </w:rPr>
        <w:t>, if it cannot</w:t>
      </w:r>
      <w:r w:rsidR="007C6EB7">
        <w:rPr>
          <w:rFonts w:ascii="Book Antiqua" w:hAnsi="Book Antiqua" w:cs="Arial"/>
        </w:rPr>
        <w:t xml:space="preserve">, </w:t>
      </w:r>
      <w:r w:rsidR="00BB562A">
        <w:rPr>
          <w:rFonts w:ascii="Book Antiqua" w:hAnsi="Book Antiqua" w:cs="Arial"/>
        </w:rPr>
        <w:t xml:space="preserve">it is wrong and was decided </w:t>
      </w:r>
      <w:r w:rsidR="00BB562A" w:rsidRPr="00BB562A">
        <w:rPr>
          <w:rFonts w:ascii="Book Antiqua" w:hAnsi="Book Antiqua" w:cs="Arial"/>
          <w:i/>
          <w:iCs/>
        </w:rPr>
        <w:t>per incuriam</w:t>
      </w:r>
      <w:r w:rsidR="00BB562A">
        <w:rPr>
          <w:rFonts w:ascii="Book Antiqua" w:hAnsi="Book Antiqua" w:cs="Arial"/>
        </w:rPr>
        <w:t>.</w:t>
      </w:r>
      <w:r w:rsidR="00A061BF">
        <w:rPr>
          <w:rFonts w:ascii="Book Antiqua" w:hAnsi="Book Antiqua" w:cs="Arial"/>
        </w:rPr>
        <w:t xml:space="preserve"> </w:t>
      </w:r>
      <w:r w:rsidR="007C6EB7">
        <w:rPr>
          <w:rFonts w:ascii="Book Antiqua" w:hAnsi="Book Antiqua" w:cs="Arial"/>
        </w:rPr>
        <w:t xml:space="preserve">Mr Jarvis argues that </w:t>
      </w:r>
      <w:proofErr w:type="spellStart"/>
      <w:r w:rsidR="00975B09" w:rsidRPr="00F94E02">
        <w:rPr>
          <w:rFonts w:ascii="Book Antiqua" w:hAnsi="Book Antiqua" w:cs="Arial"/>
          <w:u w:val="single"/>
        </w:rPr>
        <w:t>Devani</w:t>
      </w:r>
      <w:proofErr w:type="spellEnd"/>
      <w:r w:rsidR="00975B09">
        <w:rPr>
          <w:rFonts w:ascii="Book Antiqua" w:hAnsi="Book Antiqua" w:cs="Arial"/>
        </w:rPr>
        <w:t xml:space="preserve"> expressly decides the procedural issue against the appellant’s position</w:t>
      </w:r>
      <w:r w:rsidR="009E700F">
        <w:rPr>
          <w:rFonts w:ascii="Book Antiqua" w:hAnsi="Book Antiqua" w:cs="Arial"/>
        </w:rPr>
        <w:t xml:space="preserve"> and can be readily distinguished from </w:t>
      </w:r>
      <w:r w:rsidR="009E700F" w:rsidRPr="009E700F">
        <w:rPr>
          <w:rFonts w:ascii="Book Antiqua" w:hAnsi="Book Antiqua" w:cs="Arial"/>
          <w:u w:val="single"/>
        </w:rPr>
        <w:t>Anwar</w:t>
      </w:r>
      <w:r w:rsidR="00F94E02">
        <w:rPr>
          <w:rFonts w:ascii="Book Antiqua" w:hAnsi="Book Antiqua" w:cs="Arial"/>
        </w:rPr>
        <w:t>.</w:t>
      </w:r>
    </w:p>
    <w:p w14:paraId="0373DD9E" w14:textId="27694313" w:rsidR="008047BA" w:rsidRPr="00A03B34" w:rsidRDefault="0028678F" w:rsidP="00865BFE">
      <w:pPr>
        <w:numPr>
          <w:ilvl w:val="0"/>
          <w:numId w:val="18"/>
        </w:numPr>
        <w:spacing w:before="240"/>
        <w:jc w:val="both"/>
        <w:rPr>
          <w:rFonts w:ascii="Book Antiqua" w:hAnsi="Book Antiqua" w:cs="Arial"/>
        </w:rPr>
      </w:pPr>
      <w:r>
        <w:rPr>
          <w:rFonts w:ascii="Book Antiqua" w:hAnsi="Book Antiqua" w:cs="Arial"/>
        </w:rPr>
        <w:t xml:space="preserve">The </w:t>
      </w:r>
      <w:proofErr w:type="spellStart"/>
      <w:r w:rsidRPr="008D205C">
        <w:rPr>
          <w:rFonts w:ascii="Book Antiqua" w:hAnsi="Book Antiqua" w:cs="Arial"/>
          <w:u w:val="single"/>
        </w:rPr>
        <w:t>Devani</w:t>
      </w:r>
      <w:proofErr w:type="spellEnd"/>
      <w:r>
        <w:rPr>
          <w:rFonts w:ascii="Book Antiqua" w:hAnsi="Book Antiqua" w:cs="Arial"/>
        </w:rPr>
        <w:t xml:space="preserve"> case concerned a Kenyan businessman facing extradition to his own country in order to face prosecution for </w:t>
      </w:r>
      <w:r w:rsidR="009D7800">
        <w:rPr>
          <w:rFonts w:ascii="Book Antiqua" w:hAnsi="Book Antiqua" w:cs="Arial"/>
        </w:rPr>
        <w:t>alleged</w:t>
      </w:r>
      <w:r>
        <w:rPr>
          <w:rFonts w:ascii="Book Antiqua" w:hAnsi="Book Antiqua" w:cs="Arial"/>
        </w:rPr>
        <w:t xml:space="preserve"> fraud.</w:t>
      </w:r>
      <w:r w:rsidR="00430E14">
        <w:rPr>
          <w:rFonts w:ascii="Book Antiqua" w:hAnsi="Book Antiqua" w:cs="Arial"/>
        </w:rPr>
        <w:t xml:space="preserve"> Mr </w:t>
      </w:r>
      <w:proofErr w:type="spellStart"/>
      <w:r w:rsidR="00430E14">
        <w:rPr>
          <w:rFonts w:ascii="Book Antiqua" w:hAnsi="Book Antiqua" w:cs="Arial"/>
        </w:rPr>
        <w:t>Devani</w:t>
      </w:r>
      <w:proofErr w:type="spellEnd"/>
      <w:r w:rsidR="00430E14">
        <w:rPr>
          <w:rFonts w:ascii="Book Antiqua" w:hAnsi="Book Antiqua" w:cs="Arial"/>
        </w:rPr>
        <w:t xml:space="preserve"> sought to resist</w:t>
      </w:r>
      <w:r w:rsidR="00940A5A">
        <w:rPr>
          <w:rFonts w:ascii="Book Antiqua" w:hAnsi="Book Antiqua" w:cs="Arial"/>
        </w:rPr>
        <w:t xml:space="preserve"> this on the ground that he would be detained in prison conditions </w:t>
      </w:r>
      <w:r w:rsidR="003F4C24">
        <w:rPr>
          <w:rFonts w:ascii="Book Antiqua" w:hAnsi="Book Antiqua" w:cs="Arial"/>
        </w:rPr>
        <w:t>which violated</w:t>
      </w:r>
      <w:r w:rsidR="00940A5A">
        <w:rPr>
          <w:rFonts w:ascii="Book Antiqua" w:hAnsi="Book Antiqua" w:cs="Arial"/>
        </w:rPr>
        <w:t xml:space="preserve"> Article 3 ECHR.</w:t>
      </w:r>
      <w:r w:rsidR="002140E6">
        <w:rPr>
          <w:rFonts w:ascii="Book Antiqua" w:hAnsi="Book Antiqua" w:cs="Arial"/>
        </w:rPr>
        <w:t xml:space="preserve"> The Divisional Court rejected this claim on the basis of assurances provided by the Kenyan government.</w:t>
      </w:r>
      <w:r w:rsidR="00872095">
        <w:rPr>
          <w:rFonts w:ascii="Book Antiqua" w:hAnsi="Book Antiqua" w:cs="Arial"/>
        </w:rPr>
        <w:t xml:space="preserve"> Mr </w:t>
      </w:r>
      <w:proofErr w:type="spellStart"/>
      <w:r w:rsidR="00872095">
        <w:rPr>
          <w:rFonts w:ascii="Book Antiqua" w:hAnsi="Book Antiqua" w:cs="Arial"/>
        </w:rPr>
        <w:t>D</w:t>
      </w:r>
      <w:r w:rsidR="00B96206">
        <w:rPr>
          <w:rFonts w:ascii="Book Antiqua" w:hAnsi="Book Antiqua" w:cs="Arial"/>
        </w:rPr>
        <w:t>evani</w:t>
      </w:r>
      <w:proofErr w:type="spellEnd"/>
      <w:r w:rsidR="00B96206">
        <w:rPr>
          <w:rFonts w:ascii="Book Antiqua" w:hAnsi="Book Antiqua" w:cs="Arial"/>
        </w:rPr>
        <w:t xml:space="preserve"> then made a protection claim</w:t>
      </w:r>
      <w:r w:rsidR="00981672">
        <w:rPr>
          <w:rFonts w:ascii="Book Antiqua" w:hAnsi="Book Antiqua" w:cs="Arial"/>
        </w:rPr>
        <w:t xml:space="preserve"> to the</w:t>
      </w:r>
      <w:r w:rsidR="0030678B">
        <w:rPr>
          <w:rFonts w:ascii="Book Antiqua" w:hAnsi="Book Antiqua" w:cs="Arial"/>
        </w:rPr>
        <w:t xml:space="preserve"> Secretary of State</w:t>
      </w:r>
      <w:r w:rsidR="00981672">
        <w:rPr>
          <w:rFonts w:ascii="Book Antiqua" w:hAnsi="Book Antiqua" w:cs="Arial"/>
        </w:rPr>
        <w:t xml:space="preserve">, </w:t>
      </w:r>
      <w:r w:rsidR="00995C34">
        <w:rPr>
          <w:rFonts w:ascii="Book Antiqua" w:hAnsi="Book Antiqua" w:cs="Arial"/>
        </w:rPr>
        <w:t xml:space="preserve">still </w:t>
      </w:r>
      <w:r w:rsidR="00981672">
        <w:rPr>
          <w:rFonts w:ascii="Book Antiqua" w:hAnsi="Book Antiqua" w:cs="Arial"/>
        </w:rPr>
        <w:t xml:space="preserve">relying on the prison conditions issue. </w:t>
      </w:r>
      <w:r w:rsidR="006F37FF">
        <w:rPr>
          <w:rFonts w:ascii="Book Antiqua" w:hAnsi="Book Antiqua" w:cs="Arial"/>
        </w:rPr>
        <w:t xml:space="preserve">The </w:t>
      </w:r>
      <w:r w:rsidR="00A87134">
        <w:rPr>
          <w:rFonts w:ascii="Book Antiqua" w:hAnsi="Book Antiqua" w:cs="Arial"/>
        </w:rPr>
        <w:t xml:space="preserve">claim was refused. </w:t>
      </w:r>
      <w:r w:rsidR="00AA4FF2">
        <w:rPr>
          <w:rFonts w:ascii="Book Antiqua" w:hAnsi="Book Antiqua" w:cs="Arial"/>
        </w:rPr>
        <w:t>On appeal, the</w:t>
      </w:r>
      <w:r w:rsidR="00D6088C">
        <w:rPr>
          <w:rFonts w:ascii="Book Antiqua" w:hAnsi="Book Antiqua" w:cs="Arial"/>
        </w:rPr>
        <w:t xml:space="preserve"> First-tier Tribunal</w:t>
      </w:r>
      <w:r w:rsidR="00F45E98">
        <w:rPr>
          <w:rFonts w:ascii="Book Antiqua" w:hAnsi="Book Antiqua" w:cs="Arial"/>
        </w:rPr>
        <w:t xml:space="preserve"> purported to </w:t>
      </w:r>
      <w:r w:rsidR="00AA4FF2">
        <w:rPr>
          <w:rFonts w:ascii="Book Antiqua" w:hAnsi="Book Antiqua" w:cs="Arial"/>
        </w:rPr>
        <w:t>reject</w:t>
      </w:r>
      <w:r w:rsidR="00F45E98">
        <w:rPr>
          <w:rFonts w:ascii="Book Antiqua" w:hAnsi="Book Antiqua" w:cs="Arial"/>
        </w:rPr>
        <w:t xml:space="preserve"> all grounds put forward, namely</w:t>
      </w:r>
      <w:r w:rsidR="000624AB">
        <w:rPr>
          <w:rFonts w:ascii="Book Antiqua" w:hAnsi="Book Antiqua" w:cs="Arial"/>
        </w:rPr>
        <w:t xml:space="preserve"> that the </w:t>
      </w:r>
      <w:r w:rsidR="00C36E62">
        <w:rPr>
          <w:rFonts w:ascii="Book Antiqua" w:hAnsi="Book Antiqua" w:cs="Arial"/>
        </w:rPr>
        <w:t>refusal</w:t>
      </w:r>
      <w:r w:rsidR="00344870">
        <w:rPr>
          <w:rFonts w:ascii="Book Antiqua" w:hAnsi="Book Antiqua" w:cs="Arial"/>
        </w:rPr>
        <w:t xml:space="preserve"> was contrary to the United Kingdom’s obligations under the Refugee Convention</w:t>
      </w:r>
      <w:r w:rsidR="00961BCB">
        <w:rPr>
          <w:rFonts w:ascii="Book Antiqua" w:hAnsi="Book Antiqua" w:cs="Arial"/>
        </w:rPr>
        <w:t xml:space="preserve"> and that it breached Mr </w:t>
      </w:r>
      <w:proofErr w:type="spellStart"/>
      <w:r w:rsidR="00961BCB">
        <w:rPr>
          <w:rFonts w:ascii="Book Antiqua" w:hAnsi="Book Antiqua" w:cs="Arial"/>
        </w:rPr>
        <w:t>Devani’s</w:t>
      </w:r>
      <w:proofErr w:type="spellEnd"/>
      <w:r w:rsidR="00961BCB">
        <w:rPr>
          <w:rFonts w:ascii="Book Antiqua" w:hAnsi="Book Antiqua" w:cs="Arial"/>
        </w:rPr>
        <w:t xml:space="preserve"> rights under the ECHR, specifically</w:t>
      </w:r>
      <w:r w:rsidR="00C33EAE">
        <w:rPr>
          <w:rFonts w:ascii="Book Antiqua" w:hAnsi="Book Antiqua" w:cs="Arial"/>
        </w:rPr>
        <w:t xml:space="preserve"> Articles 3 and 8.</w:t>
      </w:r>
      <w:r w:rsidR="00727AB8">
        <w:rPr>
          <w:rFonts w:ascii="Book Antiqua" w:hAnsi="Book Antiqua" w:cs="Arial"/>
        </w:rPr>
        <w:t xml:space="preserve"> However,</w:t>
      </w:r>
      <w:r w:rsidR="002A2BC8">
        <w:rPr>
          <w:rFonts w:ascii="Book Antiqua" w:hAnsi="Book Antiqua" w:cs="Arial"/>
        </w:rPr>
        <w:t xml:space="preserve"> the substance of the judge’s reasoning was to the effect that she </w:t>
      </w:r>
      <w:r w:rsidR="00A608EE">
        <w:rPr>
          <w:rFonts w:ascii="Book Antiqua" w:hAnsi="Book Antiqua" w:cs="Arial"/>
        </w:rPr>
        <w:t xml:space="preserve">in fact </w:t>
      </w:r>
      <w:r w:rsidR="002A2BC8">
        <w:rPr>
          <w:rFonts w:ascii="Book Antiqua" w:hAnsi="Book Antiqua" w:cs="Arial"/>
        </w:rPr>
        <w:t>intended to allow the appeal on Article 3 grounds only</w:t>
      </w:r>
      <w:r w:rsidR="004C44E8">
        <w:rPr>
          <w:rFonts w:ascii="Book Antiqua" w:hAnsi="Book Antiqua" w:cs="Arial"/>
        </w:rPr>
        <w:t>.</w:t>
      </w:r>
      <w:r w:rsidR="007E04EB">
        <w:rPr>
          <w:rFonts w:ascii="Book Antiqua" w:hAnsi="Book Antiqua" w:cs="Arial"/>
        </w:rPr>
        <w:t xml:space="preserve"> Believing that</w:t>
      </w:r>
      <w:r w:rsidR="006D07EF">
        <w:rPr>
          <w:rFonts w:ascii="Book Antiqua" w:hAnsi="Book Antiqua" w:cs="Arial"/>
        </w:rPr>
        <w:t xml:space="preserve"> he could not rely on the</w:t>
      </w:r>
      <w:r w:rsidR="00D71A95">
        <w:rPr>
          <w:rFonts w:ascii="Book Antiqua" w:hAnsi="Book Antiqua" w:cs="Arial"/>
        </w:rPr>
        <w:t xml:space="preserve"> so-called</w:t>
      </w:r>
      <w:r w:rsidR="006D07EF">
        <w:rPr>
          <w:rFonts w:ascii="Book Antiqua" w:hAnsi="Book Antiqua" w:cs="Arial"/>
        </w:rPr>
        <w:t xml:space="preserve"> “slip rule”</w:t>
      </w:r>
      <w:r w:rsidR="00A15B57">
        <w:rPr>
          <w:rFonts w:ascii="Book Antiqua" w:hAnsi="Book Antiqua" w:cs="Arial"/>
        </w:rPr>
        <w:t xml:space="preserve"> in order to correct this error</w:t>
      </w:r>
      <w:r w:rsidR="00380412">
        <w:rPr>
          <w:rFonts w:ascii="Book Antiqua" w:hAnsi="Book Antiqua" w:cs="Arial"/>
        </w:rPr>
        <w:t>,</w:t>
      </w:r>
      <w:r w:rsidR="00A15B57">
        <w:rPr>
          <w:rFonts w:ascii="Book Antiqua" w:hAnsi="Book Antiqua" w:cs="Arial"/>
        </w:rPr>
        <w:t xml:space="preserve"> Mr </w:t>
      </w:r>
      <w:proofErr w:type="spellStart"/>
      <w:r w:rsidR="00A15B57">
        <w:rPr>
          <w:rFonts w:ascii="Book Antiqua" w:hAnsi="Book Antiqua" w:cs="Arial"/>
        </w:rPr>
        <w:t>Devani</w:t>
      </w:r>
      <w:proofErr w:type="spellEnd"/>
      <w:r w:rsidR="00A15B57">
        <w:rPr>
          <w:rFonts w:ascii="Book Antiqua" w:hAnsi="Book Antiqua" w:cs="Arial"/>
        </w:rPr>
        <w:t xml:space="preserve"> appealed to the Upper Tribunal</w:t>
      </w:r>
      <w:r w:rsidR="007B15A9">
        <w:rPr>
          <w:rFonts w:ascii="Book Antiqua" w:hAnsi="Book Antiqua" w:cs="Arial"/>
        </w:rPr>
        <w:t xml:space="preserve"> on the basis that </w:t>
      </w:r>
      <w:r w:rsidR="00C150D8">
        <w:rPr>
          <w:rFonts w:ascii="Book Antiqua" w:hAnsi="Book Antiqua" w:cs="Arial"/>
        </w:rPr>
        <w:t xml:space="preserve">it should </w:t>
      </w:r>
      <w:r w:rsidR="00CF68DD">
        <w:rPr>
          <w:rFonts w:ascii="Book Antiqua" w:hAnsi="Book Antiqua" w:cs="Arial"/>
        </w:rPr>
        <w:t xml:space="preserve">substitute </w:t>
      </w:r>
      <w:r w:rsidR="0038166A">
        <w:rPr>
          <w:rFonts w:ascii="Book Antiqua" w:hAnsi="Book Antiqua" w:cs="Arial"/>
        </w:rPr>
        <w:t xml:space="preserve">that aspect of </w:t>
      </w:r>
      <w:r w:rsidR="007B15A9">
        <w:rPr>
          <w:rFonts w:ascii="Book Antiqua" w:hAnsi="Book Antiqua" w:cs="Arial"/>
        </w:rPr>
        <w:t>the judge</w:t>
      </w:r>
      <w:r w:rsidR="00603559">
        <w:rPr>
          <w:rFonts w:ascii="Book Antiqua" w:hAnsi="Book Antiqua" w:cs="Arial"/>
        </w:rPr>
        <w:t>’</w:t>
      </w:r>
      <w:r w:rsidR="007B15A9">
        <w:rPr>
          <w:rFonts w:ascii="Book Antiqua" w:hAnsi="Book Antiqua" w:cs="Arial"/>
        </w:rPr>
        <w:t>s decision</w:t>
      </w:r>
      <w:r w:rsidR="00B91D2A">
        <w:rPr>
          <w:rFonts w:ascii="Book Antiqua" w:hAnsi="Book Antiqua" w:cs="Arial"/>
        </w:rPr>
        <w:t xml:space="preserve"> (or “order”)</w:t>
      </w:r>
      <w:r w:rsidR="0038166A">
        <w:rPr>
          <w:rFonts w:ascii="Book Antiqua" w:hAnsi="Book Antiqua" w:cs="Arial"/>
        </w:rPr>
        <w:t xml:space="preserve"> relating to Article 3. The </w:t>
      </w:r>
      <w:r w:rsidR="0030678B">
        <w:rPr>
          <w:rFonts w:ascii="Book Antiqua" w:hAnsi="Book Antiqua" w:cs="Arial"/>
        </w:rPr>
        <w:t>Secretary of State</w:t>
      </w:r>
      <w:r w:rsidR="00DF0845">
        <w:rPr>
          <w:rFonts w:ascii="Book Antiqua" w:hAnsi="Book Antiqua" w:cs="Arial"/>
        </w:rPr>
        <w:t xml:space="preserve"> was</w:t>
      </w:r>
      <w:r w:rsidR="00BE63CC">
        <w:rPr>
          <w:rFonts w:ascii="Book Antiqua" w:hAnsi="Book Antiqua" w:cs="Arial"/>
        </w:rPr>
        <w:t xml:space="preserve"> unhappy with the judge</w:t>
      </w:r>
      <w:r w:rsidR="003F7C12">
        <w:rPr>
          <w:rFonts w:ascii="Book Antiqua" w:hAnsi="Book Antiqua" w:cs="Arial"/>
        </w:rPr>
        <w:t>’</w:t>
      </w:r>
      <w:r w:rsidR="00BE63CC">
        <w:rPr>
          <w:rFonts w:ascii="Book Antiqua" w:hAnsi="Book Antiqua" w:cs="Arial"/>
        </w:rPr>
        <w:t>s reasoning</w:t>
      </w:r>
      <w:r w:rsidR="001C0994">
        <w:rPr>
          <w:rFonts w:ascii="Book Antiqua" w:hAnsi="Book Antiqua" w:cs="Arial"/>
        </w:rPr>
        <w:t xml:space="preserve"> on Article 3, but neither lodged an appeal nor provided</w:t>
      </w:r>
      <w:r w:rsidR="003F7C12">
        <w:rPr>
          <w:rFonts w:ascii="Book Antiqua" w:hAnsi="Book Antiqua" w:cs="Arial"/>
        </w:rPr>
        <w:t xml:space="preserve"> a response under rule 24</w:t>
      </w:r>
      <w:r w:rsidR="003F4C24">
        <w:rPr>
          <w:rFonts w:ascii="Book Antiqua" w:hAnsi="Book Antiqua" w:cs="Arial"/>
        </w:rPr>
        <w:t>.</w:t>
      </w:r>
      <w:r w:rsidR="00BF59B0">
        <w:rPr>
          <w:rFonts w:ascii="Book Antiqua" w:hAnsi="Book Antiqua" w:cs="Arial"/>
        </w:rPr>
        <w:t xml:space="preserve"> </w:t>
      </w:r>
      <w:r w:rsidR="00E953F9">
        <w:rPr>
          <w:rFonts w:ascii="Book Antiqua" w:hAnsi="Book Antiqua" w:cs="Arial"/>
        </w:rPr>
        <w:t xml:space="preserve">Her </w:t>
      </w:r>
      <w:r w:rsidR="002E5CDC">
        <w:rPr>
          <w:rFonts w:ascii="Book Antiqua" w:hAnsi="Book Antiqua" w:cs="Arial"/>
        </w:rPr>
        <w:t xml:space="preserve">position was that she could not pursue an appeal as the ostensible “winner” before the First-tier Tribunal. </w:t>
      </w:r>
      <w:r w:rsidR="00A3310C">
        <w:rPr>
          <w:rFonts w:ascii="Book Antiqua" w:hAnsi="Book Antiqua" w:cs="Arial"/>
        </w:rPr>
        <w:t xml:space="preserve">Instead, </w:t>
      </w:r>
      <w:r w:rsidR="00FD28E3">
        <w:rPr>
          <w:rFonts w:ascii="Book Antiqua" w:hAnsi="Book Antiqua" w:cs="Arial"/>
        </w:rPr>
        <w:t xml:space="preserve">there was an attempt to </w:t>
      </w:r>
      <w:r w:rsidR="00C2141B">
        <w:rPr>
          <w:rFonts w:ascii="Book Antiqua" w:hAnsi="Book Antiqua" w:cs="Arial"/>
        </w:rPr>
        <w:t xml:space="preserve">challenge the judge’s reasoning at the hearing before the Upper Tribunal. </w:t>
      </w:r>
      <w:r w:rsidR="008047BA">
        <w:rPr>
          <w:rFonts w:ascii="Book Antiqua" w:hAnsi="Book Antiqua" w:cs="Arial"/>
        </w:rPr>
        <w:t>The Deputy Upper Tribunal Judge declined to consider this challenge.</w:t>
      </w:r>
      <w:r w:rsidR="00B20EBE">
        <w:rPr>
          <w:rFonts w:ascii="Book Antiqua" w:hAnsi="Book Antiqua" w:cs="Arial"/>
        </w:rPr>
        <w:t xml:space="preserve"> </w:t>
      </w:r>
      <w:r w:rsidR="00526FA8">
        <w:rPr>
          <w:rFonts w:ascii="Book Antiqua" w:hAnsi="Book Antiqua" w:cs="Arial"/>
        </w:rPr>
        <w:t>Having first concluded</w:t>
      </w:r>
      <w:r w:rsidR="006A0614">
        <w:rPr>
          <w:rFonts w:ascii="Book Antiqua" w:hAnsi="Book Antiqua" w:cs="Arial"/>
        </w:rPr>
        <w:t xml:space="preserve"> at paragraph</w:t>
      </w:r>
      <w:r w:rsidR="00995C34">
        <w:rPr>
          <w:rFonts w:ascii="Book Antiqua" w:hAnsi="Book Antiqua" w:cs="Arial"/>
        </w:rPr>
        <w:t>s</w:t>
      </w:r>
      <w:r w:rsidR="006A0614">
        <w:rPr>
          <w:rFonts w:ascii="Book Antiqua" w:hAnsi="Book Antiqua" w:cs="Arial"/>
        </w:rPr>
        <w:t xml:space="preserve"> 23-24 that the </w:t>
      </w:r>
      <w:r w:rsidR="00B31BAD">
        <w:rPr>
          <w:rFonts w:ascii="Book Antiqua" w:hAnsi="Book Antiqua" w:cs="Arial"/>
        </w:rPr>
        <w:t>case</w:t>
      </w:r>
      <w:r w:rsidR="006A0614">
        <w:rPr>
          <w:rFonts w:ascii="Book Antiqua" w:hAnsi="Book Antiqua" w:cs="Arial"/>
        </w:rPr>
        <w:t xml:space="preserve"> </w:t>
      </w:r>
      <w:r w:rsidR="00A43781">
        <w:rPr>
          <w:rFonts w:ascii="Book Antiqua" w:hAnsi="Book Antiqua" w:cs="Arial"/>
        </w:rPr>
        <w:t xml:space="preserve">of </w:t>
      </w:r>
      <w:proofErr w:type="spellStart"/>
      <w:r w:rsidR="00A43781" w:rsidRPr="00094026">
        <w:rPr>
          <w:rFonts w:ascii="Book Antiqua" w:hAnsi="Book Antiqua"/>
          <w:color w:val="000000"/>
          <w:u w:val="single"/>
        </w:rPr>
        <w:t>Katsonga</w:t>
      </w:r>
      <w:proofErr w:type="spellEnd"/>
      <w:r w:rsidR="00A43781" w:rsidRPr="00094026">
        <w:rPr>
          <w:rFonts w:ascii="Book Antiqua" w:hAnsi="Book Antiqua"/>
          <w:color w:val="000000"/>
          <w:u w:val="single"/>
        </w:rPr>
        <w:t xml:space="preserve"> ("Slip Rule"; </w:t>
      </w:r>
      <w:proofErr w:type="spellStart"/>
      <w:r w:rsidR="00A43781" w:rsidRPr="00094026">
        <w:rPr>
          <w:rFonts w:ascii="Book Antiqua" w:hAnsi="Book Antiqua"/>
          <w:color w:val="000000"/>
          <w:u w:val="single"/>
        </w:rPr>
        <w:t>FtT's</w:t>
      </w:r>
      <w:proofErr w:type="spellEnd"/>
      <w:r w:rsidR="00A43781" w:rsidRPr="00094026">
        <w:rPr>
          <w:rFonts w:ascii="Book Antiqua" w:hAnsi="Book Antiqua"/>
          <w:color w:val="000000"/>
          <w:u w:val="single"/>
        </w:rPr>
        <w:t xml:space="preserve"> general powers)</w:t>
      </w:r>
      <w:r w:rsidR="00A43781">
        <w:rPr>
          <w:rFonts w:ascii="Book Antiqua" w:hAnsi="Book Antiqua"/>
          <w:color w:val="000000"/>
        </w:rPr>
        <w:t xml:space="preserve"> [2016] UKUT 228 (IAC)</w:t>
      </w:r>
      <w:r w:rsidR="00B31BAD">
        <w:rPr>
          <w:rFonts w:ascii="Book Antiqua" w:hAnsi="Book Antiqua"/>
          <w:color w:val="000000"/>
        </w:rPr>
        <w:t xml:space="preserve"> was wrongly decided</w:t>
      </w:r>
      <w:r w:rsidR="003258DA">
        <w:rPr>
          <w:rFonts w:ascii="Book Antiqua" w:hAnsi="Book Antiqua"/>
          <w:color w:val="000000"/>
        </w:rPr>
        <w:t xml:space="preserve"> (see also </w:t>
      </w:r>
      <w:r w:rsidR="00721DD0" w:rsidRPr="00094026">
        <w:rPr>
          <w:rFonts w:ascii="Book Antiqua" w:hAnsi="Book Antiqua"/>
          <w:color w:val="000000"/>
          <w:u w:val="single"/>
        </w:rPr>
        <w:t>MH (review; slip rule; church witnesses) Iran</w:t>
      </w:r>
      <w:r w:rsidR="00721DD0">
        <w:rPr>
          <w:rFonts w:ascii="Book Antiqua" w:hAnsi="Book Antiqua"/>
          <w:color w:val="000000"/>
        </w:rPr>
        <w:t xml:space="preserve"> [2020] UKUT 125 (IAC))</w:t>
      </w:r>
      <w:r w:rsidR="00526FA8">
        <w:rPr>
          <w:rFonts w:ascii="Book Antiqua" w:hAnsi="Book Antiqua"/>
          <w:color w:val="000000"/>
        </w:rPr>
        <w:t xml:space="preserve">, </w:t>
      </w:r>
      <w:r w:rsidR="00FD5369">
        <w:rPr>
          <w:rFonts w:ascii="Book Antiqua" w:hAnsi="Book Antiqua"/>
          <w:color w:val="000000"/>
        </w:rPr>
        <w:t>Underhill</w:t>
      </w:r>
      <w:r w:rsidR="00EC7A04">
        <w:rPr>
          <w:rFonts w:ascii="Book Antiqua" w:hAnsi="Book Antiqua"/>
          <w:color w:val="000000"/>
        </w:rPr>
        <w:t xml:space="preserve"> LJ (with wh</w:t>
      </w:r>
      <w:r w:rsidR="00977D95">
        <w:rPr>
          <w:rFonts w:ascii="Book Antiqua" w:hAnsi="Book Antiqua"/>
          <w:color w:val="000000"/>
        </w:rPr>
        <w:t>om</w:t>
      </w:r>
      <w:r w:rsidR="00EC7A04">
        <w:rPr>
          <w:rFonts w:ascii="Book Antiqua" w:hAnsi="Book Antiqua"/>
          <w:color w:val="000000"/>
        </w:rPr>
        <w:t xml:space="preserve"> Nicola Davies</w:t>
      </w:r>
      <w:r w:rsidR="00A40DA1">
        <w:rPr>
          <w:rFonts w:ascii="Book Antiqua" w:hAnsi="Book Antiqua"/>
          <w:color w:val="000000"/>
        </w:rPr>
        <w:t xml:space="preserve"> </w:t>
      </w:r>
      <w:r w:rsidR="00EC7A04">
        <w:rPr>
          <w:rFonts w:ascii="Book Antiqua" w:hAnsi="Book Antiqua"/>
          <w:color w:val="000000"/>
        </w:rPr>
        <w:t>and Males LJ</w:t>
      </w:r>
      <w:r w:rsidR="00DD2409">
        <w:rPr>
          <w:rFonts w:ascii="Book Antiqua" w:hAnsi="Book Antiqua"/>
          <w:color w:val="000000"/>
        </w:rPr>
        <w:t>J</w:t>
      </w:r>
      <w:r w:rsidR="00250B0A">
        <w:rPr>
          <w:rFonts w:ascii="Book Antiqua" w:hAnsi="Book Antiqua"/>
          <w:color w:val="000000"/>
        </w:rPr>
        <w:t xml:space="preserve"> agreed) </w:t>
      </w:r>
      <w:r w:rsidR="0045635F">
        <w:rPr>
          <w:rFonts w:ascii="Book Antiqua" w:hAnsi="Book Antiqua"/>
          <w:color w:val="000000"/>
        </w:rPr>
        <w:t>turn</w:t>
      </w:r>
      <w:r w:rsidR="00594911">
        <w:rPr>
          <w:rFonts w:ascii="Book Antiqua" w:hAnsi="Book Antiqua"/>
          <w:color w:val="000000"/>
        </w:rPr>
        <w:t>ed</w:t>
      </w:r>
      <w:r w:rsidR="0045635F">
        <w:rPr>
          <w:rFonts w:ascii="Book Antiqua" w:hAnsi="Book Antiqua"/>
          <w:color w:val="000000"/>
        </w:rPr>
        <w:t xml:space="preserve"> to </w:t>
      </w:r>
      <w:r w:rsidR="008F124E">
        <w:rPr>
          <w:rFonts w:ascii="Book Antiqua" w:hAnsi="Book Antiqua"/>
          <w:color w:val="000000"/>
        </w:rPr>
        <w:t>the matter with which we are presently concerned</w:t>
      </w:r>
      <w:r w:rsidR="00594911">
        <w:rPr>
          <w:rFonts w:ascii="Book Antiqua" w:hAnsi="Book Antiqua"/>
          <w:color w:val="000000"/>
        </w:rPr>
        <w:t>.</w:t>
      </w:r>
      <w:r w:rsidR="00882A8E">
        <w:rPr>
          <w:rFonts w:ascii="Book Antiqua" w:hAnsi="Book Antiqua"/>
          <w:color w:val="000000"/>
        </w:rPr>
        <w:t xml:space="preserve"> </w:t>
      </w:r>
      <w:r w:rsidR="00882A8E" w:rsidRPr="00A03B34">
        <w:rPr>
          <w:rFonts w:ascii="Book Antiqua" w:hAnsi="Book Antiqua"/>
          <w:color w:val="000000"/>
        </w:rPr>
        <w:t>The scene is set in paragraph 26</w:t>
      </w:r>
      <w:r w:rsidR="00394BEE" w:rsidRPr="00A03B34">
        <w:rPr>
          <w:rFonts w:ascii="Book Antiqua" w:hAnsi="Book Antiqua"/>
          <w:color w:val="000000"/>
        </w:rPr>
        <w:t xml:space="preserve">, with paragraph 27 containing the </w:t>
      </w:r>
      <w:r w:rsidR="00F74AF3" w:rsidRPr="00A03B34">
        <w:rPr>
          <w:rFonts w:ascii="Book Antiqua" w:hAnsi="Book Antiqua"/>
          <w:color w:val="000000"/>
        </w:rPr>
        <w:t>relevant conclusions</w:t>
      </w:r>
      <w:r w:rsidR="00250B0A" w:rsidRPr="00A03B34">
        <w:rPr>
          <w:rFonts w:ascii="Book Antiqua" w:hAnsi="Book Antiqua"/>
          <w:color w:val="000000"/>
        </w:rPr>
        <w:t>:</w:t>
      </w:r>
    </w:p>
    <w:p w14:paraId="0E63583C" w14:textId="663B930F" w:rsidR="004F2198" w:rsidRDefault="00250B0A" w:rsidP="008E1AD4">
      <w:pPr>
        <w:spacing w:before="240"/>
        <w:ind w:left="1440"/>
        <w:jc w:val="both"/>
        <w:rPr>
          <w:rFonts w:ascii="Book Antiqua" w:hAnsi="Book Antiqua" w:cs="Arial"/>
          <w:color w:val="000000"/>
          <w:sz w:val="22"/>
          <w:szCs w:val="22"/>
        </w:rPr>
      </w:pPr>
      <w:r w:rsidRPr="007A225E">
        <w:rPr>
          <w:rFonts w:ascii="Book Antiqua" w:hAnsi="Book Antiqua" w:cs="Arial"/>
          <w:color w:val="000000"/>
          <w:sz w:val="22"/>
          <w:szCs w:val="22"/>
        </w:rPr>
        <w:t>“</w:t>
      </w:r>
      <w:r w:rsidR="00D9532F">
        <w:rPr>
          <w:rFonts w:ascii="Book Antiqua" w:hAnsi="Book Antiqua" w:cs="Arial"/>
          <w:color w:val="000000"/>
          <w:sz w:val="22"/>
          <w:szCs w:val="22"/>
        </w:rPr>
        <w:t>26</w:t>
      </w:r>
      <w:r w:rsidR="000D2044" w:rsidRPr="007A225E">
        <w:rPr>
          <w:rFonts w:ascii="Book Antiqua" w:hAnsi="Book Antiqua" w:cs="Arial"/>
          <w:color w:val="000000"/>
          <w:sz w:val="22"/>
          <w:szCs w:val="22"/>
        </w:rPr>
        <w:t>. I turn to the substantive issue under this head, namely whether the Judge erred in law in declining to consider the Secretary of State's challenge to paras. 48-49 of the FTT's Reasons. His reason for taking that course was that she had failed to raise that challenge in accordance with "the relevant procedure rules": specifically, he referred to her failure (a) to appeal or (b) to provide a rule 24 response or (c) to serve a skeleton argument. Mr Chapman submitted that that was a misdirection: there was no obligation on the Secretary of State to take any of those steps.</w:t>
      </w:r>
    </w:p>
    <w:p w14:paraId="1B278400" w14:textId="77777777" w:rsidR="00CB712E" w:rsidRDefault="00CB712E" w:rsidP="008E1AD4">
      <w:pPr>
        <w:pStyle w:val="ListParagraph"/>
        <w:spacing w:before="240"/>
        <w:ind w:left="1080"/>
        <w:jc w:val="both"/>
        <w:rPr>
          <w:rFonts w:ascii="Book Antiqua" w:hAnsi="Book Antiqua" w:cs="Arial"/>
          <w:color w:val="000000"/>
          <w:sz w:val="22"/>
          <w:szCs w:val="22"/>
        </w:rPr>
      </w:pPr>
    </w:p>
    <w:p w14:paraId="132DF66C" w14:textId="3EFED5FE" w:rsidR="0028678F" w:rsidRPr="00CD1FE8" w:rsidRDefault="00D9532F" w:rsidP="008E1AD4">
      <w:pPr>
        <w:pStyle w:val="ListParagraph"/>
        <w:spacing w:before="240"/>
        <w:ind w:left="1440"/>
        <w:jc w:val="both"/>
        <w:rPr>
          <w:rFonts w:ascii="Book Antiqua" w:hAnsi="Book Antiqua" w:cs="Arial"/>
          <w:color w:val="000000"/>
          <w:sz w:val="22"/>
          <w:szCs w:val="22"/>
        </w:rPr>
      </w:pPr>
      <w:r>
        <w:rPr>
          <w:rFonts w:ascii="Book Antiqua" w:hAnsi="Book Antiqua" w:cs="Arial"/>
          <w:color w:val="000000"/>
          <w:sz w:val="22"/>
          <w:szCs w:val="22"/>
        </w:rPr>
        <w:t>27</w:t>
      </w:r>
      <w:r w:rsidR="00CB712E">
        <w:rPr>
          <w:rFonts w:ascii="Book Antiqua" w:hAnsi="Book Antiqua" w:cs="Arial"/>
          <w:color w:val="000000"/>
          <w:sz w:val="22"/>
          <w:szCs w:val="22"/>
        </w:rPr>
        <w:t>.</w:t>
      </w:r>
      <w:r>
        <w:rPr>
          <w:rFonts w:ascii="Book Antiqua" w:hAnsi="Book Antiqua" w:cs="Arial"/>
          <w:color w:val="000000"/>
          <w:sz w:val="22"/>
          <w:szCs w:val="22"/>
        </w:rPr>
        <w:t xml:space="preserve"> </w:t>
      </w:r>
      <w:r w:rsidR="00D947F5" w:rsidRPr="00D947F5">
        <w:rPr>
          <w:rFonts w:ascii="Book Antiqua" w:hAnsi="Book Antiqua" w:cs="Arial"/>
          <w:color w:val="000000"/>
          <w:sz w:val="22"/>
          <w:szCs w:val="22"/>
        </w:rPr>
        <w:t xml:space="preserve">I start with the alleged failure by the Secretary of State herself to appeal. I agree with Mr Chapman that there was no such failure. In my view Mr </w:t>
      </w:r>
      <w:proofErr w:type="spellStart"/>
      <w:r w:rsidR="00D947F5" w:rsidRPr="00D947F5">
        <w:rPr>
          <w:rFonts w:ascii="Book Antiqua" w:hAnsi="Book Antiqua" w:cs="Arial"/>
          <w:color w:val="000000"/>
          <w:sz w:val="22"/>
          <w:szCs w:val="22"/>
        </w:rPr>
        <w:t>Tufan</w:t>
      </w:r>
      <w:proofErr w:type="spellEnd"/>
      <w:r w:rsidR="00D947F5" w:rsidRPr="00D947F5">
        <w:rPr>
          <w:rFonts w:ascii="Book Antiqua" w:hAnsi="Book Antiqua" w:cs="Arial"/>
          <w:color w:val="000000"/>
          <w:sz w:val="22"/>
          <w:szCs w:val="22"/>
        </w:rPr>
        <w:t xml:space="preserve"> was quite right in his submission to DUTJ Latter (see para. 16 above) that that course was not open to her because she was (ostensibly) the winning party. As appears from para. 17 of his decision, the Judge acknowledged that that had once been the law, but he said that the position was changed by section 11 (2) of the Tribunals, Courts and Enforcement Act 2007, which reads “Any party has a right of appeal, subject to subsection (8)3 .” Subsection (1) defines a right of appeal, so far as relevant, as a right of appeal to the UT on a point of law. I accept that on a literal reading subsection (2) could be construed as giving a right of appeal not only to a party against whom an order has been made but also to a party who has obtained, as regards that order, the exact outcome that they sought: although usually the winning party would have no wish to appeal, occasionally they may be dissatisfied with particular findings made by the Court or with aspects of its reasoning (the present case, if the slip rule were unavailable, would be an example albeit of a very specific kind). But for the winning party to have a right of appeal in such a case would be contrary to well-established case-law governing the position in the common law courts, which reflects important policy considerations; the authorities are well-known, and I need only refer to the commentary in para. 9A-59.3 of the White Book. It was not suggested to us that there was any reason why Parliament should have intended a different approach in the case of appeals to the Upper Tribunal. Ms </w:t>
      </w:r>
      <w:proofErr w:type="spellStart"/>
      <w:r w:rsidR="00D947F5" w:rsidRPr="00D947F5">
        <w:rPr>
          <w:rFonts w:ascii="Book Antiqua" w:hAnsi="Book Antiqua" w:cs="Arial"/>
          <w:color w:val="000000"/>
          <w:sz w:val="22"/>
          <w:szCs w:val="22"/>
        </w:rPr>
        <w:t>Broadfoot</w:t>
      </w:r>
      <w:proofErr w:type="spellEnd"/>
      <w:r w:rsidR="00D947F5" w:rsidRPr="00D947F5">
        <w:rPr>
          <w:rFonts w:ascii="Book Antiqua" w:hAnsi="Book Antiqua" w:cs="Arial"/>
          <w:color w:val="000000"/>
          <w:sz w:val="22"/>
          <w:szCs w:val="22"/>
        </w:rPr>
        <w:t xml:space="preserve"> sought to support DUTJ Latter’s conclusion by reference to the decision of the UT in </w:t>
      </w:r>
      <w:r w:rsidR="00D947F5" w:rsidRPr="00067ED8">
        <w:rPr>
          <w:rFonts w:ascii="Book Antiqua" w:hAnsi="Book Antiqua" w:cs="Arial"/>
          <w:i/>
          <w:iCs/>
          <w:color w:val="000000"/>
          <w:sz w:val="22"/>
          <w:szCs w:val="22"/>
        </w:rPr>
        <w:t xml:space="preserve">EG and NG (Ethiopia) </w:t>
      </w:r>
      <w:r w:rsidR="00D947F5" w:rsidRPr="00D947F5">
        <w:rPr>
          <w:rFonts w:ascii="Book Antiqua" w:hAnsi="Book Antiqua" w:cs="Arial"/>
          <w:color w:val="000000"/>
          <w:sz w:val="22"/>
          <w:szCs w:val="22"/>
        </w:rPr>
        <w:t>[2013] UKUT 000143 (IAC), but that was not concerned with the present point at all. I am sure that section 11 (2) of the 2007 Act is intended to confer a right of appeal only against some aspect of the actual order of the FTT, and that the phrase “any party” must be read as referring only to a party who has in that sense lost.</w:t>
      </w:r>
      <w:r w:rsidR="00067ED8">
        <w:rPr>
          <w:rFonts w:ascii="Book Antiqua" w:hAnsi="Book Antiqua" w:cs="Arial"/>
          <w:color w:val="000000"/>
          <w:sz w:val="22"/>
          <w:szCs w:val="22"/>
        </w:rPr>
        <w:t>”</w:t>
      </w:r>
    </w:p>
    <w:p w14:paraId="00AEEDC4" w14:textId="2D9A7CC1" w:rsidR="00094026" w:rsidRPr="00A44436" w:rsidRDefault="006B0774" w:rsidP="00865BFE">
      <w:pPr>
        <w:numPr>
          <w:ilvl w:val="0"/>
          <w:numId w:val="18"/>
        </w:numPr>
        <w:spacing w:before="240"/>
        <w:jc w:val="both"/>
        <w:rPr>
          <w:rFonts w:ascii="Book Antiqua" w:hAnsi="Book Antiqua" w:cs="Arial"/>
        </w:rPr>
      </w:pPr>
      <w:r w:rsidRPr="00A44436">
        <w:rPr>
          <w:rFonts w:ascii="Book Antiqua" w:hAnsi="Book Antiqua" w:cs="Arial"/>
        </w:rPr>
        <w:t>We are satisfied that t</w:t>
      </w:r>
      <w:r w:rsidR="00413F16" w:rsidRPr="00A44436">
        <w:rPr>
          <w:rFonts w:ascii="Book Antiqua" w:hAnsi="Book Antiqua" w:cs="Arial"/>
        </w:rPr>
        <w:t xml:space="preserve">he Court’s attention was </w:t>
      </w:r>
      <w:r w:rsidRPr="00A44436">
        <w:rPr>
          <w:rFonts w:ascii="Book Antiqua" w:hAnsi="Book Antiqua" w:cs="Arial"/>
        </w:rPr>
        <w:t xml:space="preserve">not </w:t>
      </w:r>
      <w:r w:rsidR="00413F16" w:rsidRPr="00A44436">
        <w:rPr>
          <w:rFonts w:ascii="Book Antiqua" w:hAnsi="Book Antiqua" w:cs="Arial"/>
        </w:rPr>
        <w:t>drawn to</w:t>
      </w:r>
      <w:r w:rsidR="00CC1ABA" w:rsidRPr="00A44436">
        <w:rPr>
          <w:rFonts w:ascii="Book Antiqua" w:hAnsi="Book Antiqua" w:cs="Arial"/>
        </w:rPr>
        <w:t xml:space="preserve"> </w:t>
      </w:r>
      <w:r w:rsidR="00CC1ABA" w:rsidRPr="00A44436">
        <w:rPr>
          <w:rFonts w:ascii="Book Antiqua" w:hAnsi="Book Antiqua" w:cs="Arial"/>
          <w:u w:val="single"/>
        </w:rPr>
        <w:t>Anwar</w:t>
      </w:r>
      <w:r w:rsidR="00CC1ABA" w:rsidRPr="00A44436">
        <w:rPr>
          <w:rFonts w:ascii="Book Antiqua" w:hAnsi="Book Antiqua" w:cs="Arial"/>
        </w:rPr>
        <w:t>.</w:t>
      </w:r>
    </w:p>
    <w:p w14:paraId="0A8848E7" w14:textId="760CF286" w:rsidR="00065F0E" w:rsidRDefault="000B03EE" w:rsidP="00865BFE">
      <w:pPr>
        <w:numPr>
          <w:ilvl w:val="0"/>
          <w:numId w:val="18"/>
        </w:numPr>
        <w:spacing w:before="240"/>
        <w:jc w:val="both"/>
        <w:rPr>
          <w:rFonts w:ascii="Book Antiqua" w:hAnsi="Book Antiqua" w:cs="Arial"/>
        </w:rPr>
      </w:pPr>
      <w:r>
        <w:rPr>
          <w:rFonts w:ascii="Book Antiqua" w:hAnsi="Book Antiqua" w:cs="Arial"/>
        </w:rPr>
        <w:t>The</w:t>
      </w:r>
      <w:r w:rsidR="00F001F5">
        <w:rPr>
          <w:rFonts w:ascii="Book Antiqua" w:hAnsi="Book Antiqua" w:cs="Arial"/>
        </w:rPr>
        <w:t xml:space="preserve"> essential facts of </w:t>
      </w:r>
      <w:r w:rsidR="00F001F5" w:rsidRPr="00E07EDA">
        <w:rPr>
          <w:rFonts w:ascii="Book Antiqua" w:hAnsi="Book Antiqua" w:cs="Arial"/>
          <w:u w:val="single"/>
        </w:rPr>
        <w:t>Anwar</w:t>
      </w:r>
      <w:r w:rsidR="00F001F5">
        <w:rPr>
          <w:rFonts w:ascii="Book Antiqua" w:hAnsi="Book Antiqua" w:cs="Arial"/>
        </w:rPr>
        <w:t xml:space="preserve"> were as follows.</w:t>
      </w:r>
      <w:r w:rsidR="00225168">
        <w:rPr>
          <w:rFonts w:ascii="Book Antiqua" w:hAnsi="Book Antiqua" w:cs="Arial"/>
        </w:rPr>
        <w:t xml:space="preserve"> </w:t>
      </w:r>
      <w:r w:rsidR="00C01431">
        <w:rPr>
          <w:rFonts w:ascii="Book Antiqua" w:hAnsi="Book Antiqua" w:cs="Arial"/>
        </w:rPr>
        <w:t>Mr Anwar</w:t>
      </w:r>
      <w:r w:rsidR="00225168">
        <w:rPr>
          <w:rFonts w:ascii="Book Antiqua" w:hAnsi="Book Antiqua" w:cs="Arial"/>
        </w:rPr>
        <w:t>, a citizen of Pakistan, ha</w:t>
      </w:r>
      <w:r w:rsidR="008449BC">
        <w:rPr>
          <w:rFonts w:ascii="Book Antiqua" w:hAnsi="Book Antiqua" w:cs="Arial"/>
        </w:rPr>
        <w:t>d</w:t>
      </w:r>
      <w:r w:rsidR="00225168">
        <w:rPr>
          <w:rFonts w:ascii="Book Antiqua" w:hAnsi="Book Antiqua" w:cs="Arial"/>
        </w:rPr>
        <w:t xml:space="preserve"> been in the United Kingdom with leave to remain as a student</w:t>
      </w:r>
      <w:r w:rsidR="003319AE">
        <w:rPr>
          <w:rFonts w:ascii="Book Antiqua" w:hAnsi="Book Antiqua" w:cs="Arial"/>
        </w:rPr>
        <w:t>. In 2013</w:t>
      </w:r>
      <w:r w:rsidR="0002572B">
        <w:rPr>
          <w:rFonts w:ascii="Book Antiqua" w:hAnsi="Book Antiqua" w:cs="Arial"/>
        </w:rPr>
        <w:t xml:space="preserve"> he made an application for further leave in the same category. Th</w:t>
      </w:r>
      <w:r w:rsidR="008449BC">
        <w:rPr>
          <w:rFonts w:ascii="Book Antiqua" w:hAnsi="Book Antiqua" w:cs="Arial"/>
        </w:rPr>
        <w:t xml:space="preserve">e refusal of that application </w:t>
      </w:r>
      <w:r w:rsidR="00C01431">
        <w:rPr>
          <w:rFonts w:ascii="Book Antiqua" w:hAnsi="Book Antiqua" w:cs="Arial"/>
        </w:rPr>
        <w:t xml:space="preserve">was in part </w:t>
      </w:r>
      <w:r w:rsidR="00156DB5">
        <w:rPr>
          <w:rFonts w:ascii="Book Antiqua" w:hAnsi="Book Antiqua" w:cs="Arial"/>
        </w:rPr>
        <w:t>based on the conclusion that Mr Anwar had breached a condition of his leave, namely</w:t>
      </w:r>
      <w:r w:rsidR="003D6E60">
        <w:rPr>
          <w:rFonts w:ascii="Book Antiqua" w:hAnsi="Book Antiqua" w:cs="Arial"/>
        </w:rPr>
        <w:t xml:space="preserve"> a prohibition on </w:t>
      </w:r>
      <w:r w:rsidR="00C90B3A">
        <w:rPr>
          <w:rFonts w:ascii="Book Antiqua" w:hAnsi="Book Antiqua" w:cs="Arial"/>
        </w:rPr>
        <w:t>switching</w:t>
      </w:r>
      <w:r w:rsidR="00255CF0">
        <w:rPr>
          <w:rFonts w:ascii="Book Antiqua" w:hAnsi="Book Antiqua" w:cs="Arial"/>
        </w:rPr>
        <w:t xml:space="preserve"> between different educational institutions without first making a new application to the respondent.</w:t>
      </w:r>
      <w:r w:rsidR="0002357A">
        <w:rPr>
          <w:rFonts w:ascii="Book Antiqua" w:hAnsi="Book Antiqua" w:cs="Arial"/>
        </w:rPr>
        <w:t xml:space="preserve"> </w:t>
      </w:r>
      <w:r w:rsidR="00F335C5">
        <w:rPr>
          <w:rFonts w:ascii="Book Antiqua" w:hAnsi="Book Antiqua" w:cs="Arial"/>
        </w:rPr>
        <w:t>It was said that paragraph 322(3) of the</w:t>
      </w:r>
      <w:r w:rsidR="00E91AD1">
        <w:rPr>
          <w:rFonts w:ascii="Book Antiqua" w:hAnsi="Book Antiqua" w:cs="Arial"/>
        </w:rPr>
        <w:t xml:space="preserve"> </w:t>
      </w:r>
      <w:r w:rsidR="00F335C5">
        <w:rPr>
          <w:rFonts w:ascii="Book Antiqua" w:hAnsi="Book Antiqua" w:cs="Arial"/>
        </w:rPr>
        <w:t xml:space="preserve">Rules applied. </w:t>
      </w:r>
      <w:r w:rsidR="0002357A">
        <w:rPr>
          <w:rFonts w:ascii="Book Antiqua" w:hAnsi="Book Antiqua" w:cs="Arial"/>
        </w:rPr>
        <w:t xml:space="preserve">The appeal </w:t>
      </w:r>
      <w:r w:rsidR="00D31029">
        <w:rPr>
          <w:rFonts w:ascii="Book Antiqua" w:hAnsi="Book Antiqua" w:cs="Arial"/>
        </w:rPr>
        <w:t xml:space="preserve">against </w:t>
      </w:r>
      <w:r w:rsidR="00903AC4">
        <w:rPr>
          <w:rFonts w:ascii="Book Antiqua" w:hAnsi="Book Antiqua" w:cs="Arial"/>
        </w:rPr>
        <w:t xml:space="preserve">the decision </w:t>
      </w:r>
      <w:r w:rsidR="0002357A">
        <w:rPr>
          <w:rFonts w:ascii="Book Antiqua" w:hAnsi="Book Antiqua" w:cs="Arial"/>
        </w:rPr>
        <w:t>was dismissed by the First-tier Tribunal</w:t>
      </w:r>
      <w:r w:rsidR="0012307C">
        <w:rPr>
          <w:rFonts w:ascii="Book Antiqua" w:hAnsi="Book Antiqua" w:cs="Arial"/>
        </w:rPr>
        <w:t xml:space="preserve">. </w:t>
      </w:r>
      <w:r w:rsidR="00903AC4">
        <w:rPr>
          <w:rFonts w:ascii="Book Antiqua" w:hAnsi="Book Antiqua" w:cs="Arial"/>
        </w:rPr>
        <w:t>T</w:t>
      </w:r>
      <w:r w:rsidR="0012307C">
        <w:rPr>
          <w:rFonts w:ascii="Book Antiqua" w:hAnsi="Book Antiqua" w:cs="Arial"/>
        </w:rPr>
        <w:t>he Upper Tribunal</w:t>
      </w:r>
      <w:r w:rsidR="00A121F6">
        <w:rPr>
          <w:rFonts w:ascii="Book Antiqua" w:hAnsi="Book Antiqua" w:cs="Arial"/>
        </w:rPr>
        <w:t xml:space="preserve"> allowed</w:t>
      </w:r>
      <w:r w:rsidR="001B582F">
        <w:rPr>
          <w:rFonts w:ascii="Book Antiqua" w:hAnsi="Book Antiqua" w:cs="Arial"/>
        </w:rPr>
        <w:t xml:space="preserve"> Mr Anwar’s </w:t>
      </w:r>
      <w:r w:rsidR="00903AC4">
        <w:rPr>
          <w:rFonts w:ascii="Book Antiqua" w:hAnsi="Book Antiqua" w:cs="Arial"/>
        </w:rPr>
        <w:t xml:space="preserve">onward </w:t>
      </w:r>
      <w:r w:rsidR="001B582F">
        <w:rPr>
          <w:rFonts w:ascii="Book Antiqua" w:hAnsi="Book Antiqua" w:cs="Arial"/>
        </w:rPr>
        <w:t>appeal</w:t>
      </w:r>
      <w:r w:rsidR="003978F5">
        <w:rPr>
          <w:rFonts w:ascii="Book Antiqua" w:hAnsi="Book Antiqua" w:cs="Arial"/>
        </w:rPr>
        <w:t xml:space="preserve"> on the limited basis</w:t>
      </w:r>
      <w:r w:rsidR="003860C5">
        <w:rPr>
          <w:rFonts w:ascii="Book Antiqua" w:hAnsi="Book Antiqua" w:cs="Arial"/>
        </w:rPr>
        <w:t xml:space="preserve"> </w:t>
      </w:r>
      <w:r w:rsidR="00903AC4">
        <w:rPr>
          <w:rFonts w:ascii="Book Antiqua" w:hAnsi="Book Antiqua" w:cs="Arial"/>
        </w:rPr>
        <w:t xml:space="preserve">that </w:t>
      </w:r>
      <w:r w:rsidR="003860C5">
        <w:rPr>
          <w:rFonts w:ascii="Book Antiqua" w:hAnsi="Book Antiqua" w:cs="Arial"/>
        </w:rPr>
        <w:t>the respondent had failed to exercise a discretion and that</w:t>
      </w:r>
      <w:r w:rsidR="0031778C">
        <w:rPr>
          <w:rFonts w:ascii="Book Antiqua" w:hAnsi="Book Antiqua" w:cs="Arial"/>
        </w:rPr>
        <w:t xml:space="preserve"> the resulting decision was not otherwise in accordance with the law (</w:t>
      </w:r>
      <w:r w:rsidR="00190495">
        <w:rPr>
          <w:rFonts w:ascii="Book Antiqua" w:hAnsi="Book Antiqua" w:cs="Arial"/>
        </w:rPr>
        <w:t xml:space="preserve">in order for the </w:t>
      </w:r>
      <w:r w:rsidR="00205A70">
        <w:rPr>
          <w:rFonts w:ascii="Book Antiqua" w:hAnsi="Book Antiqua" w:cs="Arial"/>
        </w:rPr>
        <w:t xml:space="preserve">Upper Tribunal to have reached that stage </w:t>
      </w:r>
      <w:r w:rsidR="00B226F5">
        <w:rPr>
          <w:rFonts w:ascii="Book Antiqua" w:hAnsi="Book Antiqua" w:cs="Arial"/>
        </w:rPr>
        <w:t>it must also have been the case that</w:t>
      </w:r>
      <w:r w:rsidR="00A64108">
        <w:rPr>
          <w:rFonts w:ascii="Book Antiqua" w:hAnsi="Book Antiqua" w:cs="Arial"/>
        </w:rPr>
        <w:t xml:space="preserve"> the First-tier Tribunal had failed to address this issue or had done so erroneously</w:t>
      </w:r>
      <w:r w:rsidR="00205A70">
        <w:rPr>
          <w:rFonts w:ascii="Book Antiqua" w:hAnsi="Book Antiqua" w:cs="Arial"/>
        </w:rPr>
        <w:t>). However,</w:t>
      </w:r>
      <w:r w:rsidR="0099624F">
        <w:rPr>
          <w:rFonts w:ascii="Book Antiqua" w:hAnsi="Book Antiqua" w:cs="Arial"/>
        </w:rPr>
        <w:t xml:space="preserve"> the finding by the First-tier Tribunal that Mr Anwar had</w:t>
      </w:r>
      <w:r w:rsidR="002B557A">
        <w:rPr>
          <w:rFonts w:ascii="Book Antiqua" w:hAnsi="Book Antiqua" w:cs="Arial"/>
        </w:rPr>
        <w:t xml:space="preserve"> breached a condition of his leave was expressly upheld.</w:t>
      </w:r>
      <w:r w:rsidR="00332674">
        <w:rPr>
          <w:rFonts w:ascii="Book Antiqua" w:hAnsi="Book Antiqua" w:cs="Arial"/>
        </w:rPr>
        <w:t xml:space="preserve"> Mr Anwar appealed to the Court of Appeal against this aspect of the Upper Tribunal’s decision.</w:t>
      </w:r>
    </w:p>
    <w:p w14:paraId="47781955" w14:textId="24DA8B63" w:rsidR="006D65F0" w:rsidRDefault="006D65F0" w:rsidP="00865BFE">
      <w:pPr>
        <w:numPr>
          <w:ilvl w:val="0"/>
          <w:numId w:val="18"/>
        </w:numPr>
        <w:spacing w:before="240"/>
        <w:jc w:val="both"/>
        <w:rPr>
          <w:rFonts w:ascii="Book Antiqua" w:hAnsi="Book Antiqua" w:cs="Arial"/>
        </w:rPr>
      </w:pPr>
      <w:r>
        <w:rPr>
          <w:rFonts w:ascii="Book Antiqua" w:hAnsi="Book Antiqua" w:cs="Arial"/>
        </w:rPr>
        <w:t xml:space="preserve">The relevant </w:t>
      </w:r>
      <w:r w:rsidR="00A000B5">
        <w:rPr>
          <w:rFonts w:ascii="Book Antiqua" w:hAnsi="Book Antiqua" w:cs="Arial"/>
        </w:rPr>
        <w:t>part</w:t>
      </w:r>
      <w:r>
        <w:rPr>
          <w:rFonts w:ascii="Book Antiqua" w:hAnsi="Book Antiqua" w:cs="Arial"/>
        </w:rPr>
        <w:t xml:space="preserve"> of the judgment of Singh LJ (with whom</w:t>
      </w:r>
      <w:r w:rsidR="00164791">
        <w:rPr>
          <w:rFonts w:ascii="Book Antiqua" w:hAnsi="Book Antiqua" w:cs="Arial"/>
        </w:rPr>
        <w:t xml:space="preserve"> Peter Jackson LJ agreed) </w:t>
      </w:r>
      <w:r w:rsidR="00A000B5">
        <w:rPr>
          <w:rFonts w:ascii="Book Antiqua" w:hAnsi="Book Antiqua" w:cs="Arial"/>
        </w:rPr>
        <w:t>is</w:t>
      </w:r>
      <w:r w:rsidR="00164791">
        <w:rPr>
          <w:rFonts w:ascii="Book Antiqua" w:hAnsi="Book Antiqua" w:cs="Arial"/>
        </w:rPr>
        <w:t xml:space="preserve"> relatively brief</w:t>
      </w:r>
      <w:r w:rsidR="00812748">
        <w:rPr>
          <w:rFonts w:ascii="Book Antiqua" w:hAnsi="Book Antiqua" w:cs="Arial"/>
        </w:rPr>
        <w:t xml:space="preserve"> and it is best to set it out in full:</w:t>
      </w:r>
    </w:p>
    <w:p w14:paraId="089F6401" w14:textId="77777777" w:rsidR="00A27BF1" w:rsidRPr="00A27BF1" w:rsidRDefault="00812748" w:rsidP="008E1AD4">
      <w:pPr>
        <w:spacing w:before="240"/>
        <w:ind w:left="1440"/>
        <w:jc w:val="both"/>
        <w:rPr>
          <w:rFonts w:ascii="Book Antiqua" w:hAnsi="Book Antiqua" w:cs="Arial"/>
          <w:sz w:val="22"/>
          <w:szCs w:val="22"/>
        </w:rPr>
      </w:pPr>
      <w:r w:rsidRPr="00A27BF1">
        <w:rPr>
          <w:rFonts w:ascii="Book Antiqua" w:hAnsi="Book Antiqua" w:cs="Arial"/>
          <w:sz w:val="22"/>
          <w:szCs w:val="22"/>
        </w:rPr>
        <w:t>“</w:t>
      </w:r>
      <w:r w:rsidR="00A27BF1" w:rsidRPr="00A27BF1">
        <w:rPr>
          <w:rFonts w:ascii="Book Antiqua" w:hAnsi="Book Antiqua" w:cs="Arial"/>
          <w:sz w:val="22"/>
          <w:szCs w:val="22"/>
        </w:rPr>
        <w:t>Is the Present Appeal Academic?</w:t>
      </w:r>
    </w:p>
    <w:p w14:paraId="65CC24EC" w14:textId="59CF2584" w:rsidR="00A27BF1" w:rsidRPr="00A27BF1" w:rsidRDefault="00A27BF1" w:rsidP="008E1AD4">
      <w:pPr>
        <w:spacing w:before="240"/>
        <w:ind w:left="1440"/>
        <w:jc w:val="both"/>
        <w:rPr>
          <w:rFonts w:ascii="Book Antiqua" w:hAnsi="Book Antiqua" w:cs="Arial"/>
          <w:sz w:val="22"/>
          <w:szCs w:val="22"/>
        </w:rPr>
      </w:pPr>
      <w:r w:rsidRPr="00A27BF1">
        <w:rPr>
          <w:rFonts w:ascii="Book Antiqua" w:hAnsi="Book Antiqua" w:cs="Arial"/>
          <w:sz w:val="22"/>
          <w:szCs w:val="22"/>
        </w:rPr>
        <w:t>14.</w:t>
      </w:r>
      <w:r w:rsidR="00561AFB">
        <w:rPr>
          <w:rFonts w:ascii="Book Antiqua" w:hAnsi="Book Antiqua" w:cs="Arial"/>
          <w:sz w:val="22"/>
          <w:szCs w:val="22"/>
        </w:rPr>
        <w:t xml:space="preserve"> </w:t>
      </w:r>
      <w:r w:rsidRPr="00A27BF1">
        <w:rPr>
          <w:rFonts w:ascii="Book Antiqua" w:hAnsi="Book Antiqua" w:cs="Arial"/>
          <w:sz w:val="22"/>
          <w:szCs w:val="22"/>
        </w:rPr>
        <w:t>When permission to appeal in the present case was first refused on the papers by Simon LJ, it was on the ground that the case had become academic because the Appellant’s appeal had succeeded in front of the UT.  As I have already mentioned, the outcome of the appeal was that the UT remitted the case to the Secretary of State for reconsideration.</w:t>
      </w:r>
    </w:p>
    <w:p w14:paraId="63B1522A" w14:textId="5AFD8620" w:rsidR="00A27BF1" w:rsidRPr="00A27BF1" w:rsidRDefault="00A27BF1" w:rsidP="008E1AD4">
      <w:pPr>
        <w:spacing w:before="240"/>
        <w:ind w:left="1440"/>
        <w:jc w:val="both"/>
        <w:rPr>
          <w:rFonts w:ascii="Book Antiqua" w:hAnsi="Book Antiqua" w:cs="Arial"/>
          <w:sz w:val="22"/>
          <w:szCs w:val="22"/>
        </w:rPr>
      </w:pPr>
      <w:r w:rsidRPr="00A27BF1">
        <w:rPr>
          <w:rFonts w:ascii="Book Antiqua" w:hAnsi="Book Antiqua" w:cs="Arial"/>
          <w:sz w:val="22"/>
          <w:szCs w:val="22"/>
        </w:rPr>
        <w:t>15.</w:t>
      </w:r>
      <w:r w:rsidR="00561AFB">
        <w:rPr>
          <w:rFonts w:ascii="Book Antiqua" w:hAnsi="Book Antiqua" w:cs="Arial"/>
          <w:sz w:val="22"/>
          <w:szCs w:val="22"/>
        </w:rPr>
        <w:t xml:space="preserve"> </w:t>
      </w:r>
      <w:r w:rsidRPr="00A27BF1">
        <w:rPr>
          <w:rFonts w:ascii="Book Antiqua" w:hAnsi="Book Antiqua" w:cs="Arial"/>
          <w:sz w:val="22"/>
          <w:szCs w:val="22"/>
        </w:rPr>
        <w:t>In granting permission at the oral hearing on 5 May 2016 Lewison LJ noted that the normal rule in ordinary litigation is that appeals are made against orders rather than against the reasons for making those orders.  That was decided in Lake v Lake [1955] P 336, although, as Lewison LJ observed, where the appellant does not get all the relief from the lower court that he is entitled to, the court nevertheless has the power to entertain an appeal:  see Curtis v London Rent Assessment Committee [1999] QB 92.</w:t>
      </w:r>
    </w:p>
    <w:p w14:paraId="24AA0CB2" w14:textId="25835398" w:rsidR="00A27BF1" w:rsidRPr="00A27BF1" w:rsidRDefault="00A27BF1" w:rsidP="008E1AD4">
      <w:pPr>
        <w:spacing w:before="240"/>
        <w:ind w:left="1440"/>
        <w:jc w:val="both"/>
        <w:rPr>
          <w:rFonts w:ascii="Book Antiqua" w:hAnsi="Book Antiqua" w:cs="Arial"/>
          <w:sz w:val="22"/>
          <w:szCs w:val="22"/>
        </w:rPr>
      </w:pPr>
      <w:r w:rsidRPr="00A27BF1">
        <w:rPr>
          <w:rFonts w:ascii="Book Antiqua" w:hAnsi="Book Antiqua" w:cs="Arial"/>
          <w:sz w:val="22"/>
          <w:szCs w:val="22"/>
        </w:rPr>
        <w:t>16.</w:t>
      </w:r>
      <w:r w:rsidR="00561AFB">
        <w:rPr>
          <w:rFonts w:ascii="Book Antiqua" w:hAnsi="Book Antiqua" w:cs="Arial"/>
          <w:sz w:val="22"/>
          <w:szCs w:val="22"/>
        </w:rPr>
        <w:t xml:space="preserve"> </w:t>
      </w:r>
      <w:r w:rsidRPr="00A27BF1">
        <w:rPr>
          <w:rFonts w:ascii="Book Antiqua" w:hAnsi="Book Antiqua" w:cs="Arial"/>
          <w:sz w:val="22"/>
          <w:szCs w:val="22"/>
        </w:rPr>
        <w:t>Lewison LJ also noted that the right of appeal to this Court in cases of the present kind is conferred by section 13 of the Tribunals, Courts and Enforcement Act 2007.  Subsection (1) of that section provides:</w:t>
      </w:r>
    </w:p>
    <w:p w14:paraId="1C131F51" w14:textId="41274F9D" w:rsidR="00A27BF1" w:rsidRPr="00A27BF1" w:rsidRDefault="00A27BF1" w:rsidP="008E1AD4">
      <w:pPr>
        <w:spacing w:before="240"/>
        <w:ind w:left="2160"/>
        <w:jc w:val="both"/>
        <w:rPr>
          <w:rFonts w:ascii="Book Antiqua" w:hAnsi="Book Antiqua" w:cs="Arial"/>
          <w:sz w:val="22"/>
          <w:szCs w:val="22"/>
        </w:rPr>
      </w:pPr>
      <w:r w:rsidRPr="00A27BF1">
        <w:rPr>
          <w:rFonts w:ascii="Book Antiqua" w:hAnsi="Book Antiqua" w:cs="Arial"/>
          <w:sz w:val="22"/>
          <w:szCs w:val="22"/>
        </w:rPr>
        <w:t>“For the purposes of subsection (2), the reference to a right of appeal is to a right to appeal to the relevant appellate court on any point of law arising from a decision by the Upper Tribunal other than an excluded decision.”</w:t>
      </w:r>
    </w:p>
    <w:p w14:paraId="24A52F2F" w14:textId="7D64D811" w:rsidR="00A27BF1" w:rsidRPr="00A27BF1" w:rsidRDefault="00A27BF1" w:rsidP="008E1AD4">
      <w:pPr>
        <w:spacing w:before="240"/>
        <w:ind w:left="1440"/>
        <w:jc w:val="both"/>
        <w:rPr>
          <w:rFonts w:ascii="Book Antiqua" w:hAnsi="Book Antiqua" w:cs="Arial"/>
          <w:sz w:val="22"/>
          <w:szCs w:val="22"/>
        </w:rPr>
      </w:pPr>
      <w:r w:rsidRPr="00A27BF1">
        <w:rPr>
          <w:rFonts w:ascii="Book Antiqua" w:hAnsi="Book Antiqua" w:cs="Arial"/>
          <w:sz w:val="22"/>
          <w:szCs w:val="22"/>
        </w:rPr>
        <w:t>17.</w:t>
      </w:r>
      <w:r w:rsidR="00561AFB">
        <w:rPr>
          <w:rFonts w:ascii="Book Antiqua" w:hAnsi="Book Antiqua" w:cs="Arial"/>
          <w:sz w:val="22"/>
          <w:szCs w:val="22"/>
        </w:rPr>
        <w:t xml:space="preserve"> </w:t>
      </w:r>
      <w:r w:rsidRPr="00A27BF1">
        <w:rPr>
          <w:rFonts w:ascii="Book Antiqua" w:hAnsi="Book Antiqua" w:cs="Arial"/>
          <w:sz w:val="22"/>
          <w:szCs w:val="22"/>
        </w:rPr>
        <w:t>Lewison LJ said that “any point of law arising from a decision” is wider than the normal rule for appeals.  He said:</w:t>
      </w:r>
    </w:p>
    <w:p w14:paraId="2C0BE732" w14:textId="72BE98DC" w:rsidR="00A27BF1" w:rsidRPr="00A27BF1" w:rsidRDefault="00A27BF1" w:rsidP="008E1AD4">
      <w:pPr>
        <w:spacing w:before="240"/>
        <w:ind w:left="2160"/>
        <w:jc w:val="both"/>
        <w:rPr>
          <w:rFonts w:ascii="Book Antiqua" w:hAnsi="Book Antiqua" w:cs="Arial"/>
          <w:sz w:val="22"/>
          <w:szCs w:val="22"/>
        </w:rPr>
      </w:pPr>
      <w:r w:rsidRPr="00A27BF1">
        <w:rPr>
          <w:rFonts w:ascii="Book Antiqua" w:hAnsi="Book Antiqua" w:cs="Arial"/>
          <w:sz w:val="22"/>
          <w:szCs w:val="22"/>
        </w:rPr>
        <w:t>“I am satisfied that this Court does have jurisdiction to entertain the appeal, and that if the appeal were to succeed it would significantly affect any future decision which the Secretary of State were to make in relation to the appellant’s application for an extension of leave to remain.”</w:t>
      </w:r>
    </w:p>
    <w:p w14:paraId="5FB12EC5" w14:textId="03554EAB" w:rsidR="00A27BF1" w:rsidRPr="00A27BF1" w:rsidRDefault="00A27BF1" w:rsidP="008E1AD4">
      <w:pPr>
        <w:spacing w:before="240"/>
        <w:ind w:left="1440"/>
        <w:jc w:val="both"/>
        <w:rPr>
          <w:rFonts w:ascii="Book Antiqua" w:hAnsi="Book Antiqua" w:cs="Arial"/>
          <w:sz w:val="22"/>
          <w:szCs w:val="22"/>
        </w:rPr>
      </w:pPr>
      <w:r w:rsidRPr="00A27BF1">
        <w:rPr>
          <w:rFonts w:ascii="Book Antiqua" w:hAnsi="Book Antiqua" w:cs="Arial"/>
          <w:sz w:val="22"/>
          <w:szCs w:val="22"/>
        </w:rPr>
        <w:t>18.</w:t>
      </w:r>
      <w:r w:rsidR="00561AFB">
        <w:rPr>
          <w:rFonts w:ascii="Book Antiqua" w:hAnsi="Book Antiqua" w:cs="Arial"/>
          <w:sz w:val="22"/>
          <w:szCs w:val="22"/>
        </w:rPr>
        <w:t xml:space="preserve"> </w:t>
      </w:r>
      <w:r w:rsidRPr="00A27BF1">
        <w:rPr>
          <w:rFonts w:ascii="Book Antiqua" w:hAnsi="Book Antiqua" w:cs="Arial"/>
          <w:sz w:val="22"/>
          <w:szCs w:val="22"/>
        </w:rPr>
        <w:t>I respectfully agree with those observations.</w:t>
      </w:r>
    </w:p>
    <w:p w14:paraId="2B5C31F4" w14:textId="74597416" w:rsidR="00A27BF1" w:rsidRPr="00A27BF1" w:rsidRDefault="00A27BF1" w:rsidP="008E1AD4">
      <w:pPr>
        <w:spacing w:before="240"/>
        <w:ind w:left="1440"/>
        <w:jc w:val="both"/>
        <w:rPr>
          <w:rFonts w:ascii="Book Antiqua" w:hAnsi="Book Antiqua" w:cs="Arial"/>
          <w:sz w:val="22"/>
          <w:szCs w:val="22"/>
        </w:rPr>
      </w:pPr>
      <w:r w:rsidRPr="00A27BF1">
        <w:rPr>
          <w:rFonts w:ascii="Book Antiqua" w:hAnsi="Book Antiqua" w:cs="Arial"/>
          <w:sz w:val="22"/>
          <w:szCs w:val="22"/>
        </w:rPr>
        <w:t>19.</w:t>
      </w:r>
      <w:r w:rsidR="00561AFB">
        <w:rPr>
          <w:rFonts w:ascii="Book Antiqua" w:hAnsi="Book Antiqua" w:cs="Arial"/>
          <w:sz w:val="22"/>
          <w:szCs w:val="22"/>
        </w:rPr>
        <w:t xml:space="preserve"> </w:t>
      </w:r>
      <w:r w:rsidRPr="00A27BF1">
        <w:rPr>
          <w:rFonts w:ascii="Book Antiqua" w:hAnsi="Book Antiqua" w:cs="Arial"/>
          <w:sz w:val="22"/>
          <w:szCs w:val="22"/>
        </w:rPr>
        <w:t>There is one further point which should be mentioned at this stage, because it too goes to the question of whether this appeal has become academic.</w:t>
      </w:r>
    </w:p>
    <w:p w14:paraId="0AF5372F" w14:textId="4D13B54E" w:rsidR="00A27BF1" w:rsidRPr="00A27BF1" w:rsidRDefault="00A27BF1" w:rsidP="008E1AD4">
      <w:pPr>
        <w:spacing w:before="240"/>
        <w:ind w:left="1440"/>
        <w:jc w:val="both"/>
        <w:rPr>
          <w:rFonts w:ascii="Book Antiqua" w:hAnsi="Book Antiqua" w:cs="Arial"/>
          <w:sz w:val="22"/>
          <w:szCs w:val="22"/>
        </w:rPr>
      </w:pPr>
      <w:r w:rsidRPr="00A27BF1">
        <w:rPr>
          <w:rFonts w:ascii="Book Antiqua" w:hAnsi="Book Antiqua" w:cs="Arial"/>
          <w:sz w:val="22"/>
          <w:szCs w:val="22"/>
        </w:rPr>
        <w:t>20.</w:t>
      </w:r>
      <w:r w:rsidR="00561AFB">
        <w:rPr>
          <w:rFonts w:ascii="Book Antiqua" w:hAnsi="Book Antiqua" w:cs="Arial"/>
          <w:sz w:val="22"/>
          <w:szCs w:val="22"/>
        </w:rPr>
        <w:t xml:space="preserve"> </w:t>
      </w:r>
      <w:r w:rsidRPr="00A27BF1">
        <w:rPr>
          <w:rFonts w:ascii="Book Antiqua" w:hAnsi="Book Antiqua" w:cs="Arial"/>
          <w:sz w:val="22"/>
          <w:szCs w:val="22"/>
        </w:rPr>
        <w:t xml:space="preserve">Since the UT decision, on 13 August 2015, the Secretary of State made a fresh decision, again refusing the application for leave to remain as a Tier 4 (General) Student.  However, the Secretary of State did not cite the breach by the Appellant of an immigration condition as a reason for this decision.  Nevertheless, the Appellant submits that this appeal has not become academic.  The Secretary of State has not suggested that it has become academic; indeed she maintains that the Appellant was in breach of a condition which was attached to his leave to remain in 2011.  </w:t>
      </w:r>
    </w:p>
    <w:p w14:paraId="5E6D6FB8" w14:textId="35A79718" w:rsidR="00812748" w:rsidRPr="00A27BF1" w:rsidRDefault="00A27BF1" w:rsidP="008E1AD4">
      <w:pPr>
        <w:spacing w:before="240"/>
        <w:ind w:left="1440"/>
        <w:jc w:val="both"/>
        <w:rPr>
          <w:rFonts w:ascii="Book Antiqua" w:hAnsi="Book Antiqua" w:cs="Arial"/>
          <w:sz w:val="22"/>
          <w:szCs w:val="22"/>
        </w:rPr>
      </w:pPr>
      <w:r w:rsidRPr="00A27BF1">
        <w:rPr>
          <w:rFonts w:ascii="Book Antiqua" w:hAnsi="Book Antiqua" w:cs="Arial"/>
          <w:sz w:val="22"/>
          <w:szCs w:val="22"/>
        </w:rPr>
        <w:t>21.</w:t>
      </w:r>
      <w:r w:rsidR="00561AFB">
        <w:rPr>
          <w:rFonts w:ascii="Book Antiqua" w:hAnsi="Book Antiqua" w:cs="Arial"/>
          <w:sz w:val="22"/>
          <w:szCs w:val="22"/>
        </w:rPr>
        <w:t xml:space="preserve"> </w:t>
      </w:r>
      <w:r w:rsidRPr="00A27BF1">
        <w:rPr>
          <w:rFonts w:ascii="Book Antiqua" w:hAnsi="Book Antiqua" w:cs="Arial"/>
          <w:sz w:val="22"/>
          <w:szCs w:val="22"/>
        </w:rPr>
        <w:t>In my view, it is appropriate for this Court to consider the points of law which are raised, because the Appellant continues to have an interest in the matter.  As things stand, it has been held by a judicial body that he was in breach of an immigration condition.  As will become apparent later, that could, at least in principle, render him liable for a criminal offence.  In any event, that is something which is on his record and may affect future applications he may make, perhaps if he wishes to go to another country elsewhere in the world.</w:t>
      </w:r>
      <w:r>
        <w:rPr>
          <w:rFonts w:ascii="Book Antiqua" w:hAnsi="Book Antiqua" w:cs="Arial"/>
          <w:sz w:val="22"/>
          <w:szCs w:val="22"/>
        </w:rPr>
        <w:t>”</w:t>
      </w:r>
    </w:p>
    <w:p w14:paraId="408BBD28" w14:textId="395B4E98" w:rsidR="00883A58" w:rsidRDefault="00DF38FA" w:rsidP="00865BFE">
      <w:pPr>
        <w:numPr>
          <w:ilvl w:val="0"/>
          <w:numId w:val="18"/>
        </w:numPr>
        <w:spacing w:before="240"/>
        <w:jc w:val="both"/>
        <w:rPr>
          <w:rFonts w:ascii="Book Antiqua" w:hAnsi="Book Antiqua" w:cs="Arial"/>
        </w:rPr>
      </w:pPr>
      <w:r>
        <w:rPr>
          <w:rFonts w:ascii="Book Antiqua" w:hAnsi="Book Antiqua" w:cs="Arial"/>
        </w:rPr>
        <w:t>The Court</w:t>
      </w:r>
      <w:r w:rsidR="00DF69F3">
        <w:rPr>
          <w:rFonts w:ascii="Book Antiqua" w:hAnsi="Book Antiqua" w:cs="Arial"/>
        </w:rPr>
        <w:t xml:space="preserve"> ultimately concluded that </w:t>
      </w:r>
      <w:r w:rsidR="00000D2D">
        <w:rPr>
          <w:rFonts w:ascii="Book Antiqua" w:hAnsi="Book Antiqua" w:cs="Arial"/>
        </w:rPr>
        <w:t xml:space="preserve">the condition of leave </w:t>
      </w:r>
      <w:r w:rsidR="009B00F3">
        <w:rPr>
          <w:rFonts w:ascii="Book Antiqua" w:hAnsi="Book Antiqua" w:cs="Arial"/>
        </w:rPr>
        <w:t>in question</w:t>
      </w:r>
      <w:r w:rsidR="0040276A">
        <w:rPr>
          <w:rFonts w:ascii="Book Antiqua" w:hAnsi="Book Antiqua" w:cs="Arial"/>
        </w:rPr>
        <w:t xml:space="preserve"> had not been lawfully imposed and thus Mr Anwar was not </w:t>
      </w:r>
      <w:r w:rsidR="009B00F3">
        <w:rPr>
          <w:rFonts w:ascii="Book Antiqua" w:hAnsi="Book Antiqua" w:cs="Arial"/>
        </w:rPr>
        <w:t>in breach</w:t>
      </w:r>
      <w:r w:rsidR="0040276A">
        <w:rPr>
          <w:rFonts w:ascii="Book Antiqua" w:hAnsi="Book Antiqua" w:cs="Arial"/>
        </w:rPr>
        <w:t xml:space="preserve">. </w:t>
      </w:r>
      <w:r w:rsidR="003D4A5E">
        <w:rPr>
          <w:rFonts w:ascii="Book Antiqua" w:hAnsi="Book Antiqua" w:cs="Arial"/>
        </w:rPr>
        <w:t>H</w:t>
      </w:r>
      <w:r w:rsidR="00A30D5E">
        <w:rPr>
          <w:rFonts w:ascii="Book Antiqua" w:hAnsi="Book Antiqua" w:cs="Arial"/>
        </w:rPr>
        <w:t>is</w:t>
      </w:r>
      <w:r w:rsidR="003B4194">
        <w:rPr>
          <w:rFonts w:ascii="Book Antiqua" w:hAnsi="Book Antiqua" w:cs="Arial"/>
        </w:rPr>
        <w:t xml:space="preserve"> appeal fell to be allowed on that ground.  </w:t>
      </w:r>
    </w:p>
    <w:p w14:paraId="0BB972AE" w14:textId="2E4ABED4" w:rsidR="00B76FD2" w:rsidRDefault="0001196D" w:rsidP="00865BFE">
      <w:pPr>
        <w:numPr>
          <w:ilvl w:val="0"/>
          <w:numId w:val="18"/>
        </w:numPr>
        <w:spacing w:before="240"/>
        <w:jc w:val="both"/>
        <w:rPr>
          <w:rFonts w:ascii="Book Antiqua" w:hAnsi="Book Antiqua" w:cs="Arial"/>
        </w:rPr>
      </w:pPr>
      <w:r>
        <w:rPr>
          <w:rFonts w:ascii="Book Antiqua" w:hAnsi="Book Antiqua" w:cs="Arial"/>
        </w:rPr>
        <w:t xml:space="preserve">In the first instance, and for the reasons set out below, we conclude that </w:t>
      </w:r>
      <w:r w:rsidR="00B76FD2" w:rsidRPr="002B1CE3">
        <w:rPr>
          <w:rFonts w:ascii="Book Antiqua" w:hAnsi="Book Antiqua" w:cs="Arial"/>
          <w:u w:val="single"/>
        </w:rPr>
        <w:t>Anwar</w:t>
      </w:r>
      <w:r w:rsidR="00B76FD2">
        <w:rPr>
          <w:rFonts w:ascii="Book Antiqua" w:hAnsi="Book Antiqua" w:cs="Arial"/>
        </w:rPr>
        <w:t xml:space="preserve"> can be distinguished from </w:t>
      </w:r>
      <w:proofErr w:type="spellStart"/>
      <w:r w:rsidR="00B76FD2" w:rsidRPr="002B1CE3">
        <w:rPr>
          <w:rFonts w:ascii="Book Antiqua" w:hAnsi="Book Antiqua" w:cs="Arial"/>
          <w:u w:val="single"/>
        </w:rPr>
        <w:t>Devani</w:t>
      </w:r>
      <w:proofErr w:type="spellEnd"/>
      <w:r w:rsidR="00B76FD2">
        <w:rPr>
          <w:rFonts w:ascii="Book Antiqua" w:hAnsi="Book Antiqua" w:cs="Arial"/>
        </w:rPr>
        <w:t>.</w:t>
      </w:r>
    </w:p>
    <w:p w14:paraId="6C884AB8" w14:textId="4A3713F8" w:rsidR="00A45DDE" w:rsidRDefault="00800909" w:rsidP="00865BFE">
      <w:pPr>
        <w:numPr>
          <w:ilvl w:val="0"/>
          <w:numId w:val="18"/>
        </w:numPr>
        <w:spacing w:before="240"/>
        <w:jc w:val="both"/>
        <w:rPr>
          <w:rFonts w:ascii="Book Antiqua" w:hAnsi="Book Antiqua" w:cs="Arial"/>
        </w:rPr>
      </w:pPr>
      <w:r>
        <w:rPr>
          <w:rFonts w:ascii="Book Antiqua" w:hAnsi="Book Antiqua" w:cs="Arial"/>
        </w:rPr>
        <w:t>I</w:t>
      </w:r>
      <w:r w:rsidR="0059107A">
        <w:rPr>
          <w:rFonts w:ascii="Book Antiqua" w:hAnsi="Book Antiqua" w:cs="Arial"/>
        </w:rPr>
        <w:t>t is self-evident</w:t>
      </w:r>
      <w:r w:rsidR="0022188C">
        <w:rPr>
          <w:rFonts w:ascii="Book Antiqua" w:hAnsi="Book Antiqua" w:cs="Arial"/>
        </w:rPr>
        <w:t>ly the case</w:t>
      </w:r>
      <w:r w:rsidR="0059107A">
        <w:rPr>
          <w:rFonts w:ascii="Book Antiqua" w:hAnsi="Book Antiqua" w:cs="Arial"/>
        </w:rPr>
        <w:t xml:space="preserve"> that </w:t>
      </w:r>
      <w:r w:rsidR="0059107A" w:rsidRPr="00275DC8">
        <w:rPr>
          <w:rFonts w:ascii="Book Antiqua" w:hAnsi="Book Antiqua" w:cs="Arial"/>
          <w:u w:val="single"/>
        </w:rPr>
        <w:t>Anwar</w:t>
      </w:r>
      <w:r w:rsidR="004531AB">
        <w:rPr>
          <w:rFonts w:ascii="Book Antiqua" w:hAnsi="Book Antiqua" w:cs="Arial"/>
        </w:rPr>
        <w:t xml:space="preserve"> was concerned with section 13 of the 2007 Act</w:t>
      </w:r>
      <w:r w:rsidR="0022188C">
        <w:rPr>
          <w:rFonts w:ascii="Book Antiqua" w:hAnsi="Book Antiqua" w:cs="Arial"/>
        </w:rPr>
        <w:t>, not</w:t>
      </w:r>
      <w:r w:rsidR="00BB7D22">
        <w:rPr>
          <w:rFonts w:ascii="Book Antiqua" w:hAnsi="Book Antiqua" w:cs="Arial"/>
        </w:rPr>
        <w:t>, as</w:t>
      </w:r>
      <w:r w:rsidR="00682B1A">
        <w:rPr>
          <w:rFonts w:ascii="Book Antiqua" w:hAnsi="Book Antiqua" w:cs="Arial"/>
        </w:rPr>
        <w:t xml:space="preserve"> in </w:t>
      </w:r>
      <w:proofErr w:type="spellStart"/>
      <w:r w:rsidR="00682B1A" w:rsidRPr="00682B1A">
        <w:rPr>
          <w:rFonts w:ascii="Book Antiqua" w:hAnsi="Book Antiqua" w:cs="Arial"/>
          <w:u w:val="single"/>
        </w:rPr>
        <w:t>Devani</w:t>
      </w:r>
      <w:proofErr w:type="spellEnd"/>
      <w:r w:rsidR="00682B1A">
        <w:rPr>
          <w:rFonts w:ascii="Book Antiqua" w:hAnsi="Book Antiqua" w:cs="Arial"/>
        </w:rPr>
        <w:t>,</w:t>
      </w:r>
      <w:r w:rsidR="0022188C">
        <w:rPr>
          <w:rFonts w:ascii="Book Antiqua" w:hAnsi="Book Antiqua" w:cs="Arial"/>
        </w:rPr>
        <w:t xml:space="preserve"> section 11.</w:t>
      </w:r>
      <w:r w:rsidR="0074775F">
        <w:rPr>
          <w:rFonts w:ascii="Book Antiqua" w:hAnsi="Book Antiqua" w:cs="Arial"/>
        </w:rPr>
        <w:t xml:space="preserve"> </w:t>
      </w:r>
      <w:r w:rsidR="00EB63A5">
        <w:rPr>
          <w:rFonts w:ascii="Book Antiqua" w:hAnsi="Book Antiqua" w:cs="Arial"/>
        </w:rPr>
        <w:t xml:space="preserve">Section 13 </w:t>
      </w:r>
      <w:r w:rsidR="003E2953">
        <w:rPr>
          <w:rFonts w:ascii="Book Antiqua" w:hAnsi="Book Antiqua" w:cs="Arial"/>
        </w:rPr>
        <w:t>specifically addresses the Court of Appeal</w:t>
      </w:r>
      <w:r w:rsidR="00D05F03">
        <w:rPr>
          <w:rFonts w:ascii="Book Antiqua" w:hAnsi="Book Antiqua" w:cs="Arial"/>
        </w:rPr>
        <w:t>’</w:t>
      </w:r>
      <w:r w:rsidR="003E2953">
        <w:rPr>
          <w:rFonts w:ascii="Book Antiqua" w:hAnsi="Book Antiqua" w:cs="Arial"/>
        </w:rPr>
        <w:t xml:space="preserve">s jurisdiction </w:t>
      </w:r>
      <w:r w:rsidR="00012F01">
        <w:rPr>
          <w:rFonts w:ascii="Book Antiqua" w:hAnsi="Book Antiqua" w:cs="Arial"/>
        </w:rPr>
        <w:t xml:space="preserve">to hear appeals brought against </w:t>
      </w:r>
      <w:r w:rsidR="000814D5">
        <w:rPr>
          <w:rFonts w:ascii="Book Antiqua" w:hAnsi="Book Antiqua" w:cs="Arial"/>
        </w:rPr>
        <w:t xml:space="preserve">decisions of the Upper Tribunal. Whilst </w:t>
      </w:r>
      <w:r w:rsidR="00634185">
        <w:rPr>
          <w:rFonts w:ascii="Book Antiqua" w:hAnsi="Book Antiqua" w:cs="Arial"/>
        </w:rPr>
        <w:t xml:space="preserve">set out within the statutory framework of the 2007 Act, it is </w:t>
      </w:r>
      <w:r w:rsidR="00AC7397">
        <w:rPr>
          <w:rFonts w:ascii="Book Antiqua" w:hAnsi="Book Antiqua" w:cs="Arial"/>
        </w:rPr>
        <w:t>apparent</w:t>
      </w:r>
      <w:r w:rsidR="00EC0C23">
        <w:rPr>
          <w:rFonts w:ascii="Book Antiqua" w:hAnsi="Book Antiqua" w:cs="Arial"/>
        </w:rPr>
        <w:t xml:space="preserve"> from the observations of Lewison LJ when granting permission in </w:t>
      </w:r>
      <w:r w:rsidR="00EC0C23" w:rsidRPr="003D4A5E">
        <w:rPr>
          <w:rFonts w:ascii="Book Antiqua" w:hAnsi="Book Antiqua" w:cs="Arial"/>
          <w:u w:val="single"/>
        </w:rPr>
        <w:t>Anwar</w:t>
      </w:r>
      <w:r w:rsidR="00EC0C23">
        <w:rPr>
          <w:rFonts w:ascii="Book Antiqua" w:hAnsi="Book Antiqua" w:cs="Arial"/>
        </w:rPr>
        <w:t xml:space="preserve"> that the Court</w:t>
      </w:r>
      <w:r w:rsidR="003D4A5E">
        <w:rPr>
          <w:rFonts w:ascii="Book Antiqua" w:hAnsi="Book Antiqua" w:cs="Arial"/>
        </w:rPr>
        <w:t>’</w:t>
      </w:r>
      <w:r w:rsidR="00EC0C23">
        <w:rPr>
          <w:rFonts w:ascii="Book Antiqua" w:hAnsi="Book Antiqua" w:cs="Arial"/>
        </w:rPr>
        <w:t xml:space="preserve">s </w:t>
      </w:r>
      <w:r w:rsidR="009C4E64">
        <w:rPr>
          <w:rFonts w:ascii="Book Antiqua" w:hAnsi="Book Antiqua" w:cs="Arial"/>
        </w:rPr>
        <w:t xml:space="preserve">long-established common law </w:t>
      </w:r>
      <w:r w:rsidR="005B6E72">
        <w:rPr>
          <w:rFonts w:ascii="Book Antiqua" w:hAnsi="Book Antiqua" w:cs="Arial"/>
        </w:rPr>
        <w:t xml:space="preserve">tradition formed </w:t>
      </w:r>
      <w:r w:rsidR="00E5700C">
        <w:rPr>
          <w:rFonts w:ascii="Book Antiqua" w:hAnsi="Book Antiqua" w:cs="Arial"/>
        </w:rPr>
        <w:t xml:space="preserve">an element of the </w:t>
      </w:r>
      <w:r w:rsidR="005B6E72">
        <w:rPr>
          <w:rFonts w:ascii="Book Antiqua" w:hAnsi="Book Antiqua" w:cs="Arial"/>
        </w:rPr>
        <w:t xml:space="preserve">backdrop </w:t>
      </w:r>
      <w:r w:rsidR="00A45DDE">
        <w:rPr>
          <w:rFonts w:ascii="Book Antiqua" w:hAnsi="Book Antiqua" w:cs="Arial"/>
        </w:rPr>
        <w:t xml:space="preserve">against which the issue in hand was being considered.  </w:t>
      </w:r>
    </w:p>
    <w:p w14:paraId="1BC5A372" w14:textId="55F711A2" w:rsidR="003419B1" w:rsidRDefault="003D4A5E" w:rsidP="00865BFE">
      <w:pPr>
        <w:numPr>
          <w:ilvl w:val="0"/>
          <w:numId w:val="18"/>
        </w:numPr>
        <w:spacing w:before="240"/>
        <w:jc w:val="both"/>
        <w:rPr>
          <w:rFonts w:ascii="Book Antiqua" w:hAnsi="Book Antiqua" w:cs="Arial"/>
        </w:rPr>
      </w:pPr>
      <w:r>
        <w:rPr>
          <w:rFonts w:ascii="Book Antiqua" w:hAnsi="Book Antiqua" w:cs="Arial"/>
        </w:rPr>
        <w:t>More impo</w:t>
      </w:r>
      <w:r w:rsidR="00594CD5">
        <w:rPr>
          <w:rFonts w:ascii="Book Antiqua" w:hAnsi="Book Antiqua" w:cs="Arial"/>
        </w:rPr>
        <w:t>rtantly</w:t>
      </w:r>
      <w:r w:rsidR="00F14936">
        <w:rPr>
          <w:rFonts w:ascii="Book Antiqua" w:hAnsi="Book Antiqua" w:cs="Arial"/>
        </w:rPr>
        <w:t xml:space="preserve">, </w:t>
      </w:r>
      <w:r w:rsidR="00594CD5">
        <w:rPr>
          <w:rFonts w:ascii="Book Antiqua" w:hAnsi="Book Antiqua" w:cs="Arial"/>
        </w:rPr>
        <w:t xml:space="preserve">there is </w:t>
      </w:r>
      <w:r w:rsidR="00A00C85">
        <w:rPr>
          <w:rFonts w:ascii="Book Antiqua" w:hAnsi="Book Antiqua" w:cs="Arial"/>
        </w:rPr>
        <w:t>an</w:t>
      </w:r>
      <w:r w:rsidR="00E369D4">
        <w:rPr>
          <w:rFonts w:ascii="Book Antiqua" w:hAnsi="Book Antiqua" w:cs="Arial"/>
        </w:rPr>
        <w:t xml:space="preserve"> important distinction between</w:t>
      </w:r>
      <w:r w:rsidR="0085607C">
        <w:rPr>
          <w:rFonts w:ascii="Book Antiqua" w:hAnsi="Book Antiqua" w:cs="Arial"/>
        </w:rPr>
        <w:t xml:space="preserve"> the </w:t>
      </w:r>
      <w:r w:rsidR="005F6EED">
        <w:rPr>
          <w:rFonts w:ascii="Book Antiqua" w:hAnsi="Book Antiqua" w:cs="Arial"/>
        </w:rPr>
        <w:t xml:space="preserve">specific </w:t>
      </w:r>
      <w:r w:rsidR="0085607C">
        <w:rPr>
          <w:rFonts w:ascii="Book Antiqua" w:hAnsi="Book Antiqua" w:cs="Arial"/>
        </w:rPr>
        <w:t>issues being considered by the Court in the two cases</w:t>
      </w:r>
      <w:r w:rsidR="003512D4">
        <w:rPr>
          <w:rFonts w:ascii="Book Antiqua" w:hAnsi="Book Antiqua" w:cs="Arial"/>
        </w:rPr>
        <w:t>:</w:t>
      </w:r>
      <w:r w:rsidR="00690B6D">
        <w:rPr>
          <w:rFonts w:ascii="Book Antiqua" w:hAnsi="Book Antiqua" w:cs="Arial"/>
        </w:rPr>
        <w:t xml:space="preserve"> </w:t>
      </w:r>
      <w:r w:rsidR="00690B6D" w:rsidRPr="00EC0558">
        <w:rPr>
          <w:rFonts w:ascii="Book Antiqua" w:hAnsi="Book Antiqua" w:cs="Arial"/>
          <w:u w:val="single"/>
        </w:rPr>
        <w:t>Anwar</w:t>
      </w:r>
      <w:r w:rsidR="00690B6D">
        <w:rPr>
          <w:rFonts w:ascii="Book Antiqua" w:hAnsi="Book Antiqua" w:cs="Arial"/>
        </w:rPr>
        <w:t xml:space="preserve"> was, </w:t>
      </w:r>
      <w:r w:rsidR="001418D7">
        <w:rPr>
          <w:rFonts w:ascii="Book Antiqua" w:hAnsi="Book Antiqua" w:cs="Arial"/>
        </w:rPr>
        <w:t xml:space="preserve">as is apparent </w:t>
      </w:r>
      <w:r w:rsidR="00F837D1">
        <w:rPr>
          <w:rFonts w:ascii="Book Antiqua" w:hAnsi="Book Antiqua" w:cs="Arial"/>
        </w:rPr>
        <w:t>from paragraph</w:t>
      </w:r>
      <w:r w:rsidR="00632706">
        <w:rPr>
          <w:rFonts w:ascii="Book Antiqua" w:hAnsi="Book Antiqua" w:cs="Arial"/>
        </w:rPr>
        <w:t>s</w:t>
      </w:r>
      <w:r w:rsidR="00F837D1">
        <w:rPr>
          <w:rFonts w:ascii="Book Antiqua" w:hAnsi="Book Antiqua" w:cs="Arial"/>
        </w:rPr>
        <w:t xml:space="preserve"> 16</w:t>
      </w:r>
      <w:r w:rsidR="00632706">
        <w:rPr>
          <w:rFonts w:ascii="Book Antiqua" w:hAnsi="Book Antiqua" w:cs="Arial"/>
        </w:rPr>
        <w:t xml:space="preserve"> and 17</w:t>
      </w:r>
      <w:r w:rsidR="00F837D1">
        <w:rPr>
          <w:rFonts w:ascii="Book Antiqua" w:hAnsi="Book Antiqua" w:cs="Arial"/>
        </w:rPr>
        <w:t xml:space="preserve"> of</w:t>
      </w:r>
      <w:r w:rsidR="00CB6530">
        <w:rPr>
          <w:rFonts w:ascii="Book Antiqua" w:hAnsi="Book Antiqua" w:cs="Arial"/>
        </w:rPr>
        <w:t xml:space="preserve"> the</w:t>
      </w:r>
      <w:r w:rsidR="00690B6D">
        <w:rPr>
          <w:rFonts w:ascii="Book Antiqua" w:hAnsi="Book Antiqua" w:cs="Arial"/>
        </w:rPr>
        <w:t xml:space="preserve"> judgment, concerned with subsection (</w:t>
      </w:r>
      <w:r w:rsidR="00CB6530">
        <w:rPr>
          <w:rFonts w:ascii="Book Antiqua" w:hAnsi="Book Antiqua" w:cs="Arial"/>
        </w:rPr>
        <w:t>1</w:t>
      </w:r>
      <w:r w:rsidR="00690B6D">
        <w:rPr>
          <w:rFonts w:ascii="Book Antiqua" w:hAnsi="Book Antiqua" w:cs="Arial"/>
        </w:rPr>
        <w:t>)</w:t>
      </w:r>
      <w:r w:rsidR="00E77056">
        <w:rPr>
          <w:rFonts w:ascii="Book Antiqua" w:hAnsi="Book Antiqua" w:cs="Arial"/>
        </w:rPr>
        <w:t xml:space="preserve"> of section 13; whereas </w:t>
      </w:r>
      <w:r w:rsidR="00F837D1">
        <w:rPr>
          <w:rFonts w:ascii="Book Antiqua" w:hAnsi="Book Antiqua" w:cs="Arial"/>
        </w:rPr>
        <w:t>paragraph</w:t>
      </w:r>
      <w:r w:rsidR="000B3820">
        <w:rPr>
          <w:rFonts w:ascii="Book Antiqua" w:hAnsi="Book Antiqua" w:cs="Arial"/>
        </w:rPr>
        <w:t>s 26 and</w:t>
      </w:r>
      <w:r w:rsidR="00F837D1">
        <w:rPr>
          <w:rFonts w:ascii="Book Antiqua" w:hAnsi="Book Antiqua" w:cs="Arial"/>
        </w:rPr>
        <w:t xml:space="preserve"> 27 of </w:t>
      </w:r>
      <w:proofErr w:type="spellStart"/>
      <w:r w:rsidR="00E77056" w:rsidRPr="00EC0558">
        <w:rPr>
          <w:rFonts w:ascii="Book Antiqua" w:hAnsi="Book Antiqua" w:cs="Arial"/>
          <w:u w:val="single"/>
        </w:rPr>
        <w:t>Devani</w:t>
      </w:r>
      <w:proofErr w:type="spellEnd"/>
      <w:r w:rsidR="00E77056">
        <w:rPr>
          <w:rFonts w:ascii="Book Antiqua" w:hAnsi="Book Antiqua" w:cs="Arial"/>
        </w:rPr>
        <w:t xml:space="preserve"> </w:t>
      </w:r>
      <w:r w:rsidR="00010F2D">
        <w:rPr>
          <w:rFonts w:ascii="Book Antiqua" w:hAnsi="Book Antiqua" w:cs="Arial"/>
        </w:rPr>
        <w:t>make it clear that</w:t>
      </w:r>
      <w:r w:rsidR="00E77056">
        <w:rPr>
          <w:rFonts w:ascii="Book Antiqua" w:hAnsi="Book Antiqua" w:cs="Arial"/>
        </w:rPr>
        <w:t xml:space="preserve"> </w:t>
      </w:r>
      <w:r w:rsidR="00BF3A2C">
        <w:rPr>
          <w:rFonts w:ascii="Book Antiqua" w:hAnsi="Book Antiqua" w:cs="Arial"/>
        </w:rPr>
        <w:t xml:space="preserve">it was </w:t>
      </w:r>
      <w:r w:rsidR="00385FE6">
        <w:rPr>
          <w:rFonts w:ascii="Book Antiqua" w:hAnsi="Book Antiqua" w:cs="Arial"/>
        </w:rPr>
        <w:t>the</w:t>
      </w:r>
      <w:r w:rsidR="00CB6530">
        <w:rPr>
          <w:rFonts w:ascii="Book Antiqua" w:hAnsi="Book Antiqua" w:cs="Arial"/>
        </w:rPr>
        <w:t xml:space="preserve"> jurisdictional scope of subsection (2)</w:t>
      </w:r>
      <w:r w:rsidR="00C84CB3">
        <w:rPr>
          <w:rFonts w:ascii="Book Antiqua" w:hAnsi="Book Antiqua" w:cs="Arial"/>
        </w:rPr>
        <w:t xml:space="preserve"> of section 11</w:t>
      </w:r>
      <w:r w:rsidR="004963EA">
        <w:rPr>
          <w:rFonts w:ascii="Book Antiqua" w:hAnsi="Book Antiqua" w:cs="Arial"/>
        </w:rPr>
        <w:t xml:space="preserve"> </w:t>
      </w:r>
      <w:r w:rsidR="006A7C27">
        <w:rPr>
          <w:rFonts w:ascii="Book Antiqua" w:hAnsi="Book Antiqua" w:cs="Arial"/>
        </w:rPr>
        <w:t xml:space="preserve">which </w:t>
      </w:r>
      <w:r w:rsidR="00EB5E70">
        <w:rPr>
          <w:rFonts w:ascii="Book Antiqua" w:hAnsi="Book Antiqua" w:cs="Arial"/>
        </w:rPr>
        <w:t>arose as</w:t>
      </w:r>
      <w:r w:rsidR="004963EA">
        <w:rPr>
          <w:rFonts w:ascii="Book Antiqua" w:hAnsi="Book Antiqua" w:cs="Arial"/>
        </w:rPr>
        <w:t xml:space="preserve"> </w:t>
      </w:r>
      <w:r w:rsidR="00DE335F">
        <w:rPr>
          <w:rFonts w:ascii="Book Antiqua" w:hAnsi="Book Antiqua" w:cs="Arial"/>
        </w:rPr>
        <w:t>a</w:t>
      </w:r>
      <w:r w:rsidR="004963EA">
        <w:rPr>
          <w:rFonts w:ascii="Book Antiqua" w:hAnsi="Book Antiqua" w:cs="Arial"/>
        </w:rPr>
        <w:t xml:space="preserve"> </w:t>
      </w:r>
      <w:r w:rsidR="00DE335F">
        <w:rPr>
          <w:rFonts w:ascii="Book Antiqua" w:hAnsi="Book Antiqua" w:cs="Arial"/>
        </w:rPr>
        <w:t>material</w:t>
      </w:r>
      <w:r w:rsidR="004963EA">
        <w:rPr>
          <w:rFonts w:ascii="Book Antiqua" w:hAnsi="Book Antiqua" w:cs="Arial"/>
        </w:rPr>
        <w:t xml:space="preserve"> issue</w:t>
      </w:r>
      <w:r w:rsidR="00BD73C6">
        <w:rPr>
          <w:rFonts w:ascii="Book Antiqua" w:hAnsi="Book Antiqua" w:cs="Arial"/>
        </w:rPr>
        <w:t xml:space="preserve"> and as such </w:t>
      </w:r>
      <w:r w:rsidR="00F10FAF">
        <w:rPr>
          <w:rFonts w:ascii="Book Antiqua" w:hAnsi="Book Antiqua" w:cs="Arial"/>
        </w:rPr>
        <w:t>the conclusions reached constituted an aspect of</w:t>
      </w:r>
      <w:r w:rsidR="00BD73C6">
        <w:rPr>
          <w:rFonts w:ascii="Book Antiqua" w:hAnsi="Book Antiqua" w:cs="Arial"/>
        </w:rPr>
        <w:t xml:space="preserve"> the </w:t>
      </w:r>
      <w:r w:rsidR="00BD73C6" w:rsidRPr="00BD73C6">
        <w:rPr>
          <w:rFonts w:ascii="Book Antiqua" w:hAnsi="Book Antiqua" w:cs="Arial"/>
          <w:i/>
          <w:iCs/>
        </w:rPr>
        <w:t>ratio</w:t>
      </w:r>
      <w:r w:rsidR="00E268A4">
        <w:rPr>
          <w:rFonts w:ascii="Book Antiqua" w:hAnsi="Book Antiqua" w:cs="Arial"/>
          <w:iCs/>
        </w:rPr>
        <w:t xml:space="preserve"> of the Court’s </w:t>
      </w:r>
      <w:r w:rsidR="006A0F80">
        <w:rPr>
          <w:rFonts w:ascii="Book Antiqua" w:hAnsi="Book Antiqua" w:cs="Arial"/>
          <w:iCs/>
        </w:rPr>
        <w:t>decision</w:t>
      </w:r>
      <w:r w:rsidR="000129EE">
        <w:rPr>
          <w:rFonts w:ascii="Book Antiqua" w:hAnsi="Book Antiqua" w:cs="Arial"/>
          <w:iCs/>
        </w:rPr>
        <w:t xml:space="preserve"> on the appeal</w:t>
      </w:r>
      <w:r w:rsidR="006A0F80">
        <w:rPr>
          <w:rFonts w:ascii="Book Antiqua" w:hAnsi="Book Antiqua" w:cs="Arial"/>
          <w:iCs/>
        </w:rPr>
        <w:t xml:space="preserve">. </w:t>
      </w:r>
      <w:r w:rsidR="00DA7BA8">
        <w:rPr>
          <w:rFonts w:ascii="Book Antiqua" w:hAnsi="Book Antiqua" w:cs="Arial"/>
          <w:iCs/>
        </w:rPr>
        <w:t xml:space="preserve"> </w:t>
      </w:r>
    </w:p>
    <w:p w14:paraId="435F0001" w14:textId="08C5DFF3" w:rsidR="00A951BC" w:rsidRPr="00BF46BB" w:rsidRDefault="00B56683" w:rsidP="00865BFE">
      <w:pPr>
        <w:numPr>
          <w:ilvl w:val="0"/>
          <w:numId w:val="18"/>
        </w:numPr>
        <w:spacing w:before="240"/>
        <w:jc w:val="both"/>
        <w:rPr>
          <w:rFonts w:ascii="Book Antiqua" w:hAnsi="Book Antiqua" w:cs="Arial"/>
        </w:rPr>
      </w:pPr>
      <w:r>
        <w:rPr>
          <w:rFonts w:ascii="Book Antiqua" w:hAnsi="Book Antiqua" w:cs="Arial"/>
        </w:rPr>
        <w:t xml:space="preserve">In our view, </w:t>
      </w:r>
      <w:r w:rsidR="007F50BB">
        <w:rPr>
          <w:rFonts w:ascii="Book Antiqua" w:hAnsi="Book Antiqua" w:cs="Arial"/>
        </w:rPr>
        <w:t>the purpose underlying s</w:t>
      </w:r>
      <w:r w:rsidR="00F54E60">
        <w:rPr>
          <w:rFonts w:ascii="Book Antiqua" w:hAnsi="Book Antiqua" w:cs="Arial"/>
        </w:rPr>
        <w:t>ubsection (1) of sections 13 and 11</w:t>
      </w:r>
      <w:r w:rsidR="007F50BB">
        <w:rPr>
          <w:rFonts w:ascii="Book Antiqua" w:hAnsi="Book Antiqua" w:cs="Arial"/>
        </w:rPr>
        <w:t xml:space="preserve"> is to clarify</w:t>
      </w:r>
      <w:r w:rsidR="00D92536">
        <w:rPr>
          <w:rFonts w:ascii="Book Antiqua" w:hAnsi="Book Antiqua" w:cs="Arial"/>
        </w:rPr>
        <w:t xml:space="preserve"> that the right of appeal exercisable under subsection (2)</w:t>
      </w:r>
      <w:r w:rsidR="00C07BBA">
        <w:rPr>
          <w:rFonts w:ascii="Book Antiqua" w:hAnsi="Book Antiqua" w:cs="Arial"/>
        </w:rPr>
        <w:t xml:space="preserve"> of either section</w:t>
      </w:r>
      <w:r w:rsidR="00777D0E">
        <w:rPr>
          <w:rFonts w:ascii="Book Antiqua" w:hAnsi="Book Antiqua" w:cs="Arial"/>
        </w:rPr>
        <w:t xml:space="preserve"> </w:t>
      </w:r>
      <w:r w:rsidR="008E7E5F">
        <w:rPr>
          <w:rFonts w:ascii="Book Antiqua" w:hAnsi="Book Antiqua" w:cs="Arial"/>
        </w:rPr>
        <w:t>must be founded upon</w:t>
      </w:r>
      <w:r w:rsidR="005A77C0">
        <w:rPr>
          <w:rFonts w:ascii="Book Antiqua" w:hAnsi="Book Antiqua" w:cs="Arial"/>
        </w:rPr>
        <w:t xml:space="preserve"> “any point of law</w:t>
      </w:r>
      <w:r w:rsidR="004B4864">
        <w:rPr>
          <w:rFonts w:ascii="Book Antiqua" w:hAnsi="Book Antiqua" w:cs="Arial"/>
        </w:rPr>
        <w:t xml:space="preserve"> arising from a decision</w:t>
      </w:r>
      <w:r w:rsidR="005A77C0">
        <w:rPr>
          <w:rFonts w:ascii="Book Antiqua" w:hAnsi="Book Antiqua" w:cs="Arial"/>
        </w:rPr>
        <w:t>”</w:t>
      </w:r>
      <w:r w:rsidR="00CA0D38">
        <w:rPr>
          <w:rFonts w:ascii="Book Antiqua" w:hAnsi="Book Antiqua" w:cs="Arial"/>
        </w:rPr>
        <w:t xml:space="preserve"> of the Upper Tribunal or First-tier Tribunal</w:t>
      </w:r>
      <w:r w:rsidR="00731086">
        <w:rPr>
          <w:rFonts w:ascii="Book Antiqua" w:hAnsi="Book Antiqua" w:cs="Arial"/>
        </w:rPr>
        <w:t xml:space="preserve"> (as the case may be)</w:t>
      </w:r>
      <w:r w:rsidR="00B53652">
        <w:rPr>
          <w:rFonts w:ascii="Book Antiqua" w:hAnsi="Book Antiqua" w:cs="Arial"/>
        </w:rPr>
        <w:t xml:space="preserve"> other than an excluded decision. </w:t>
      </w:r>
      <w:r w:rsidR="00594CD5" w:rsidRPr="00A951BC">
        <w:rPr>
          <w:rFonts w:ascii="Book Antiqua" w:hAnsi="Book Antiqua" w:cs="Arial"/>
          <w:u w:val="single"/>
        </w:rPr>
        <w:t>Anwar</w:t>
      </w:r>
      <w:r w:rsidR="00594CD5" w:rsidRPr="00A951BC">
        <w:rPr>
          <w:rFonts w:ascii="Book Antiqua" w:hAnsi="Book Antiqua" w:cs="Arial"/>
        </w:rPr>
        <w:t xml:space="preserve"> is a decision on the scope of that statutory phrase, at least in so far as procedure and jurisdiction is concerned. What it does not purport to do is address the questions of who has the right of appeal in the first place: that is the domain of subsection (2)</w:t>
      </w:r>
      <w:r w:rsidR="00594CD5">
        <w:rPr>
          <w:rFonts w:ascii="Book Antiqua" w:hAnsi="Book Antiqua" w:cs="Arial"/>
        </w:rPr>
        <w:t xml:space="preserve"> of sections 13 and 11</w:t>
      </w:r>
      <w:r w:rsidR="00594CD5" w:rsidRPr="00A951BC">
        <w:rPr>
          <w:rFonts w:ascii="Book Antiqua" w:hAnsi="Book Antiqua" w:cs="Arial"/>
        </w:rPr>
        <w:t xml:space="preserve">. </w:t>
      </w:r>
      <w:r w:rsidR="00A951BC" w:rsidRPr="00BF46BB">
        <w:rPr>
          <w:rFonts w:ascii="Book Antiqua" w:hAnsi="Book Antiqua" w:cs="Arial"/>
        </w:rPr>
        <w:t xml:space="preserve">The phrase in subsection (2) “any party to a case” does not carry with it the implicit meaning that a successful party has, </w:t>
      </w:r>
      <w:r w:rsidR="00A951BC" w:rsidRPr="00BF46BB">
        <w:rPr>
          <w:rFonts w:ascii="Book Antiqua" w:hAnsi="Book Antiqua" w:cs="Arial"/>
          <w:i/>
          <w:iCs/>
        </w:rPr>
        <w:t>in all circumstances</w:t>
      </w:r>
      <w:r w:rsidR="00A951BC" w:rsidRPr="00BF46BB">
        <w:rPr>
          <w:rFonts w:ascii="Book Antiqua" w:hAnsi="Book Antiqua" w:cs="Arial"/>
        </w:rPr>
        <w:t>, a right of appeal. All it does is to confirm that an appellant and respondent in the proceedings below, together with any other party which may have been joined, has the right of appeal, subject to any provisions made by the Lord Chancellor.</w:t>
      </w:r>
    </w:p>
    <w:p w14:paraId="176BB9C8" w14:textId="649A6365" w:rsidR="002D71E7" w:rsidRDefault="005842E9" w:rsidP="00865BFE">
      <w:pPr>
        <w:numPr>
          <w:ilvl w:val="0"/>
          <w:numId w:val="18"/>
        </w:numPr>
        <w:spacing w:before="240"/>
        <w:jc w:val="both"/>
        <w:rPr>
          <w:rFonts w:ascii="Book Antiqua" w:hAnsi="Book Antiqua" w:cs="Arial"/>
        </w:rPr>
      </w:pPr>
      <w:r>
        <w:rPr>
          <w:rFonts w:ascii="Book Antiqua" w:hAnsi="Book Antiqua" w:cs="Arial"/>
        </w:rPr>
        <w:t>Thus,</w:t>
      </w:r>
      <w:r w:rsidR="0064385C">
        <w:rPr>
          <w:rFonts w:ascii="Book Antiqua" w:hAnsi="Book Antiqua" w:cs="Arial"/>
        </w:rPr>
        <w:t xml:space="preserve"> </w:t>
      </w:r>
      <w:r w:rsidR="00464E15">
        <w:rPr>
          <w:rFonts w:ascii="Book Antiqua" w:hAnsi="Book Antiqua" w:cs="Arial"/>
        </w:rPr>
        <w:t xml:space="preserve">the Court in </w:t>
      </w:r>
      <w:r w:rsidR="00464E15" w:rsidRPr="00315F43">
        <w:rPr>
          <w:rFonts w:ascii="Book Antiqua" w:hAnsi="Book Antiqua" w:cs="Arial"/>
          <w:u w:val="single"/>
        </w:rPr>
        <w:t>Anwar</w:t>
      </w:r>
      <w:r w:rsidR="00464E15">
        <w:rPr>
          <w:rFonts w:ascii="Book Antiqua" w:hAnsi="Book Antiqua" w:cs="Arial"/>
        </w:rPr>
        <w:t xml:space="preserve"> was concerned </w:t>
      </w:r>
      <w:r w:rsidR="00B04992">
        <w:rPr>
          <w:rFonts w:ascii="Book Antiqua" w:hAnsi="Book Antiqua" w:cs="Arial"/>
        </w:rPr>
        <w:t xml:space="preserve">with </w:t>
      </w:r>
      <w:r w:rsidR="00464E15">
        <w:rPr>
          <w:rFonts w:ascii="Book Antiqua" w:hAnsi="Book Antiqua" w:cs="Arial"/>
        </w:rPr>
        <w:t>a statutory provision</w:t>
      </w:r>
      <w:r w:rsidR="00785F56">
        <w:rPr>
          <w:rFonts w:ascii="Book Antiqua" w:hAnsi="Book Antiqua" w:cs="Arial"/>
        </w:rPr>
        <w:t xml:space="preserve"> (subsection</w:t>
      </w:r>
      <w:r w:rsidR="00A82F1E">
        <w:rPr>
          <w:rFonts w:ascii="Book Antiqua" w:hAnsi="Book Antiqua" w:cs="Arial"/>
        </w:rPr>
        <w:t xml:space="preserve"> (1) of section 13 of the 2007 Act)</w:t>
      </w:r>
      <w:r w:rsidR="00464E15">
        <w:rPr>
          <w:rFonts w:ascii="Book Antiqua" w:hAnsi="Book Antiqua" w:cs="Arial"/>
        </w:rPr>
        <w:t xml:space="preserve"> which was not only different from that arising for specific consideration in </w:t>
      </w:r>
      <w:proofErr w:type="spellStart"/>
      <w:r w:rsidR="00F3784B" w:rsidRPr="0090211B">
        <w:rPr>
          <w:rFonts w:ascii="Book Antiqua" w:hAnsi="Book Antiqua" w:cs="Arial"/>
          <w:u w:val="single"/>
        </w:rPr>
        <w:t>Devani</w:t>
      </w:r>
      <w:proofErr w:type="spellEnd"/>
      <w:r w:rsidR="00F3784B">
        <w:rPr>
          <w:rFonts w:ascii="Book Antiqua" w:hAnsi="Book Antiqua" w:cs="Arial"/>
        </w:rPr>
        <w:t xml:space="preserve">, but one which </w:t>
      </w:r>
      <w:r w:rsidR="00377BF6">
        <w:rPr>
          <w:rFonts w:ascii="Book Antiqua" w:hAnsi="Book Antiqua" w:cs="Arial"/>
        </w:rPr>
        <w:t>cannot</w:t>
      </w:r>
      <w:r w:rsidR="00B04992">
        <w:rPr>
          <w:rFonts w:ascii="Book Antiqua" w:hAnsi="Book Antiqua" w:cs="Arial"/>
        </w:rPr>
        <w:t xml:space="preserve"> have a decisive bearing on</w:t>
      </w:r>
      <w:r w:rsidR="00377BF6">
        <w:rPr>
          <w:rFonts w:ascii="Book Antiqua" w:hAnsi="Book Antiqua" w:cs="Arial"/>
        </w:rPr>
        <w:t xml:space="preserve"> the question</w:t>
      </w:r>
      <w:r w:rsidR="00FE6668">
        <w:rPr>
          <w:rFonts w:ascii="Book Antiqua" w:hAnsi="Book Antiqua" w:cs="Arial"/>
        </w:rPr>
        <w:t xml:space="preserve"> of whether “the winner” below has a right of appeal</w:t>
      </w:r>
      <w:r w:rsidR="00E52417">
        <w:rPr>
          <w:rFonts w:ascii="Book Antiqua" w:hAnsi="Book Antiqua" w:cs="Arial"/>
        </w:rPr>
        <w:t xml:space="preserve"> under subsection (2) of section</w:t>
      </w:r>
      <w:r w:rsidR="0090211B">
        <w:rPr>
          <w:rFonts w:ascii="Book Antiqua" w:hAnsi="Book Antiqua" w:cs="Arial"/>
        </w:rPr>
        <w:t>s</w:t>
      </w:r>
      <w:r w:rsidR="00E52417">
        <w:rPr>
          <w:rFonts w:ascii="Book Antiqua" w:hAnsi="Book Antiqua" w:cs="Arial"/>
        </w:rPr>
        <w:t xml:space="preserve"> 11 and 13</w:t>
      </w:r>
      <w:r w:rsidR="00315F43">
        <w:rPr>
          <w:rFonts w:ascii="Book Antiqua" w:hAnsi="Book Antiqua" w:cs="Arial"/>
        </w:rPr>
        <w:t>.</w:t>
      </w:r>
    </w:p>
    <w:p w14:paraId="2431E383" w14:textId="2BE23F48" w:rsidR="00D94C88" w:rsidRDefault="0090211B" w:rsidP="00865BFE">
      <w:pPr>
        <w:numPr>
          <w:ilvl w:val="0"/>
          <w:numId w:val="18"/>
        </w:numPr>
        <w:spacing w:before="240"/>
        <w:jc w:val="both"/>
        <w:rPr>
          <w:rFonts w:ascii="Book Antiqua" w:hAnsi="Book Antiqua" w:cs="Arial"/>
        </w:rPr>
      </w:pPr>
      <w:r>
        <w:rPr>
          <w:rFonts w:ascii="Book Antiqua" w:hAnsi="Book Antiqua" w:cs="Arial"/>
        </w:rPr>
        <w:t>Further and in any event</w:t>
      </w:r>
      <w:r w:rsidR="00270077">
        <w:rPr>
          <w:rFonts w:ascii="Book Antiqua" w:hAnsi="Book Antiqua" w:cs="Arial"/>
        </w:rPr>
        <w:t>, cognisant of</w:t>
      </w:r>
      <w:r w:rsidR="004B3AB4">
        <w:rPr>
          <w:rFonts w:ascii="Book Antiqua" w:hAnsi="Book Antiqua" w:cs="Arial"/>
        </w:rPr>
        <w:t xml:space="preserve"> the </w:t>
      </w:r>
      <w:r w:rsidR="00B4369E">
        <w:rPr>
          <w:rFonts w:ascii="Book Antiqua" w:hAnsi="Book Antiqua" w:cs="Arial"/>
        </w:rPr>
        <w:t>marked similarity in</w:t>
      </w:r>
      <w:r w:rsidR="00275DC8">
        <w:rPr>
          <w:rFonts w:ascii="Book Antiqua" w:hAnsi="Book Antiqua" w:cs="Arial"/>
        </w:rPr>
        <w:t xml:space="preserve"> the wording of subsections (1) and (2) of sections 11 and 13</w:t>
      </w:r>
      <w:r w:rsidR="00995EA0">
        <w:rPr>
          <w:rFonts w:ascii="Book Antiqua" w:hAnsi="Book Antiqua" w:cs="Arial"/>
        </w:rPr>
        <w:t xml:space="preserve"> of the 2007 Act</w:t>
      </w:r>
      <w:r w:rsidR="009A2F87">
        <w:rPr>
          <w:rFonts w:ascii="Book Antiqua" w:hAnsi="Book Antiqua" w:cs="Arial"/>
        </w:rPr>
        <w:t>,</w:t>
      </w:r>
      <w:r w:rsidR="00995EA0">
        <w:rPr>
          <w:rFonts w:ascii="Book Antiqua" w:hAnsi="Book Antiqua" w:cs="Arial"/>
        </w:rPr>
        <w:t xml:space="preserve"> </w:t>
      </w:r>
      <w:r w:rsidR="00C20CB1">
        <w:rPr>
          <w:rFonts w:ascii="Book Antiqua" w:hAnsi="Book Antiqua" w:cs="Arial"/>
        </w:rPr>
        <w:t xml:space="preserve">it </w:t>
      </w:r>
      <w:r w:rsidR="009A2F87">
        <w:rPr>
          <w:rFonts w:ascii="Book Antiqua" w:hAnsi="Book Antiqua" w:cs="Arial"/>
        </w:rPr>
        <w:t xml:space="preserve">is </w:t>
      </w:r>
      <w:r w:rsidR="00C20CB1">
        <w:rPr>
          <w:rFonts w:ascii="Book Antiqua" w:hAnsi="Book Antiqua" w:cs="Arial"/>
        </w:rPr>
        <w:t xml:space="preserve">appropriate to offer </w:t>
      </w:r>
      <w:r w:rsidR="009A2F87">
        <w:rPr>
          <w:rFonts w:ascii="Book Antiqua" w:hAnsi="Book Antiqua" w:cs="Arial"/>
        </w:rPr>
        <w:t>additional anal</w:t>
      </w:r>
      <w:r w:rsidR="00DA2EBE">
        <w:rPr>
          <w:rFonts w:ascii="Book Antiqua" w:hAnsi="Book Antiqua" w:cs="Arial"/>
        </w:rPr>
        <w:t>ysis</w:t>
      </w:r>
      <w:r w:rsidR="00D94C88">
        <w:rPr>
          <w:rFonts w:ascii="Book Antiqua" w:hAnsi="Book Antiqua" w:cs="Arial"/>
        </w:rPr>
        <w:t xml:space="preserve"> of </w:t>
      </w:r>
      <w:r w:rsidR="00D94C88" w:rsidRPr="000129EE">
        <w:rPr>
          <w:rFonts w:ascii="Book Antiqua" w:hAnsi="Book Antiqua" w:cs="Arial"/>
          <w:u w:val="single"/>
        </w:rPr>
        <w:t>Anwar</w:t>
      </w:r>
      <w:r w:rsidR="00D94C88">
        <w:rPr>
          <w:rFonts w:ascii="Book Antiqua" w:hAnsi="Book Antiqua" w:cs="Arial"/>
        </w:rPr>
        <w:t xml:space="preserve"> and </w:t>
      </w:r>
      <w:proofErr w:type="spellStart"/>
      <w:r w:rsidR="00D94C88" w:rsidRPr="000129EE">
        <w:rPr>
          <w:rFonts w:ascii="Book Antiqua" w:hAnsi="Book Antiqua" w:cs="Arial"/>
          <w:u w:val="single"/>
        </w:rPr>
        <w:t>Devani</w:t>
      </w:r>
      <w:proofErr w:type="spellEnd"/>
      <w:r w:rsidR="003F19E7">
        <w:rPr>
          <w:rFonts w:ascii="Book Antiqua" w:hAnsi="Book Antiqua" w:cs="Arial"/>
        </w:rPr>
        <w:t xml:space="preserve"> </w:t>
      </w:r>
      <w:r w:rsidR="00024008">
        <w:rPr>
          <w:rFonts w:ascii="Book Antiqua" w:hAnsi="Book Antiqua" w:cs="Arial"/>
        </w:rPr>
        <w:t>were it to be said</w:t>
      </w:r>
      <w:r w:rsidR="003F19E7">
        <w:rPr>
          <w:rFonts w:ascii="Book Antiqua" w:hAnsi="Book Antiqua" w:cs="Arial"/>
        </w:rPr>
        <w:t xml:space="preserve"> that we are wrong in seeking to distinguish these cases</w:t>
      </w:r>
      <w:r w:rsidR="00DA2EBE">
        <w:rPr>
          <w:rFonts w:ascii="Book Antiqua" w:hAnsi="Book Antiqua" w:cs="Arial"/>
        </w:rPr>
        <w:t xml:space="preserve"> on the basis set out above</w:t>
      </w:r>
      <w:r w:rsidR="00FC1D42">
        <w:rPr>
          <w:rFonts w:ascii="Book Antiqua" w:hAnsi="Book Antiqua" w:cs="Arial"/>
        </w:rPr>
        <w:t>.</w:t>
      </w:r>
    </w:p>
    <w:p w14:paraId="522D4D38" w14:textId="3CA4A3B5" w:rsidR="00A7185C" w:rsidRPr="008E6E60" w:rsidRDefault="001C2D2F" w:rsidP="00865BFE">
      <w:pPr>
        <w:numPr>
          <w:ilvl w:val="0"/>
          <w:numId w:val="18"/>
        </w:numPr>
        <w:spacing w:before="240"/>
        <w:jc w:val="both"/>
        <w:rPr>
          <w:rFonts w:ascii="Book Antiqua" w:hAnsi="Book Antiqua" w:cs="Arial"/>
        </w:rPr>
      </w:pPr>
      <w:r>
        <w:rPr>
          <w:rFonts w:ascii="Book Antiqua" w:hAnsi="Book Antiqua" w:cs="Arial"/>
        </w:rPr>
        <w:t>A</w:t>
      </w:r>
      <w:r w:rsidR="003E5415">
        <w:rPr>
          <w:rFonts w:ascii="Book Antiqua" w:hAnsi="Book Antiqua" w:cs="Arial"/>
        </w:rPr>
        <w:t xml:space="preserve"> proper understanding of </w:t>
      </w:r>
      <w:r>
        <w:rPr>
          <w:rFonts w:ascii="Book Antiqua" w:hAnsi="Book Antiqua" w:cs="Arial"/>
        </w:rPr>
        <w:t>the two judgments</w:t>
      </w:r>
      <w:r w:rsidR="00433A13">
        <w:rPr>
          <w:rFonts w:ascii="Book Antiqua" w:hAnsi="Book Antiqua" w:cs="Arial"/>
        </w:rPr>
        <w:t>,</w:t>
      </w:r>
      <w:r w:rsidR="008A5E19">
        <w:rPr>
          <w:rFonts w:ascii="Book Antiqua" w:hAnsi="Book Antiqua" w:cs="Arial"/>
        </w:rPr>
        <w:t xml:space="preserve"> and indeed the</w:t>
      </w:r>
      <w:r w:rsidR="00207A1F">
        <w:rPr>
          <w:rFonts w:ascii="Book Antiqua" w:hAnsi="Book Antiqua" w:cs="Arial"/>
        </w:rPr>
        <w:t xml:space="preserve"> entire appellant regime under the 2007 Act</w:t>
      </w:r>
      <w:r w:rsidR="0067319E">
        <w:rPr>
          <w:rFonts w:ascii="Book Antiqua" w:hAnsi="Book Antiqua" w:cs="Arial"/>
        </w:rPr>
        <w:t>,</w:t>
      </w:r>
      <w:r w:rsidR="001C448C">
        <w:rPr>
          <w:rFonts w:ascii="Book Antiqua" w:hAnsi="Book Antiqua" w:cs="Arial"/>
        </w:rPr>
        <w:t xml:space="preserve"> comes down to </w:t>
      </w:r>
      <w:r w:rsidR="00433A13">
        <w:rPr>
          <w:rFonts w:ascii="Book Antiqua" w:hAnsi="Book Antiqua" w:cs="Arial"/>
        </w:rPr>
        <w:t xml:space="preserve">the </w:t>
      </w:r>
      <w:r w:rsidR="00B54888">
        <w:rPr>
          <w:rFonts w:ascii="Book Antiqua" w:hAnsi="Book Antiqua" w:cs="Arial"/>
        </w:rPr>
        <w:t xml:space="preserve">question of </w:t>
      </w:r>
      <w:r w:rsidR="001C448C">
        <w:rPr>
          <w:rFonts w:ascii="Book Antiqua" w:hAnsi="Book Antiqua" w:cs="Arial"/>
        </w:rPr>
        <w:t>outcomes.</w:t>
      </w:r>
      <w:r w:rsidR="00812D19">
        <w:rPr>
          <w:rFonts w:ascii="Book Antiqua" w:hAnsi="Book Antiqua" w:cs="Arial"/>
        </w:rPr>
        <w:t xml:space="preserve"> By “outcomes” we mean </w:t>
      </w:r>
      <w:r w:rsidR="00711B94">
        <w:rPr>
          <w:rFonts w:ascii="Book Antiqua" w:hAnsi="Book Antiqua" w:cs="Arial"/>
        </w:rPr>
        <w:t xml:space="preserve">the </w:t>
      </w:r>
      <w:r w:rsidR="006F07C9">
        <w:rPr>
          <w:rFonts w:ascii="Book Antiqua" w:hAnsi="Book Antiqua" w:cs="Arial"/>
        </w:rPr>
        <w:t>decision of</w:t>
      </w:r>
      <w:r w:rsidR="00C941BB">
        <w:rPr>
          <w:rFonts w:ascii="Book Antiqua" w:hAnsi="Book Antiqua" w:cs="Arial"/>
        </w:rPr>
        <w:t xml:space="preserve"> the First-tier Tribunal or Upper Tribunal</w:t>
      </w:r>
      <w:r w:rsidR="0000430D">
        <w:rPr>
          <w:rFonts w:ascii="Book Antiqua" w:hAnsi="Book Antiqua" w:cs="Arial"/>
        </w:rPr>
        <w:t xml:space="preserve"> (in respect of a</w:t>
      </w:r>
      <w:r w:rsidR="008E07D7">
        <w:rPr>
          <w:rFonts w:ascii="Book Antiqua" w:hAnsi="Book Antiqua" w:cs="Arial"/>
        </w:rPr>
        <w:t xml:space="preserve"> re</w:t>
      </w:r>
      <w:r w:rsidR="00F90F63">
        <w:rPr>
          <w:rFonts w:ascii="Book Antiqua" w:hAnsi="Book Antiqua" w:cs="Arial"/>
        </w:rPr>
        <w:t>-</w:t>
      </w:r>
      <w:r w:rsidR="008E07D7">
        <w:rPr>
          <w:rFonts w:ascii="Book Antiqua" w:hAnsi="Book Antiqua" w:cs="Arial"/>
        </w:rPr>
        <w:t>making decision undertaken)</w:t>
      </w:r>
      <w:r w:rsidR="00C941BB">
        <w:rPr>
          <w:rFonts w:ascii="Book Antiqua" w:hAnsi="Book Antiqua" w:cs="Arial"/>
        </w:rPr>
        <w:t xml:space="preserve"> o</w:t>
      </w:r>
      <w:r w:rsidR="00B220D8">
        <w:rPr>
          <w:rFonts w:ascii="Book Antiqua" w:hAnsi="Book Antiqua" w:cs="Arial"/>
        </w:rPr>
        <w:t>n</w:t>
      </w:r>
      <w:r w:rsidR="00C941BB">
        <w:rPr>
          <w:rFonts w:ascii="Book Antiqua" w:hAnsi="Book Antiqua" w:cs="Arial"/>
        </w:rPr>
        <w:t xml:space="preserve"> the</w:t>
      </w:r>
      <w:r w:rsidR="0008765B">
        <w:rPr>
          <w:rFonts w:ascii="Book Antiqua" w:hAnsi="Book Antiqua" w:cs="Arial"/>
        </w:rPr>
        <w:t xml:space="preserve"> ground</w:t>
      </w:r>
      <w:r w:rsidR="002872D4">
        <w:rPr>
          <w:rFonts w:ascii="Book Antiqua" w:hAnsi="Book Antiqua" w:cs="Arial"/>
        </w:rPr>
        <w:t xml:space="preserve">(s) relied on by </w:t>
      </w:r>
      <w:r w:rsidR="00C941BB">
        <w:rPr>
          <w:rFonts w:ascii="Book Antiqua" w:hAnsi="Book Antiqua" w:cs="Arial"/>
        </w:rPr>
        <w:t>an appellant</w:t>
      </w:r>
      <w:r w:rsidR="00BC108F">
        <w:rPr>
          <w:rFonts w:ascii="Book Antiqua" w:hAnsi="Book Antiqua" w:cs="Arial"/>
        </w:rPr>
        <w:t xml:space="preserve"> </w:t>
      </w:r>
      <w:r w:rsidR="005A1D86">
        <w:rPr>
          <w:rFonts w:ascii="Book Antiqua" w:hAnsi="Book Antiqua" w:cs="Arial"/>
        </w:rPr>
        <w:t>under section</w:t>
      </w:r>
      <w:r w:rsidR="00BC19E0">
        <w:rPr>
          <w:rFonts w:ascii="Book Antiqua" w:hAnsi="Book Antiqua" w:cs="Arial"/>
        </w:rPr>
        <w:t xml:space="preserve"> 84 of the 2002 Act</w:t>
      </w:r>
      <w:r w:rsidR="00FC1D42">
        <w:rPr>
          <w:rFonts w:ascii="Book Antiqua" w:hAnsi="Book Antiqua" w:cs="Arial"/>
        </w:rPr>
        <w:t xml:space="preserve"> in an appeal</w:t>
      </w:r>
      <w:r w:rsidR="00BC19E0">
        <w:rPr>
          <w:rFonts w:ascii="Book Antiqua" w:hAnsi="Book Antiqua" w:cs="Arial"/>
        </w:rPr>
        <w:t>.</w:t>
      </w:r>
      <w:r w:rsidR="00063FBD">
        <w:rPr>
          <w:rFonts w:ascii="Book Antiqua" w:hAnsi="Book Antiqua" w:cs="Arial"/>
        </w:rPr>
        <w:t xml:space="preserve"> </w:t>
      </w:r>
      <w:r w:rsidR="00BC7711">
        <w:rPr>
          <w:rFonts w:ascii="Book Antiqua" w:hAnsi="Book Antiqua" w:cs="Arial"/>
        </w:rPr>
        <w:t xml:space="preserve">This may be described as </w:t>
      </w:r>
      <w:r w:rsidR="00057FB3">
        <w:rPr>
          <w:rFonts w:ascii="Book Antiqua" w:hAnsi="Book Antiqua" w:cs="Arial"/>
        </w:rPr>
        <w:t xml:space="preserve">constituting </w:t>
      </w:r>
      <w:r w:rsidR="00BC7711">
        <w:rPr>
          <w:rFonts w:ascii="Book Antiqua" w:hAnsi="Book Antiqua" w:cs="Arial"/>
        </w:rPr>
        <w:t xml:space="preserve">the “order” of </w:t>
      </w:r>
      <w:r w:rsidR="00057FB3">
        <w:rPr>
          <w:rFonts w:ascii="Book Antiqua" w:hAnsi="Book Antiqua" w:cs="Arial"/>
        </w:rPr>
        <w:t>the First-tier Tribunal or the Upper Tribunal</w:t>
      </w:r>
      <w:r w:rsidR="00057FB3" w:rsidRPr="008E6E60">
        <w:rPr>
          <w:rFonts w:ascii="Book Antiqua" w:hAnsi="Book Antiqua" w:cs="Arial"/>
        </w:rPr>
        <w:t xml:space="preserve">. </w:t>
      </w:r>
      <w:r w:rsidR="004C3FB2" w:rsidRPr="008E6E60">
        <w:rPr>
          <w:rFonts w:ascii="Book Antiqua" w:hAnsi="Book Antiqua" w:cs="Arial"/>
        </w:rPr>
        <w:t xml:space="preserve"> </w:t>
      </w:r>
    </w:p>
    <w:p w14:paraId="64B7869A" w14:textId="13292548" w:rsidR="008B0C45" w:rsidRDefault="00976956" w:rsidP="00865BFE">
      <w:pPr>
        <w:numPr>
          <w:ilvl w:val="0"/>
          <w:numId w:val="18"/>
        </w:numPr>
        <w:spacing w:before="240"/>
        <w:jc w:val="both"/>
        <w:rPr>
          <w:rFonts w:ascii="Book Antiqua" w:hAnsi="Book Antiqua" w:cs="Arial"/>
        </w:rPr>
      </w:pPr>
      <w:r>
        <w:rPr>
          <w:rFonts w:ascii="Book Antiqua" w:hAnsi="Book Antiqua" w:cs="Arial"/>
        </w:rPr>
        <w:t xml:space="preserve">Following the wholesale changes to Part 5 of the 2002 Act by virtue of the Immigration Act 2014, the number of appealable decisions under section 82(1) was very significantly reduced, as were the corresponding grounds of appeal available to an appellant. Where, as occurred in </w:t>
      </w:r>
      <w:proofErr w:type="spellStart"/>
      <w:r w:rsidRPr="00750299">
        <w:rPr>
          <w:rFonts w:ascii="Book Antiqua" w:hAnsi="Book Antiqua" w:cs="Arial"/>
          <w:u w:val="single"/>
        </w:rPr>
        <w:t>Devani</w:t>
      </w:r>
      <w:proofErr w:type="spellEnd"/>
      <w:r>
        <w:rPr>
          <w:rFonts w:ascii="Book Antiqua" w:hAnsi="Book Antiqua" w:cs="Arial"/>
        </w:rPr>
        <w:t xml:space="preserve">, an individual makes a protection and a human rights claim, and both are refused by the respondent, </w:t>
      </w:r>
      <w:r w:rsidR="00C92D4C">
        <w:rPr>
          <w:rFonts w:ascii="Book Antiqua" w:hAnsi="Book Antiqua" w:cs="Arial"/>
        </w:rPr>
        <w:t xml:space="preserve">a challenge </w:t>
      </w:r>
      <w:r w:rsidR="007228D3">
        <w:rPr>
          <w:rFonts w:ascii="Book Antiqua" w:hAnsi="Book Antiqua" w:cs="Arial"/>
        </w:rPr>
        <w:t xml:space="preserve">against the decisions </w:t>
      </w:r>
      <w:r w:rsidR="007F3B81">
        <w:rPr>
          <w:rFonts w:ascii="Book Antiqua" w:hAnsi="Book Antiqua" w:cs="Arial"/>
        </w:rPr>
        <w:t>will result in two appeals running in parallel</w:t>
      </w:r>
      <w:r w:rsidR="00DD46F2">
        <w:rPr>
          <w:rFonts w:ascii="Book Antiqua" w:hAnsi="Book Antiqua" w:cs="Arial"/>
        </w:rPr>
        <w:t xml:space="preserve">.  </w:t>
      </w:r>
    </w:p>
    <w:p w14:paraId="44ACE61E" w14:textId="79FFB49B" w:rsidR="00976956" w:rsidRDefault="00DD46F2" w:rsidP="00865BFE">
      <w:pPr>
        <w:numPr>
          <w:ilvl w:val="0"/>
          <w:numId w:val="18"/>
        </w:numPr>
        <w:spacing w:before="240"/>
        <w:jc w:val="both"/>
        <w:rPr>
          <w:rFonts w:ascii="Book Antiqua" w:hAnsi="Book Antiqua" w:cs="Arial"/>
        </w:rPr>
      </w:pPr>
      <w:r>
        <w:rPr>
          <w:rFonts w:ascii="Book Antiqua" w:hAnsi="Book Antiqua" w:cs="Arial"/>
        </w:rPr>
        <w:t>The limited ground</w:t>
      </w:r>
      <w:r w:rsidR="00D1220B">
        <w:rPr>
          <w:rFonts w:ascii="Book Antiqua" w:hAnsi="Book Antiqua" w:cs="Arial"/>
        </w:rPr>
        <w:t>s</w:t>
      </w:r>
      <w:r>
        <w:rPr>
          <w:rFonts w:ascii="Book Antiqua" w:hAnsi="Book Antiqua" w:cs="Arial"/>
        </w:rPr>
        <w:t xml:space="preserve"> of appeal available </w:t>
      </w:r>
      <w:r w:rsidR="00D1220B">
        <w:rPr>
          <w:rFonts w:ascii="Book Antiqua" w:hAnsi="Book Antiqua" w:cs="Arial"/>
        </w:rPr>
        <w:t xml:space="preserve">in respect of </w:t>
      </w:r>
      <w:r w:rsidR="008B0C45">
        <w:rPr>
          <w:rFonts w:ascii="Book Antiqua" w:hAnsi="Book Antiqua" w:cs="Arial"/>
        </w:rPr>
        <w:t>a</w:t>
      </w:r>
      <w:r w:rsidR="00D1220B">
        <w:rPr>
          <w:rFonts w:ascii="Book Antiqua" w:hAnsi="Book Antiqua" w:cs="Arial"/>
        </w:rPr>
        <w:t xml:space="preserve"> protection appeal are set out in </w:t>
      </w:r>
      <w:r w:rsidR="00976956">
        <w:rPr>
          <w:rFonts w:ascii="Book Antiqua" w:hAnsi="Book Antiqua" w:cs="Arial"/>
        </w:rPr>
        <w:t>section 84(1):</w:t>
      </w:r>
    </w:p>
    <w:p w14:paraId="3804ECE2" w14:textId="77777777" w:rsidR="00976956" w:rsidRPr="004652D3" w:rsidRDefault="00976956" w:rsidP="00553005">
      <w:pPr>
        <w:spacing w:before="240"/>
        <w:ind w:left="1440"/>
        <w:jc w:val="both"/>
        <w:rPr>
          <w:rFonts w:ascii="Book Antiqua" w:hAnsi="Book Antiqua" w:cs="Arial"/>
          <w:sz w:val="22"/>
          <w:szCs w:val="22"/>
        </w:rPr>
      </w:pPr>
      <w:r w:rsidRPr="004652D3">
        <w:rPr>
          <w:rFonts w:ascii="Book Antiqua" w:hAnsi="Book Antiqua" w:cs="Arial"/>
          <w:sz w:val="22"/>
          <w:szCs w:val="22"/>
        </w:rPr>
        <w:t>“(1) An appeal under section 82(1)(a) (refusal of protection claim) must be brought on one or more of the following grounds—</w:t>
      </w:r>
    </w:p>
    <w:p w14:paraId="300067BB" w14:textId="77777777" w:rsidR="00976956" w:rsidRPr="004652D3" w:rsidRDefault="00976956" w:rsidP="00553005">
      <w:pPr>
        <w:spacing w:before="240"/>
        <w:ind w:left="1440"/>
        <w:jc w:val="both"/>
        <w:rPr>
          <w:rFonts w:ascii="Book Antiqua" w:hAnsi="Book Antiqua" w:cs="Arial"/>
          <w:sz w:val="22"/>
          <w:szCs w:val="22"/>
        </w:rPr>
      </w:pPr>
      <w:r w:rsidRPr="004652D3">
        <w:rPr>
          <w:rFonts w:ascii="Book Antiqua" w:hAnsi="Book Antiqua" w:cs="Arial"/>
          <w:sz w:val="22"/>
          <w:szCs w:val="22"/>
        </w:rPr>
        <w:t>(a) that removal of the appellant from the United Kingdom would breach the United Kingdom's obligations under the Refugee Convention;</w:t>
      </w:r>
    </w:p>
    <w:p w14:paraId="1A982B4E" w14:textId="77777777" w:rsidR="00976956" w:rsidRPr="004652D3" w:rsidRDefault="00976956" w:rsidP="00553005">
      <w:pPr>
        <w:spacing w:before="240"/>
        <w:ind w:left="1440"/>
        <w:jc w:val="both"/>
        <w:rPr>
          <w:rFonts w:ascii="Book Antiqua" w:hAnsi="Book Antiqua" w:cs="Arial"/>
          <w:sz w:val="22"/>
          <w:szCs w:val="22"/>
        </w:rPr>
      </w:pPr>
      <w:r w:rsidRPr="004652D3">
        <w:rPr>
          <w:rFonts w:ascii="Book Antiqua" w:hAnsi="Book Antiqua" w:cs="Arial"/>
          <w:sz w:val="22"/>
          <w:szCs w:val="22"/>
        </w:rPr>
        <w:t>(b) that removal of the appellant from the United Kingdom would breach the United Kingdom's obligations in relation to persons eligible for a grant of humanitarian protection;</w:t>
      </w:r>
    </w:p>
    <w:p w14:paraId="5AC215EB" w14:textId="77777777" w:rsidR="00976956" w:rsidRPr="004652D3" w:rsidRDefault="00976956" w:rsidP="00553005">
      <w:pPr>
        <w:spacing w:before="240"/>
        <w:ind w:left="1440"/>
        <w:jc w:val="both"/>
        <w:rPr>
          <w:rFonts w:ascii="Book Antiqua" w:hAnsi="Book Antiqua" w:cs="Arial"/>
          <w:sz w:val="22"/>
          <w:szCs w:val="22"/>
        </w:rPr>
      </w:pPr>
      <w:r w:rsidRPr="004652D3">
        <w:rPr>
          <w:rFonts w:ascii="Book Antiqua" w:hAnsi="Book Antiqua" w:cs="Arial"/>
          <w:sz w:val="22"/>
          <w:szCs w:val="22"/>
        </w:rPr>
        <w:t>(c) that removal of the appellant from the United Kingdom would be unlawful under section 6 of the Human Rights Act 1998 (public authority not to act contrary to Human Rights Convention).</w:t>
      </w:r>
    </w:p>
    <w:p w14:paraId="6E9A25C0" w14:textId="65ED6E60" w:rsidR="00D1220B" w:rsidRDefault="00D1220B" w:rsidP="00865BFE">
      <w:pPr>
        <w:numPr>
          <w:ilvl w:val="0"/>
          <w:numId w:val="18"/>
        </w:numPr>
        <w:spacing w:before="240"/>
        <w:jc w:val="both"/>
        <w:rPr>
          <w:rFonts w:ascii="Book Antiqua" w:hAnsi="Book Antiqua" w:cs="Arial"/>
        </w:rPr>
      </w:pPr>
      <w:r>
        <w:rPr>
          <w:rFonts w:ascii="Book Antiqua" w:hAnsi="Book Antiqua" w:cs="Arial"/>
        </w:rPr>
        <w:t xml:space="preserve">It </w:t>
      </w:r>
      <w:r w:rsidR="00C0042B">
        <w:rPr>
          <w:rFonts w:ascii="Book Antiqua" w:hAnsi="Book Antiqua" w:cs="Arial"/>
        </w:rPr>
        <w:t xml:space="preserve">is to be noted that </w:t>
      </w:r>
      <w:r w:rsidR="009B4CAB">
        <w:rPr>
          <w:rFonts w:ascii="Book Antiqua" w:hAnsi="Book Antiqua" w:cs="Arial"/>
        </w:rPr>
        <w:t xml:space="preserve">the ground under section 84(1)(c) covers Article 3 in the </w:t>
      </w:r>
      <w:r w:rsidR="00FE5BC1">
        <w:rPr>
          <w:rFonts w:ascii="Book Antiqua" w:hAnsi="Book Antiqua" w:cs="Arial"/>
        </w:rPr>
        <w:t xml:space="preserve">context of a </w:t>
      </w:r>
      <w:r w:rsidR="009B4CAB">
        <w:rPr>
          <w:rFonts w:ascii="Book Antiqua" w:hAnsi="Book Antiqua" w:cs="Arial"/>
        </w:rPr>
        <w:t xml:space="preserve">protection </w:t>
      </w:r>
      <w:r w:rsidR="00FE5BC1">
        <w:rPr>
          <w:rFonts w:ascii="Book Antiqua" w:hAnsi="Book Antiqua" w:cs="Arial"/>
        </w:rPr>
        <w:t>appeal.</w:t>
      </w:r>
    </w:p>
    <w:p w14:paraId="65F1E17B" w14:textId="41995EC4" w:rsidR="00FE5BC1" w:rsidRDefault="00F12B5A" w:rsidP="00865BFE">
      <w:pPr>
        <w:numPr>
          <w:ilvl w:val="0"/>
          <w:numId w:val="18"/>
        </w:numPr>
        <w:spacing w:before="240"/>
        <w:jc w:val="both"/>
        <w:rPr>
          <w:rFonts w:ascii="Book Antiqua" w:hAnsi="Book Antiqua" w:cs="Arial"/>
        </w:rPr>
      </w:pPr>
      <w:r>
        <w:rPr>
          <w:rFonts w:ascii="Book Antiqua" w:hAnsi="Book Antiqua" w:cs="Arial"/>
        </w:rPr>
        <w:t xml:space="preserve">In an appeal </w:t>
      </w:r>
      <w:r w:rsidR="00051709">
        <w:rPr>
          <w:rFonts w:ascii="Book Antiqua" w:hAnsi="Book Antiqua" w:cs="Arial"/>
        </w:rPr>
        <w:t xml:space="preserve">against the refusal of a human rights claim, the only available ground is that </w:t>
      </w:r>
      <w:r w:rsidR="00F23FF5">
        <w:rPr>
          <w:rFonts w:ascii="Book Antiqua" w:hAnsi="Book Antiqua" w:cs="Arial"/>
        </w:rPr>
        <w:t>under section 84(2):</w:t>
      </w:r>
    </w:p>
    <w:p w14:paraId="390B2919" w14:textId="2F50C647" w:rsidR="00F23FF5" w:rsidRPr="00CE5AAD" w:rsidRDefault="00CE5AAD" w:rsidP="00553005">
      <w:pPr>
        <w:spacing w:before="240"/>
        <w:ind w:left="1440"/>
        <w:jc w:val="both"/>
        <w:rPr>
          <w:rFonts w:ascii="Book Antiqua" w:hAnsi="Book Antiqua" w:cs="Arial"/>
          <w:sz w:val="22"/>
          <w:szCs w:val="22"/>
        </w:rPr>
      </w:pPr>
      <w:r>
        <w:rPr>
          <w:rFonts w:ascii="Book Antiqua" w:hAnsi="Book Antiqua" w:cs="Arial"/>
        </w:rPr>
        <w:t>“</w:t>
      </w:r>
      <w:r w:rsidRPr="004652D3">
        <w:rPr>
          <w:rFonts w:ascii="Book Antiqua" w:hAnsi="Book Antiqua" w:cs="Arial"/>
          <w:sz w:val="22"/>
          <w:szCs w:val="22"/>
        </w:rPr>
        <w:t>(2) An appeal under section 82(1)(b) (refusal of human rights claim) must be brought on the ground that the decision is unlawful under section 6 of the Human Rights Act 1998.</w:t>
      </w:r>
      <w:r>
        <w:rPr>
          <w:rFonts w:ascii="Book Antiqua" w:hAnsi="Book Antiqua" w:cs="Arial"/>
          <w:sz w:val="22"/>
          <w:szCs w:val="22"/>
        </w:rPr>
        <w:t>”</w:t>
      </w:r>
    </w:p>
    <w:p w14:paraId="32B31C26" w14:textId="466461E9" w:rsidR="00976956" w:rsidRPr="00A71222" w:rsidRDefault="00976956" w:rsidP="00865BFE">
      <w:pPr>
        <w:numPr>
          <w:ilvl w:val="0"/>
          <w:numId w:val="18"/>
        </w:numPr>
        <w:spacing w:before="240"/>
        <w:jc w:val="both"/>
        <w:rPr>
          <w:rFonts w:ascii="Book Antiqua" w:hAnsi="Book Antiqua" w:cs="Arial"/>
        </w:rPr>
      </w:pPr>
      <w:r w:rsidRPr="00A71222">
        <w:rPr>
          <w:rFonts w:ascii="Book Antiqua" w:hAnsi="Book Antiqua" w:cs="Arial"/>
        </w:rPr>
        <w:t>The outcomes</w:t>
      </w:r>
      <w:r w:rsidR="00CE5AAD" w:rsidRPr="00A71222">
        <w:rPr>
          <w:rFonts w:ascii="Book Antiqua" w:hAnsi="Book Antiqua" w:cs="Arial"/>
        </w:rPr>
        <w:t xml:space="preserve"> (as we have defined that term)</w:t>
      </w:r>
      <w:r w:rsidRPr="00A71222">
        <w:rPr>
          <w:rFonts w:ascii="Book Antiqua" w:hAnsi="Book Antiqua" w:cs="Arial"/>
        </w:rPr>
        <w:t xml:space="preserve"> </w:t>
      </w:r>
      <w:r w:rsidR="00CE5AAD" w:rsidRPr="00A71222">
        <w:rPr>
          <w:rFonts w:ascii="Book Antiqua" w:hAnsi="Book Antiqua" w:cs="Arial"/>
        </w:rPr>
        <w:t xml:space="preserve">in any appeal </w:t>
      </w:r>
      <w:r w:rsidRPr="00A71222">
        <w:rPr>
          <w:rFonts w:ascii="Book Antiqua" w:hAnsi="Book Antiqua" w:cs="Arial"/>
        </w:rPr>
        <w:t xml:space="preserve">are </w:t>
      </w:r>
      <w:r w:rsidR="001561F4" w:rsidRPr="00A71222">
        <w:rPr>
          <w:rFonts w:ascii="Book Antiqua" w:hAnsi="Book Antiqua" w:cs="Arial"/>
        </w:rPr>
        <w:t xml:space="preserve">in effect </w:t>
      </w:r>
      <w:r w:rsidRPr="00A71222">
        <w:rPr>
          <w:rFonts w:ascii="Book Antiqua" w:hAnsi="Book Antiqua" w:cs="Arial"/>
        </w:rPr>
        <w:t xml:space="preserve">constituted by the success or otherwise of the </w:t>
      </w:r>
      <w:r w:rsidR="00E21785" w:rsidRPr="00A71222">
        <w:rPr>
          <w:rFonts w:ascii="Book Antiqua" w:hAnsi="Book Antiqua" w:cs="Arial"/>
        </w:rPr>
        <w:t xml:space="preserve">specific </w:t>
      </w:r>
      <w:r w:rsidRPr="00A71222">
        <w:rPr>
          <w:rFonts w:ascii="Book Antiqua" w:hAnsi="Book Antiqua" w:cs="Arial"/>
        </w:rPr>
        <w:t xml:space="preserve">ground(s) of appeal relied on. If, for example, an individual </w:t>
      </w:r>
      <w:r w:rsidR="00251459" w:rsidRPr="00A71222">
        <w:rPr>
          <w:rFonts w:ascii="Book Antiqua" w:hAnsi="Book Antiqua" w:cs="Arial"/>
        </w:rPr>
        <w:t xml:space="preserve">pursuing </w:t>
      </w:r>
      <w:r w:rsidR="008D546A" w:rsidRPr="00A71222">
        <w:rPr>
          <w:rFonts w:ascii="Book Antiqua" w:hAnsi="Book Antiqua" w:cs="Arial"/>
        </w:rPr>
        <w:t xml:space="preserve">an appeal </w:t>
      </w:r>
      <w:r w:rsidR="00133460" w:rsidRPr="00A71222">
        <w:rPr>
          <w:rFonts w:ascii="Book Antiqua" w:hAnsi="Book Antiqua" w:cs="Arial"/>
        </w:rPr>
        <w:t>against</w:t>
      </w:r>
      <w:r w:rsidR="008D546A" w:rsidRPr="00A71222">
        <w:rPr>
          <w:rFonts w:ascii="Book Antiqua" w:hAnsi="Book Antiqua" w:cs="Arial"/>
        </w:rPr>
        <w:t xml:space="preserve"> a refusal of a protection claim </w:t>
      </w:r>
      <w:r w:rsidRPr="00A71222">
        <w:rPr>
          <w:rFonts w:ascii="Book Antiqua" w:hAnsi="Book Antiqua" w:cs="Arial"/>
        </w:rPr>
        <w:t xml:space="preserve">asserts that they are a refugee and the ground of appeal </w:t>
      </w:r>
      <w:r w:rsidR="009A56C9" w:rsidRPr="00A71222">
        <w:rPr>
          <w:rFonts w:ascii="Book Antiqua" w:hAnsi="Book Antiqua" w:cs="Arial"/>
        </w:rPr>
        <w:t>under section 84(</w:t>
      </w:r>
      <w:r w:rsidR="005764BC" w:rsidRPr="00A71222">
        <w:rPr>
          <w:rFonts w:ascii="Book Antiqua" w:hAnsi="Book Antiqua" w:cs="Arial"/>
        </w:rPr>
        <w:t xml:space="preserve">1)(a) </w:t>
      </w:r>
      <w:r w:rsidRPr="00A71222">
        <w:rPr>
          <w:rFonts w:ascii="Book Antiqua" w:hAnsi="Book Antiqua" w:cs="Arial"/>
        </w:rPr>
        <w:t xml:space="preserve">is made out, they will have obtained the “exact outcome” sought, namely a recognition of their status and a binding decision that </w:t>
      </w:r>
      <w:r w:rsidR="000F1569" w:rsidRPr="00A71222">
        <w:rPr>
          <w:rFonts w:ascii="Book Antiqua" w:hAnsi="Book Antiqua" w:cs="Arial"/>
        </w:rPr>
        <w:t xml:space="preserve">their removal would breach </w:t>
      </w:r>
      <w:r w:rsidR="00966007" w:rsidRPr="00A71222">
        <w:rPr>
          <w:rFonts w:ascii="Book Antiqua" w:hAnsi="Book Antiqua" w:cs="Arial"/>
        </w:rPr>
        <w:t>this country’s international obligation</w:t>
      </w:r>
      <w:r w:rsidR="005764BC" w:rsidRPr="00A71222">
        <w:rPr>
          <w:rFonts w:ascii="Book Antiqua" w:hAnsi="Book Antiqua" w:cs="Arial"/>
        </w:rPr>
        <w:t>s</w:t>
      </w:r>
      <w:r w:rsidR="00966007" w:rsidRPr="00A71222">
        <w:rPr>
          <w:rFonts w:ascii="Book Antiqua" w:hAnsi="Book Antiqua" w:cs="Arial"/>
        </w:rPr>
        <w:t>.</w:t>
      </w:r>
      <w:r w:rsidRPr="00A71222">
        <w:rPr>
          <w:rFonts w:ascii="Book Antiqua" w:hAnsi="Book Antiqua" w:cs="Arial"/>
        </w:rPr>
        <w:t xml:space="preserve"> The same is true for an individual </w:t>
      </w:r>
      <w:r w:rsidR="00FA7C85" w:rsidRPr="00A71222">
        <w:rPr>
          <w:rFonts w:ascii="Book Antiqua" w:hAnsi="Book Antiqua" w:cs="Arial"/>
        </w:rPr>
        <w:t>who successfully relies</w:t>
      </w:r>
      <w:r w:rsidR="006E7564" w:rsidRPr="00A71222">
        <w:rPr>
          <w:rFonts w:ascii="Book Antiqua" w:hAnsi="Book Antiqua" w:cs="Arial"/>
        </w:rPr>
        <w:t xml:space="preserve"> on a claim</w:t>
      </w:r>
      <w:r w:rsidR="00DA3BDB" w:rsidRPr="00A71222">
        <w:rPr>
          <w:rFonts w:ascii="Book Antiqua" w:hAnsi="Book Antiqua" w:cs="Arial"/>
        </w:rPr>
        <w:t>ed</w:t>
      </w:r>
      <w:r w:rsidR="006E7564" w:rsidRPr="00A71222">
        <w:rPr>
          <w:rFonts w:ascii="Book Antiqua" w:hAnsi="Book Antiqua" w:cs="Arial"/>
        </w:rPr>
        <w:t xml:space="preserve"> entitlement to humanitarian protection </w:t>
      </w:r>
      <w:r w:rsidR="00325BC9" w:rsidRPr="00A71222">
        <w:rPr>
          <w:rFonts w:ascii="Book Antiqua" w:hAnsi="Book Antiqua" w:cs="Arial"/>
        </w:rPr>
        <w:t xml:space="preserve">in reliance on the ground of appeal under section </w:t>
      </w:r>
      <w:r w:rsidR="00FA7C85" w:rsidRPr="00A71222">
        <w:rPr>
          <w:rFonts w:ascii="Book Antiqua" w:hAnsi="Book Antiqua" w:cs="Arial"/>
        </w:rPr>
        <w:t>84(1)(b).</w:t>
      </w:r>
      <w:r w:rsidR="00D3642C" w:rsidRPr="00A71222">
        <w:rPr>
          <w:rFonts w:ascii="Book Antiqua" w:hAnsi="Book Antiqua" w:cs="Arial"/>
        </w:rPr>
        <w:t xml:space="preserve"> </w:t>
      </w:r>
      <w:r w:rsidR="00864CB0" w:rsidRPr="00A71222">
        <w:rPr>
          <w:rFonts w:ascii="Book Antiqua" w:hAnsi="Book Antiqua" w:cs="Arial"/>
        </w:rPr>
        <w:t>Notwithstanding</w:t>
      </w:r>
      <w:r w:rsidR="00DD6049" w:rsidRPr="00A71222">
        <w:rPr>
          <w:rFonts w:ascii="Book Antiqua" w:hAnsi="Book Antiqua" w:cs="Arial"/>
        </w:rPr>
        <w:t xml:space="preserve"> the </w:t>
      </w:r>
      <w:r w:rsidR="00864CB0" w:rsidRPr="00A71222">
        <w:rPr>
          <w:rFonts w:ascii="Book Antiqua" w:hAnsi="Book Antiqua" w:cs="Arial"/>
        </w:rPr>
        <w:t xml:space="preserve">legislative oddity </w:t>
      </w:r>
      <w:r w:rsidR="00D3642C" w:rsidRPr="00A71222">
        <w:rPr>
          <w:rFonts w:ascii="Book Antiqua" w:hAnsi="Book Antiqua" w:cs="Arial"/>
        </w:rPr>
        <w:t xml:space="preserve">that a protection claim cannot be based on the assertion that removal would violate Article 3, </w:t>
      </w:r>
      <w:r w:rsidR="006D768C" w:rsidRPr="00A71222">
        <w:rPr>
          <w:rFonts w:ascii="Book Antiqua" w:hAnsi="Book Antiqua" w:cs="Arial"/>
        </w:rPr>
        <w:t xml:space="preserve">in an appeal against </w:t>
      </w:r>
      <w:r w:rsidR="00E341F5" w:rsidRPr="00A71222">
        <w:rPr>
          <w:rFonts w:ascii="Book Antiqua" w:hAnsi="Book Antiqua" w:cs="Arial"/>
        </w:rPr>
        <w:t>a refusal of such a claim</w:t>
      </w:r>
      <w:r w:rsidR="00BA454E" w:rsidRPr="00A71222">
        <w:rPr>
          <w:rFonts w:ascii="Book Antiqua" w:hAnsi="Book Antiqua" w:cs="Arial"/>
        </w:rPr>
        <w:t xml:space="preserve"> an individual </w:t>
      </w:r>
      <w:r w:rsidR="00452C52" w:rsidRPr="00A71222">
        <w:rPr>
          <w:rFonts w:ascii="Book Antiqua" w:hAnsi="Book Antiqua" w:cs="Arial"/>
        </w:rPr>
        <w:t xml:space="preserve">can, </w:t>
      </w:r>
      <w:r w:rsidR="003A60DE" w:rsidRPr="00A71222">
        <w:rPr>
          <w:rFonts w:ascii="Book Antiqua" w:hAnsi="Book Antiqua" w:cs="Arial"/>
        </w:rPr>
        <w:t xml:space="preserve">pursuant to the ground of appeal under section </w:t>
      </w:r>
      <w:r w:rsidR="005B6FDF" w:rsidRPr="00A71222">
        <w:rPr>
          <w:rFonts w:ascii="Book Antiqua" w:hAnsi="Book Antiqua" w:cs="Arial"/>
        </w:rPr>
        <w:t xml:space="preserve">84(1)(c), </w:t>
      </w:r>
      <w:r w:rsidR="00452C52" w:rsidRPr="00A71222">
        <w:rPr>
          <w:rFonts w:ascii="Book Antiqua" w:hAnsi="Book Antiqua" w:cs="Arial"/>
        </w:rPr>
        <w:t xml:space="preserve">assert that </w:t>
      </w:r>
      <w:r w:rsidR="00486EC1" w:rsidRPr="00A71222">
        <w:rPr>
          <w:rFonts w:ascii="Book Antiqua" w:hAnsi="Book Antiqua" w:cs="Arial"/>
        </w:rPr>
        <w:t>removal would expose them to</w:t>
      </w:r>
      <w:r w:rsidR="004F17FE" w:rsidRPr="00A71222">
        <w:rPr>
          <w:rFonts w:ascii="Book Antiqua" w:hAnsi="Book Antiqua" w:cs="Arial"/>
        </w:rPr>
        <w:t>, for example,</w:t>
      </w:r>
      <w:r w:rsidR="00486EC1" w:rsidRPr="00A71222">
        <w:rPr>
          <w:rFonts w:ascii="Book Antiqua" w:hAnsi="Book Antiqua" w:cs="Arial"/>
        </w:rPr>
        <w:t xml:space="preserve"> the real risk of being detained in prison conditions contrary to </w:t>
      </w:r>
      <w:r w:rsidR="0029166B" w:rsidRPr="00A71222">
        <w:rPr>
          <w:rFonts w:ascii="Book Antiqua" w:hAnsi="Book Antiqua" w:cs="Arial"/>
        </w:rPr>
        <w:t xml:space="preserve">that </w:t>
      </w:r>
      <w:r w:rsidR="00BB0414" w:rsidRPr="00A71222">
        <w:rPr>
          <w:rFonts w:ascii="Book Antiqua" w:hAnsi="Book Antiqua" w:cs="Arial"/>
        </w:rPr>
        <w:t xml:space="preserve">absolute </w:t>
      </w:r>
      <w:r w:rsidR="0029166B" w:rsidRPr="00A71222">
        <w:rPr>
          <w:rFonts w:ascii="Book Antiqua" w:hAnsi="Book Antiqua" w:cs="Arial"/>
        </w:rPr>
        <w:t>right</w:t>
      </w:r>
      <w:r w:rsidRPr="00A71222">
        <w:rPr>
          <w:rFonts w:ascii="Book Antiqua" w:hAnsi="Book Antiqua" w:cs="Arial"/>
        </w:rPr>
        <w:t>.</w:t>
      </w:r>
      <w:r w:rsidR="006218DC" w:rsidRPr="00A71222">
        <w:rPr>
          <w:rFonts w:ascii="Book Antiqua" w:hAnsi="Book Antiqua" w:cs="Arial"/>
        </w:rPr>
        <w:t xml:space="preserve"> </w:t>
      </w:r>
      <w:r w:rsidRPr="00A71222">
        <w:rPr>
          <w:rFonts w:ascii="Book Antiqua" w:hAnsi="Book Antiqua" w:cs="Arial"/>
        </w:rPr>
        <w:t xml:space="preserve">In respect of </w:t>
      </w:r>
      <w:r w:rsidR="000C1C72" w:rsidRPr="00A71222">
        <w:rPr>
          <w:rFonts w:ascii="Book Antiqua" w:hAnsi="Book Antiqua" w:cs="Arial"/>
        </w:rPr>
        <w:t>an appeal</w:t>
      </w:r>
      <w:r w:rsidRPr="00A71222">
        <w:rPr>
          <w:rFonts w:ascii="Book Antiqua" w:hAnsi="Book Antiqua" w:cs="Arial"/>
        </w:rPr>
        <w:t xml:space="preserve"> </w:t>
      </w:r>
      <w:r w:rsidR="00E66995" w:rsidRPr="00A71222">
        <w:rPr>
          <w:rFonts w:ascii="Book Antiqua" w:hAnsi="Book Antiqua" w:cs="Arial"/>
        </w:rPr>
        <w:t>against a refusal of a human rights claim</w:t>
      </w:r>
      <w:r w:rsidR="0058031E" w:rsidRPr="00A71222">
        <w:rPr>
          <w:rFonts w:ascii="Book Antiqua" w:hAnsi="Book Antiqua" w:cs="Arial"/>
        </w:rPr>
        <w:t xml:space="preserve">, </w:t>
      </w:r>
      <w:r w:rsidR="00460E64" w:rsidRPr="00A71222">
        <w:rPr>
          <w:rFonts w:ascii="Book Antiqua" w:hAnsi="Book Antiqua" w:cs="Arial"/>
        </w:rPr>
        <w:t>the position is somewhat more nuanced. I</w:t>
      </w:r>
      <w:r w:rsidR="00E0509A" w:rsidRPr="00A71222">
        <w:rPr>
          <w:rFonts w:ascii="Book Antiqua" w:hAnsi="Book Antiqua" w:cs="Arial"/>
        </w:rPr>
        <w:t xml:space="preserve">t is possible </w:t>
      </w:r>
      <w:r w:rsidR="00A866F9" w:rsidRPr="00A71222">
        <w:rPr>
          <w:rFonts w:ascii="Book Antiqua" w:hAnsi="Book Antiqua" w:cs="Arial"/>
        </w:rPr>
        <w:t xml:space="preserve">for an individual </w:t>
      </w:r>
      <w:r w:rsidR="00E0509A" w:rsidRPr="00A71222">
        <w:rPr>
          <w:rFonts w:ascii="Book Antiqua" w:hAnsi="Book Antiqua" w:cs="Arial"/>
        </w:rPr>
        <w:t>to rely on Articles 3 and 8</w:t>
      </w:r>
      <w:r w:rsidR="00A91B58" w:rsidRPr="00A71222">
        <w:rPr>
          <w:rFonts w:ascii="Book Antiqua" w:hAnsi="Book Antiqua" w:cs="Arial"/>
        </w:rPr>
        <w:t xml:space="preserve"> where</w:t>
      </w:r>
      <w:r w:rsidR="00C70E74" w:rsidRPr="00A71222">
        <w:rPr>
          <w:rFonts w:ascii="Book Antiqua" w:hAnsi="Book Antiqua" w:cs="Arial"/>
        </w:rPr>
        <w:t>,</w:t>
      </w:r>
      <w:r w:rsidR="00A91B58" w:rsidRPr="00A71222">
        <w:rPr>
          <w:rFonts w:ascii="Book Antiqua" w:hAnsi="Book Antiqua" w:cs="Arial"/>
        </w:rPr>
        <w:t xml:space="preserve"> for example</w:t>
      </w:r>
      <w:r w:rsidR="00C70E74" w:rsidRPr="00A71222">
        <w:rPr>
          <w:rFonts w:ascii="Book Antiqua" w:hAnsi="Book Antiqua" w:cs="Arial"/>
        </w:rPr>
        <w:t>,</w:t>
      </w:r>
      <w:r w:rsidR="00A91B58" w:rsidRPr="00A71222">
        <w:rPr>
          <w:rFonts w:ascii="Book Antiqua" w:hAnsi="Book Antiqua" w:cs="Arial"/>
        </w:rPr>
        <w:t xml:space="preserve"> </w:t>
      </w:r>
      <w:r w:rsidR="00A866F9" w:rsidRPr="00A71222">
        <w:rPr>
          <w:rFonts w:ascii="Book Antiqua" w:hAnsi="Book Antiqua" w:cs="Arial"/>
        </w:rPr>
        <w:t>it is asserted</w:t>
      </w:r>
      <w:r w:rsidR="00A91B58" w:rsidRPr="00A71222">
        <w:rPr>
          <w:rFonts w:ascii="Book Antiqua" w:hAnsi="Book Antiqua" w:cs="Arial"/>
        </w:rPr>
        <w:t xml:space="preserve"> that </w:t>
      </w:r>
      <w:r w:rsidR="009C3971" w:rsidRPr="00A71222">
        <w:rPr>
          <w:rFonts w:ascii="Book Antiqua" w:hAnsi="Book Antiqua" w:cs="Arial"/>
        </w:rPr>
        <w:t xml:space="preserve">their </w:t>
      </w:r>
      <w:r w:rsidR="003C4388" w:rsidRPr="00A71222">
        <w:rPr>
          <w:rFonts w:ascii="Book Antiqua" w:hAnsi="Book Antiqua" w:cs="Arial"/>
        </w:rPr>
        <w:t xml:space="preserve">removal in consequence of the </w:t>
      </w:r>
      <w:r w:rsidR="00931396" w:rsidRPr="00A71222">
        <w:rPr>
          <w:rFonts w:ascii="Book Antiqua" w:hAnsi="Book Antiqua" w:cs="Arial"/>
        </w:rPr>
        <w:t>decision would give rise to a sufficiently high risk of suicide</w:t>
      </w:r>
      <w:r w:rsidR="00C0644A" w:rsidRPr="00A71222">
        <w:rPr>
          <w:rFonts w:ascii="Book Antiqua" w:hAnsi="Book Antiqua" w:cs="Arial"/>
        </w:rPr>
        <w:t xml:space="preserve"> and that</w:t>
      </w:r>
      <w:r w:rsidR="005A09CC" w:rsidRPr="00A71222">
        <w:rPr>
          <w:rFonts w:ascii="Book Antiqua" w:hAnsi="Book Antiqua" w:cs="Arial"/>
        </w:rPr>
        <w:t xml:space="preserve"> </w:t>
      </w:r>
      <w:r w:rsidR="00C0644A" w:rsidRPr="00A71222">
        <w:rPr>
          <w:rFonts w:ascii="Book Antiqua" w:hAnsi="Book Antiqua" w:cs="Arial"/>
        </w:rPr>
        <w:t xml:space="preserve">they </w:t>
      </w:r>
      <w:r w:rsidR="00C70E74" w:rsidRPr="00A71222">
        <w:rPr>
          <w:rFonts w:ascii="Book Antiqua" w:hAnsi="Book Antiqua" w:cs="Arial"/>
        </w:rPr>
        <w:t xml:space="preserve">additionally </w:t>
      </w:r>
      <w:r w:rsidR="00C0644A" w:rsidRPr="00A71222">
        <w:rPr>
          <w:rFonts w:ascii="Book Antiqua" w:hAnsi="Book Antiqua" w:cs="Arial"/>
        </w:rPr>
        <w:t xml:space="preserve">enjoy family life in the </w:t>
      </w:r>
      <w:r w:rsidR="00694BFF" w:rsidRPr="00A71222">
        <w:rPr>
          <w:rFonts w:ascii="Book Antiqua" w:hAnsi="Book Antiqua" w:cs="Arial"/>
        </w:rPr>
        <w:t>United Kingdom</w:t>
      </w:r>
      <w:r w:rsidR="00EC17B4" w:rsidRPr="00A71222">
        <w:rPr>
          <w:rFonts w:ascii="Book Antiqua" w:hAnsi="Book Antiqua" w:cs="Arial"/>
        </w:rPr>
        <w:t xml:space="preserve">. </w:t>
      </w:r>
      <w:r w:rsidR="00241120" w:rsidRPr="00A71222">
        <w:rPr>
          <w:rFonts w:ascii="Book Antiqua" w:hAnsi="Book Antiqua" w:cs="Arial"/>
        </w:rPr>
        <w:t xml:space="preserve">Whilst </w:t>
      </w:r>
      <w:r w:rsidR="00647A39" w:rsidRPr="00A71222">
        <w:rPr>
          <w:rFonts w:ascii="Book Antiqua" w:hAnsi="Book Antiqua" w:cs="Arial"/>
        </w:rPr>
        <w:t xml:space="preserve">the only ground of appeal available is </w:t>
      </w:r>
      <w:r w:rsidR="00AC48F5" w:rsidRPr="00A71222">
        <w:rPr>
          <w:rFonts w:ascii="Book Antiqua" w:hAnsi="Book Antiqua" w:cs="Arial"/>
        </w:rPr>
        <w:t>that contained within section 84</w:t>
      </w:r>
      <w:r w:rsidR="00B4540E" w:rsidRPr="00A71222">
        <w:rPr>
          <w:rFonts w:ascii="Book Antiqua" w:hAnsi="Book Antiqua" w:cs="Arial"/>
        </w:rPr>
        <w:t>(2)</w:t>
      </w:r>
      <w:r w:rsidR="00D52346" w:rsidRPr="00A71222">
        <w:rPr>
          <w:rFonts w:ascii="Book Antiqua" w:hAnsi="Book Antiqua" w:cs="Arial"/>
        </w:rPr>
        <w:t xml:space="preserve">, with a favourable decision </w:t>
      </w:r>
      <w:r w:rsidR="00CD3885" w:rsidRPr="00A71222">
        <w:rPr>
          <w:rFonts w:ascii="Book Antiqua" w:hAnsi="Book Antiqua" w:cs="Arial"/>
        </w:rPr>
        <w:t xml:space="preserve">being that </w:t>
      </w:r>
      <w:r w:rsidR="00D40172" w:rsidRPr="00A71222">
        <w:rPr>
          <w:rFonts w:ascii="Book Antiqua" w:hAnsi="Book Antiqua" w:cs="Arial"/>
        </w:rPr>
        <w:t>the respondent</w:t>
      </w:r>
      <w:r w:rsidR="00D703A0" w:rsidRPr="00A71222">
        <w:rPr>
          <w:rFonts w:ascii="Book Antiqua" w:hAnsi="Book Antiqua" w:cs="Arial"/>
        </w:rPr>
        <w:t>’s</w:t>
      </w:r>
      <w:r w:rsidR="00D40172" w:rsidRPr="00A71222">
        <w:rPr>
          <w:rFonts w:ascii="Book Antiqua" w:hAnsi="Book Antiqua" w:cs="Arial"/>
        </w:rPr>
        <w:t xml:space="preserve"> refusal of the human rights claim </w:t>
      </w:r>
      <w:r w:rsidR="00086C62" w:rsidRPr="00A71222">
        <w:rPr>
          <w:rFonts w:ascii="Book Antiqua" w:hAnsi="Book Antiqua" w:cs="Arial"/>
        </w:rPr>
        <w:t>is</w:t>
      </w:r>
      <w:r w:rsidR="00D40172" w:rsidRPr="00A71222">
        <w:rPr>
          <w:rFonts w:ascii="Book Antiqua" w:hAnsi="Book Antiqua" w:cs="Arial"/>
        </w:rPr>
        <w:t xml:space="preserve"> unlawful</w:t>
      </w:r>
      <w:r w:rsidR="006123F0" w:rsidRPr="00A71222">
        <w:rPr>
          <w:rFonts w:ascii="Book Antiqua" w:hAnsi="Book Antiqua" w:cs="Arial"/>
        </w:rPr>
        <w:t xml:space="preserve"> under section 6 of the Human Rights Act 1998</w:t>
      </w:r>
      <w:r w:rsidR="006A37B9" w:rsidRPr="00A71222">
        <w:rPr>
          <w:rFonts w:ascii="Book Antiqua" w:hAnsi="Book Antiqua" w:cs="Arial"/>
        </w:rPr>
        <w:t>,</w:t>
      </w:r>
      <w:r w:rsidR="00085F2B" w:rsidRPr="00A71222">
        <w:rPr>
          <w:rFonts w:ascii="Book Antiqua" w:hAnsi="Book Antiqua" w:cs="Arial"/>
        </w:rPr>
        <w:t xml:space="preserve"> a tribunal</w:t>
      </w:r>
      <w:r w:rsidR="003F1564" w:rsidRPr="00A71222">
        <w:rPr>
          <w:rFonts w:ascii="Book Antiqua" w:hAnsi="Book Antiqua" w:cs="Arial"/>
        </w:rPr>
        <w:t xml:space="preserve"> </w:t>
      </w:r>
      <w:r w:rsidR="000B4D4F">
        <w:rPr>
          <w:rFonts w:ascii="Book Antiqua" w:hAnsi="Book Antiqua" w:cs="Arial"/>
        </w:rPr>
        <w:t>should</w:t>
      </w:r>
      <w:r w:rsidR="001B4818" w:rsidRPr="00A71222">
        <w:rPr>
          <w:rFonts w:ascii="Book Antiqua" w:hAnsi="Book Antiqua" w:cs="Arial"/>
        </w:rPr>
        <w:t xml:space="preserve"> in our view</w:t>
      </w:r>
      <w:r w:rsidR="00FF05C7" w:rsidRPr="00A71222">
        <w:rPr>
          <w:rFonts w:ascii="Book Antiqua" w:hAnsi="Book Antiqua" w:cs="Arial"/>
        </w:rPr>
        <w:t xml:space="preserve"> </w:t>
      </w:r>
      <w:r w:rsidR="00DA60EA">
        <w:rPr>
          <w:rFonts w:ascii="Book Antiqua" w:hAnsi="Book Antiqua" w:cs="Arial"/>
        </w:rPr>
        <w:t>state</w:t>
      </w:r>
      <w:r w:rsidR="000640BE">
        <w:rPr>
          <w:rFonts w:ascii="Book Antiqua" w:hAnsi="Book Antiqua" w:cs="Arial"/>
        </w:rPr>
        <w:t xml:space="preserve"> its decision</w:t>
      </w:r>
      <w:r w:rsidR="00496B02">
        <w:rPr>
          <w:rFonts w:ascii="Book Antiqua" w:hAnsi="Book Antiqua" w:cs="Arial"/>
        </w:rPr>
        <w:t xml:space="preserve"> in respect of the different protected rights expressly relied on</w:t>
      </w:r>
      <w:r w:rsidR="003A3628">
        <w:rPr>
          <w:rFonts w:ascii="Book Antiqua" w:hAnsi="Book Antiqua" w:cs="Arial"/>
        </w:rPr>
        <w:t>; in the example given, Articles 3 and 8</w:t>
      </w:r>
      <w:r w:rsidRPr="00A71222">
        <w:rPr>
          <w:rFonts w:ascii="Book Antiqua" w:hAnsi="Book Antiqua" w:cs="Arial"/>
        </w:rPr>
        <w:t>.</w:t>
      </w:r>
      <w:r w:rsidR="00263C94" w:rsidRPr="00A71222">
        <w:rPr>
          <w:rFonts w:ascii="Book Antiqua" w:hAnsi="Book Antiqua" w:cs="Arial"/>
        </w:rPr>
        <w:t xml:space="preserve"> </w:t>
      </w:r>
      <w:r w:rsidR="00561394" w:rsidRPr="00A71222">
        <w:rPr>
          <w:rFonts w:ascii="Book Antiqua" w:hAnsi="Book Antiqua" w:cs="Arial"/>
        </w:rPr>
        <w:t xml:space="preserve">The </w:t>
      </w:r>
      <w:r w:rsidR="00E76C85" w:rsidRPr="00A71222">
        <w:rPr>
          <w:rFonts w:ascii="Book Antiqua" w:hAnsi="Book Antiqua" w:cs="Arial"/>
        </w:rPr>
        <w:t xml:space="preserve">issues in respect of each </w:t>
      </w:r>
      <w:r w:rsidR="00AF6C1D" w:rsidRPr="00A71222">
        <w:rPr>
          <w:rFonts w:ascii="Book Antiqua" w:hAnsi="Book Antiqua" w:cs="Arial"/>
        </w:rPr>
        <w:t xml:space="preserve">provision </w:t>
      </w:r>
      <w:r w:rsidR="00E76C85" w:rsidRPr="00A71222">
        <w:rPr>
          <w:rFonts w:ascii="Book Antiqua" w:hAnsi="Book Antiqua" w:cs="Arial"/>
        </w:rPr>
        <w:t xml:space="preserve">will </w:t>
      </w:r>
      <w:r w:rsidR="00F6572E" w:rsidRPr="00A71222">
        <w:rPr>
          <w:rFonts w:ascii="Book Antiqua" w:hAnsi="Book Antiqua" w:cs="Arial"/>
        </w:rPr>
        <w:t xml:space="preserve">often </w:t>
      </w:r>
      <w:r w:rsidR="00E76C85" w:rsidRPr="00A71222">
        <w:rPr>
          <w:rFonts w:ascii="Book Antiqua" w:hAnsi="Book Antiqua" w:cs="Arial"/>
        </w:rPr>
        <w:t xml:space="preserve">be </w:t>
      </w:r>
      <w:r w:rsidR="00690822" w:rsidRPr="00A71222">
        <w:rPr>
          <w:rFonts w:ascii="Book Antiqua" w:hAnsi="Book Antiqua" w:cs="Arial"/>
        </w:rPr>
        <w:t>sufficiently distinct</w:t>
      </w:r>
      <w:r w:rsidR="005E60AA" w:rsidRPr="00A71222">
        <w:rPr>
          <w:rFonts w:ascii="Book Antiqua" w:hAnsi="Book Antiqua" w:cs="Arial"/>
        </w:rPr>
        <w:t xml:space="preserve"> to justify a differentiation in terms of the decision(s) made. </w:t>
      </w:r>
      <w:r w:rsidR="006C408E" w:rsidRPr="00A71222">
        <w:rPr>
          <w:rFonts w:ascii="Book Antiqua" w:hAnsi="Book Antiqua" w:cs="Arial"/>
        </w:rPr>
        <w:t xml:space="preserve">In any event, </w:t>
      </w:r>
      <w:r w:rsidR="003A3628">
        <w:rPr>
          <w:rFonts w:ascii="Book Antiqua" w:hAnsi="Book Antiqua" w:cs="Arial"/>
        </w:rPr>
        <w:t xml:space="preserve">and </w:t>
      </w:r>
      <w:r w:rsidR="00B139C3">
        <w:rPr>
          <w:rFonts w:ascii="Book Antiqua" w:hAnsi="Book Antiqua" w:cs="Arial"/>
        </w:rPr>
        <w:t xml:space="preserve">more importantly, </w:t>
      </w:r>
      <w:r w:rsidR="006800ED">
        <w:rPr>
          <w:rFonts w:ascii="Book Antiqua" w:hAnsi="Book Antiqua" w:cs="Arial"/>
        </w:rPr>
        <w:t xml:space="preserve">an appellant </w:t>
      </w:r>
      <w:r w:rsidR="00E24A94">
        <w:rPr>
          <w:rFonts w:ascii="Book Antiqua" w:hAnsi="Book Antiqua" w:cs="Arial"/>
        </w:rPr>
        <w:t xml:space="preserve">who expressly relies on </w:t>
      </w:r>
      <w:r w:rsidR="00F80267">
        <w:rPr>
          <w:rFonts w:ascii="Book Antiqua" w:hAnsi="Book Antiqua" w:cs="Arial"/>
        </w:rPr>
        <w:t>different articles of</w:t>
      </w:r>
      <w:r w:rsidR="00E24A94">
        <w:rPr>
          <w:rFonts w:ascii="Book Antiqua" w:hAnsi="Book Antiqua" w:cs="Arial"/>
        </w:rPr>
        <w:t xml:space="preserve"> the ECHR </w:t>
      </w:r>
      <w:r w:rsidR="00586BF4">
        <w:rPr>
          <w:rFonts w:ascii="Book Antiqua" w:hAnsi="Book Antiqua" w:cs="Arial"/>
        </w:rPr>
        <w:t xml:space="preserve">is entitled </w:t>
      </w:r>
      <w:r w:rsidR="007A49D9">
        <w:rPr>
          <w:rFonts w:ascii="Book Antiqua" w:hAnsi="Book Antiqua" w:cs="Arial"/>
        </w:rPr>
        <w:t>to an outcome</w:t>
      </w:r>
      <w:r w:rsidR="006D09AC">
        <w:rPr>
          <w:rFonts w:ascii="Book Antiqua" w:hAnsi="Book Antiqua" w:cs="Arial"/>
        </w:rPr>
        <w:t xml:space="preserve"> decision</w:t>
      </w:r>
      <w:r w:rsidR="007A49D9">
        <w:rPr>
          <w:rFonts w:ascii="Book Antiqua" w:hAnsi="Book Antiqua" w:cs="Arial"/>
        </w:rPr>
        <w:t xml:space="preserve"> in respect of </w:t>
      </w:r>
      <w:r w:rsidR="000368B4">
        <w:rPr>
          <w:rFonts w:ascii="Book Antiqua" w:hAnsi="Book Antiqua" w:cs="Arial"/>
        </w:rPr>
        <w:t>each.</w:t>
      </w:r>
      <w:r w:rsidR="00C9372D" w:rsidRPr="00A71222">
        <w:rPr>
          <w:rFonts w:ascii="Book Antiqua" w:hAnsi="Book Antiqua" w:cs="Arial"/>
        </w:rPr>
        <w:t xml:space="preserve"> </w:t>
      </w:r>
      <w:r w:rsidR="00127B77" w:rsidRPr="00A71222">
        <w:rPr>
          <w:rFonts w:ascii="Book Antiqua" w:hAnsi="Book Antiqua" w:cs="Arial"/>
        </w:rPr>
        <w:t>There is</w:t>
      </w:r>
      <w:r w:rsidR="0028130B">
        <w:rPr>
          <w:rFonts w:ascii="Book Antiqua" w:hAnsi="Book Antiqua" w:cs="Arial"/>
        </w:rPr>
        <w:t>, however,</w:t>
      </w:r>
      <w:r w:rsidR="00127B77" w:rsidRPr="00A71222">
        <w:rPr>
          <w:rFonts w:ascii="Book Antiqua" w:hAnsi="Book Antiqua" w:cs="Arial"/>
        </w:rPr>
        <w:t xml:space="preserve"> no scope for a legally effective delineation between success on the basis of private life or in respect of family life</w:t>
      </w:r>
      <w:r w:rsidR="00FF1AAA">
        <w:rPr>
          <w:rFonts w:ascii="Book Antiqua" w:hAnsi="Book Antiqua" w:cs="Arial"/>
        </w:rPr>
        <w:t xml:space="preserve"> within Article 8</w:t>
      </w:r>
      <w:r w:rsidR="00127B77" w:rsidRPr="00A71222">
        <w:rPr>
          <w:rFonts w:ascii="Book Antiqua" w:hAnsi="Book Antiqua" w:cs="Arial"/>
        </w:rPr>
        <w:t xml:space="preserve">: </w:t>
      </w:r>
      <w:r w:rsidR="00AF4A94">
        <w:rPr>
          <w:rFonts w:ascii="Book Antiqua" w:hAnsi="Book Antiqua" w:cs="Arial"/>
        </w:rPr>
        <w:t xml:space="preserve">success on this basis </w:t>
      </w:r>
      <w:r w:rsidR="00E604A9">
        <w:rPr>
          <w:rFonts w:ascii="Book Antiqua" w:hAnsi="Book Antiqua" w:cs="Arial"/>
        </w:rPr>
        <w:t>amounts to</w:t>
      </w:r>
      <w:r w:rsidR="00127B77" w:rsidRPr="00A71222">
        <w:rPr>
          <w:rFonts w:ascii="Book Antiqua" w:hAnsi="Book Antiqua" w:cs="Arial"/>
        </w:rPr>
        <w:t xml:space="preserve"> a composite outcome.</w:t>
      </w:r>
    </w:p>
    <w:p w14:paraId="699AE090" w14:textId="7FB0C5AA" w:rsidR="00C7726C" w:rsidRPr="00C7726C" w:rsidRDefault="005D3C01" w:rsidP="00865BFE">
      <w:pPr>
        <w:numPr>
          <w:ilvl w:val="0"/>
          <w:numId w:val="18"/>
        </w:numPr>
        <w:spacing w:before="240"/>
        <w:jc w:val="both"/>
        <w:rPr>
          <w:rFonts w:ascii="Book Antiqua" w:hAnsi="Book Antiqua" w:cs="Arial"/>
        </w:rPr>
      </w:pPr>
      <w:r>
        <w:rPr>
          <w:rFonts w:ascii="Book Antiqua" w:hAnsi="Book Antiqua" w:cs="Arial"/>
        </w:rPr>
        <w:t>We re-emphasise here the fact</w:t>
      </w:r>
      <w:r w:rsidR="00C7726C">
        <w:rPr>
          <w:rFonts w:ascii="Book Antiqua" w:hAnsi="Book Antiqua" w:cs="Arial"/>
        </w:rPr>
        <w:t xml:space="preserve"> that the respondent can also be the “winner” as the result of a decision by the First-tier Tribunal dismissing an appellant’s appeal on all grounds. Indeed, that is the scenario considered by the Court in </w:t>
      </w:r>
      <w:proofErr w:type="spellStart"/>
      <w:r w:rsidR="00C7726C" w:rsidRPr="003C7F8A">
        <w:rPr>
          <w:rFonts w:ascii="Book Antiqua" w:hAnsi="Book Antiqua" w:cs="Arial"/>
          <w:u w:val="single"/>
        </w:rPr>
        <w:t>Devani</w:t>
      </w:r>
      <w:proofErr w:type="spellEnd"/>
      <w:r w:rsidR="00C7726C">
        <w:rPr>
          <w:rFonts w:ascii="Book Antiqua" w:hAnsi="Book Antiqua" w:cs="Arial"/>
        </w:rPr>
        <w:t xml:space="preserve"> itself, albeit that the judge had intended to allow the appeal on a single ground.</w:t>
      </w:r>
    </w:p>
    <w:p w14:paraId="3A00CED7" w14:textId="36FED76A" w:rsidR="00DF4704" w:rsidRDefault="00484237" w:rsidP="00865BFE">
      <w:pPr>
        <w:numPr>
          <w:ilvl w:val="0"/>
          <w:numId w:val="18"/>
        </w:numPr>
        <w:spacing w:before="240"/>
        <w:jc w:val="both"/>
        <w:rPr>
          <w:rFonts w:ascii="Book Antiqua" w:hAnsi="Book Antiqua" w:cs="Arial"/>
        </w:rPr>
      </w:pPr>
      <w:r>
        <w:rPr>
          <w:rFonts w:ascii="Book Antiqua" w:hAnsi="Book Antiqua" w:cs="Arial"/>
        </w:rPr>
        <w:t>A</w:t>
      </w:r>
      <w:r w:rsidR="00377CFD" w:rsidRPr="008E6E60">
        <w:rPr>
          <w:rFonts w:ascii="Book Antiqua" w:hAnsi="Book Antiqua" w:cs="Arial"/>
        </w:rPr>
        <w:t>s a matter of common practice, the outcome of an appeal is usually stated under a subheading entitled “Decision” or “Notice of Decision</w:t>
      </w:r>
      <w:r w:rsidR="00377CFD" w:rsidRPr="00DD7C27">
        <w:rPr>
          <w:rFonts w:ascii="Book Antiqua" w:hAnsi="Book Antiqua" w:cs="Arial"/>
        </w:rPr>
        <w:t>” within the decision and reasons document pro</w:t>
      </w:r>
      <w:r w:rsidR="00554616">
        <w:rPr>
          <w:rFonts w:ascii="Book Antiqua" w:hAnsi="Book Antiqua" w:cs="Arial"/>
        </w:rPr>
        <w:t>duced</w:t>
      </w:r>
      <w:r w:rsidR="00377CFD" w:rsidRPr="00DD7C27">
        <w:rPr>
          <w:rFonts w:ascii="Book Antiqua" w:hAnsi="Book Antiqua" w:cs="Arial"/>
        </w:rPr>
        <w:t xml:space="preserve"> by judges in the Immigration and Asylum Chamber of both Tribunals</w:t>
      </w:r>
      <w:r w:rsidR="00684A8D" w:rsidRPr="00DD7C27">
        <w:rPr>
          <w:rFonts w:ascii="Book Antiqua" w:hAnsi="Book Antiqua" w:cs="Arial"/>
        </w:rPr>
        <w:t>.</w:t>
      </w:r>
      <w:r w:rsidR="003354C5" w:rsidRPr="00DD7C27">
        <w:rPr>
          <w:rFonts w:ascii="Book Antiqua" w:hAnsi="Book Antiqua" w:cs="Arial"/>
        </w:rPr>
        <w:t xml:space="preserve"> </w:t>
      </w:r>
      <w:r w:rsidR="003354C5">
        <w:rPr>
          <w:rFonts w:ascii="Book Antiqua" w:hAnsi="Book Antiqua" w:cs="Arial"/>
        </w:rPr>
        <w:t xml:space="preserve">By way of example, </w:t>
      </w:r>
      <w:r w:rsidR="00834AA8">
        <w:rPr>
          <w:rFonts w:ascii="Book Antiqua" w:hAnsi="Book Antiqua" w:cs="Arial"/>
        </w:rPr>
        <w:t xml:space="preserve">one may see </w:t>
      </w:r>
      <w:r w:rsidR="003354C5">
        <w:rPr>
          <w:rFonts w:ascii="Book Antiqua" w:hAnsi="Book Antiqua" w:cs="Arial"/>
        </w:rPr>
        <w:t xml:space="preserve">the following form of words </w:t>
      </w:r>
      <w:r w:rsidR="00834AA8">
        <w:rPr>
          <w:rFonts w:ascii="Book Antiqua" w:hAnsi="Book Antiqua" w:cs="Arial"/>
        </w:rPr>
        <w:t>employed</w:t>
      </w:r>
      <w:r w:rsidR="00333794">
        <w:rPr>
          <w:rFonts w:ascii="Book Antiqua" w:hAnsi="Book Antiqua" w:cs="Arial"/>
        </w:rPr>
        <w:t>:</w:t>
      </w:r>
    </w:p>
    <w:p w14:paraId="62604798" w14:textId="3B57FCF4" w:rsidR="007220D3" w:rsidRPr="00333794" w:rsidRDefault="00922F01" w:rsidP="007220D3">
      <w:pPr>
        <w:spacing w:before="240"/>
        <w:ind w:left="1440"/>
        <w:jc w:val="both"/>
        <w:rPr>
          <w:rFonts w:ascii="Book Antiqua" w:hAnsi="Book Antiqua" w:cs="Arial"/>
          <w:sz w:val="22"/>
          <w:szCs w:val="22"/>
        </w:rPr>
      </w:pPr>
      <w:r w:rsidRPr="00333794">
        <w:rPr>
          <w:rFonts w:ascii="Book Antiqua" w:hAnsi="Book Antiqua" w:cs="Arial"/>
          <w:sz w:val="22"/>
          <w:szCs w:val="22"/>
        </w:rPr>
        <w:t>“I dismiss</w:t>
      </w:r>
      <w:r w:rsidR="0048755D" w:rsidRPr="00333794">
        <w:rPr>
          <w:rFonts w:ascii="Book Antiqua" w:hAnsi="Book Antiqua" w:cs="Arial"/>
          <w:sz w:val="22"/>
          <w:szCs w:val="22"/>
        </w:rPr>
        <w:t xml:space="preserve"> the appeal </w:t>
      </w:r>
      <w:r w:rsidR="003763B1">
        <w:rPr>
          <w:rFonts w:ascii="Book Antiqua" w:hAnsi="Book Antiqua" w:cs="Arial"/>
          <w:sz w:val="22"/>
          <w:szCs w:val="22"/>
        </w:rPr>
        <w:t xml:space="preserve">against the respondent’s refusal of the protection claim </w:t>
      </w:r>
      <w:r w:rsidR="0048755D" w:rsidRPr="00333794">
        <w:rPr>
          <w:rFonts w:ascii="Book Antiqua" w:hAnsi="Book Antiqua" w:cs="Arial"/>
          <w:sz w:val="22"/>
          <w:szCs w:val="22"/>
        </w:rPr>
        <w:t>in respect of the Refugee Convention and humanitarian protection.</w:t>
      </w:r>
    </w:p>
    <w:p w14:paraId="7D8C62D9" w14:textId="2E7C9949" w:rsidR="0048755D" w:rsidRPr="00333794" w:rsidRDefault="0048755D" w:rsidP="007220D3">
      <w:pPr>
        <w:spacing w:before="240"/>
        <w:ind w:left="1440"/>
        <w:jc w:val="both"/>
        <w:rPr>
          <w:rFonts w:ascii="Book Antiqua" w:hAnsi="Book Antiqua" w:cs="Arial"/>
          <w:sz w:val="22"/>
          <w:szCs w:val="22"/>
        </w:rPr>
      </w:pPr>
      <w:r w:rsidRPr="00333794">
        <w:rPr>
          <w:rFonts w:ascii="Book Antiqua" w:hAnsi="Book Antiqua" w:cs="Arial"/>
          <w:sz w:val="22"/>
          <w:szCs w:val="22"/>
        </w:rPr>
        <w:t xml:space="preserve">I allow the appeal </w:t>
      </w:r>
      <w:r w:rsidR="00A60094">
        <w:rPr>
          <w:rFonts w:ascii="Book Antiqua" w:hAnsi="Book Antiqua" w:cs="Arial"/>
          <w:sz w:val="22"/>
          <w:szCs w:val="22"/>
        </w:rPr>
        <w:t xml:space="preserve">against the respondent’s refusal of the protection claim </w:t>
      </w:r>
      <w:r w:rsidRPr="00333794">
        <w:rPr>
          <w:rFonts w:ascii="Book Antiqua" w:hAnsi="Book Antiqua" w:cs="Arial"/>
          <w:sz w:val="22"/>
          <w:szCs w:val="22"/>
        </w:rPr>
        <w:t>on Article 3 ECHR grounds.</w:t>
      </w:r>
    </w:p>
    <w:p w14:paraId="2F46A873" w14:textId="5766733C" w:rsidR="00333794" w:rsidRPr="00333794" w:rsidRDefault="00333794" w:rsidP="007220D3">
      <w:pPr>
        <w:spacing w:before="240"/>
        <w:ind w:left="1440"/>
        <w:jc w:val="both"/>
        <w:rPr>
          <w:rFonts w:ascii="Book Antiqua" w:hAnsi="Book Antiqua" w:cs="Arial"/>
          <w:sz w:val="22"/>
          <w:szCs w:val="22"/>
        </w:rPr>
      </w:pPr>
      <w:r w:rsidRPr="00333794">
        <w:rPr>
          <w:rFonts w:ascii="Book Antiqua" w:hAnsi="Book Antiqua" w:cs="Arial"/>
          <w:sz w:val="22"/>
          <w:szCs w:val="22"/>
        </w:rPr>
        <w:t xml:space="preserve">I dismiss the appeal </w:t>
      </w:r>
      <w:r w:rsidR="00A60094">
        <w:rPr>
          <w:rFonts w:ascii="Book Antiqua" w:hAnsi="Book Antiqua" w:cs="Arial"/>
          <w:sz w:val="22"/>
          <w:szCs w:val="22"/>
        </w:rPr>
        <w:t xml:space="preserve">against the respondent refusal of the human rights claim in respect of </w:t>
      </w:r>
      <w:r w:rsidRPr="00333794">
        <w:rPr>
          <w:rFonts w:ascii="Book Antiqua" w:hAnsi="Book Antiqua" w:cs="Arial"/>
          <w:sz w:val="22"/>
          <w:szCs w:val="22"/>
        </w:rPr>
        <w:t>on Article 8 ECHR.”</w:t>
      </w:r>
    </w:p>
    <w:p w14:paraId="630C71B7" w14:textId="13A0AD73" w:rsidR="004B0EA7" w:rsidRDefault="00377CFD" w:rsidP="00865BFE">
      <w:pPr>
        <w:numPr>
          <w:ilvl w:val="0"/>
          <w:numId w:val="18"/>
        </w:numPr>
        <w:spacing w:before="240"/>
        <w:jc w:val="both"/>
        <w:rPr>
          <w:rFonts w:ascii="Book Antiqua" w:hAnsi="Book Antiqua" w:cs="Arial"/>
        </w:rPr>
      </w:pPr>
      <w:r w:rsidRPr="008E6E60">
        <w:rPr>
          <w:rFonts w:ascii="Book Antiqua" w:hAnsi="Book Antiqua" w:cs="Arial"/>
        </w:rPr>
        <w:t xml:space="preserve">In </w:t>
      </w:r>
      <w:r w:rsidR="006C09D9">
        <w:rPr>
          <w:rFonts w:ascii="Book Antiqua" w:hAnsi="Book Antiqua" w:cs="Arial"/>
        </w:rPr>
        <w:t xml:space="preserve">order </w:t>
      </w:r>
      <w:r w:rsidR="00660DAB">
        <w:rPr>
          <w:rFonts w:ascii="Book Antiqua" w:hAnsi="Book Antiqua" w:cs="Arial"/>
        </w:rPr>
        <w:t xml:space="preserve">to ensure that </w:t>
      </w:r>
      <w:r w:rsidR="00660DAB" w:rsidRPr="008E6E60">
        <w:rPr>
          <w:rFonts w:ascii="Book Antiqua" w:hAnsi="Book Antiqua" w:cs="Arial"/>
        </w:rPr>
        <w:t>the outcome</w:t>
      </w:r>
      <w:r w:rsidR="00505025">
        <w:rPr>
          <w:rFonts w:ascii="Book Antiqua" w:hAnsi="Book Antiqua" w:cs="Arial"/>
        </w:rPr>
        <w:t>(</w:t>
      </w:r>
      <w:r w:rsidR="00660DAB" w:rsidRPr="008E6E60">
        <w:rPr>
          <w:rFonts w:ascii="Book Antiqua" w:hAnsi="Book Antiqua" w:cs="Arial"/>
        </w:rPr>
        <w:t>s</w:t>
      </w:r>
      <w:r w:rsidR="00505025">
        <w:rPr>
          <w:rFonts w:ascii="Book Antiqua" w:hAnsi="Book Antiqua" w:cs="Arial"/>
        </w:rPr>
        <w:t>)</w:t>
      </w:r>
      <w:r w:rsidR="00800C6C">
        <w:rPr>
          <w:rFonts w:ascii="Book Antiqua" w:hAnsi="Book Antiqua" w:cs="Arial"/>
        </w:rPr>
        <w:t xml:space="preserve"> can be clearly identified</w:t>
      </w:r>
      <w:r w:rsidR="003E1299">
        <w:rPr>
          <w:rFonts w:ascii="Book Antiqua" w:hAnsi="Book Antiqua" w:cs="Arial"/>
        </w:rPr>
        <w:t>, and</w:t>
      </w:r>
      <w:r w:rsidR="00085080">
        <w:rPr>
          <w:rFonts w:ascii="Book Antiqua" w:hAnsi="Book Antiqua" w:cs="Arial"/>
        </w:rPr>
        <w:t xml:space="preserve"> in turn the extent to which</w:t>
      </w:r>
      <w:r w:rsidR="00017CA5">
        <w:rPr>
          <w:rFonts w:ascii="Book Antiqua" w:hAnsi="Book Antiqua" w:cs="Arial"/>
        </w:rPr>
        <w:t xml:space="preserve"> one party or the other is “the winner”,</w:t>
      </w:r>
      <w:r w:rsidR="007C40F6">
        <w:rPr>
          <w:rFonts w:ascii="Book Antiqua" w:hAnsi="Book Antiqua" w:cs="Arial"/>
        </w:rPr>
        <w:t xml:space="preserve"> judges </w:t>
      </w:r>
      <w:r w:rsidR="001109C6">
        <w:rPr>
          <w:rFonts w:ascii="Book Antiqua" w:hAnsi="Book Antiqua" w:cs="Arial"/>
        </w:rPr>
        <w:t>should</w:t>
      </w:r>
      <w:r w:rsidR="007C40F6">
        <w:rPr>
          <w:rFonts w:ascii="Book Antiqua" w:hAnsi="Book Antiqua" w:cs="Arial"/>
        </w:rPr>
        <w:t xml:space="preserve"> </w:t>
      </w:r>
      <w:r w:rsidR="00E5067A">
        <w:rPr>
          <w:rFonts w:ascii="Book Antiqua" w:hAnsi="Book Antiqua" w:cs="Arial"/>
        </w:rPr>
        <w:t xml:space="preserve">set out fully the </w:t>
      </w:r>
      <w:r w:rsidR="00C67A35">
        <w:rPr>
          <w:rFonts w:ascii="Book Antiqua" w:hAnsi="Book Antiqua" w:cs="Arial"/>
        </w:rPr>
        <w:t xml:space="preserve">precise </w:t>
      </w:r>
      <w:r w:rsidR="00DA3A28">
        <w:rPr>
          <w:rFonts w:ascii="Book Antiqua" w:hAnsi="Book Antiqua" w:cs="Arial"/>
        </w:rPr>
        <w:t xml:space="preserve">basis (or bases) </w:t>
      </w:r>
      <w:r w:rsidR="005D0EFC">
        <w:rPr>
          <w:rFonts w:ascii="Book Antiqua" w:hAnsi="Book Antiqua" w:cs="Arial"/>
        </w:rPr>
        <w:t xml:space="preserve">of their decision, </w:t>
      </w:r>
      <w:r w:rsidR="002C2EB8">
        <w:rPr>
          <w:rFonts w:ascii="Book Antiqua" w:hAnsi="Book Antiqua" w:cs="Arial"/>
        </w:rPr>
        <w:t xml:space="preserve">whether favourable to the appellant or otherwise.  </w:t>
      </w:r>
    </w:p>
    <w:p w14:paraId="4570E095" w14:textId="480631A3" w:rsidR="00EB2A9E" w:rsidRDefault="00504FC3" w:rsidP="00865BFE">
      <w:pPr>
        <w:numPr>
          <w:ilvl w:val="0"/>
          <w:numId w:val="18"/>
        </w:numPr>
        <w:spacing w:before="240"/>
        <w:jc w:val="both"/>
        <w:rPr>
          <w:rFonts w:ascii="Book Antiqua" w:hAnsi="Book Antiqua" w:cs="Arial"/>
        </w:rPr>
      </w:pPr>
      <w:r>
        <w:rPr>
          <w:rFonts w:ascii="Book Antiqua" w:hAnsi="Book Antiqua" w:cs="Arial"/>
        </w:rPr>
        <w:t>Th</w:t>
      </w:r>
      <w:r w:rsidR="006C5A5F">
        <w:rPr>
          <w:rFonts w:ascii="Book Antiqua" w:hAnsi="Book Antiqua" w:cs="Arial"/>
        </w:rPr>
        <w:t>e</w:t>
      </w:r>
      <w:r>
        <w:rPr>
          <w:rFonts w:ascii="Book Antiqua" w:hAnsi="Book Antiqua" w:cs="Arial"/>
        </w:rPr>
        <w:t xml:space="preserve"> outcomes-based approach is reflected in t</w:t>
      </w:r>
      <w:r w:rsidR="00B47ED4">
        <w:rPr>
          <w:rFonts w:ascii="Book Antiqua" w:hAnsi="Book Antiqua" w:cs="Arial"/>
        </w:rPr>
        <w:t xml:space="preserve">he conclusion of Underhill LJ in paragraph 27 of </w:t>
      </w:r>
      <w:proofErr w:type="spellStart"/>
      <w:r w:rsidR="003577FC" w:rsidRPr="003577FC">
        <w:rPr>
          <w:rFonts w:ascii="Book Antiqua" w:hAnsi="Book Antiqua" w:cs="Arial"/>
          <w:u w:val="single"/>
        </w:rPr>
        <w:t>Devani</w:t>
      </w:r>
      <w:proofErr w:type="spellEnd"/>
      <w:r w:rsidR="00B47ED4">
        <w:rPr>
          <w:rFonts w:ascii="Book Antiqua" w:hAnsi="Book Antiqua" w:cs="Arial"/>
        </w:rPr>
        <w:t xml:space="preserve"> that the right of appeal under section 11(2) of the 2007 Act lies only against an aspect of the “order” (</w:t>
      </w:r>
      <w:r w:rsidR="008417C3">
        <w:rPr>
          <w:rFonts w:ascii="Book Antiqua" w:hAnsi="Book Antiqua" w:cs="Arial"/>
        </w:rPr>
        <w:t xml:space="preserve">or, </w:t>
      </w:r>
      <w:r w:rsidR="00B47ED4">
        <w:rPr>
          <w:rFonts w:ascii="Book Antiqua" w:hAnsi="Book Antiqua" w:cs="Arial"/>
        </w:rPr>
        <w:t>as we have previously explained</w:t>
      </w:r>
      <w:r w:rsidR="007B1902">
        <w:rPr>
          <w:rFonts w:ascii="Book Antiqua" w:hAnsi="Book Antiqua" w:cs="Arial"/>
        </w:rPr>
        <w:t xml:space="preserve">, the determination of the </w:t>
      </w:r>
      <w:r w:rsidR="00670993">
        <w:rPr>
          <w:rFonts w:ascii="Book Antiqua" w:hAnsi="Book Antiqua" w:cs="Arial"/>
        </w:rPr>
        <w:t xml:space="preserve">specific </w:t>
      </w:r>
      <w:r w:rsidR="007B1902">
        <w:rPr>
          <w:rFonts w:ascii="Book Antiqua" w:hAnsi="Book Antiqua" w:cs="Arial"/>
        </w:rPr>
        <w:t>ground(s) relied on</w:t>
      </w:r>
      <w:r w:rsidR="008C0398">
        <w:rPr>
          <w:rFonts w:ascii="Book Antiqua" w:hAnsi="Book Antiqua" w:cs="Arial"/>
        </w:rPr>
        <w:t xml:space="preserve">, </w:t>
      </w:r>
      <w:r w:rsidR="008C0398" w:rsidRPr="003665B9">
        <w:rPr>
          <w:rFonts w:ascii="Book Antiqua" w:hAnsi="Book Antiqua" w:cs="Arial"/>
        </w:rPr>
        <w:t>including</w:t>
      </w:r>
      <w:r w:rsidR="00F17F79" w:rsidRPr="003665B9">
        <w:rPr>
          <w:rFonts w:ascii="Book Antiqua" w:hAnsi="Book Antiqua" w:cs="Arial"/>
        </w:rPr>
        <w:t>, where applicable, different articles</w:t>
      </w:r>
      <w:r w:rsidR="007951B1" w:rsidRPr="003665B9">
        <w:rPr>
          <w:rFonts w:ascii="Book Antiqua" w:hAnsi="Book Antiqua" w:cs="Arial"/>
        </w:rPr>
        <w:t xml:space="preserve"> of the ECHR</w:t>
      </w:r>
      <w:r w:rsidR="00B47ED4" w:rsidRPr="003665B9">
        <w:rPr>
          <w:rFonts w:ascii="Book Antiqua" w:hAnsi="Book Antiqua" w:cs="Arial"/>
        </w:rPr>
        <w:t xml:space="preserve">) </w:t>
      </w:r>
      <w:r w:rsidR="00B47ED4">
        <w:rPr>
          <w:rFonts w:ascii="Book Antiqua" w:hAnsi="Book Antiqua" w:cs="Arial"/>
        </w:rPr>
        <w:t>and that a party who has obtained “the exact outcome” sought cannot, as the “winning party”, mount an appeal</w:t>
      </w:r>
      <w:r w:rsidR="004950F1">
        <w:rPr>
          <w:rFonts w:ascii="Book Antiqua" w:hAnsi="Book Antiqua" w:cs="Arial"/>
        </w:rPr>
        <w:t xml:space="preserve">. It follows that an appellant who is able to, and does, rely on a number of grounds </w:t>
      </w:r>
      <w:r w:rsidR="004950F1" w:rsidRPr="006F1838">
        <w:rPr>
          <w:rFonts w:ascii="Book Antiqua" w:hAnsi="Book Antiqua" w:cs="Arial"/>
          <w:i/>
          <w:iCs/>
        </w:rPr>
        <w:t>will</w:t>
      </w:r>
      <w:r w:rsidR="004950F1">
        <w:rPr>
          <w:rFonts w:ascii="Book Antiqua" w:hAnsi="Book Antiqua" w:cs="Arial"/>
        </w:rPr>
        <w:t xml:space="preserve"> have a right of appeal in respect of those upon which they are unsuccessful. This is simply because they have not, in effect, obtained the “exact outcome” sought, a point implicitly recognised by Underhill LJ in footnote 4 of his judgment</w:t>
      </w:r>
      <w:r w:rsidR="001F7CD5">
        <w:rPr>
          <w:rFonts w:ascii="Book Antiqua" w:hAnsi="Book Antiqua" w:cs="Arial"/>
        </w:rPr>
        <w:t>:</w:t>
      </w:r>
      <w:r w:rsidR="004950F1">
        <w:rPr>
          <w:rFonts w:ascii="Book Antiqua" w:hAnsi="Book Antiqua" w:cs="Arial"/>
        </w:rPr>
        <w:t xml:space="preserve"> </w:t>
      </w:r>
      <w:r w:rsidR="001F7CD5">
        <w:rPr>
          <w:rFonts w:ascii="Book Antiqua" w:hAnsi="Book Antiqua" w:cs="Arial"/>
        </w:rPr>
        <w:t>the “</w:t>
      </w:r>
      <w:r w:rsidR="004950F1">
        <w:rPr>
          <w:rFonts w:ascii="Book Antiqua" w:hAnsi="Book Antiqua" w:cs="Arial"/>
        </w:rPr>
        <w:t>winner” can appeal under section 11 of the 2007 Act because their success has been partial and one or more additional outcomes may ultimately be achieved.</w:t>
      </w:r>
      <w:r w:rsidR="00FC0812">
        <w:rPr>
          <w:rFonts w:ascii="Book Antiqua" w:hAnsi="Book Antiqua" w:cs="Arial"/>
        </w:rPr>
        <w:t xml:space="preserve">  </w:t>
      </w:r>
    </w:p>
    <w:p w14:paraId="485CE6F0" w14:textId="5ED75EF9" w:rsidR="00B47ED4" w:rsidRDefault="00933903" w:rsidP="00865BFE">
      <w:pPr>
        <w:numPr>
          <w:ilvl w:val="0"/>
          <w:numId w:val="18"/>
        </w:numPr>
        <w:spacing w:before="240"/>
        <w:jc w:val="both"/>
        <w:rPr>
          <w:rFonts w:ascii="Book Antiqua" w:hAnsi="Book Antiqua" w:cs="Arial"/>
        </w:rPr>
      </w:pPr>
      <w:r>
        <w:rPr>
          <w:rFonts w:ascii="Book Antiqua" w:hAnsi="Book Antiqua" w:cs="Arial"/>
        </w:rPr>
        <w:t>What is set out in the preceding paragraph</w:t>
      </w:r>
      <w:r w:rsidR="00FC0812">
        <w:rPr>
          <w:rFonts w:ascii="Book Antiqua" w:hAnsi="Book Antiqua" w:cs="Arial"/>
        </w:rPr>
        <w:t xml:space="preserve"> </w:t>
      </w:r>
      <w:r w:rsidR="00B47ED4" w:rsidRPr="004950F1">
        <w:rPr>
          <w:rFonts w:ascii="Book Antiqua" w:hAnsi="Book Antiqua" w:cs="Arial"/>
        </w:rPr>
        <w:t>represents, in our respectful view, a correct analysis of the current appellate regime</w:t>
      </w:r>
      <w:r w:rsidR="008E57B4" w:rsidRPr="004950F1">
        <w:rPr>
          <w:rFonts w:ascii="Book Antiqua" w:hAnsi="Book Antiqua" w:cs="Arial"/>
        </w:rPr>
        <w:t xml:space="preserve"> and we regard</w:t>
      </w:r>
      <w:r w:rsidR="00C8130D" w:rsidRPr="004950F1">
        <w:rPr>
          <w:rFonts w:ascii="Book Antiqua" w:hAnsi="Book Antiqua" w:cs="Arial"/>
        </w:rPr>
        <w:t xml:space="preserve"> </w:t>
      </w:r>
      <w:proofErr w:type="spellStart"/>
      <w:r w:rsidR="00E53C87" w:rsidRPr="00E53C87">
        <w:rPr>
          <w:rFonts w:ascii="Book Antiqua" w:hAnsi="Book Antiqua" w:cs="Arial"/>
          <w:u w:val="single"/>
        </w:rPr>
        <w:t>Devani</w:t>
      </w:r>
      <w:proofErr w:type="spellEnd"/>
      <w:r w:rsidR="00E53C87">
        <w:rPr>
          <w:rFonts w:ascii="Book Antiqua" w:hAnsi="Book Antiqua" w:cs="Arial"/>
        </w:rPr>
        <w:t xml:space="preserve"> </w:t>
      </w:r>
      <w:r w:rsidR="008E57B4" w:rsidRPr="004950F1">
        <w:rPr>
          <w:rFonts w:ascii="Book Antiqua" w:hAnsi="Book Antiqua" w:cs="Arial"/>
        </w:rPr>
        <w:t>as binding</w:t>
      </w:r>
      <w:r w:rsidR="00303D16" w:rsidRPr="004950F1">
        <w:rPr>
          <w:rFonts w:ascii="Book Antiqua" w:hAnsi="Book Antiqua" w:cs="Arial"/>
        </w:rPr>
        <w:t xml:space="preserve"> authority</w:t>
      </w:r>
      <w:r w:rsidR="00C771D1" w:rsidRPr="004950F1">
        <w:rPr>
          <w:rFonts w:ascii="Book Antiqua" w:hAnsi="Book Antiqua" w:cs="Arial"/>
        </w:rPr>
        <w:t xml:space="preserve"> on the </w:t>
      </w:r>
      <w:r w:rsidR="00D86919" w:rsidRPr="004950F1">
        <w:rPr>
          <w:rFonts w:ascii="Book Antiqua" w:hAnsi="Book Antiqua" w:cs="Arial"/>
        </w:rPr>
        <w:t>point</w:t>
      </w:r>
      <w:r w:rsidR="00C771D1" w:rsidRPr="004950F1">
        <w:rPr>
          <w:rFonts w:ascii="Book Antiqua" w:hAnsi="Book Antiqua" w:cs="Arial"/>
        </w:rPr>
        <w:t>.</w:t>
      </w:r>
    </w:p>
    <w:p w14:paraId="534B8C0B" w14:textId="50FFD8E1" w:rsidR="00EC7726" w:rsidRDefault="00C45B99" w:rsidP="00865BFE">
      <w:pPr>
        <w:numPr>
          <w:ilvl w:val="0"/>
          <w:numId w:val="18"/>
        </w:numPr>
        <w:spacing w:before="240"/>
        <w:jc w:val="both"/>
        <w:rPr>
          <w:rFonts w:ascii="Book Antiqua" w:hAnsi="Book Antiqua" w:cs="Arial"/>
        </w:rPr>
      </w:pPr>
      <w:r>
        <w:rPr>
          <w:rFonts w:ascii="Book Antiqua" w:hAnsi="Book Antiqua" w:cs="Arial"/>
        </w:rPr>
        <w:t xml:space="preserve">We return to </w:t>
      </w:r>
      <w:r w:rsidRPr="00C45B99">
        <w:rPr>
          <w:rFonts w:ascii="Book Antiqua" w:hAnsi="Book Antiqua" w:cs="Arial"/>
          <w:u w:val="single"/>
        </w:rPr>
        <w:t>Anwar</w:t>
      </w:r>
      <w:r>
        <w:rPr>
          <w:rFonts w:ascii="Book Antiqua" w:hAnsi="Book Antiqua" w:cs="Arial"/>
        </w:rPr>
        <w:t xml:space="preserve">. This </w:t>
      </w:r>
      <w:r w:rsidR="001C267A">
        <w:rPr>
          <w:rFonts w:ascii="Book Antiqua" w:hAnsi="Book Antiqua" w:cs="Arial"/>
        </w:rPr>
        <w:t xml:space="preserve">too </w:t>
      </w:r>
      <w:r w:rsidR="00FC309E">
        <w:rPr>
          <w:rFonts w:ascii="Book Antiqua" w:hAnsi="Book Antiqua" w:cs="Arial"/>
        </w:rPr>
        <w:t>is</w:t>
      </w:r>
      <w:r w:rsidR="00075315">
        <w:rPr>
          <w:rFonts w:ascii="Book Antiqua" w:hAnsi="Book Antiqua" w:cs="Arial"/>
        </w:rPr>
        <w:t xml:space="preserve"> a case concerned with outcomes</w:t>
      </w:r>
      <w:r w:rsidR="00EC7726">
        <w:rPr>
          <w:rFonts w:ascii="Book Antiqua" w:hAnsi="Book Antiqua" w:cs="Arial"/>
        </w:rPr>
        <w:t>. Mr Anwar succeeded on a narrow basis (</w:t>
      </w:r>
      <w:r w:rsidR="00215D41">
        <w:rPr>
          <w:rFonts w:ascii="Book Antiqua" w:hAnsi="Book Antiqua" w:cs="Arial"/>
        </w:rPr>
        <w:t xml:space="preserve">the decision of the respondent under appeal was </w:t>
      </w:r>
      <w:r w:rsidR="00DD2EFD">
        <w:rPr>
          <w:rFonts w:ascii="Book Antiqua" w:hAnsi="Book Antiqua" w:cs="Arial"/>
        </w:rPr>
        <w:t xml:space="preserve">found </w:t>
      </w:r>
      <w:r w:rsidR="00502F05">
        <w:rPr>
          <w:rFonts w:ascii="Book Antiqua" w:hAnsi="Book Antiqua" w:cs="Arial"/>
        </w:rPr>
        <w:t xml:space="preserve">to be </w:t>
      </w:r>
      <w:r w:rsidR="00215D41">
        <w:rPr>
          <w:rFonts w:ascii="Book Antiqua" w:hAnsi="Book Antiqua" w:cs="Arial"/>
        </w:rPr>
        <w:t xml:space="preserve">not otherwise in </w:t>
      </w:r>
      <w:r w:rsidR="00CA2839">
        <w:rPr>
          <w:rFonts w:ascii="Book Antiqua" w:hAnsi="Book Antiqua" w:cs="Arial"/>
        </w:rPr>
        <w:t>accordance</w:t>
      </w:r>
      <w:r w:rsidR="00215D41">
        <w:rPr>
          <w:rFonts w:ascii="Book Antiqua" w:hAnsi="Book Antiqua" w:cs="Arial"/>
        </w:rPr>
        <w:t xml:space="preserve"> with the law and </w:t>
      </w:r>
      <w:r w:rsidR="00A60C26">
        <w:rPr>
          <w:rFonts w:ascii="Book Antiqua" w:hAnsi="Book Antiqua" w:cs="Arial"/>
        </w:rPr>
        <w:t xml:space="preserve">was </w:t>
      </w:r>
      <w:r w:rsidR="00502F05">
        <w:rPr>
          <w:rFonts w:ascii="Book Antiqua" w:hAnsi="Book Antiqua" w:cs="Arial"/>
        </w:rPr>
        <w:t xml:space="preserve">sent back for it </w:t>
      </w:r>
      <w:r w:rsidR="00A60C26">
        <w:rPr>
          <w:rFonts w:ascii="Book Antiqua" w:hAnsi="Book Antiqua" w:cs="Arial"/>
        </w:rPr>
        <w:t xml:space="preserve">to be retaken on a lawful </w:t>
      </w:r>
      <w:r w:rsidR="00CA2839">
        <w:rPr>
          <w:rFonts w:ascii="Book Antiqua" w:hAnsi="Book Antiqua" w:cs="Arial"/>
        </w:rPr>
        <w:t>basis</w:t>
      </w:r>
      <w:r w:rsidR="00A60C26">
        <w:rPr>
          <w:rFonts w:ascii="Book Antiqua" w:hAnsi="Book Antiqua" w:cs="Arial"/>
        </w:rPr>
        <w:t xml:space="preserve">). </w:t>
      </w:r>
      <w:r w:rsidR="00B7148E">
        <w:rPr>
          <w:rFonts w:ascii="Book Antiqua" w:hAnsi="Book Antiqua" w:cs="Arial"/>
        </w:rPr>
        <w:t xml:space="preserve">This was not the outcome hoped for, or, to put it in the </w:t>
      </w:r>
      <w:r w:rsidR="00A07B9C">
        <w:rPr>
          <w:rFonts w:ascii="Book Antiqua" w:hAnsi="Book Antiqua" w:cs="Arial"/>
        </w:rPr>
        <w:t xml:space="preserve">terms of </w:t>
      </w:r>
      <w:r w:rsidR="00C151AD">
        <w:rPr>
          <w:rFonts w:ascii="Book Antiqua" w:hAnsi="Book Antiqua" w:cs="Arial"/>
        </w:rPr>
        <w:t xml:space="preserve">the common law cases, he did not get all </w:t>
      </w:r>
      <w:r w:rsidR="00C452B1">
        <w:rPr>
          <w:rFonts w:ascii="Book Antiqua" w:hAnsi="Book Antiqua" w:cs="Arial"/>
        </w:rPr>
        <w:t>the “relief” he believed he was entitled to.</w:t>
      </w:r>
    </w:p>
    <w:p w14:paraId="7E0CAF3B" w14:textId="24B575C6" w:rsidR="005544BD" w:rsidRDefault="007B367C" w:rsidP="00865BFE">
      <w:pPr>
        <w:numPr>
          <w:ilvl w:val="0"/>
          <w:numId w:val="18"/>
        </w:numPr>
        <w:spacing w:before="240"/>
        <w:jc w:val="both"/>
        <w:rPr>
          <w:rFonts w:ascii="Book Antiqua" w:hAnsi="Book Antiqua" w:cs="Arial"/>
        </w:rPr>
      </w:pPr>
      <w:r>
        <w:rPr>
          <w:rFonts w:ascii="Book Antiqua" w:hAnsi="Book Antiqua" w:cs="Arial"/>
        </w:rPr>
        <w:t xml:space="preserve">What is important to note is that Mr Anwar’s appeal to the First-tier Tribunal </w:t>
      </w:r>
      <w:r w:rsidR="002458AA">
        <w:rPr>
          <w:rFonts w:ascii="Book Antiqua" w:hAnsi="Book Antiqua" w:cs="Arial"/>
        </w:rPr>
        <w:t xml:space="preserve">and then to the Upper Tribunal was </w:t>
      </w:r>
      <w:r w:rsidR="00F90B1A">
        <w:rPr>
          <w:rFonts w:ascii="Book Antiqua" w:hAnsi="Book Antiqua" w:cs="Arial"/>
        </w:rPr>
        <w:t xml:space="preserve">pursued </w:t>
      </w:r>
      <w:r w:rsidR="002458AA">
        <w:rPr>
          <w:rFonts w:ascii="Book Antiqua" w:hAnsi="Book Antiqua" w:cs="Arial"/>
        </w:rPr>
        <w:t>under the statutory regime in place prior to the changes brought about by the Immigration Act 2014</w:t>
      </w:r>
      <w:r w:rsidR="00F5715C">
        <w:rPr>
          <w:rFonts w:ascii="Book Antiqua" w:hAnsi="Book Antiqua" w:cs="Arial"/>
        </w:rPr>
        <w:t xml:space="preserve">. </w:t>
      </w:r>
      <w:r w:rsidR="00D461B6">
        <w:rPr>
          <w:rFonts w:ascii="Book Antiqua" w:hAnsi="Book Antiqua" w:cs="Arial"/>
        </w:rPr>
        <w:t>A</w:t>
      </w:r>
      <w:r w:rsidR="00307B6B">
        <w:rPr>
          <w:rFonts w:ascii="Book Antiqua" w:hAnsi="Book Antiqua" w:cs="Arial"/>
        </w:rPr>
        <w:t xml:space="preserve">s a </w:t>
      </w:r>
      <w:r w:rsidR="00CA2839">
        <w:rPr>
          <w:rFonts w:ascii="Book Antiqua" w:hAnsi="Book Antiqua" w:cs="Arial"/>
        </w:rPr>
        <w:t>consequence</w:t>
      </w:r>
      <w:r w:rsidR="00307B6B">
        <w:rPr>
          <w:rFonts w:ascii="Book Antiqua" w:hAnsi="Book Antiqua" w:cs="Arial"/>
        </w:rPr>
        <w:t>, he had at his disposal a variety of grounds of appeal</w:t>
      </w:r>
      <w:r w:rsidR="00D54714">
        <w:rPr>
          <w:rFonts w:ascii="Book Antiqua" w:hAnsi="Book Antiqua" w:cs="Arial"/>
        </w:rPr>
        <w:t xml:space="preserve"> under the unamended section 84 of the 2002 Act</w:t>
      </w:r>
      <w:r w:rsidR="00B261A3">
        <w:rPr>
          <w:rFonts w:ascii="Book Antiqua" w:hAnsi="Book Antiqua" w:cs="Arial"/>
        </w:rPr>
        <w:t xml:space="preserve"> on which to rely</w:t>
      </w:r>
      <w:r w:rsidR="004332DA">
        <w:rPr>
          <w:rFonts w:ascii="Book Antiqua" w:hAnsi="Book Antiqua" w:cs="Arial"/>
        </w:rPr>
        <w:t>,</w:t>
      </w:r>
      <w:r w:rsidR="00B261A3">
        <w:rPr>
          <w:rFonts w:ascii="Book Antiqua" w:hAnsi="Book Antiqua" w:cs="Arial"/>
        </w:rPr>
        <w:t xml:space="preserve"> including the contentions that the respondent</w:t>
      </w:r>
      <w:r w:rsidR="009565B3">
        <w:rPr>
          <w:rFonts w:ascii="Book Antiqua" w:hAnsi="Book Antiqua" w:cs="Arial"/>
        </w:rPr>
        <w:t>’s</w:t>
      </w:r>
      <w:r w:rsidR="00B261A3">
        <w:rPr>
          <w:rFonts w:ascii="Book Antiqua" w:hAnsi="Book Antiqua" w:cs="Arial"/>
        </w:rPr>
        <w:t xml:space="preserve"> decision was not in accordance wit</w:t>
      </w:r>
      <w:r w:rsidR="00677C0F">
        <w:rPr>
          <w:rFonts w:ascii="Book Antiqua" w:hAnsi="Book Antiqua" w:cs="Arial"/>
        </w:rPr>
        <w:t>h</w:t>
      </w:r>
      <w:r w:rsidR="00B261A3">
        <w:rPr>
          <w:rFonts w:ascii="Book Antiqua" w:hAnsi="Book Antiqua" w:cs="Arial"/>
        </w:rPr>
        <w:t xml:space="preserve"> </w:t>
      </w:r>
      <w:r w:rsidR="0012052B">
        <w:rPr>
          <w:rFonts w:ascii="Book Antiqua" w:hAnsi="Book Antiqua" w:cs="Arial"/>
        </w:rPr>
        <w:t>the Rules (</w:t>
      </w:r>
      <w:r w:rsidR="005544BD">
        <w:rPr>
          <w:rFonts w:ascii="Book Antiqua" w:hAnsi="Book Antiqua" w:cs="Arial"/>
        </w:rPr>
        <w:t>section 84(1)(a)) and that it was not otherwise in accordance with the law (section 84(1)</w:t>
      </w:r>
      <w:r w:rsidR="00E03F63">
        <w:rPr>
          <w:rFonts w:ascii="Book Antiqua" w:hAnsi="Book Antiqua" w:cs="Arial"/>
        </w:rPr>
        <w:t>(e</w:t>
      </w:r>
      <w:r w:rsidR="005544BD">
        <w:rPr>
          <w:rFonts w:ascii="Book Antiqua" w:hAnsi="Book Antiqua" w:cs="Arial"/>
        </w:rPr>
        <w:t>)</w:t>
      </w:r>
      <w:r w:rsidR="00E03F63">
        <w:rPr>
          <w:rFonts w:ascii="Book Antiqua" w:hAnsi="Book Antiqua" w:cs="Arial"/>
        </w:rPr>
        <w:t>)</w:t>
      </w:r>
      <w:r w:rsidR="005544BD">
        <w:rPr>
          <w:rFonts w:ascii="Book Antiqua" w:hAnsi="Book Antiqua" w:cs="Arial"/>
        </w:rPr>
        <w:t>.</w:t>
      </w:r>
      <w:r w:rsidR="007415FA">
        <w:rPr>
          <w:rFonts w:ascii="Book Antiqua" w:hAnsi="Book Antiqua" w:cs="Arial"/>
        </w:rPr>
        <w:t xml:space="preserve"> </w:t>
      </w:r>
      <w:r w:rsidR="0076408A">
        <w:rPr>
          <w:rFonts w:ascii="Book Antiqua" w:hAnsi="Book Antiqua" w:cs="Arial"/>
        </w:rPr>
        <w:t>Thus,</w:t>
      </w:r>
      <w:r w:rsidR="003B3E27">
        <w:rPr>
          <w:rFonts w:ascii="Book Antiqua" w:hAnsi="Book Antiqua" w:cs="Arial"/>
        </w:rPr>
        <w:t xml:space="preserve"> it had been open to him on appeal to the First-tier Tribunal and (in respect of the re</w:t>
      </w:r>
      <w:r w:rsidR="00D46D74">
        <w:rPr>
          <w:rFonts w:ascii="Book Antiqua" w:hAnsi="Book Antiqua" w:cs="Arial"/>
        </w:rPr>
        <w:t>-</w:t>
      </w:r>
      <w:r w:rsidR="003B3E27">
        <w:rPr>
          <w:rFonts w:ascii="Book Antiqua" w:hAnsi="Book Antiqua" w:cs="Arial"/>
        </w:rPr>
        <w:t>making of the decision) the Upper Tribunal</w:t>
      </w:r>
      <w:r w:rsidR="00DF2117">
        <w:rPr>
          <w:rFonts w:ascii="Book Antiqua" w:hAnsi="Book Antiqua" w:cs="Arial"/>
        </w:rPr>
        <w:t xml:space="preserve"> to argue that paragraph 322(3)</w:t>
      </w:r>
      <w:r w:rsidR="001D3174">
        <w:rPr>
          <w:rFonts w:ascii="Book Antiqua" w:hAnsi="Book Antiqua" w:cs="Arial"/>
        </w:rPr>
        <w:t xml:space="preserve"> of the Rules did not apply to him and that he had satisfied all other requirements of the Rules relating to students. If this</w:t>
      </w:r>
      <w:r w:rsidR="00E70C20">
        <w:rPr>
          <w:rFonts w:ascii="Book Antiqua" w:hAnsi="Book Antiqua" w:cs="Arial"/>
        </w:rPr>
        <w:t xml:space="preserve"> ground of appeal had succeeded, </w:t>
      </w:r>
      <w:r w:rsidR="00E5411E">
        <w:rPr>
          <w:rFonts w:ascii="Book Antiqua" w:hAnsi="Book Antiqua" w:cs="Arial"/>
        </w:rPr>
        <w:t xml:space="preserve">it appears to us clear that </w:t>
      </w:r>
      <w:r w:rsidR="00E70C20">
        <w:rPr>
          <w:rFonts w:ascii="Book Antiqua" w:hAnsi="Book Antiqua" w:cs="Arial"/>
        </w:rPr>
        <w:t>his appeal would have been allowed outright</w:t>
      </w:r>
      <w:r w:rsidR="00E5411E">
        <w:rPr>
          <w:rFonts w:ascii="Book Antiqua" w:hAnsi="Book Antiqua" w:cs="Arial"/>
        </w:rPr>
        <w:t xml:space="preserve"> by the Upper Tribunal</w:t>
      </w:r>
      <w:r w:rsidR="00776057">
        <w:rPr>
          <w:rFonts w:ascii="Book Antiqua" w:hAnsi="Book Antiqua" w:cs="Arial"/>
        </w:rPr>
        <w:t xml:space="preserve"> and he would have been granted leave in line with it</w:t>
      </w:r>
      <w:r w:rsidR="009623FB">
        <w:rPr>
          <w:rFonts w:ascii="Book Antiqua" w:hAnsi="Book Antiqua" w:cs="Arial"/>
        </w:rPr>
        <w:t>,</w:t>
      </w:r>
      <w:r w:rsidR="00E5411E">
        <w:rPr>
          <w:rFonts w:ascii="Book Antiqua" w:hAnsi="Book Antiqua" w:cs="Arial"/>
        </w:rPr>
        <w:t xml:space="preserve"> as opposed to the more circumscribed basis of</w:t>
      </w:r>
      <w:r w:rsidR="00A97867">
        <w:rPr>
          <w:rFonts w:ascii="Book Antiqua" w:hAnsi="Book Antiqua" w:cs="Arial"/>
        </w:rPr>
        <w:t xml:space="preserve"> </w:t>
      </w:r>
      <w:r w:rsidR="00C77CBA">
        <w:rPr>
          <w:rFonts w:ascii="Book Antiqua" w:hAnsi="Book Antiqua" w:cs="Arial"/>
        </w:rPr>
        <w:t xml:space="preserve">success </w:t>
      </w:r>
      <w:r w:rsidR="00A97867">
        <w:rPr>
          <w:rFonts w:ascii="Book Antiqua" w:hAnsi="Book Antiqua" w:cs="Arial"/>
        </w:rPr>
        <w:t>afforded by the conclusion that the respondent’s decision was not otherwise in accordance with the law</w:t>
      </w:r>
      <w:r w:rsidR="00196114">
        <w:rPr>
          <w:rFonts w:ascii="Book Antiqua" w:hAnsi="Book Antiqua" w:cs="Arial"/>
        </w:rPr>
        <w:t>. In other words, Mr Anwar succeeded in respect of</w:t>
      </w:r>
      <w:r w:rsidR="00482C29">
        <w:rPr>
          <w:rFonts w:ascii="Book Antiqua" w:hAnsi="Book Antiqua" w:cs="Arial"/>
        </w:rPr>
        <w:t xml:space="preserve"> one ground of appeal, but failed on another which would have provided a more beneficial</w:t>
      </w:r>
      <w:r w:rsidR="001B3DA0">
        <w:rPr>
          <w:rFonts w:ascii="Book Antiqua" w:hAnsi="Book Antiqua" w:cs="Arial"/>
        </w:rPr>
        <w:t xml:space="preserve"> result for him</w:t>
      </w:r>
      <w:r w:rsidR="00DB13BE">
        <w:rPr>
          <w:rFonts w:ascii="Book Antiqua" w:hAnsi="Book Antiqua" w:cs="Arial"/>
        </w:rPr>
        <w:t xml:space="preserve">.  </w:t>
      </w:r>
    </w:p>
    <w:p w14:paraId="617DF442" w14:textId="3C0F24A4" w:rsidR="00197EC6" w:rsidRDefault="00C467A5" w:rsidP="00865BFE">
      <w:pPr>
        <w:numPr>
          <w:ilvl w:val="0"/>
          <w:numId w:val="18"/>
        </w:numPr>
        <w:spacing w:before="240"/>
        <w:jc w:val="both"/>
        <w:rPr>
          <w:rFonts w:ascii="Book Antiqua" w:hAnsi="Book Antiqua" w:cs="Arial"/>
        </w:rPr>
      </w:pPr>
      <w:r>
        <w:rPr>
          <w:rFonts w:ascii="Book Antiqua" w:hAnsi="Book Antiqua" w:cs="Arial"/>
        </w:rPr>
        <w:t>T</w:t>
      </w:r>
      <w:r w:rsidR="00ED718B">
        <w:rPr>
          <w:rFonts w:ascii="Book Antiqua" w:hAnsi="Book Antiqua" w:cs="Arial"/>
        </w:rPr>
        <w:t>he Court</w:t>
      </w:r>
      <w:r w:rsidR="007564B2">
        <w:rPr>
          <w:rFonts w:ascii="Book Antiqua" w:hAnsi="Book Antiqua" w:cs="Arial"/>
        </w:rPr>
        <w:t>’</w:t>
      </w:r>
      <w:r w:rsidR="00ED718B">
        <w:rPr>
          <w:rFonts w:ascii="Book Antiqua" w:hAnsi="Book Antiqua" w:cs="Arial"/>
        </w:rPr>
        <w:t>s reference to</w:t>
      </w:r>
      <w:r w:rsidR="00061846">
        <w:rPr>
          <w:rFonts w:ascii="Book Antiqua" w:hAnsi="Book Antiqua" w:cs="Arial"/>
        </w:rPr>
        <w:t xml:space="preserve"> </w:t>
      </w:r>
      <w:r w:rsidR="00201CE2">
        <w:rPr>
          <w:rFonts w:ascii="Book Antiqua" w:hAnsi="Book Antiqua" w:cs="Arial"/>
        </w:rPr>
        <w:t>the potential success of Mr Anwar’s appeal having a significant effect on future decisions taken by the respondent</w:t>
      </w:r>
      <w:r w:rsidR="005E3C29">
        <w:rPr>
          <w:rFonts w:ascii="Book Antiqua" w:hAnsi="Book Antiqua" w:cs="Arial"/>
        </w:rPr>
        <w:t xml:space="preserve"> si</w:t>
      </w:r>
      <w:r w:rsidR="00C3609C">
        <w:rPr>
          <w:rFonts w:ascii="Book Antiqua" w:hAnsi="Book Antiqua" w:cs="Arial"/>
        </w:rPr>
        <w:t>ts happily with our analysis</w:t>
      </w:r>
      <w:r w:rsidR="008678F5">
        <w:rPr>
          <w:rFonts w:ascii="Book Antiqua" w:hAnsi="Book Antiqua" w:cs="Arial"/>
        </w:rPr>
        <w:t>. If the ground upon which Mr Anwar had been unsuccessful before the Upper Tribunal</w:t>
      </w:r>
      <w:r w:rsidR="00845165">
        <w:rPr>
          <w:rFonts w:ascii="Book Antiqua" w:hAnsi="Book Antiqua" w:cs="Arial"/>
        </w:rPr>
        <w:t xml:space="preserve"> was ultimately upheld, it would </w:t>
      </w:r>
      <w:r w:rsidR="00D9421A">
        <w:rPr>
          <w:rFonts w:ascii="Book Antiqua" w:hAnsi="Book Antiqua" w:cs="Arial"/>
        </w:rPr>
        <w:t>have been as a consequence of a finding that he had not in fact breached a condition of his leave</w:t>
      </w:r>
      <w:r w:rsidR="006135F5">
        <w:rPr>
          <w:rFonts w:ascii="Book Antiqua" w:hAnsi="Book Antiqua" w:cs="Arial"/>
        </w:rPr>
        <w:t>, and in turn his immigration record would have remained impeccable.</w:t>
      </w:r>
      <w:r w:rsidR="00380568">
        <w:rPr>
          <w:rFonts w:ascii="Book Antiqua" w:hAnsi="Book Antiqua" w:cs="Arial"/>
        </w:rPr>
        <w:t xml:space="preserve"> This consideration</w:t>
      </w:r>
      <w:r w:rsidR="004A0FAA">
        <w:rPr>
          <w:rFonts w:ascii="Book Antiqua" w:hAnsi="Book Antiqua" w:cs="Arial"/>
        </w:rPr>
        <w:t xml:space="preserve"> can also be seen as the question of materiality going to the Court</w:t>
      </w:r>
      <w:r w:rsidR="00E05241">
        <w:rPr>
          <w:rFonts w:ascii="Book Antiqua" w:hAnsi="Book Antiqua" w:cs="Arial"/>
        </w:rPr>
        <w:t>’</w:t>
      </w:r>
      <w:r w:rsidR="004A0FAA">
        <w:rPr>
          <w:rFonts w:ascii="Book Antiqua" w:hAnsi="Book Antiqua" w:cs="Arial"/>
        </w:rPr>
        <w:t>s willingness to consider the appeal</w:t>
      </w:r>
      <w:r w:rsidR="00772B11">
        <w:rPr>
          <w:rFonts w:ascii="Book Antiqua" w:hAnsi="Book Antiqua" w:cs="Arial"/>
        </w:rPr>
        <w:t xml:space="preserve"> notwithstanding Mr Anwar</w:t>
      </w:r>
      <w:r w:rsidR="006B0953">
        <w:rPr>
          <w:rFonts w:ascii="Book Antiqua" w:hAnsi="Book Antiqua" w:cs="Arial"/>
        </w:rPr>
        <w:t>’s</w:t>
      </w:r>
      <w:r w:rsidR="00772B11">
        <w:rPr>
          <w:rFonts w:ascii="Book Antiqua" w:hAnsi="Book Antiqua" w:cs="Arial"/>
        </w:rPr>
        <w:t xml:space="preserve"> success before the Upper Tribunal on another ground</w:t>
      </w:r>
      <w:r w:rsidR="006B0953">
        <w:rPr>
          <w:rFonts w:ascii="Book Antiqua" w:hAnsi="Book Antiqua" w:cs="Arial"/>
        </w:rPr>
        <w:t>.</w:t>
      </w:r>
    </w:p>
    <w:p w14:paraId="7516F73B" w14:textId="7D9CF995" w:rsidR="00492B3C" w:rsidRDefault="004419C5" w:rsidP="00865BFE">
      <w:pPr>
        <w:numPr>
          <w:ilvl w:val="0"/>
          <w:numId w:val="18"/>
        </w:numPr>
        <w:spacing w:before="240"/>
        <w:jc w:val="both"/>
        <w:rPr>
          <w:rFonts w:ascii="Book Antiqua" w:hAnsi="Book Antiqua" w:cs="Arial"/>
        </w:rPr>
      </w:pPr>
      <w:r>
        <w:rPr>
          <w:rFonts w:ascii="Book Antiqua" w:hAnsi="Book Antiqua" w:cs="Arial"/>
        </w:rPr>
        <w:t>Seen in this way,</w:t>
      </w:r>
      <w:r w:rsidR="00A6340F">
        <w:rPr>
          <w:rFonts w:ascii="Book Antiqua" w:hAnsi="Book Antiqua" w:cs="Arial"/>
        </w:rPr>
        <w:t xml:space="preserve"> the Court’s</w:t>
      </w:r>
      <w:r w:rsidR="00AF633D">
        <w:rPr>
          <w:rFonts w:ascii="Book Antiqua" w:hAnsi="Book Antiqua" w:cs="Arial"/>
        </w:rPr>
        <w:t xml:space="preserve"> </w:t>
      </w:r>
      <w:r w:rsidR="006842F3">
        <w:rPr>
          <w:rFonts w:ascii="Book Antiqua" w:hAnsi="Book Antiqua" w:cs="Arial"/>
        </w:rPr>
        <w:t>conclusion that it had jurisdiction</w:t>
      </w:r>
      <w:r w:rsidR="00AF633D">
        <w:rPr>
          <w:rFonts w:ascii="Book Antiqua" w:hAnsi="Book Antiqua" w:cs="Arial"/>
        </w:rPr>
        <w:t xml:space="preserve"> to entertain Mr Anwar’s appeal, despite him being, in respect of one ground of appeal only, “the winner”</w:t>
      </w:r>
      <w:r w:rsidR="006842F3">
        <w:rPr>
          <w:rFonts w:ascii="Book Antiqua" w:hAnsi="Book Antiqua" w:cs="Arial"/>
        </w:rPr>
        <w:t>,</w:t>
      </w:r>
      <w:r w:rsidR="001C58A2">
        <w:rPr>
          <w:rFonts w:ascii="Book Antiqua" w:hAnsi="Book Antiqua" w:cs="Arial"/>
        </w:rPr>
        <w:t xml:space="preserve"> is consistent with</w:t>
      </w:r>
      <w:r w:rsidR="0089031E">
        <w:rPr>
          <w:rFonts w:ascii="Book Antiqua" w:hAnsi="Book Antiqua" w:cs="Arial"/>
        </w:rPr>
        <w:t xml:space="preserve"> what is said in</w:t>
      </w:r>
      <w:r w:rsidR="00F460A8">
        <w:rPr>
          <w:rFonts w:ascii="Book Antiqua" w:hAnsi="Book Antiqua" w:cs="Arial"/>
        </w:rPr>
        <w:t xml:space="preserve"> </w:t>
      </w:r>
      <w:proofErr w:type="spellStart"/>
      <w:r w:rsidR="0089031E" w:rsidRPr="00EA5351">
        <w:rPr>
          <w:rFonts w:ascii="Book Antiqua" w:hAnsi="Book Antiqua" w:cs="Arial"/>
          <w:u w:val="single"/>
        </w:rPr>
        <w:t>Devani</w:t>
      </w:r>
      <w:proofErr w:type="spellEnd"/>
      <w:r w:rsidR="0089031E">
        <w:rPr>
          <w:rFonts w:ascii="Book Antiqua" w:hAnsi="Book Antiqua" w:cs="Arial"/>
        </w:rPr>
        <w:t>.</w:t>
      </w:r>
      <w:r w:rsidR="006A15D3">
        <w:rPr>
          <w:rFonts w:ascii="Book Antiqua" w:hAnsi="Book Antiqua" w:cs="Arial"/>
        </w:rPr>
        <w:t xml:space="preserve">  </w:t>
      </w:r>
    </w:p>
    <w:p w14:paraId="06A494EF" w14:textId="6F8CAB29" w:rsidR="00E5719F" w:rsidRDefault="00E5719F" w:rsidP="00865BFE">
      <w:pPr>
        <w:numPr>
          <w:ilvl w:val="0"/>
          <w:numId w:val="18"/>
        </w:numPr>
        <w:spacing w:before="240"/>
        <w:jc w:val="both"/>
        <w:rPr>
          <w:rFonts w:ascii="Book Antiqua" w:hAnsi="Book Antiqua" w:cs="Arial"/>
        </w:rPr>
      </w:pPr>
      <w:r>
        <w:rPr>
          <w:rFonts w:ascii="Book Antiqua" w:hAnsi="Book Antiqua" w:cs="Arial"/>
        </w:rPr>
        <w:t xml:space="preserve">It follows from </w:t>
      </w:r>
      <w:r w:rsidR="009B7C2D">
        <w:rPr>
          <w:rFonts w:ascii="Book Antiqua" w:hAnsi="Book Antiqua" w:cs="Arial"/>
        </w:rPr>
        <w:t xml:space="preserve">the </w:t>
      </w:r>
      <w:r w:rsidR="009B7C2D" w:rsidRPr="009B7C2D">
        <w:rPr>
          <w:rFonts w:ascii="Book Antiqua" w:hAnsi="Book Antiqua" w:cs="Arial"/>
          <w:i/>
          <w:iCs/>
        </w:rPr>
        <w:t>ratio</w:t>
      </w:r>
      <w:r w:rsidR="009B7C2D">
        <w:rPr>
          <w:rFonts w:ascii="Book Antiqua" w:hAnsi="Book Antiqua" w:cs="Arial"/>
        </w:rPr>
        <w:t xml:space="preserve"> of </w:t>
      </w:r>
      <w:proofErr w:type="spellStart"/>
      <w:r w:rsidR="009B7C2D" w:rsidRPr="009B7C2D">
        <w:rPr>
          <w:rFonts w:ascii="Book Antiqua" w:hAnsi="Book Antiqua" w:cs="Arial"/>
          <w:u w:val="single"/>
        </w:rPr>
        <w:t>Devani</w:t>
      </w:r>
      <w:proofErr w:type="spellEnd"/>
      <w:r>
        <w:rPr>
          <w:rFonts w:ascii="Book Antiqua" w:hAnsi="Book Antiqua" w:cs="Arial"/>
        </w:rPr>
        <w:t xml:space="preserve"> </w:t>
      </w:r>
      <w:r w:rsidR="000C44A4">
        <w:rPr>
          <w:rFonts w:ascii="Book Antiqua" w:hAnsi="Book Antiqua" w:cs="Arial"/>
        </w:rPr>
        <w:t xml:space="preserve">and our reading of </w:t>
      </w:r>
      <w:r w:rsidR="000C44A4" w:rsidRPr="000C44A4">
        <w:rPr>
          <w:rFonts w:ascii="Book Antiqua" w:hAnsi="Book Antiqua" w:cs="Arial"/>
          <w:u w:val="single"/>
        </w:rPr>
        <w:t>Anwar</w:t>
      </w:r>
      <w:r w:rsidR="000C44A4">
        <w:rPr>
          <w:rFonts w:ascii="Book Antiqua" w:hAnsi="Book Antiqua" w:cs="Arial"/>
        </w:rPr>
        <w:t xml:space="preserve"> </w:t>
      </w:r>
      <w:r>
        <w:rPr>
          <w:rFonts w:ascii="Book Antiqua" w:hAnsi="Book Antiqua" w:cs="Arial"/>
        </w:rPr>
        <w:t xml:space="preserve">that a winning party does not have a right of appeal against particular findings or reasons made by a tribunal in circumstances where these have not resulted in a negative determination of the relevant ground of appeal. This category is what </w:t>
      </w:r>
      <w:r w:rsidR="00D17BD5">
        <w:rPr>
          <w:rFonts w:ascii="Book Antiqua" w:hAnsi="Book Antiqua" w:cs="Arial"/>
        </w:rPr>
        <w:t xml:space="preserve">in our view </w:t>
      </w:r>
      <w:r>
        <w:rPr>
          <w:rFonts w:ascii="Book Antiqua" w:hAnsi="Book Antiqua" w:cs="Arial"/>
        </w:rPr>
        <w:t>Underhill LJ was referring to in paragraph 27 when concluding that to provide a right of appeal in “such a case” would be contrary to well-established case-law</w:t>
      </w:r>
      <w:r w:rsidR="00A209C7">
        <w:rPr>
          <w:rFonts w:ascii="Book Antiqua" w:hAnsi="Book Antiqua" w:cs="Arial"/>
        </w:rPr>
        <w:t xml:space="preserve"> (</w:t>
      </w:r>
      <w:r w:rsidR="00F275BB">
        <w:rPr>
          <w:rFonts w:ascii="Book Antiqua" w:hAnsi="Book Antiqua" w:cs="Arial"/>
        </w:rPr>
        <w:t>as discussed in</w:t>
      </w:r>
      <w:r w:rsidR="004B1B36">
        <w:rPr>
          <w:rFonts w:ascii="Book Antiqua" w:hAnsi="Book Antiqua" w:cs="Arial"/>
        </w:rPr>
        <w:t xml:space="preserve"> paragraph 9A-59.3 of the White Book)</w:t>
      </w:r>
      <w:r>
        <w:rPr>
          <w:rFonts w:ascii="Book Antiqua" w:hAnsi="Book Antiqua" w:cs="Arial"/>
        </w:rPr>
        <w:t>.</w:t>
      </w:r>
    </w:p>
    <w:p w14:paraId="2E8A31C8" w14:textId="028F2528" w:rsidR="00E5719F" w:rsidRDefault="00E5719F" w:rsidP="00865BFE">
      <w:pPr>
        <w:numPr>
          <w:ilvl w:val="0"/>
          <w:numId w:val="18"/>
        </w:numPr>
        <w:spacing w:before="240"/>
        <w:jc w:val="both"/>
        <w:rPr>
          <w:rFonts w:ascii="Book Antiqua" w:hAnsi="Book Antiqua" w:cs="Arial"/>
        </w:rPr>
      </w:pPr>
      <w:r>
        <w:rPr>
          <w:rFonts w:ascii="Book Antiqua" w:hAnsi="Book Antiqua" w:cs="Arial"/>
        </w:rPr>
        <w:t xml:space="preserve">If this were not the case, the </w:t>
      </w:r>
      <w:r w:rsidR="002A5796">
        <w:rPr>
          <w:rFonts w:ascii="Book Antiqua" w:hAnsi="Book Antiqua" w:cs="Arial"/>
        </w:rPr>
        <w:t>Upper Tribunal</w:t>
      </w:r>
      <w:r>
        <w:rPr>
          <w:rFonts w:ascii="Book Antiqua" w:hAnsi="Book Antiqua" w:cs="Arial"/>
        </w:rPr>
        <w:t xml:space="preserve"> and Court</w:t>
      </w:r>
      <w:r w:rsidR="002A5796">
        <w:rPr>
          <w:rFonts w:ascii="Book Antiqua" w:hAnsi="Book Antiqua" w:cs="Arial"/>
        </w:rPr>
        <w:t xml:space="preserve"> of Appeal</w:t>
      </w:r>
      <w:r>
        <w:rPr>
          <w:rFonts w:ascii="Book Antiqua" w:hAnsi="Book Antiqua" w:cs="Arial"/>
        </w:rPr>
        <w:t xml:space="preserve"> would be faced with the distinct possibility of successful parties seeking to appeal against a plethora of findings</w:t>
      </w:r>
      <w:r w:rsidR="00DC6C12">
        <w:rPr>
          <w:rFonts w:ascii="Book Antiqua" w:hAnsi="Book Antiqua" w:cs="Arial"/>
        </w:rPr>
        <w:t xml:space="preserve"> and/or </w:t>
      </w:r>
      <w:r>
        <w:rPr>
          <w:rFonts w:ascii="Book Antiqua" w:hAnsi="Book Antiqua" w:cs="Arial"/>
        </w:rPr>
        <w:t xml:space="preserve">reasons regarded as undesirable or problematic. Quite apart from the </w:t>
      </w:r>
      <w:r w:rsidR="00647487">
        <w:rPr>
          <w:rFonts w:ascii="Book Antiqua" w:hAnsi="Book Antiqua" w:cs="Arial"/>
        </w:rPr>
        <w:t xml:space="preserve">likelihood of </w:t>
      </w:r>
      <w:r w:rsidR="00324B93">
        <w:rPr>
          <w:rFonts w:ascii="Book Antiqua" w:hAnsi="Book Antiqua" w:cs="Arial"/>
        </w:rPr>
        <w:t>a very substantial increase in the number of appeals brought,</w:t>
      </w:r>
      <w:r>
        <w:rPr>
          <w:rFonts w:ascii="Book Antiqua" w:hAnsi="Book Antiqua" w:cs="Arial"/>
        </w:rPr>
        <w:t xml:space="preserve"> </w:t>
      </w:r>
      <w:r w:rsidR="00324B93">
        <w:rPr>
          <w:rFonts w:ascii="Book Antiqua" w:hAnsi="Book Antiqua" w:cs="Arial"/>
        </w:rPr>
        <w:t xml:space="preserve">in </w:t>
      </w:r>
      <w:r>
        <w:rPr>
          <w:rFonts w:ascii="Book Antiqua" w:hAnsi="Book Antiqua" w:cs="Arial"/>
        </w:rPr>
        <w:t>our judgment it would result in an unprincipled state of affairs which would run contrary to the statutory scheme in which outcomes play the pivotal part.</w:t>
      </w:r>
      <w:r w:rsidR="0024692B">
        <w:rPr>
          <w:rFonts w:ascii="Book Antiqua" w:hAnsi="Book Antiqua" w:cs="Arial"/>
        </w:rPr>
        <w:t xml:space="preserve">  </w:t>
      </w:r>
    </w:p>
    <w:p w14:paraId="7CAD1D7C" w14:textId="669F13D7" w:rsidR="00EC1F12" w:rsidRDefault="00897737" w:rsidP="00865BFE">
      <w:pPr>
        <w:numPr>
          <w:ilvl w:val="0"/>
          <w:numId w:val="18"/>
        </w:numPr>
        <w:spacing w:before="240"/>
        <w:jc w:val="both"/>
        <w:rPr>
          <w:rFonts w:ascii="Book Antiqua" w:hAnsi="Book Antiqua" w:cs="Arial"/>
        </w:rPr>
      </w:pPr>
      <w:r>
        <w:rPr>
          <w:rFonts w:ascii="Book Antiqua" w:hAnsi="Book Antiqua" w:cs="Arial"/>
        </w:rPr>
        <w:t xml:space="preserve">Mr </w:t>
      </w:r>
      <w:r w:rsidR="00D033C1">
        <w:rPr>
          <w:rFonts w:ascii="Book Antiqua" w:hAnsi="Book Antiqua" w:cs="Arial"/>
        </w:rPr>
        <w:t>Mali</w:t>
      </w:r>
      <w:r w:rsidR="00E346D8">
        <w:rPr>
          <w:rFonts w:ascii="Book Antiqua" w:hAnsi="Book Antiqua" w:cs="Arial"/>
        </w:rPr>
        <w:t>k</w:t>
      </w:r>
      <w:r w:rsidR="008E00AA">
        <w:rPr>
          <w:rFonts w:ascii="Book Antiqua" w:hAnsi="Book Antiqua" w:cs="Arial"/>
        </w:rPr>
        <w:t xml:space="preserve"> </w:t>
      </w:r>
      <w:r w:rsidR="00AE4993">
        <w:rPr>
          <w:rFonts w:ascii="Book Antiqua" w:hAnsi="Book Antiqua" w:cs="Arial"/>
        </w:rPr>
        <w:t xml:space="preserve">has </w:t>
      </w:r>
      <w:r w:rsidR="008E00AA">
        <w:rPr>
          <w:rFonts w:ascii="Book Antiqua" w:hAnsi="Book Antiqua" w:cs="Arial"/>
        </w:rPr>
        <w:t>put forward the</w:t>
      </w:r>
      <w:r w:rsidR="00D033C1">
        <w:rPr>
          <w:rFonts w:ascii="Book Antiqua" w:hAnsi="Book Antiqua" w:cs="Arial"/>
        </w:rPr>
        <w:t xml:space="preserve"> submission that</w:t>
      </w:r>
      <w:r w:rsidR="006522AF">
        <w:rPr>
          <w:rFonts w:ascii="Book Antiqua" w:hAnsi="Book Antiqua" w:cs="Arial"/>
        </w:rPr>
        <w:t xml:space="preserve"> to preclude a winner before the First-tier Tribunal from appealing to the Upper Tribunal would result in “extraordinary consequences</w:t>
      </w:r>
      <w:r w:rsidR="008E00AA">
        <w:rPr>
          <w:rFonts w:ascii="Book Antiqua" w:hAnsi="Book Antiqua" w:cs="Arial"/>
        </w:rPr>
        <w:t xml:space="preserve">.” </w:t>
      </w:r>
      <w:r w:rsidR="00AB1266">
        <w:rPr>
          <w:rFonts w:ascii="Book Antiqua" w:hAnsi="Book Antiqua" w:cs="Arial"/>
        </w:rPr>
        <w:t>In support, he</w:t>
      </w:r>
      <w:r w:rsidR="00AA5701">
        <w:rPr>
          <w:rFonts w:ascii="Book Antiqua" w:hAnsi="Book Antiqua" w:cs="Arial"/>
        </w:rPr>
        <w:t xml:space="preserve"> g</w:t>
      </w:r>
      <w:r w:rsidR="00CE445E">
        <w:rPr>
          <w:rFonts w:ascii="Book Antiqua" w:hAnsi="Book Antiqua" w:cs="Arial"/>
        </w:rPr>
        <w:t>ives</w:t>
      </w:r>
      <w:r w:rsidR="00AA5701">
        <w:rPr>
          <w:rFonts w:ascii="Book Antiqua" w:hAnsi="Book Antiqua" w:cs="Arial"/>
        </w:rPr>
        <w:t xml:space="preserve"> two examples. </w:t>
      </w:r>
      <w:r w:rsidR="003E66D7">
        <w:rPr>
          <w:rFonts w:ascii="Book Antiqua" w:hAnsi="Book Antiqua" w:cs="Arial"/>
        </w:rPr>
        <w:t>A</w:t>
      </w:r>
      <w:r w:rsidR="00F849CC">
        <w:rPr>
          <w:rFonts w:ascii="Book Antiqua" w:hAnsi="Book Antiqua" w:cs="Arial"/>
        </w:rPr>
        <w:t>n</w:t>
      </w:r>
      <w:r w:rsidR="00F31083">
        <w:rPr>
          <w:rFonts w:ascii="Book Antiqua" w:hAnsi="Book Antiqua" w:cs="Arial"/>
        </w:rPr>
        <w:t xml:space="preserve"> individual who has been found to have acted dishonestly </w:t>
      </w:r>
      <w:r w:rsidR="00B81BB9">
        <w:rPr>
          <w:rFonts w:ascii="Book Antiqua" w:hAnsi="Book Antiqua" w:cs="Arial"/>
        </w:rPr>
        <w:t>in the context of</w:t>
      </w:r>
      <w:r w:rsidR="009B3E13">
        <w:rPr>
          <w:rFonts w:ascii="Book Antiqua" w:hAnsi="Book Antiqua" w:cs="Arial"/>
        </w:rPr>
        <w:t xml:space="preserve"> </w:t>
      </w:r>
      <w:r w:rsidR="00B81BB9">
        <w:rPr>
          <w:rFonts w:ascii="Book Antiqua" w:hAnsi="Book Antiqua" w:cs="Arial"/>
        </w:rPr>
        <w:t xml:space="preserve">the obtaining of </w:t>
      </w:r>
      <w:r w:rsidR="00522D9F">
        <w:rPr>
          <w:rFonts w:ascii="Book Antiqua" w:hAnsi="Book Antiqua" w:cs="Arial"/>
        </w:rPr>
        <w:t xml:space="preserve">a </w:t>
      </w:r>
      <w:r w:rsidR="009B3E13">
        <w:rPr>
          <w:rFonts w:ascii="Book Antiqua" w:hAnsi="Book Antiqua" w:cs="Arial"/>
        </w:rPr>
        <w:t>TOEIC</w:t>
      </w:r>
      <w:r w:rsidR="0039339C">
        <w:rPr>
          <w:rFonts w:ascii="Book Antiqua" w:hAnsi="Book Antiqua" w:cs="Arial"/>
        </w:rPr>
        <w:t xml:space="preserve"> </w:t>
      </w:r>
      <w:r w:rsidR="00522D9F">
        <w:rPr>
          <w:rFonts w:ascii="Book Antiqua" w:hAnsi="Book Antiqua" w:cs="Arial"/>
        </w:rPr>
        <w:t xml:space="preserve">certificate </w:t>
      </w:r>
      <w:r w:rsidR="0039339C">
        <w:rPr>
          <w:rFonts w:ascii="Book Antiqua" w:hAnsi="Book Antiqua" w:cs="Arial"/>
        </w:rPr>
        <w:t>or discrepancies in tax returns</w:t>
      </w:r>
      <w:r w:rsidR="00522D9F">
        <w:rPr>
          <w:rFonts w:ascii="Book Antiqua" w:hAnsi="Book Antiqua" w:cs="Arial"/>
        </w:rPr>
        <w:t>,</w:t>
      </w:r>
      <w:r w:rsidR="00F849CC">
        <w:rPr>
          <w:rFonts w:ascii="Book Antiqua" w:hAnsi="Book Antiqua" w:cs="Arial"/>
        </w:rPr>
        <w:t xml:space="preserve"> but none</w:t>
      </w:r>
      <w:r w:rsidR="009D34F5">
        <w:rPr>
          <w:rFonts w:ascii="Book Antiqua" w:hAnsi="Book Antiqua" w:cs="Arial"/>
        </w:rPr>
        <w:t>theless</w:t>
      </w:r>
      <w:r w:rsidR="00F849CC">
        <w:rPr>
          <w:rFonts w:ascii="Book Antiqua" w:hAnsi="Book Antiqua" w:cs="Arial"/>
        </w:rPr>
        <w:t xml:space="preserve"> succeeds </w:t>
      </w:r>
      <w:r w:rsidR="009D34F5">
        <w:rPr>
          <w:rFonts w:ascii="Book Antiqua" w:hAnsi="Book Antiqua" w:cs="Arial"/>
        </w:rPr>
        <w:t xml:space="preserve">in an appeal </w:t>
      </w:r>
      <w:r w:rsidR="00F849CC">
        <w:rPr>
          <w:rFonts w:ascii="Book Antiqua" w:hAnsi="Book Antiqua" w:cs="Arial"/>
        </w:rPr>
        <w:t>on the only available ground</w:t>
      </w:r>
      <w:r w:rsidR="009D34F5">
        <w:rPr>
          <w:rFonts w:ascii="Book Antiqua" w:hAnsi="Book Antiqua" w:cs="Arial"/>
        </w:rPr>
        <w:t xml:space="preserve"> relating to Article 8</w:t>
      </w:r>
      <w:r w:rsidR="00522D9F">
        <w:rPr>
          <w:rFonts w:ascii="Book Antiqua" w:hAnsi="Book Antiqua" w:cs="Arial"/>
        </w:rPr>
        <w:t>, will be unable to challenge th</w:t>
      </w:r>
      <w:r w:rsidR="00371ADA">
        <w:rPr>
          <w:rFonts w:ascii="Book Antiqua" w:hAnsi="Book Antiqua" w:cs="Arial"/>
        </w:rPr>
        <w:t>at</w:t>
      </w:r>
      <w:r w:rsidR="00522D9F">
        <w:rPr>
          <w:rFonts w:ascii="Book Antiqua" w:hAnsi="Book Antiqua" w:cs="Arial"/>
        </w:rPr>
        <w:t xml:space="preserve"> finding</w:t>
      </w:r>
      <w:r w:rsidR="003E66D7">
        <w:rPr>
          <w:rFonts w:ascii="Book Antiqua" w:hAnsi="Book Antiqua" w:cs="Arial"/>
        </w:rPr>
        <w:t xml:space="preserve"> in an onward appeal. </w:t>
      </w:r>
      <w:r w:rsidR="00D058D1">
        <w:rPr>
          <w:rFonts w:ascii="Book Antiqua" w:hAnsi="Book Antiqua" w:cs="Arial"/>
        </w:rPr>
        <w:t>Th</w:t>
      </w:r>
      <w:r w:rsidR="00371ADA">
        <w:rPr>
          <w:rFonts w:ascii="Book Antiqua" w:hAnsi="Book Antiqua" w:cs="Arial"/>
        </w:rPr>
        <w:t>e</w:t>
      </w:r>
      <w:r w:rsidR="00D058D1">
        <w:rPr>
          <w:rFonts w:ascii="Book Antiqua" w:hAnsi="Book Antiqua" w:cs="Arial"/>
        </w:rPr>
        <w:t xml:space="preserve"> finding would be likely to cause the individual significant </w:t>
      </w:r>
      <w:r w:rsidR="00350019">
        <w:rPr>
          <w:rFonts w:ascii="Book Antiqua" w:hAnsi="Book Antiqua" w:cs="Arial"/>
        </w:rPr>
        <w:t xml:space="preserve">difficulties in respect of any future applications for indefinite leave to remain or naturalisation as a British citizen. </w:t>
      </w:r>
      <w:r w:rsidR="00F25F10">
        <w:rPr>
          <w:rFonts w:ascii="Book Antiqua" w:hAnsi="Book Antiqua" w:cs="Arial"/>
        </w:rPr>
        <w:t>Conversely,</w:t>
      </w:r>
      <w:r w:rsidR="008B370D">
        <w:rPr>
          <w:rFonts w:ascii="Book Antiqua" w:hAnsi="Book Antiqua" w:cs="Arial"/>
        </w:rPr>
        <w:t xml:space="preserve"> the respondent will be unable to challenge a potentially legally flawed finding that an individual is innocent of any dishonesty if</w:t>
      </w:r>
      <w:r w:rsidR="001816F8">
        <w:rPr>
          <w:rFonts w:ascii="Book Antiqua" w:hAnsi="Book Antiqua" w:cs="Arial"/>
        </w:rPr>
        <w:t xml:space="preserve"> an appeal is dismissed. The respondent would therefore be</w:t>
      </w:r>
      <w:r w:rsidR="00CE756A">
        <w:rPr>
          <w:rFonts w:ascii="Book Antiqua" w:hAnsi="Book Antiqua" w:cs="Arial"/>
        </w:rPr>
        <w:t xml:space="preserve"> “stuck” with</w:t>
      </w:r>
      <w:r w:rsidR="00B342D1">
        <w:rPr>
          <w:rFonts w:ascii="Book Antiqua" w:hAnsi="Book Antiqua" w:cs="Arial"/>
        </w:rPr>
        <w:t xml:space="preserve"> that finding and may be required to grant</w:t>
      </w:r>
      <w:r w:rsidR="00234F49">
        <w:rPr>
          <w:rFonts w:ascii="Book Antiqua" w:hAnsi="Book Antiqua" w:cs="Arial"/>
        </w:rPr>
        <w:t xml:space="preserve"> a future application to an undeserving individual.</w:t>
      </w:r>
      <w:r w:rsidR="004C003D">
        <w:rPr>
          <w:rFonts w:ascii="Book Antiqua" w:hAnsi="Book Antiqua" w:cs="Arial"/>
        </w:rPr>
        <w:t xml:space="preserve">  </w:t>
      </w:r>
    </w:p>
    <w:p w14:paraId="72E9D796" w14:textId="7FC9048E" w:rsidR="00DD6A3C" w:rsidRDefault="004C003D" w:rsidP="00865BFE">
      <w:pPr>
        <w:numPr>
          <w:ilvl w:val="0"/>
          <w:numId w:val="18"/>
        </w:numPr>
        <w:spacing w:before="240"/>
        <w:jc w:val="both"/>
        <w:rPr>
          <w:rFonts w:ascii="Book Antiqua" w:hAnsi="Book Antiqua" w:cs="Arial"/>
        </w:rPr>
      </w:pPr>
      <w:r>
        <w:rPr>
          <w:rFonts w:ascii="Book Antiqua" w:hAnsi="Book Antiqua" w:cs="Arial"/>
        </w:rPr>
        <w:t>Mr Malik’s solution</w:t>
      </w:r>
      <w:r w:rsidR="00DD6A3C">
        <w:rPr>
          <w:rFonts w:ascii="Book Antiqua" w:hAnsi="Book Antiqua" w:cs="Arial"/>
        </w:rPr>
        <w:t xml:space="preserve"> to </w:t>
      </w:r>
      <w:r w:rsidR="00EC1F12">
        <w:rPr>
          <w:rFonts w:ascii="Book Antiqua" w:hAnsi="Book Antiqua" w:cs="Arial"/>
        </w:rPr>
        <w:t>these scenarios is to suggest the adoption of</w:t>
      </w:r>
      <w:r w:rsidR="00345B00">
        <w:rPr>
          <w:rFonts w:ascii="Book Antiqua" w:hAnsi="Book Antiqua" w:cs="Arial"/>
        </w:rPr>
        <w:t xml:space="preserve"> a “material benefit” test</w:t>
      </w:r>
      <w:r w:rsidR="00395068">
        <w:rPr>
          <w:rFonts w:ascii="Book Antiqua" w:hAnsi="Book Antiqua" w:cs="Arial"/>
        </w:rPr>
        <w:t xml:space="preserve"> attaching to the availability of a right of appeal for a winning party</w:t>
      </w:r>
      <w:r w:rsidR="007D2B5F">
        <w:rPr>
          <w:rFonts w:ascii="Book Antiqua" w:hAnsi="Book Antiqua" w:cs="Arial"/>
        </w:rPr>
        <w:t>: such a party</w:t>
      </w:r>
      <w:r w:rsidR="003F0E62">
        <w:rPr>
          <w:rFonts w:ascii="Book Antiqua" w:hAnsi="Book Antiqua" w:cs="Arial"/>
        </w:rPr>
        <w:t xml:space="preserve"> will be able to appeal to the Upper Tribunal (and presumably to the Court of Appeal in light of the similarity in wording of subsections (1) and (2) </w:t>
      </w:r>
      <w:r w:rsidR="007A1092">
        <w:rPr>
          <w:rFonts w:ascii="Book Antiqua" w:hAnsi="Book Antiqua" w:cs="Arial"/>
        </w:rPr>
        <w:t>of sections 11 and 13 of the 2007 Act) if</w:t>
      </w:r>
      <w:r w:rsidR="00BA55B4">
        <w:rPr>
          <w:rFonts w:ascii="Book Antiqua" w:hAnsi="Book Antiqua" w:cs="Arial"/>
        </w:rPr>
        <w:t xml:space="preserve"> success of the appeal would provide a “material benefit”</w:t>
      </w:r>
      <w:r w:rsidR="0020324B">
        <w:rPr>
          <w:rFonts w:ascii="Book Antiqua" w:hAnsi="Book Antiqua" w:cs="Arial"/>
        </w:rPr>
        <w:t xml:space="preserve"> to the appealing party</w:t>
      </w:r>
      <w:r w:rsidR="00596058">
        <w:rPr>
          <w:rFonts w:ascii="Book Antiqua" w:hAnsi="Book Antiqua" w:cs="Arial"/>
        </w:rPr>
        <w:t xml:space="preserve">, </w:t>
      </w:r>
      <w:r w:rsidR="00282905">
        <w:rPr>
          <w:rFonts w:ascii="Book Antiqua" w:hAnsi="Book Antiqua" w:cs="Arial"/>
        </w:rPr>
        <w:t>with an example being</w:t>
      </w:r>
      <w:r w:rsidR="0020324B">
        <w:rPr>
          <w:rFonts w:ascii="Book Antiqua" w:hAnsi="Book Antiqua" w:cs="Arial"/>
        </w:rPr>
        <w:t xml:space="preserve"> </w:t>
      </w:r>
      <w:r w:rsidR="00282905">
        <w:rPr>
          <w:rFonts w:ascii="Book Antiqua" w:hAnsi="Book Antiqua" w:cs="Arial"/>
        </w:rPr>
        <w:t xml:space="preserve">that it </w:t>
      </w:r>
      <w:r w:rsidR="00FB5C9A">
        <w:rPr>
          <w:rFonts w:ascii="Book Antiqua" w:hAnsi="Book Antiqua" w:cs="Arial"/>
        </w:rPr>
        <w:t xml:space="preserve">would </w:t>
      </w:r>
      <w:r w:rsidR="0020324B">
        <w:rPr>
          <w:rFonts w:ascii="Book Antiqua" w:hAnsi="Book Antiqua" w:cs="Arial"/>
        </w:rPr>
        <w:t>“</w:t>
      </w:r>
      <w:r w:rsidR="00632CDC">
        <w:rPr>
          <w:rFonts w:ascii="Book Antiqua" w:hAnsi="Book Antiqua" w:cs="Arial"/>
        </w:rPr>
        <w:t xml:space="preserve">significantly </w:t>
      </w:r>
      <w:r w:rsidR="00C91369">
        <w:rPr>
          <w:rFonts w:ascii="Book Antiqua" w:hAnsi="Book Antiqua" w:cs="Arial"/>
        </w:rPr>
        <w:t xml:space="preserve">affect any future decision.” This approach is said to be consistent with </w:t>
      </w:r>
      <w:r w:rsidR="00C91369" w:rsidRPr="00C91369">
        <w:rPr>
          <w:rFonts w:ascii="Book Antiqua" w:hAnsi="Book Antiqua" w:cs="Arial"/>
          <w:u w:val="single"/>
        </w:rPr>
        <w:t>Anwar</w:t>
      </w:r>
      <w:r w:rsidR="00C91369">
        <w:rPr>
          <w:rFonts w:ascii="Book Antiqua" w:hAnsi="Book Antiqua" w:cs="Arial"/>
        </w:rPr>
        <w:t xml:space="preserve"> and the decision in </w:t>
      </w:r>
      <w:r w:rsidR="00C91369" w:rsidRPr="00B43FE8">
        <w:rPr>
          <w:rFonts w:ascii="Book Antiqua" w:hAnsi="Book Antiqua" w:cs="Arial"/>
          <w:u w:val="single"/>
        </w:rPr>
        <w:t>Smith (appealable decisions; PTA requirements; anonymity)</w:t>
      </w:r>
      <w:r w:rsidR="00B43FE8">
        <w:rPr>
          <w:rFonts w:ascii="Book Antiqua" w:hAnsi="Book Antiqua" w:cs="Arial"/>
        </w:rPr>
        <w:t xml:space="preserve"> [2019] UKUT 216 (IAC).</w:t>
      </w:r>
    </w:p>
    <w:p w14:paraId="64064819" w14:textId="14D99C4A" w:rsidR="00B43FE8" w:rsidRDefault="001726D0" w:rsidP="00865BFE">
      <w:pPr>
        <w:numPr>
          <w:ilvl w:val="0"/>
          <w:numId w:val="18"/>
        </w:numPr>
        <w:spacing w:before="240"/>
        <w:jc w:val="both"/>
        <w:rPr>
          <w:rFonts w:ascii="Book Antiqua" w:hAnsi="Book Antiqua" w:cs="Arial"/>
        </w:rPr>
      </w:pPr>
      <w:r>
        <w:rPr>
          <w:rFonts w:ascii="Book Antiqua" w:hAnsi="Book Antiqua" w:cs="Arial"/>
        </w:rPr>
        <w:t>W</w:t>
      </w:r>
      <w:r w:rsidR="00206E89">
        <w:rPr>
          <w:rFonts w:ascii="Book Antiqua" w:hAnsi="Book Antiqua" w:cs="Arial"/>
        </w:rPr>
        <w:t>hilst attractively put</w:t>
      </w:r>
      <w:r w:rsidR="00DC4608">
        <w:rPr>
          <w:rFonts w:ascii="Book Antiqua" w:hAnsi="Book Antiqua" w:cs="Arial"/>
        </w:rPr>
        <w:t xml:space="preserve">, </w:t>
      </w:r>
      <w:r w:rsidR="006D000D">
        <w:rPr>
          <w:rFonts w:ascii="Book Antiqua" w:hAnsi="Book Antiqua" w:cs="Arial"/>
        </w:rPr>
        <w:t xml:space="preserve">the </w:t>
      </w:r>
      <w:r>
        <w:rPr>
          <w:rFonts w:ascii="Book Antiqua" w:hAnsi="Book Antiqua" w:cs="Arial"/>
        </w:rPr>
        <w:t xml:space="preserve">submission is </w:t>
      </w:r>
      <w:r w:rsidR="00261ED5">
        <w:rPr>
          <w:rFonts w:ascii="Book Antiqua" w:hAnsi="Book Antiqua" w:cs="Arial"/>
        </w:rPr>
        <w:t>unsustainable</w:t>
      </w:r>
      <w:r w:rsidR="00BD324B">
        <w:rPr>
          <w:rFonts w:ascii="Book Antiqua" w:hAnsi="Book Antiqua" w:cs="Arial"/>
        </w:rPr>
        <w:t xml:space="preserve"> for a number of interconnected reasons</w:t>
      </w:r>
      <w:r w:rsidR="00DC4608">
        <w:rPr>
          <w:rFonts w:ascii="Book Antiqua" w:hAnsi="Book Antiqua" w:cs="Arial"/>
        </w:rPr>
        <w:t>.</w:t>
      </w:r>
      <w:r w:rsidR="004A7160">
        <w:rPr>
          <w:rFonts w:ascii="Book Antiqua" w:hAnsi="Book Antiqua" w:cs="Arial"/>
        </w:rPr>
        <w:t xml:space="preserve">  </w:t>
      </w:r>
    </w:p>
    <w:p w14:paraId="5A77EC3C" w14:textId="5AEE83DA" w:rsidR="006D000D" w:rsidRDefault="004A7160" w:rsidP="00865BFE">
      <w:pPr>
        <w:numPr>
          <w:ilvl w:val="0"/>
          <w:numId w:val="18"/>
        </w:numPr>
        <w:spacing w:before="240"/>
        <w:jc w:val="both"/>
        <w:rPr>
          <w:rFonts w:ascii="Book Antiqua" w:hAnsi="Book Antiqua" w:cs="Arial"/>
        </w:rPr>
      </w:pPr>
      <w:r>
        <w:rPr>
          <w:rFonts w:ascii="Book Antiqua" w:hAnsi="Book Antiqua" w:cs="Arial"/>
        </w:rPr>
        <w:t>First,</w:t>
      </w:r>
      <w:r w:rsidR="00EE59C7">
        <w:rPr>
          <w:rFonts w:ascii="Book Antiqua" w:hAnsi="Book Antiqua" w:cs="Arial"/>
        </w:rPr>
        <w:t xml:space="preserve"> </w:t>
      </w:r>
      <w:r w:rsidR="002F7F72">
        <w:rPr>
          <w:rFonts w:ascii="Book Antiqua" w:hAnsi="Book Antiqua" w:cs="Arial"/>
        </w:rPr>
        <w:t xml:space="preserve">if we are correct in </w:t>
      </w:r>
      <w:r w:rsidR="00BB4F10">
        <w:rPr>
          <w:rFonts w:ascii="Book Antiqua" w:hAnsi="Book Antiqua" w:cs="Arial"/>
        </w:rPr>
        <w:t>distinguishing</w:t>
      </w:r>
      <w:r w:rsidR="006D000D">
        <w:rPr>
          <w:rFonts w:ascii="Book Antiqua" w:hAnsi="Book Antiqua" w:cs="Arial"/>
        </w:rPr>
        <w:t xml:space="preserve"> </w:t>
      </w:r>
      <w:r w:rsidR="006D000D" w:rsidRPr="004A7872">
        <w:rPr>
          <w:rFonts w:ascii="Book Antiqua" w:hAnsi="Book Antiqua" w:cs="Arial"/>
          <w:u w:val="single"/>
        </w:rPr>
        <w:t>Anwar</w:t>
      </w:r>
      <w:r w:rsidR="006D000D">
        <w:rPr>
          <w:rFonts w:ascii="Book Antiqua" w:hAnsi="Book Antiqua" w:cs="Arial"/>
        </w:rPr>
        <w:t xml:space="preserve"> from </w:t>
      </w:r>
      <w:proofErr w:type="spellStart"/>
      <w:r w:rsidR="006D000D" w:rsidRPr="00BB4F10">
        <w:rPr>
          <w:rFonts w:ascii="Book Antiqua" w:hAnsi="Book Antiqua" w:cs="Arial"/>
          <w:u w:val="single"/>
        </w:rPr>
        <w:t>Devani</w:t>
      </w:r>
      <w:proofErr w:type="spellEnd"/>
      <w:r w:rsidR="00BB4F10">
        <w:rPr>
          <w:rFonts w:ascii="Book Antiqua" w:hAnsi="Book Antiqua" w:cs="Arial"/>
        </w:rPr>
        <w:t>,</w:t>
      </w:r>
      <w:r w:rsidR="006D000D">
        <w:rPr>
          <w:rFonts w:ascii="Book Antiqua" w:hAnsi="Book Antiqua" w:cs="Arial"/>
        </w:rPr>
        <w:t xml:space="preserve"> reliance on </w:t>
      </w:r>
      <w:r w:rsidR="00D97687">
        <w:rPr>
          <w:rFonts w:ascii="Book Antiqua" w:hAnsi="Book Antiqua" w:cs="Arial"/>
        </w:rPr>
        <w:t>the former</w:t>
      </w:r>
      <w:r w:rsidR="006D000D">
        <w:rPr>
          <w:rFonts w:ascii="Book Antiqua" w:hAnsi="Book Antiqua" w:cs="Arial"/>
        </w:rPr>
        <w:t xml:space="preserve"> takes Mr Malik’s argument no further.</w:t>
      </w:r>
    </w:p>
    <w:p w14:paraId="02E49E84" w14:textId="77D688D3" w:rsidR="008D48B8" w:rsidRPr="00BB4F10" w:rsidRDefault="00BB4F10" w:rsidP="00865BFE">
      <w:pPr>
        <w:numPr>
          <w:ilvl w:val="0"/>
          <w:numId w:val="18"/>
        </w:numPr>
        <w:spacing w:before="240"/>
        <w:jc w:val="both"/>
        <w:rPr>
          <w:rFonts w:ascii="Book Antiqua" w:hAnsi="Book Antiqua" w:cs="Arial"/>
        </w:rPr>
      </w:pPr>
      <w:r>
        <w:rPr>
          <w:rFonts w:ascii="Book Antiqua" w:hAnsi="Book Antiqua" w:cs="Arial"/>
        </w:rPr>
        <w:t xml:space="preserve">Second, in any event </w:t>
      </w:r>
      <w:r w:rsidR="00EE59C7" w:rsidRPr="00BB4F10">
        <w:rPr>
          <w:rFonts w:ascii="Book Antiqua" w:hAnsi="Book Antiqua" w:cs="Arial"/>
        </w:rPr>
        <w:t>it is contrary to</w:t>
      </w:r>
      <w:r w:rsidR="00AB25A5" w:rsidRPr="00BB4F10">
        <w:rPr>
          <w:rFonts w:ascii="Book Antiqua" w:hAnsi="Book Antiqua" w:cs="Arial"/>
        </w:rPr>
        <w:t xml:space="preserve"> what we regard as the binding authority of </w:t>
      </w:r>
      <w:proofErr w:type="spellStart"/>
      <w:r w:rsidR="00AB25A5" w:rsidRPr="00BB4F10">
        <w:rPr>
          <w:rFonts w:ascii="Book Antiqua" w:hAnsi="Book Antiqua" w:cs="Arial"/>
          <w:u w:val="single"/>
        </w:rPr>
        <w:t>Devani</w:t>
      </w:r>
      <w:proofErr w:type="spellEnd"/>
      <w:r w:rsidR="008E00D4" w:rsidRPr="00BB4F10">
        <w:rPr>
          <w:rFonts w:ascii="Book Antiqua" w:hAnsi="Book Antiqua" w:cs="Arial"/>
        </w:rPr>
        <w:t xml:space="preserve"> on the meaning of section 11(2) of the 2007 Act</w:t>
      </w:r>
      <w:r w:rsidR="00F7547F" w:rsidRPr="00BB4F10">
        <w:rPr>
          <w:rFonts w:ascii="Book Antiqua" w:hAnsi="Book Antiqua" w:cs="Arial"/>
        </w:rPr>
        <w:t xml:space="preserve"> and the</w:t>
      </w:r>
      <w:r w:rsidR="00B94452" w:rsidRPr="00BB4F10">
        <w:rPr>
          <w:rFonts w:ascii="Book Antiqua" w:hAnsi="Book Antiqua" w:cs="Arial"/>
        </w:rPr>
        <w:t xml:space="preserve"> central importance of outcomes in the appellate regime</w:t>
      </w:r>
      <w:r w:rsidR="00E71126" w:rsidRPr="00BB4F10">
        <w:rPr>
          <w:rFonts w:ascii="Book Antiqua" w:hAnsi="Book Antiqua" w:cs="Arial"/>
        </w:rPr>
        <w:t xml:space="preserve"> </w:t>
      </w:r>
      <w:r w:rsidR="0024729D" w:rsidRPr="00BB4F10">
        <w:rPr>
          <w:rFonts w:ascii="Book Antiqua" w:hAnsi="Book Antiqua" w:cs="Arial"/>
        </w:rPr>
        <w:t>established by Parliament.</w:t>
      </w:r>
    </w:p>
    <w:p w14:paraId="469821A8" w14:textId="4298B0A3" w:rsidR="002A439E" w:rsidRPr="008D48B8" w:rsidRDefault="00226303" w:rsidP="00865BFE">
      <w:pPr>
        <w:numPr>
          <w:ilvl w:val="0"/>
          <w:numId w:val="18"/>
        </w:numPr>
        <w:spacing w:before="240"/>
        <w:jc w:val="both"/>
        <w:rPr>
          <w:rFonts w:ascii="Book Antiqua" w:hAnsi="Book Antiqua" w:cs="Arial"/>
        </w:rPr>
      </w:pPr>
      <w:r w:rsidRPr="008D48B8">
        <w:rPr>
          <w:rFonts w:ascii="Book Antiqua" w:hAnsi="Book Antiqua" w:cs="Arial"/>
        </w:rPr>
        <w:t>Third,</w:t>
      </w:r>
      <w:r w:rsidR="00730812" w:rsidRPr="008D48B8">
        <w:rPr>
          <w:rFonts w:ascii="Book Antiqua" w:hAnsi="Book Antiqua" w:cs="Arial"/>
        </w:rPr>
        <w:t xml:space="preserve"> we see nothing</w:t>
      </w:r>
      <w:r w:rsidR="008E2ADD" w:rsidRPr="008D48B8">
        <w:rPr>
          <w:rFonts w:ascii="Book Antiqua" w:hAnsi="Book Antiqua" w:cs="Arial"/>
        </w:rPr>
        <w:t xml:space="preserve"> extraordinary, absurd, or perverse,</w:t>
      </w:r>
      <w:r w:rsidR="009D3405" w:rsidRPr="008D48B8">
        <w:rPr>
          <w:rFonts w:ascii="Book Antiqua" w:hAnsi="Book Antiqua" w:cs="Arial"/>
        </w:rPr>
        <w:t xml:space="preserve"> arising from the conclusions drawn in </w:t>
      </w:r>
      <w:proofErr w:type="spellStart"/>
      <w:r w:rsidR="009D3405" w:rsidRPr="008D48B8">
        <w:rPr>
          <w:rFonts w:ascii="Book Antiqua" w:hAnsi="Book Antiqua" w:cs="Arial"/>
          <w:u w:val="single"/>
        </w:rPr>
        <w:t>Devani</w:t>
      </w:r>
      <w:proofErr w:type="spellEnd"/>
      <w:r w:rsidR="009D3405" w:rsidRPr="008D48B8">
        <w:rPr>
          <w:rFonts w:ascii="Book Antiqua" w:hAnsi="Book Antiqua" w:cs="Arial"/>
        </w:rPr>
        <w:t>.</w:t>
      </w:r>
      <w:r w:rsidR="000B43F3" w:rsidRPr="008D48B8">
        <w:rPr>
          <w:rFonts w:ascii="Book Antiqua" w:hAnsi="Book Antiqua" w:cs="Arial"/>
        </w:rPr>
        <w:t xml:space="preserve"> The individual</w:t>
      </w:r>
      <w:r w:rsidR="004D48B2" w:rsidRPr="008D48B8">
        <w:rPr>
          <w:rFonts w:ascii="Book Antiqua" w:hAnsi="Book Antiqua" w:cs="Arial"/>
        </w:rPr>
        <w:t xml:space="preserve"> found to be dishonest but successful</w:t>
      </w:r>
      <w:r w:rsidR="00B12701" w:rsidRPr="008D48B8">
        <w:rPr>
          <w:rFonts w:ascii="Book Antiqua" w:hAnsi="Book Antiqua" w:cs="Arial"/>
        </w:rPr>
        <w:t xml:space="preserve"> in their appeal</w:t>
      </w:r>
      <w:r w:rsidR="00A1469E" w:rsidRPr="008D48B8">
        <w:rPr>
          <w:rFonts w:ascii="Book Antiqua" w:hAnsi="Book Antiqua" w:cs="Arial"/>
        </w:rPr>
        <w:t xml:space="preserve"> on the only available ground</w:t>
      </w:r>
      <w:r w:rsidR="004F207B" w:rsidRPr="008D48B8">
        <w:rPr>
          <w:rFonts w:ascii="Book Antiqua" w:hAnsi="Book Antiqua" w:cs="Arial"/>
        </w:rPr>
        <w:t xml:space="preserve"> will not be able to</w:t>
      </w:r>
      <w:r w:rsidR="003E1740" w:rsidRPr="008D48B8">
        <w:rPr>
          <w:rFonts w:ascii="Book Antiqua" w:hAnsi="Book Antiqua" w:cs="Arial"/>
        </w:rPr>
        <w:t xml:space="preserve"> challenge that finding to the Upper Tribunal through the appellate route</w:t>
      </w:r>
      <w:r w:rsidR="006B291F" w:rsidRPr="008D48B8">
        <w:rPr>
          <w:rFonts w:ascii="Book Antiqua" w:hAnsi="Book Antiqua" w:cs="Arial"/>
        </w:rPr>
        <w:t>, but would be able to seek a remedy through judicial review proceedings</w:t>
      </w:r>
      <w:r w:rsidR="008E72EE" w:rsidRPr="008D48B8">
        <w:rPr>
          <w:rFonts w:ascii="Book Antiqua" w:hAnsi="Book Antiqua" w:cs="Arial"/>
        </w:rPr>
        <w:t xml:space="preserve"> if a future application was refused by the respondent in reliance on that finding.</w:t>
      </w:r>
      <w:r w:rsidR="00F145D0" w:rsidRPr="008D48B8">
        <w:rPr>
          <w:rFonts w:ascii="Book Antiqua" w:hAnsi="Book Antiqua" w:cs="Arial"/>
        </w:rPr>
        <w:t xml:space="preserve"> </w:t>
      </w:r>
      <w:r w:rsidR="000B641F" w:rsidRPr="008D48B8">
        <w:rPr>
          <w:rFonts w:ascii="Book Antiqua" w:hAnsi="Book Antiqua" w:cs="Arial"/>
        </w:rPr>
        <w:t xml:space="preserve">That was the situation in </w:t>
      </w:r>
      <w:r w:rsidR="000B641F" w:rsidRPr="008D48B8">
        <w:rPr>
          <w:rFonts w:ascii="Book Antiqua" w:hAnsi="Book Antiqua" w:cs="Arial"/>
          <w:u w:val="single"/>
        </w:rPr>
        <w:t xml:space="preserve">Mansoor </w:t>
      </w:r>
      <w:r w:rsidR="005A5BFB" w:rsidRPr="008D48B8">
        <w:rPr>
          <w:rFonts w:ascii="Book Antiqua" w:hAnsi="Book Antiqua" w:cs="Arial"/>
          <w:u w:val="single"/>
        </w:rPr>
        <w:t>(</w:t>
      </w:r>
      <w:proofErr w:type="spellStart"/>
      <w:r w:rsidR="005A5BFB" w:rsidRPr="008D48B8">
        <w:rPr>
          <w:rFonts w:ascii="Book Antiqua" w:hAnsi="Book Antiqua" w:cs="Arial"/>
          <w:u w:val="single"/>
        </w:rPr>
        <w:t>Balajigari</w:t>
      </w:r>
      <w:proofErr w:type="spellEnd"/>
      <w:r w:rsidR="008B2F5A" w:rsidRPr="008D48B8">
        <w:rPr>
          <w:rFonts w:ascii="Book Antiqua" w:hAnsi="Book Antiqua" w:cs="Arial"/>
          <w:u w:val="single"/>
        </w:rPr>
        <w:t xml:space="preserve"> - effect of judge’s decision)</w:t>
      </w:r>
      <w:r w:rsidR="008B2F5A" w:rsidRPr="008D48B8">
        <w:rPr>
          <w:rFonts w:ascii="Book Antiqua" w:hAnsi="Book Antiqua" w:cs="Arial"/>
        </w:rPr>
        <w:t xml:space="preserve"> [2020] UKUT 126 (IAC)</w:t>
      </w:r>
      <w:r w:rsidR="0075662F" w:rsidRPr="008D48B8">
        <w:rPr>
          <w:rFonts w:ascii="Book Antiqua" w:hAnsi="Book Antiqua" w:cs="Arial"/>
        </w:rPr>
        <w:t>,</w:t>
      </w:r>
      <w:r w:rsidR="00FB71D0" w:rsidRPr="008D48B8">
        <w:rPr>
          <w:rFonts w:ascii="Book Antiqua" w:hAnsi="Book Antiqua" w:cs="Arial"/>
        </w:rPr>
        <w:t xml:space="preserve"> a decision which we regard as consistent with</w:t>
      </w:r>
      <w:r w:rsidR="00AE7969" w:rsidRPr="008D48B8">
        <w:rPr>
          <w:rFonts w:ascii="Book Antiqua" w:hAnsi="Book Antiqua" w:cs="Arial"/>
        </w:rPr>
        <w:t xml:space="preserve"> </w:t>
      </w:r>
      <w:proofErr w:type="spellStart"/>
      <w:r w:rsidR="00AE7969" w:rsidRPr="008D48B8">
        <w:rPr>
          <w:rFonts w:ascii="Book Antiqua" w:hAnsi="Book Antiqua" w:cs="Arial"/>
          <w:u w:val="single"/>
        </w:rPr>
        <w:t>Devani</w:t>
      </w:r>
      <w:proofErr w:type="spellEnd"/>
      <w:r w:rsidR="000B3C96" w:rsidRPr="008D48B8">
        <w:rPr>
          <w:rFonts w:ascii="Book Antiqua" w:hAnsi="Book Antiqua" w:cs="Arial"/>
        </w:rPr>
        <w:t xml:space="preserve"> and unsupportive of Mr Malik’s current</w:t>
      </w:r>
      <w:r w:rsidR="002A439E" w:rsidRPr="008D48B8">
        <w:rPr>
          <w:rFonts w:ascii="Book Antiqua" w:hAnsi="Book Antiqua" w:cs="Arial"/>
        </w:rPr>
        <w:t xml:space="preserve"> position. </w:t>
      </w:r>
      <w:r w:rsidR="00D23132" w:rsidRPr="008D48B8">
        <w:rPr>
          <w:rFonts w:ascii="Book Antiqua" w:hAnsi="Book Antiqua" w:cs="Arial"/>
        </w:rPr>
        <w:t>The applicant in that case had been found to have practised deception, but his appeal to the First-tier Tribunal was allowed on the basis of</w:t>
      </w:r>
      <w:r w:rsidR="00AE4A7D" w:rsidRPr="008D48B8">
        <w:rPr>
          <w:rFonts w:ascii="Book Antiqua" w:hAnsi="Book Antiqua" w:cs="Arial"/>
        </w:rPr>
        <w:t xml:space="preserve"> additional matters relevant to Article 8. There had been no attempted appeal to the Upper Tribunal in respect of the adverse finding</w:t>
      </w:r>
      <w:r w:rsidR="00374B0C" w:rsidRPr="008D48B8">
        <w:rPr>
          <w:rFonts w:ascii="Book Antiqua" w:hAnsi="Book Antiqua" w:cs="Arial"/>
        </w:rPr>
        <w:t>. The judicial review proceedings arose following the respondent’s refusal of a</w:t>
      </w:r>
      <w:r w:rsidR="004A42FD">
        <w:rPr>
          <w:rFonts w:ascii="Book Antiqua" w:hAnsi="Book Antiqua" w:cs="Arial"/>
        </w:rPr>
        <w:t xml:space="preserve"> subsequent</w:t>
      </w:r>
      <w:r w:rsidR="00374B0C" w:rsidRPr="008D48B8">
        <w:rPr>
          <w:rFonts w:ascii="Book Antiqua" w:hAnsi="Book Antiqua" w:cs="Arial"/>
        </w:rPr>
        <w:t xml:space="preserve"> application for indefinite leave to remain based on the</w:t>
      </w:r>
      <w:r w:rsidR="000D275C" w:rsidRPr="008D48B8">
        <w:rPr>
          <w:rFonts w:ascii="Book Antiqua" w:hAnsi="Book Antiqua" w:cs="Arial"/>
        </w:rPr>
        <w:t xml:space="preserve"> finding of deception. It is incorrect to assert that </w:t>
      </w:r>
      <w:r w:rsidR="000D275C" w:rsidRPr="008D48B8">
        <w:rPr>
          <w:rFonts w:ascii="Book Antiqua" w:hAnsi="Book Antiqua" w:cs="Arial"/>
          <w:u w:val="single"/>
        </w:rPr>
        <w:t>Mansoor</w:t>
      </w:r>
      <w:r w:rsidR="00425B40" w:rsidRPr="008D48B8">
        <w:rPr>
          <w:rFonts w:ascii="Book Antiqua" w:hAnsi="Book Antiqua" w:cs="Arial"/>
        </w:rPr>
        <w:t xml:space="preserve"> implicitly adopted Mr Malik’s interpretation of the approach in </w:t>
      </w:r>
      <w:r w:rsidR="00425B40" w:rsidRPr="008D48B8">
        <w:rPr>
          <w:rFonts w:ascii="Book Antiqua" w:hAnsi="Book Antiqua" w:cs="Arial"/>
          <w:u w:val="single"/>
        </w:rPr>
        <w:t>Anwar</w:t>
      </w:r>
      <w:r w:rsidR="004B5296">
        <w:rPr>
          <w:rFonts w:ascii="Book Antiqua" w:hAnsi="Book Antiqua" w:cs="Arial"/>
        </w:rPr>
        <w:t>, and</w:t>
      </w:r>
      <w:r w:rsidR="000828FE" w:rsidRPr="008D48B8">
        <w:rPr>
          <w:rFonts w:ascii="Book Antiqua" w:hAnsi="Book Antiqua" w:cs="Arial"/>
        </w:rPr>
        <w:t xml:space="preserve"> </w:t>
      </w:r>
      <w:r w:rsidR="004B5296">
        <w:rPr>
          <w:rFonts w:ascii="Book Antiqua" w:hAnsi="Book Antiqua" w:cs="Arial"/>
        </w:rPr>
        <w:t>i</w:t>
      </w:r>
      <w:r w:rsidR="000828FE" w:rsidRPr="008D48B8">
        <w:rPr>
          <w:rFonts w:ascii="Book Antiqua" w:hAnsi="Book Antiqua" w:cs="Arial"/>
        </w:rPr>
        <w:t>n any event,</w:t>
      </w:r>
      <w:r w:rsidR="008D48B8" w:rsidRPr="008D48B8">
        <w:rPr>
          <w:rFonts w:ascii="Book Antiqua" w:hAnsi="Book Antiqua" w:cs="Arial"/>
        </w:rPr>
        <w:t xml:space="preserve"> </w:t>
      </w:r>
      <w:r w:rsidR="004B5296">
        <w:rPr>
          <w:rFonts w:ascii="Book Antiqua" w:hAnsi="Book Antiqua" w:cs="Arial"/>
        </w:rPr>
        <w:t>the Upper Tribunal</w:t>
      </w:r>
      <w:r w:rsidR="008D48B8" w:rsidRPr="008D48B8">
        <w:rPr>
          <w:rFonts w:ascii="Book Antiqua" w:hAnsi="Book Antiqua" w:cs="Arial"/>
        </w:rPr>
        <w:t xml:space="preserve"> was clearly not concerned with section 11 of the 2007 Act.</w:t>
      </w:r>
    </w:p>
    <w:p w14:paraId="46D757AE" w14:textId="377693D5" w:rsidR="00226303" w:rsidRDefault="0042319C" w:rsidP="00865BFE">
      <w:pPr>
        <w:numPr>
          <w:ilvl w:val="0"/>
          <w:numId w:val="18"/>
        </w:numPr>
        <w:spacing w:before="240"/>
        <w:jc w:val="both"/>
        <w:rPr>
          <w:rFonts w:ascii="Book Antiqua" w:hAnsi="Book Antiqua" w:cs="Arial"/>
        </w:rPr>
      </w:pPr>
      <w:r>
        <w:rPr>
          <w:rFonts w:ascii="Book Antiqua" w:hAnsi="Book Antiqua" w:cs="Arial"/>
        </w:rPr>
        <w:t>Alternatively, if</w:t>
      </w:r>
      <w:r w:rsidR="00F145D0">
        <w:rPr>
          <w:rFonts w:ascii="Book Antiqua" w:hAnsi="Book Antiqua" w:cs="Arial"/>
        </w:rPr>
        <w:t xml:space="preserve"> the respondent appealed against the</w:t>
      </w:r>
      <w:r w:rsidR="00D555EC">
        <w:rPr>
          <w:rFonts w:ascii="Book Antiqua" w:hAnsi="Book Antiqua" w:cs="Arial"/>
        </w:rPr>
        <w:t xml:space="preserve"> allow</w:t>
      </w:r>
      <w:r w:rsidR="004757FC">
        <w:rPr>
          <w:rFonts w:ascii="Book Antiqua" w:hAnsi="Book Antiqua" w:cs="Arial"/>
        </w:rPr>
        <w:t>ing</w:t>
      </w:r>
      <w:r w:rsidR="00D555EC">
        <w:rPr>
          <w:rFonts w:ascii="Book Antiqua" w:hAnsi="Book Antiqua" w:cs="Arial"/>
        </w:rPr>
        <w:t xml:space="preserve"> of the appeal</w:t>
      </w:r>
      <w:r w:rsidR="009547B1">
        <w:rPr>
          <w:rFonts w:ascii="Book Antiqua" w:hAnsi="Book Antiqua" w:cs="Arial"/>
        </w:rPr>
        <w:t xml:space="preserve"> and was granted permission</w:t>
      </w:r>
      <w:r w:rsidR="00D555EC">
        <w:rPr>
          <w:rFonts w:ascii="Book Antiqua" w:hAnsi="Book Antiqua" w:cs="Arial"/>
        </w:rPr>
        <w:t>, the individual would then be able to argue that the finding on deception was wrong, pursuant to</w:t>
      </w:r>
      <w:r w:rsidR="00EA275E">
        <w:rPr>
          <w:rFonts w:ascii="Book Antiqua" w:hAnsi="Book Antiqua" w:cs="Arial"/>
        </w:rPr>
        <w:t xml:space="preserve"> rule 24</w:t>
      </w:r>
      <w:r w:rsidR="005E5361">
        <w:rPr>
          <w:rFonts w:ascii="Book Antiqua" w:hAnsi="Book Antiqua" w:cs="Arial"/>
        </w:rPr>
        <w:t xml:space="preserve"> response</w:t>
      </w:r>
      <w:r w:rsidR="00EA275E">
        <w:rPr>
          <w:rFonts w:ascii="Book Antiqua" w:hAnsi="Book Antiqua" w:cs="Arial"/>
        </w:rPr>
        <w:t>.</w:t>
      </w:r>
    </w:p>
    <w:p w14:paraId="55FCF004" w14:textId="368E9A2F" w:rsidR="00EA275E" w:rsidRDefault="00EA275E" w:rsidP="00865BFE">
      <w:pPr>
        <w:numPr>
          <w:ilvl w:val="0"/>
          <w:numId w:val="18"/>
        </w:numPr>
        <w:spacing w:before="240"/>
        <w:jc w:val="both"/>
        <w:rPr>
          <w:rFonts w:ascii="Book Antiqua" w:hAnsi="Book Antiqua" w:cs="Arial"/>
        </w:rPr>
      </w:pPr>
      <w:r>
        <w:rPr>
          <w:rFonts w:ascii="Book Antiqua" w:hAnsi="Book Antiqua" w:cs="Arial"/>
        </w:rPr>
        <w:t>As regards the respondent’s</w:t>
      </w:r>
      <w:r w:rsidR="00911F7C">
        <w:rPr>
          <w:rFonts w:ascii="Book Antiqua" w:hAnsi="Book Antiqua" w:cs="Arial"/>
        </w:rPr>
        <w:t xml:space="preserve"> position</w:t>
      </w:r>
      <w:r w:rsidR="0049297A">
        <w:rPr>
          <w:rFonts w:ascii="Book Antiqua" w:hAnsi="Book Antiqua" w:cs="Arial"/>
        </w:rPr>
        <w:t xml:space="preserve"> where an allegation of deception</w:t>
      </w:r>
      <w:r w:rsidR="00966492">
        <w:rPr>
          <w:rFonts w:ascii="Book Antiqua" w:hAnsi="Book Antiqua" w:cs="Arial"/>
        </w:rPr>
        <w:t xml:space="preserve"> may have been erroneously rejected by the First-tier Tribunal, but the appeal </w:t>
      </w:r>
      <w:r w:rsidR="00CA0CB9">
        <w:rPr>
          <w:rFonts w:ascii="Book Antiqua" w:hAnsi="Book Antiqua" w:cs="Arial"/>
        </w:rPr>
        <w:t>dismissed in any event, the respondent would be able to challenge the particular finding by way of a rule 24</w:t>
      </w:r>
      <w:r w:rsidR="00A3445C">
        <w:rPr>
          <w:rFonts w:ascii="Book Antiqua" w:hAnsi="Book Antiqua" w:cs="Arial"/>
        </w:rPr>
        <w:t xml:space="preserve"> response</w:t>
      </w:r>
      <w:r w:rsidR="00CA0CB9">
        <w:rPr>
          <w:rFonts w:ascii="Book Antiqua" w:hAnsi="Book Antiqua" w:cs="Arial"/>
        </w:rPr>
        <w:t xml:space="preserve"> if the</w:t>
      </w:r>
      <w:r w:rsidR="00E841B6">
        <w:rPr>
          <w:rFonts w:ascii="Book Antiqua" w:hAnsi="Book Antiqua" w:cs="Arial"/>
        </w:rPr>
        <w:t xml:space="preserve"> individual</w:t>
      </w:r>
      <w:r w:rsidR="009547B1">
        <w:rPr>
          <w:rFonts w:ascii="Book Antiqua" w:hAnsi="Book Antiqua" w:cs="Arial"/>
        </w:rPr>
        <w:t xml:space="preserve"> were to </w:t>
      </w:r>
      <w:r w:rsidR="00693196">
        <w:rPr>
          <w:rFonts w:ascii="Book Antiqua" w:hAnsi="Book Antiqua" w:cs="Arial"/>
        </w:rPr>
        <w:t xml:space="preserve">appeal to </w:t>
      </w:r>
      <w:r w:rsidR="009547B1">
        <w:rPr>
          <w:rFonts w:ascii="Book Antiqua" w:hAnsi="Book Antiqua" w:cs="Arial"/>
        </w:rPr>
        <w:t>the Upper Tribunal and be granted permission.</w:t>
      </w:r>
    </w:p>
    <w:p w14:paraId="7991702D" w14:textId="44FD2459" w:rsidR="00693196" w:rsidRPr="00226303" w:rsidRDefault="00596BE0" w:rsidP="00865BFE">
      <w:pPr>
        <w:numPr>
          <w:ilvl w:val="0"/>
          <w:numId w:val="18"/>
        </w:numPr>
        <w:spacing w:before="240"/>
        <w:jc w:val="both"/>
        <w:rPr>
          <w:rFonts w:ascii="Book Antiqua" w:hAnsi="Book Antiqua" w:cs="Arial"/>
        </w:rPr>
      </w:pPr>
      <w:r>
        <w:rPr>
          <w:rFonts w:ascii="Book Antiqua" w:hAnsi="Book Antiqua" w:cs="Arial"/>
        </w:rPr>
        <w:t xml:space="preserve">Even if the potential avenues for challenge set out above were not available in any given case, it would in our view simply be a </w:t>
      </w:r>
      <w:r w:rsidR="003338B8">
        <w:rPr>
          <w:rFonts w:ascii="Book Antiqua" w:hAnsi="Book Antiqua" w:cs="Arial"/>
        </w:rPr>
        <w:t xml:space="preserve">consequence of the statutory regime, which may, on occasion, </w:t>
      </w:r>
      <w:r w:rsidR="006E00C3">
        <w:rPr>
          <w:rFonts w:ascii="Book Antiqua" w:hAnsi="Book Antiqua" w:cs="Arial"/>
        </w:rPr>
        <w:t>give rise to hard-edged results for one party or another.</w:t>
      </w:r>
    </w:p>
    <w:p w14:paraId="5E7DAB29" w14:textId="20F3A4EE" w:rsidR="00A805E5" w:rsidRPr="005251E7" w:rsidRDefault="00CA61FC" w:rsidP="00865BFE">
      <w:pPr>
        <w:numPr>
          <w:ilvl w:val="0"/>
          <w:numId w:val="18"/>
        </w:numPr>
        <w:spacing w:before="240"/>
        <w:jc w:val="both"/>
        <w:rPr>
          <w:rFonts w:ascii="Book Antiqua" w:hAnsi="Book Antiqua" w:cs="Arial"/>
        </w:rPr>
      </w:pPr>
      <w:r w:rsidRPr="005251E7">
        <w:rPr>
          <w:rFonts w:ascii="Book Antiqua" w:hAnsi="Book Antiqua" w:cs="Arial"/>
        </w:rPr>
        <w:t xml:space="preserve">Fourth, </w:t>
      </w:r>
      <w:r w:rsidR="00613B05" w:rsidRPr="005251E7">
        <w:rPr>
          <w:rFonts w:ascii="Book Antiqua" w:hAnsi="Book Antiqua" w:cs="Arial"/>
        </w:rPr>
        <w:t xml:space="preserve">reliance on the decision in </w:t>
      </w:r>
      <w:r w:rsidR="00FB2835" w:rsidRPr="005251E7">
        <w:rPr>
          <w:rFonts w:ascii="Book Antiqua" w:hAnsi="Book Antiqua" w:cs="Arial"/>
          <w:u w:val="single"/>
        </w:rPr>
        <w:t>Smith</w:t>
      </w:r>
      <w:r w:rsidR="00FB2835" w:rsidRPr="005251E7">
        <w:rPr>
          <w:rFonts w:ascii="Book Antiqua" w:hAnsi="Book Antiqua" w:cs="Arial"/>
        </w:rPr>
        <w:t xml:space="preserve"> </w:t>
      </w:r>
      <w:r w:rsidR="00613B05" w:rsidRPr="005251E7">
        <w:rPr>
          <w:rFonts w:ascii="Book Antiqua" w:hAnsi="Book Antiqua" w:cs="Arial"/>
        </w:rPr>
        <w:t xml:space="preserve">takes Mr Malik’s </w:t>
      </w:r>
      <w:r w:rsidR="00E46F17" w:rsidRPr="005251E7">
        <w:rPr>
          <w:rFonts w:ascii="Book Antiqua" w:hAnsi="Book Antiqua" w:cs="Arial"/>
        </w:rPr>
        <w:t xml:space="preserve">argument no further. </w:t>
      </w:r>
      <w:r w:rsidR="00334670" w:rsidRPr="005251E7">
        <w:rPr>
          <w:rFonts w:ascii="Book Antiqua" w:hAnsi="Book Antiqua" w:cs="Arial"/>
          <w:u w:val="single"/>
        </w:rPr>
        <w:t>Smith</w:t>
      </w:r>
      <w:r w:rsidR="00334670" w:rsidRPr="005251E7">
        <w:rPr>
          <w:rFonts w:ascii="Book Antiqua" w:hAnsi="Book Antiqua" w:cs="Arial"/>
        </w:rPr>
        <w:t xml:space="preserve"> </w:t>
      </w:r>
      <w:r w:rsidR="001224B9" w:rsidRPr="005251E7">
        <w:rPr>
          <w:rFonts w:ascii="Book Antiqua" w:hAnsi="Book Antiqua" w:cs="Arial"/>
        </w:rPr>
        <w:t>concerned the situation in which an appellant ha</w:t>
      </w:r>
      <w:r w:rsidR="00E46F17" w:rsidRPr="005251E7">
        <w:rPr>
          <w:rFonts w:ascii="Book Antiqua" w:hAnsi="Book Antiqua" w:cs="Arial"/>
        </w:rPr>
        <w:t>d</w:t>
      </w:r>
      <w:r w:rsidR="00A84FC5">
        <w:rPr>
          <w:rFonts w:ascii="Book Antiqua" w:hAnsi="Book Antiqua" w:cs="Arial"/>
        </w:rPr>
        <w:t xml:space="preserve"> </w:t>
      </w:r>
      <w:r w:rsidR="001224B9" w:rsidRPr="005251E7">
        <w:rPr>
          <w:rFonts w:ascii="Book Antiqua" w:hAnsi="Book Antiqua" w:cs="Arial"/>
        </w:rPr>
        <w:t xml:space="preserve">succeeded </w:t>
      </w:r>
      <w:r w:rsidR="008A5E01" w:rsidRPr="005251E7">
        <w:rPr>
          <w:rFonts w:ascii="Book Antiqua" w:hAnsi="Book Antiqua" w:cs="Arial"/>
        </w:rPr>
        <w:t>before the First-tier Tribunal on</w:t>
      </w:r>
      <w:r w:rsidR="00A84FC5">
        <w:rPr>
          <w:rFonts w:ascii="Book Antiqua" w:hAnsi="Book Antiqua" w:cs="Arial"/>
        </w:rPr>
        <w:t xml:space="preserve"> one</w:t>
      </w:r>
      <w:r w:rsidR="008A5E01" w:rsidRPr="005251E7">
        <w:rPr>
          <w:rFonts w:ascii="Book Antiqua" w:hAnsi="Book Antiqua" w:cs="Arial"/>
        </w:rPr>
        <w:t xml:space="preserve"> ground of appeal, but</w:t>
      </w:r>
      <w:r w:rsidR="00AA7F8D" w:rsidRPr="005251E7">
        <w:rPr>
          <w:rFonts w:ascii="Book Antiqua" w:hAnsi="Book Antiqua" w:cs="Arial"/>
        </w:rPr>
        <w:t xml:space="preserve"> </w:t>
      </w:r>
      <w:r w:rsidR="006719E3" w:rsidRPr="005251E7">
        <w:rPr>
          <w:rFonts w:ascii="Book Antiqua" w:hAnsi="Book Antiqua" w:cs="Arial"/>
        </w:rPr>
        <w:t xml:space="preserve">the judge had </w:t>
      </w:r>
      <w:r w:rsidR="00E52A22" w:rsidRPr="005251E7">
        <w:rPr>
          <w:rFonts w:ascii="Book Antiqua" w:hAnsi="Book Antiqua" w:cs="Arial"/>
        </w:rPr>
        <w:t>declined</w:t>
      </w:r>
      <w:r w:rsidR="00286527" w:rsidRPr="005251E7">
        <w:rPr>
          <w:rFonts w:ascii="Book Antiqua" w:hAnsi="Book Antiqua" w:cs="Arial"/>
        </w:rPr>
        <w:t xml:space="preserve"> to determine</w:t>
      </w:r>
      <w:r w:rsidR="00854484" w:rsidRPr="005251E7">
        <w:rPr>
          <w:rFonts w:ascii="Book Antiqua" w:hAnsi="Book Antiqua" w:cs="Arial"/>
        </w:rPr>
        <w:t xml:space="preserve"> the ground relating to Article 8</w:t>
      </w:r>
      <w:r w:rsidR="0082129F" w:rsidRPr="005251E7">
        <w:rPr>
          <w:rFonts w:ascii="Book Antiqua" w:hAnsi="Book Antiqua" w:cs="Arial"/>
        </w:rPr>
        <w:t xml:space="preserve">. </w:t>
      </w:r>
      <w:r w:rsidR="0021535D" w:rsidRPr="005251E7">
        <w:rPr>
          <w:rFonts w:ascii="Book Antiqua" w:hAnsi="Book Antiqua" w:cs="Arial"/>
        </w:rPr>
        <w:t xml:space="preserve">The conclusion of the Upper Tribunal that this failure </w:t>
      </w:r>
      <w:r w:rsidR="00E26191" w:rsidRPr="005251E7">
        <w:rPr>
          <w:rFonts w:ascii="Book Antiqua" w:hAnsi="Book Antiqua" w:cs="Arial"/>
        </w:rPr>
        <w:t>constituted a “decision</w:t>
      </w:r>
      <w:r w:rsidR="003B50C8" w:rsidRPr="005251E7">
        <w:rPr>
          <w:rFonts w:ascii="Book Antiqua" w:hAnsi="Book Antiqua" w:cs="Arial"/>
        </w:rPr>
        <w:t xml:space="preserve">” </w:t>
      </w:r>
      <w:r w:rsidR="00E26191" w:rsidRPr="005251E7">
        <w:rPr>
          <w:rFonts w:ascii="Book Antiqua" w:hAnsi="Book Antiqua" w:cs="Arial"/>
        </w:rPr>
        <w:t xml:space="preserve">which </w:t>
      </w:r>
      <w:r w:rsidR="003B50C8" w:rsidRPr="005251E7">
        <w:rPr>
          <w:rFonts w:ascii="Book Antiqua" w:hAnsi="Book Antiqua" w:cs="Arial"/>
        </w:rPr>
        <w:t>could be</w:t>
      </w:r>
      <w:r w:rsidR="00E26191" w:rsidRPr="005251E7">
        <w:rPr>
          <w:rFonts w:ascii="Book Antiqua" w:hAnsi="Book Antiqua" w:cs="Arial"/>
        </w:rPr>
        <w:t xml:space="preserve"> appeal</w:t>
      </w:r>
      <w:r w:rsidR="003B50C8" w:rsidRPr="005251E7">
        <w:rPr>
          <w:rFonts w:ascii="Book Antiqua" w:hAnsi="Book Antiqua" w:cs="Arial"/>
        </w:rPr>
        <w:t>ed</w:t>
      </w:r>
      <w:r w:rsidR="00E26191" w:rsidRPr="005251E7">
        <w:rPr>
          <w:rFonts w:ascii="Book Antiqua" w:hAnsi="Book Antiqua" w:cs="Arial"/>
        </w:rPr>
        <w:t xml:space="preserve"> </w:t>
      </w:r>
      <w:r w:rsidR="0029447C" w:rsidRPr="005251E7">
        <w:rPr>
          <w:rFonts w:ascii="Book Antiqua" w:hAnsi="Book Antiqua" w:cs="Arial"/>
        </w:rPr>
        <w:t xml:space="preserve">under section 11 of the 2007 Act is </w:t>
      </w:r>
      <w:r w:rsidR="002D13FD" w:rsidRPr="005251E7">
        <w:rPr>
          <w:rFonts w:ascii="Book Antiqua" w:hAnsi="Book Antiqua" w:cs="Arial"/>
        </w:rPr>
        <w:t xml:space="preserve">clearly consistent with </w:t>
      </w:r>
      <w:proofErr w:type="spellStart"/>
      <w:r w:rsidR="002D13FD" w:rsidRPr="005251E7">
        <w:rPr>
          <w:rFonts w:ascii="Book Antiqua" w:hAnsi="Book Antiqua" w:cs="Arial"/>
          <w:u w:val="single"/>
        </w:rPr>
        <w:t>Devani</w:t>
      </w:r>
      <w:proofErr w:type="spellEnd"/>
      <w:r w:rsidR="00850EC5" w:rsidRPr="005251E7">
        <w:rPr>
          <w:rFonts w:ascii="Book Antiqua" w:hAnsi="Book Antiqua" w:cs="Arial"/>
        </w:rPr>
        <w:t xml:space="preserve">: </w:t>
      </w:r>
      <w:r w:rsidR="00D12E9D" w:rsidRPr="005251E7">
        <w:rPr>
          <w:rFonts w:ascii="Book Antiqua" w:hAnsi="Book Antiqua" w:cs="Arial"/>
        </w:rPr>
        <w:t xml:space="preserve">the </w:t>
      </w:r>
      <w:r w:rsidR="0081307D" w:rsidRPr="005251E7">
        <w:rPr>
          <w:rFonts w:ascii="Book Antiqua" w:hAnsi="Book Antiqua" w:cs="Arial"/>
        </w:rPr>
        <w:t xml:space="preserve">individual </w:t>
      </w:r>
      <w:r w:rsidR="00D12E9D" w:rsidRPr="005251E7">
        <w:rPr>
          <w:rFonts w:ascii="Book Antiqua" w:hAnsi="Book Antiqua" w:cs="Arial"/>
        </w:rPr>
        <w:t xml:space="preserve">in </w:t>
      </w:r>
      <w:r w:rsidR="00D12E9D" w:rsidRPr="005251E7">
        <w:rPr>
          <w:rFonts w:ascii="Book Antiqua" w:hAnsi="Book Antiqua" w:cs="Arial"/>
          <w:u w:val="single"/>
        </w:rPr>
        <w:t>Smith</w:t>
      </w:r>
      <w:r w:rsidR="00D12E9D" w:rsidRPr="005251E7">
        <w:rPr>
          <w:rFonts w:ascii="Book Antiqua" w:hAnsi="Book Antiqua" w:cs="Arial"/>
        </w:rPr>
        <w:t xml:space="preserve"> had </w:t>
      </w:r>
      <w:r w:rsidR="00F703FE" w:rsidRPr="005251E7">
        <w:rPr>
          <w:rFonts w:ascii="Book Antiqua" w:hAnsi="Book Antiqua" w:cs="Arial"/>
        </w:rPr>
        <w:t>“won” in respect of one ground, but effectively “lost” on the other</w:t>
      </w:r>
      <w:r w:rsidR="0067215D" w:rsidRPr="005251E7">
        <w:rPr>
          <w:rFonts w:ascii="Book Antiqua" w:hAnsi="Book Antiqua" w:cs="Arial"/>
        </w:rPr>
        <w:t xml:space="preserve"> and thus had not a</w:t>
      </w:r>
      <w:r w:rsidR="00053258" w:rsidRPr="005251E7">
        <w:rPr>
          <w:rFonts w:ascii="Book Antiqua" w:hAnsi="Book Antiqua" w:cs="Arial"/>
        </w:rPr>
        <w:t>chieved all the outcomes sought.</w:t>
      </w:r>
      <w:r w:rsidR="004F5199" w:rsidRPr="005251E7">
        <w:rPr>
          <w:rFonts w:ascii="Book Antiqua" w:hAnsi="Book Antiqua" w:cs="Arial"/>
        </w:rPr>
        <w:t xml:space="preserve"> In addition,</w:t>
      </w:r>
      <w:r w:rsidR="00DF1A6B" w:rsidRPr="005251E7">
        <w:rPr>
          <w:rFonts w:ascii="Book Antiqua" w:hAnsi="Book Antiqua" w:cs="Arial"/>
        </w:rPr>
        <w:t xml:space="preserve"> t</w:t>
      </w:r>
      <w:r w:rsidR="00E53258" w:rsidRPr="005251E7">
        <w:rPr>
          <w:rFonts w:ascii="Book Antiqua" w:hAnsi="Book Antiqua" w:cs="Arial"/>
        </w:rPr>
        <w:t xml:space="preserve">he </w:t>
      </w:r>
      <w:r w:rsidR="007A3B89" w:rsidRPr="005251E7">
        <w:rPr>
          <w:rFonts w:ascii="Book Antiqua" w:hAnsi="Book Antiqua" w:cs="Arial"/>
        </w:rPr>
        <w:t xml:space="preserve">central issue in </w:t>
      </w:r>
      <w:r w:rsidR="00E53258" w:rsidRPr="005251E7">
        <w:rPr>
          <w:rFonts w:ascii="Book Antiqua" w:hAnsi="Book Antiqua" w:cs="Arial"/>
        </w:rPr>
        <w:t xml:space="preserve"> </w:t>
      </w:r>
      <w:r w:rsidR="00E53258" w:rsidRPr="005251E7">
        <w:rPr>
          <w:rFonts w:ascii="Book Antiqua" w:hAnsi="Book Antiqua" w:cs="Arial"/>
          <w:u w:val="single"/>
        </w:rPr>
        <w:t>Smith</w:t>
      </w:r>
      <w:r w:rsidR="00E53258" w:rsidRPr="005251E7">
        <w:rPr>
          <w:rFonts w:ascii="Book Antiqua" w:hAnsi="Book Antiqua" w:cs="Arial"/>
        </w:rPr>
        <w:t xml:space="preserve"> </w:t>
      </w:r>
      <w:r w:rsidR="007A3B89" w:rsidRPr="005251E7">
        <w:rPr>
          <w:rFonts w:ascii="Book Antiqua" w:hAnsi="Book Antiqua" w:cs="Arial"/>
        </w:rPr>
        <w:t>was</w:t>
      </w:r>
      <w:r w:rsidR="002F54AF" w:rsidRPr="005251E7">
        <w:rPr>
          <w:rFonts w:ascii="Book Antiqua" w:hAnsi="Book Antiqua" w:cs="Arial"/>
        </w:rPr>
        <w:t xml:space="preserve"> whether a </w:t>
      </w:r>
      <w:r w:rsidR="00A66EBC" w:rsidRPr="005251E7">
        <w:rPr>
          <w:rFonts w:ascii="Book Antiqua" w:hAnsi="Book Antiqua" w:cs="Arial"/>
        </w:rPr>
        <w:t>partially successful party</w:t>
      </w:r>
      <w:r w:rsidR="002F54AF" w:rsidRPr="005251E7">
        <w:rPr>
          <w:rFonts w:ascii="Book Antiqua" w:hAnsi="Book Antiqua" w:cs="Arial"/>
        </w:rPr>
        <w:t xml:space="preserve"> must </w:t>
      </w:r>
      <w:r w:rsidR="00A42A5D" w:rsidRPr="005251E7">
        <w:rPr>
          <w:rFonts w:ascii="Book Antiqua" w:hAnsi="Book Antiqua" w:cs="Arial"/>
        </w:rPr>
        <w:t>bring an appeal against a decision of the First-tier Tribunal</w:t>
      </w:r>
      <w:r w:rsidR="00F51D3E" w:rsidRPr="005251E7">
        <w:rPr>
          <w:rFonts w:ascii="Book Antiqua" w:hAnsi="Book Antiqua" w:cs="Arial"/>
        </w:rPr>
        <w:t xml:space="preserve">; or whether they are entitled </w:t>
      </w:r>
      <w:r w:rsidR="007C3707" w:rsidRPr="005251E7">
        <w:rPr>
          <w:rFonts w:ascii="Book Antiqua" w:hAnsi="Book Antiqua" w:cs="Arial"/>
        </w:rPr>
        <w:t xml:space="preserve">to </w:t>
      </w:r>
      <w:r w:rsidR="00FC7830" w:rsidRPr="005251E7">
        <w:rPr>
          <w:rFonts w:ascii="Book Antiqua" w:hAnsi="Book Antiqua" w:cs="Arial"/>
        </w:rPr>
        <w:t xml:space="preserve">await </w:t>
      </w:r>
      <w:r w:rsidR="00AF583E" w:rsidRPr="005251E7">
        <w:rPr>
          <w:rFonts w:ascii="Book Antiqua" w:hAnsi="Book Antiqua" w:cs="Arial"/>
        </w:rPr>
        <w:t>a challenge by the other party and then seek to ar</w:t>
      </w:r>
      <w:r w:rsidR="000A0915" w:rsidRPr="005251E7">
        <w:rPr>
          <w:rFonts w:ascii="Book Antiqua" w:hAnsi="Book Antiqua" w:cs="Arial"/>
        </w:rPr>
        <w:t>g</w:t>
      </w:r>
      <w:r w:rsidR="00AF583E" w:rsidRPr="005251E7">
        <w:rPr>
          <w:rFonts w:ascii="Book Antiqua" w:hAnsi="Book Antiqua" w:cs="Arial"/>
        </w:rPr>
        <w:t xml:space="preserve">ue those grounds on which they were initially unsuccessful </w:t>
      </w:r>
      <w:r w:rsidR="000A0915" w:rsidRPr="005251E7">
        <w:rPr>
          <w:rFonts w:ascii="Book Antiqua" w:hAnsi="Book Antiqua" w:cs="Arial"/>
        </w:rPr>
        <w:t>by way of a rule 24</w:t>
      </w:r>
      <w:r w:rsidR="00AD7591">
        <w:rPr>
          <w:rFonts w:ascii="Book Antiqua" w:hAnsi="Book Antiqua" w:cs="Arial"/>
        </w:rPr>
        <w:t xml:space="preserve"> response</w:t>
      </w:r>
      <w:r w:rsidR="000A0915" w:rsidRPr="005251E7">
        <w:rPr>
          <w:rFonts w:ascii="Book Antiqua" w:hAnsi="Book Antiqua" w:cs="Arial"/>
        </w:rPr>
        <w:t>.</w:t>
      </w:r>
      <w:r w:rsidR="007E36D8" w:rsidRPr="005251E7">
        <w:rPr>
          <w:rFonts w:ascii="Book Antiqua" w:hAnsi="Book Antiqua" w:cs="Arial"/>
        </w:rPr>
        <w:t xml:space="preserve">  It is </w:t>
      </w:r>
      <w:r w:rsidR="009625B8" w:rsidRPr="005251E7">
        <w:rPr>
          <w:rFonts w:ascii="Book Antiqua" w:hAnsi="Book Antiqua" w:cs="Arial"/>
        </w:rPr>
        <w:t xml:space="preserve">plain that </w:t>
      </w:r>
      <w:r w:rsidR="00106BA6" w:rsidRPr="005251E7">
        <w:rPr>
          <w:rFonts w:ascii="Book Antiqua" w:hAnsi="Book Antiqua" w:cs="Arial"/>
        </w:rPr>
        <w:t xml:space="preserve">this does not address the prior question of whether </w:t>
      </w:r>
      <w:r w:rsidR="00A805E5" w:rsidRPr="005251E7">
        <w:rPr>
          <w:rFonts w:ascii="Book Antiqua" w:hAnsi="Book Antiqua" w:cs="Arial"/>
        </w:rPr>
        <w:t>a party can bring an appeal in the first place.</w:t>
      </w:r>
    </w:p>
    <w:p w14:paraId="4CB1889A" w14:textId="2FA9F13F" w:rsidR="0097044E" w:rsidRPr="005251E7" w:rsidRDefault="00F970DE" w:rsidP="00865BFE">
      <w:pPr>
        <w:numPr>
          <w:ilvl w:val="0"/>
          <w:numId w:val="18"/>
        </w:numPr>
        <w:spacing w:before="240"/>
        <w:jc w:val="both"/>
        <w:rPr>
          <w:rFonts w:ascii="Book Antiqua" w:hAnsi="Book Antiqua" w:cs="Arial"/>
        </w:rPr>
      </w:pPr>
      <w:r w:rsidRPr="005251E7">
        <w:rPr>
          <w:rFonts w:ascii="Book Antiqua" w:hAnsi="Book Antiqua" w:cs="Arial"/>
        </w:rPr>
        <w:t>Nothing in what we have</w:t>
      </w:r>
      <w:r w:rsidR="00450B13" w:rsidRPr="005251E7">
        <w:rPr>
          <w:rFonts w:ascii="Book Antiqua" w:hAnsi="Book Antiqua" w:cs="Arial"/>
        </w:rPr>
        <w:t xml:space="preserve"> set out in our analysis on the procedural issue</w:t>
      </w:r>
      <w:r w:rsidR="00BF0157" w:rsidRPr="005251E7">
        <w:rPr>
          <w:rFonts w:ascii="Book Antiqua" w:hAnsi="Book Antiqua" w:cs="Arial"/>
        </w:rPr>
        <w:t xml:space="preserve"> </w:t>
      </w:r>
      <w:r w:rsidR="00814C33" w:rsidRPr="005251E7">
        <w:rPr>
          <w:rFonts w:ascii="Book Antiqua" w:hAnsi="Book Antiqua" w:cs="Arial"/>
        </w:rPr>
        <w:t xml:space="preserve">should </w:t>
      </w:r>
      <w:r w:rsidR="0048444E" w:rsidRPr="005251E7">
        <w:rPr>
          <w:rFonts w:ascii="Book Antiqua" w:hAnsi="Book Antiqua" w:cs="Arial"/>
        </w:rPr>
        <w:t xml:space="preserve">be taken as an encouragement to </w:t>
      </w:r>
      <w:r w:rsidR="00BF0157" w:rsidRPr="005251E7">
        <w:rPr>
          <w:rFonts w:ascii="Book Antiqua" w:hAnsi="Book Antiqua" w:cs="Arial"/>
        </w:rPr>
        <w:t>parties</w:t>
      </w:r>
      <w:r w:rsidR="00507D40" w:rsidRPr="005251E7">
        <w:rPr>
          <w:rFonts w:ascii="Book Antiqua" w:hAnsi="Book Antiqua" w:cs="Arial"/>
        </w:rPr>
        <w:t xml:space="preserve"> </w:t>
      </w:r>
      <w:r w:rsidR="00F35A6A" w:rsidRPr="005251E7">
        <w:rPr>
          <w:rFonts w:ascii="Book Antiqua" w:hAnsi="Book Antiqua" w:cs="Arial"/>
        </w:rPr>
        <w:t xml:space="preserve">to instigate </w:t>
      </w:r>
      <w:r w:rsidR="00CC7454" w:rsidRPr="005251E7">
        <w:rPr>
          <w:rFonts w:ascii="Book Antiqua" w:hAnsi="Book Antiqua" w:cs="Arial"/>
        </w:rPr>
        <w:t>appeals against decision</w:t>
      </w:r>
      <w:r w:rsidR="00DB4866" w:rsidRPr="005251E7">
        <w:rPr>
          <w:rFonts w:ascii="Book Antiqua" w:hAnsi="Book Antiqua" w:cs="Arial"/>
        </w:rPr>
        <w:t>s</w:t>
      </w:r>
      <w:r w:rsidR="00CC7454" w:rsidRPr="005251E7">
        <w:rPr>
          <w:rFonts w:ascii="Book Antiqua" w:hAnsi="Book Antiqua" w:cs="Arial"/>
        </w:rPr>
        <w:t xml:space="preserve"> of the First-tier Tribunal in </w:t>
      </w:r>
      <w:r w:rsidR="009118F2" w:rsidRPr="005251E7">
        <w:rPr>
          <w:rFonts w:ascii="Book Antiqua" w:hAnsi="Book Antiqua" w:cs="Arial"/>
        </w:rPr>
        <w:t xml:space="preserve">circumstances where they have succeeded in respect of </w:t>
      </w:r>
      <w:r w:rsidR="00967CEB" w:rsidRPr="005251E7">
        <w:rPr>
          <w:rFonts w:ascii="Book Antiqua" w:hAnsi="Book Antiqua" w:cs="Arial"/>
        </w:rPr>
        <w:t>certain grounds and</w:t>
      </w:r>
      <w:r w:rsidR="0099786C" w:rsidRPr="005251E7">
        <w:rPr>
          <w:rFonts w:ascii="Book Antiqua" w:hAnsi="Book Antiqua" w:cs="Arial"/>
        </w:rPr>
        <w:t xml:space="preserve"> </w:t>
      </w:r>
      <w:r w:rsidR="00457BAF" w:rsidRPr="005251E7">
        <w:rPr>
          <w:rFonts w:ascii="Book Antiqua" w:hAnsi="Book Antiqua" w:cs="Arial"/>
        </w:rPr>
        <w:t>as a result achieved</w:t>
      </w:r>
      <w:r w:rsidR="00FF035B" w:rsidRPr="005251E7">
        <w:rPr>
          <w:rFonts w:ascii="Book Antiqua" w:hAnsi="Book Antiqua" w:cs="Arial"/>
        </w:rPr>
        <w:t xml:space="preserve"> </w:t>
      </w:r>
      <w:r w:rsidR="005C29D2" w:rsidRPr="005251E7">
        <w:rPr>
          <w:rFonts w:ascii="Book Antiqua" w:hAnsi="Book Antiqua" w:cs="Arial"/>
        </w:rPr>
        <w:t>in</w:t>
      </w:r>
      <w:r w:rsidR="00FF035B" w:rsidRPr="005251E7">
        <w:rPr>
          <w:rFonts w:ascii="Book Antiqua" w:hAnsi="Book Antiqua" w:cs="Arial"/>
        </w:rPr>
        <w:t xml:space="preserve"> substance</w:t>
      </w:r>
      <w:r w:rsidR="005C29D2" w:rsidRPr="005251E7">
        <w:rPr>
          <w:rFonts w:ascii="Book Antiqua" w:hAnsi="Book Antiqua" w:cs="Arial"/>
        </w:rPr>
        <w:t xml:space="preserve"> </w:t>
      </w:r>
      <w:r w:rsidR="00FF035B" w:rsidRPr="005251E7">
        <w:rPr>
          <w:rFonts w:ascii="Book Antiqua" w:hAnsi="Book Antiqua" w:cs="Arial"/>
        </w:rPr>
        <w:t xml:space="preserve">what they </w:t>
      </w:r>
      <w:r w:rsidR="005C29D2" w:rsidRPr="005251E7">
        <w:rPr>
          <w:rFonts w:ascii="Book Antiqua" w:hAnsi="Book Antiqua" w:cs="Arial"/>
        </w:rPr>
        <w:t xml:space="preserve">may have </w:t>
      </w:r>
      <w:r w:rsidR="00FF035B" w:rsidRPr="005251E7">
        <w:rPr>
          <w:rFonts w:ascii="Book Antiqua" w:hAnsi="Book Antiqua" w:cs="Arial"/>
        </w:rPr>
        <w:t>sought</w:t>
      </w:r>
      <w:r w:rsidR="006E7903" w:rsidRPr="005251E7">
        <w:rPr>
          <w:rFonts w:ascii="Book Antiqua" w:hAnsi="Book Antiqua" w:cs="Arial"/>
        </w:rPr>
        <w:t xml:space="preserve"> all along</w:t>
      </w:r>
      <w:r w:rsidR="004E1F3D" w:rsidRPr="005251E7">
        <w:rPr>
          <w:rFonts w:ascii="Book Antiqua" w:hAnsi="Book Antiqua" w:cs="Arial"/>
        </w:rPr>
        <w:t xml:space="preserve">, </w:t>
      </w:r>
      <w:r w:rsidR="00BB1352" w:rsidRPr="005251E7">
        <w:rPr>
          <w:rFonts w:ascii="Book Antiqua" w:hAnsi="Book Antiqua" w:cs="Arial"/>
        </w:rPr>
        <w:t>namely</w:t>
      </w:r>
      <w:r w:rsidR="004E1F3D" w:rsidRPr="005251E7">
        <w:rPr>
          <w:rFonts w:ascii="Book Antiqua" w:hAnsi="Book Antiqua" w:cs="Arial"/>
        </w:rPr>
        <w:t xml:space="preserve"> a grant of leave flowing from the </w:t>
      </w:r>
      <w:r w:rsidR="00C97FD7" w:rsidRPr="005251E7">
        <w:rPr>
          <w:rFonts w:ascii="Book Antiqua" w:hAnsi="Book Antiqua" w:cs="Arial"/>
        </w:rPr>
        <w:t>favourable outcome.</w:t>
      </w:r>
    </w:p>
    <w:p w14:paraId="065D98AD" w14:textId="2B573C50" w:rsidR="00A52697" w:rsidRPr="0097044E" w:rsidRDefault="00966A7F" w:rsidP="0097044E">
      <w:pPr>
        <w:spacing w:before="240"/>
        <w:jc w:val="both"/>
        <w:rPr>
          <w:rFonts w:ascii="Book Antiqua" w:hAnsi="Book Antiqua" w:cs="Arial"/>
          <w:b/>
          <w:bCs/>
          <w:u w:val="single"/>
        </w:rPr>
      </w:pPr>
      <w:r w:rsidRPr="0097044E">
        <w:rPr>
          <w:rFonts w:ascii="Book Antiqua" w:hAnsi="Book Antiqua" w:cs="Arial"/>
          <w:b/>
          <w:bCs/>
          <w:u w:val="single"/>
        </w:rPr>
        <w:t>THE PROCEDURAL ISSUE: SUMMARY OF CONCLUSIONS</w:t>
      </w:r>
    </w:p>
    <w:p w14:paraId="20593AEA" w14:textId="57F8DFB7" w:rsidR="0072111B" w:rsidRDefault="00043656" w:rsidP="00865BFE">
      <w:pPr>
        <w:numPr>
          <w:ilvl w:val="0"/>
          <w:numId w:val="18"/>
        </w:numPr>
        <w:spacing w:before="240"/>
        <w:jc w:val="both"/>
        <w:rPr>
          <w:rFonts w:ascii="Book Antiqua" w:hAnsi="Book Antiqua" w:cs="Arial"/>
        </w:rPr>
      </w:pPr>
      <w:r>
        <w:rPr>
          <w:rFonts w:ascii="Book Antiqua" w:hAnsi="Book Antiqua" w:cs="Arial"/>
        </w:rPr>
        <w:t xml:space="preserve">In </w:t>
      </w:r>
      <w:r w:rsidR="00EF1792">
        <w:rPr>
          <w:rFonts w:ascii="Book Antiqua" w:hAnsi="Book Antiqua" w:cs="Arial"/>
        </w:rPr>
        <w:t xml:space="preserve">answer to the question posed in paragraph </w:t>
      </w:r>
      <w:r w:rsidR="009D3393">
        <w:rPr>
          <w:rFonts w:ascii="Book Antiqua" w:hAnsi="Book Antiqua" w:cs="Arial"/>
        </w:rPr>
        <w:t xml:space="preserve">2 </w:t>
      </w:r>
      <w:r>
        <w:rPr>
          <w:rFonts w:ascii="Book Antiqua" w:hAnsi="Book Antiqua" w:cs="Arial"/>
        </w:rPr>
        <w:t xml:space="preserve">of this decision, </w:t>
      </w:r>
      <w:r w:rsidR="0072111B">
        <w:rPr>
          <w:rFonts w:ascii="Book Antiqua" w:hAnsi="Book Antiqua" w:cs="Arial"/>
        </w:rPr>
        <w:t xml:space="preserve">our </w:t>
      </w:r>
      <w:r w:rsidR="00446BF0" w:rsidRPr="00446BF0">
        <w:rPr>
          <w:rFonts w:ascii="Book Antiqua" w:hAnsi="Book Antiqua" w:cs="Arial"/>
          <w:i/>
          <w:iCs/>
        </w:rPr>
        <w:t>obiter</w:t>
      </w:r>
      <w:r w:rsidR="00446BF0">
        <w:rPr>
          <w:rFonts w:ascii="Book Antiqua" w:hAnsi="Book Antiqua" w:cs="Arial"/>
        </w:rPr>
        <w:t xml:space="preserve"> </w:t>
      </w:r>
      <w:r w:rsidR="0072111B">
        <w:rPr>
          <w:rFonts w:ascii="Book Antiqua" w:hAnsi="Book Antiqua" w:cs="Arial"/>
        </w:rPr>
        <w:t>conclusions are as follows:</w:t>
      </w:r>
    </w:p>
    <w:p w14:paraId="7F2A5DDA" w14:textId="6F412027" w:rsidR="008E50E2" w:rsidRDefault="0071542D" w:rsidP="00865BFE">
      <w:pPr>
        <w:pStyle w:val="ListParagraph"/>
        <w:numPr>
          <w:ilvl w:val="2"/>
          <w:numId w:val="18"/>
        </w:numPr>
        <w:spacing w:before="240"/>
        <w:jc w:val="both"/>
        <w:rPr>
          <w:rFonts w:ascii="Book Antiqua" w:hAnsi="Book Antiqua" w:cs="Arial"/>
        </w:rPr>
      </w:pPr>
      <w:r w:rsidRPr="008E50E2">
        <w:rPr>
          <w:rFonts w:ascii="Book Antiqua" w:hAnsi="Book Antiqua" w:cs="Arial"/>
        </w:rPr>
        <w:t xml:space="preserve">The appellate regime </w:t>
      </w:r>
      <w:r w:rsidR="006B10AF" w:rsidRPr="008E50E2">
        <w:rPr>
          <w:rFonts w:ascii="Book Antiqua" w:hAnsi="Book Antiqua" w:cs="Arial"/>
        </w:rPr>
        <w:t xml:space="preserve">established by the </w:t>
      </w:r>
      <w:r w:rsidR="005251E7">
        <w:rPr>
          <w:rFonts w:ascii="Book Antiqua" w:hAnsi="Book Antiqua" w:cs="Arial"/>
        </w:rPr>
        <w:t>N</w:t>
      </w:r>
      <w:r w:rsidR="006B10AF" w:rsidRPr="008E50E2">
        <w:rPr>
          <w:rFonts w:ascii="Book Antiqua" w:hAnsi="Book Antiqua" w:cs="Arial"/>
        </w:rPr>
        <w:t xml:space="preserve">ationality, Immigration and Asylum Act 2002, as amended, </w:t>
      </w:r>
      <w:r w:rsidR="00B67772" w:rsidRPr="008E50E2">
        <w:rPr>
          <w:rFonts w:ascii="Book Antiqua" w:hAnsi="Book Antiqua" w:cs="Arial"/>
        </w:rPr>
        <w:t>is concerned with outcomes</w:t>
      </w:r>
      <w:r w:rsidR="00031AC3" w:rsidRPr="008E50E2">
        <w:rPr>
          <w:rFonts w:ascii="Book Antiqua" w:hAnsi="Book Antiqua" w:cs="Arial"/>
        </w:rPr>
        <w:t xml:space="preserve"> comprising the determination of available grounds of appeal</w:t>
      </w:r>
      <w:r w:rsidR="00397560" w:rsidRPr="008E50E2">
        <w:rPr>
          <w:rFonts w:ascii="Book Antiqua" w:hAnsi="Book Antiqua" w:cs="Arial"/>
        </w:rPr>
        <w:t>;</w:t>
      </w:r>
    </w:p>
    <w:p w14:paraId="3013E77B" w14:textId="77777777" w:rsidR="008E50E2" w:rsidRDefault="008E50E2" w:rsidP="008E50E2">
      <w:pPr>
        <w:pStyle w:val="ListParagraph"/>
        <w:spacing w:before="240"/>
        <w:ind w:left="1701"/>
        <w:jc w:val="both"/>
        <w:rPr>
          <w:rFonts w:ascii="Book Antiqua" w:hAnsi="Book Antiqua" w:cs="Arial"/>
        </w:rPr>
      </w:pPr>
    </w:p>
    <w:p w14:paraId="33BDA46D" w14:textId="548C93EE" w:rsidR="008E50E2" w:rsidRDefault="00397560" w:rsidP="00865BFE">
      <w:pPr>
        <w:pStyle w:val="ListParagraph"/>
        <w:numPr>
          <w:ilvl w:val="2"/>
          <w:numId w:val="18"/>
        </w:numPr>
        <w:spacing w:before="240"/>
        <w:jc w:val="both"/>
        <w:rPr>
          <w:rFonts w:ascii="Book Antiqua" w:hAnsi="Book Antiqua" w:cs="Arial"/>
        </w:rPr>
      </w:pPr>
      <w:r w:rsidRPr="008E50E2">
        <w:rPr>
          <w:rFonts w:ascii="Book Antiqua" w:hAnsi="Book Antiqua" w:cs="Arial"/>
        </w:rPr>
        <w:t xml:space="preserve">A party who has achieved </w:t>
      </w:r>
      <w:r w:rsidR="004132AD" w:rsidRPr="008E50E2">
        <w:rPr>
          <w:rFonts w:ascii="Book Antiqua" w:hAnsi="Book Antiqua" w:cs="Arial"/>
        </w:rPr>
        <w:t>the exact ou</w:t>
      </w:r>
      <w:r w:rsidR="00EF590E" w:rsidRPr="008E50E2">
        <w:rPr>
          <w:rFonts w:ascii="Book Antiqua" w:hAnsi="Book Antiqua" w:cs="Arial"/>
        </w:rPr>
        <w:t>t</w:t>
      </w:r>
      <w:r w:rsidR="004132AD" w:rsidRPr="008E50E2">
        <w:rPr>
          <w:rFonts w:ascii="Book Antiqua" w:hAnsi="Book Antiqua" w:cs="Arial"/>
        </w:rPr>
        <w:t xml:space="preserve">come(s) </w:t>
      </w:r>
      <w:r w:rsidR="001B12A0" w:rsidRPr="008E50E2">
        <w:rPr>
          <w:rFonts w:ascii="Book Antiqua" w:hAnsi="Book Antiqua" w:cs="Arial"/>
        </w:rPr>
        <w:t>sought</w:t>
      </w:r>
      <w:r w:rsidR="004132AD" w:rsidRPr="008E50E2">
        <w:rPr>
          <w:rFonts w:ascii="Book Antiqua" w:hAnsi="Book Antiqua" w:cs="Arial"/>
        </w:rPr>
        <w:t xml:space="preserve"> </w:t>
      </w:r>
      <w:r w:rsidR="006A0A0D" w:rsidRPr="008E50E2">
        <w:rPr>
          <w:rFonts w:ascii="Book Antiqua" w:hAnsi="Book Antiqua" w:cs="Arial"/>
        </w:rPr>
        <w:t>by way of an appeal to the First-tier Tribunal being allowed on all available grounds</w:t>
      </w:r>
      <w:r w:rsidR="00EF590E" w:rsidRPr="008E50E2">
        <w:rPr>
          <w:rFonts w:ascii="Book Antiqua" w:hAnsi="Book Antiqua" w:cs="Arial"/>
        </w:rPr>
        <w:t xml:space="preserve"> relied on</w:t>
      </w:r>
      <w:r w:rsidR="006A0A0D" w:rsidRPr="008E50E2">
        <w:rPr>
          <w:rFonts w:ascii="Book Antiqua" w:hAnsi="Book Antiqua" w:cs="Arial"/>
        </w:rPr>
        <w:t xml:space="preserve"> (in res</w:t>
      </w:r>
      <w:r w:rsidR="009725D2" w:rsidRPr="008E50E2">
        <w:rPr>
          <w:rFonts w:ascii="Book Antiqua" w:hAnsi="Book Antiqua" w:cs="Arial"/>
        </w:rPr>
        <w:t xml:space="preserve">pect of an individual) or </w:t>
      </w:r>
      <w:r w:rsidR="00636D9A" w:rsidRPr="008E50E2">
        <w:rPr>
          <w:rFonts w:ascii="Book Antiqua" w:hAnsi="Book Antiqua" w:cs="Arial"/>
        </w:rPr>
        <w:t>because it has been</w:t>
      </w:r>
      <w:r w:rsidR="009725D2" w:rsidRPr="008E50E2">
        <w:rPr>
          <w:rFonts w:ascii="Book Antiqua" w:hAnsi="Book Antiqua" w:cs="Arial"/>
        </w:rPr>
        <w:t xml:space="preserve"> dismissed on all grounds (in respect of </w:t>
      </w:r>
      <w:r w:rsidR="008B5B66" w:rsidRPr="008E50E2">
        <w:rPr>
          <w:rFonts w:ascii="Book Antiqua" w:hAnsi="Book Antiqua" w:cs="Arial"/>
        </w:rPr>
        <w:t>the Secretary of State) cannot appeal to the Upper Tribunal under section 11(2) of the Tribunals, Courts and Enforcement Act 2007</w:t>
      </w:r>
      <w:r w:rsidR="00587089" w:rsidRPr="008E50E2">
        <w:rPr>
          <w:rFonts w:ascii="Book Antiqua" w:hAnsi="Book Antiqua" w:cs="Arial"/>
        </w:rPr>
        <w:t xml:space="preserve"> against </w:t>
      </w:r>
      <w:r w:rsidR="00930622" w:rsidRPr="008E50E2">
        <w:rPr>
          <w:rFonts w:ascii="Book Antiqua" w:hAnsi="Book Antiqua" w:cs="Arial"/>
        </w:rPr>
        <w:t xml:space="preserve">particular findings </w:t>
      </w:r>
      <w:r w:rsidR="00326D28" w:rsidRPr="008E50E2">
        <w:rPr>
          <w:rFonts w:ascii="Book Antiqua" w:hAnsi="Book Antiqua" w:cs="Arial"/>
        </w:rPr>
        <w:t xml:space="preserve">and/or reasons </w:t>
      </w:r>
      <w:r w:rsidR="00B4441E" w:rsidRPr="008E50E2">
        <w:rPr>
          <w:rFonts w:ascii="Book Antiqua" w:hAnsi="Book Antiqua" w:cs="Arial"/>
        </w:rPr>
        <w:t>stated by the judge</w:t>
      </w:r>
      <w:r w:rsidR="008B5B66" w:rsidRPr="008E50E2">
        <w:rPr>
          <w:rFonts w:ascii="Book Antiqua" w:hAnsi="Book Antiqua" w:cs="Arial"/>
        </w:rPr>
        <w:t>;</w:t>
      </w:r>
    </w:p>
    <w:p w14:paraId="459A8928" w14:textId="77777777" w:rsidR="008E50E2" w:rsidRDefault="008E50E2" w:rsidP="008E50E2">
      <w:pPr>
        <w:pStyle w:val="ListParagraph"/>
        <w:spacing w:before="240"/>
        <w:ind w:left="1701"/>
        <w:jc w:val="both"/>
        <w:rPr>
          <w:rFonts w:ascii="Book Antiqua" w:hAnsi="Book Antiqua" w:cs="Arial"/>
        </w:rPr>
      </w:pPr>
    </w:p>
    <w:p w14:paraId="3FA061AE" w14:textId="0D59B5A7" w:rsidR="003552C2" w:rsidRPr="008E50E2" w:rsidRDefault="002123B5" w:rsidP="00865BFE">
      <w:pPr>
        <w:pStyle w:val="ListParagraph"/>
        <w:numPr>
          <w:ilvl w:val="2"/>
          <w:numId w:val="18"/>
        </w:numPr>
        <w:spacing w:before="240"/>
        <w:jc w:val="both"/>
        <w:rPr>
          <w:rFonts w:ascii="Book Antiqua" w:hAnsi="Book Antiqua" w:cs="Arial"/>
        </w:rPr>
      </w:pPr>
      <w:proofErr w:type="spellStart"/>
      <w:r w:rsidRPr="008E50E2">
        <w:rPr>
          <w:rFonts w:ascii="Book Antiqua" w:hAnsi="Book Antiqua" w:cs="Arial"/>
          <w:u w:val="single"/>
        </w:rPr>
        <w:t>Devani</w:t>
      </w:r>
      <w:proofErr w:type="spellEnd"/>
      <w:r w:rsidRPr="008E50E2">
        <w:rPr>
          <w:rFonts w:ascii="Book Antiqua" w:hAnsi="Book Antiqua" w:cs="Arial"/>
        </w:rPr>
        <w:t xml:space="preserve"> represents binding authority </w:t>
      </w:r>
      <w:r w:rsidR="00446BF0" w:rsidRPr="008E50E2">
        <w:rPr>
          <w:rFonts w:ascii="Book Antiqua" w:hAnsi="Book Antiqua" w:cs="Arial"/>
        </w:rPr>
        <w:t xml:space="preserve">from the Court of Appeal </w:t>
      </w:r>
      <w:r w:rsidRPr="008E50E2">
        <w:rPr>
          <w:rFonts w:ascii="Book Antiqua" w:hAnsi="Book Antiqua" w:cs="Arial"/>
        </w:rPr>
        <w:t>to this effect</w:t>
      </w:r>
      <w:r w:rsidR="005771D4" w:rsidRPr="008E50E2">
        <w:rPr>
          <w:rFonts w:ascii="Book Antiqua" w:hAnsi="Book Antiqua" w:cs="Arial"/>
        </w:rPr>
        <w:t>.</w:t>
      </w:r>
    </w:p>
    <w:p w14:paraId="72CBB199" w14:textId="348EEE28" w:rsidR="00DF3464" w:rsidRPr="0058679E" w:rsidRDefault="003C44AA" w:rsidP="00DF3464">
      <w:pPr>
        <w:spacing w:before="240"/>
        <w:jc w:val="both"/>
        <w:rPr>
          <w:rFonts w:ascii="Book Antiqua" w:hAnsi="Book Antiqua" w:cs="Arial"/>
          <w:b/>
          <w:bCs/>
          <w:u w:val="single"/>
        </w:rPr>
      </w:pPr>
      <w:r w:rsidRPr="0058679E">
        <w:rPr>
          <w:rFonts w:ascii="Book Antiqua" w:hAnsi="Book Antiqua" w:cs="Arial"/>
          <w:b/>
          <w:bCs/>
          <w:u w:val="single"/>
        </w:rPr>
        <w:t>THE SUBSTANTIVE ISSUE: RELEVANT LEGAL FRAMEWORK</w:t>
      </w:r>
    </w:p>
    <w:p w14:paraId="6E49C117" w14:textId="4919EBF5" w:rsidR="00DF3464" w:rsidRDefault="00072E31" w:rsidP="00865BFE">
      <w:pPr>
        <w:numPr>
          <w:ilvl w:val="0"/>
          <w:numId w:val="18"/>
        </w:numPr>
        <w:spacing w:before="240"/>
        <w:jc w:val="both"/>
        <w:rPr>
          <w:rFonts w:ascii="Book Antiqua" w:hAnsi="Book Antiqua" w:cs="Arial"/>
        </w:rPr>
      </w:pPr>
      <w:r>
        <w:rPr>
          <w:rFonts w:ascii="Book Antiqua" w:hAnsi="Book Antiqua" w:cs="Arial"/>
        </w:rPr>
        <w:t xml:space="preserve">Section </w:t>
      </w:r>
      <w:r w:rsidR="000344DA">
        <w:rPr>
          <w:rFonts w:ascii="Book Antiqua" w:hAnsi="Book Antiqua" w:cs="Arial"/>
        </w:rPr>
        <w:t>117A</w:t>
      </w:r>
      <w:r w:rsidR="00EA04A1">
        <w:rPr>
          <w:rFonts w:ascii="Book Antiqua" w:hAnsi="Book Antiqua" w:cs="Arial"/>
        </w:rPr>
        <w:t xml:space="preserve"> of the</w:t>
      </w:r>
      <w:r w:rsidR="00DF6D13">
        <w:rPr>
          <w:rFonts w:ascii="Book Antiqua" w:hAnsi="Book Antiqua" w:cs="Arial"/>
        </w:rPr>
        <w:t xml:space="preserve"> 2002 Act provides as follows:</w:t>
      </w:r>
    </w:p>
    <w:p w14:paraId="738B5543" w14:textId="77777777" w:rsidR="002D11B7" w:rsidRPr="009E4E4F" w:rsidRDefault="002D11B7" w:rsidP="002D11B7">
      <w:pPr>
        <w:spacing w:before="240"/>
        <w:ind w:left="1440"/>
        <w:jc w:val="both"/>
        <w:rPr>
          <w:rFonts w:ascii="Book Antiqua" w:hAnsi="Book Antiqua" w:cs="Arial"/>
          <w:sz w:val="22"/>
          <w:szCs w:val="22"/>
        </w:rPr>
      </w:pPr>
      <w:r w:rsidRPr="009E4E4F">
        <w:rPr>
          <w:rFonts w:ascii="Book Antiqua" w:hAnsi="Book Antiqua" w:cs="Arial"/>
          <w:sz w:val="22"/>
          <w:szCs w:val="22"/>
        </w:rPr>
        <w:t>“117A Application of this Part</w:t>
      </w:r>
    </w:p>
    <w:p w14:paraId="5B742FA9" w14:textId="59987F25" w:rsidR="002D11B7" w:rsidRPr="009E4E4F" w:rsidRDefault="002D11B7" w:rsidP="002D11B7">
      <w:pPr>
        <w:spacing w:before="240"/>
        <w:ind w:left="1440"/>
        <w:jc w:val="both"/>
        <w:rPr>
          <w:rFonts w:ascii="Book Antiqua" w:hAnsi="Book Antiqua" w:cs="Arial"/>
          <w:sz w:val="22"/>
          <w:szCs w:val="22"/>
        </w:rPr>
      </w:pPr>
      <w:r w:rsidRPr="009E4E4F">
        <w:rPr>
          <w:rFonts w:ascii="Book Antiqua" w:hAnsi="Book Antiqua" w:cs="Arial"/>
          <w:sz w:val="22"/>
          <w:szCs w:val="22"/>
        </w:rPr>
        <w:t>(1) This Part applies where a court or tribunal is required to determine whether a decision made under the Immigration Acts—</w:t>
      </w:r>
    </w:p>
    <w:p w14:paraId="13554FBF" w14:textId="77777777" w:rsidR="002D11B7" w:rsidRPr="009E4E4F" w:rsidRDefault="002D11B7" w:rsidP="002D11B7">
      <w:pPr>
        <w:spacing w:before="240"/>
        <w:ind w:left="1440"/>
        <w:jc w:val="both"/>
        <w:rPr>
          <w:rFonts w:ascii="Book Antiqua" w:hAnsi="Book Antiqua" w:cs="Arial"/>
          <w:sz w:val="22"/>
          <w:szCs w:val="22"/>
        </w:rPr>
      </w:pPr>
      <w:r w:rsidRPr="009E4E4F">
        <w:rPr>
          <w:rFonts w:ascii="Book Antiqua" w:hAnsi="Book Antiqua" w:cs="Arial"/>
          <w:sz w:val="22"/>
          <w:szCs w:val="22"/>
        </w:rPr>
        <w:t>(a)  breaches a person's right to respect for private and family life under Article 8, and</w:t>
      </w:r>
    </w:p>
    <w:p w14:paraId="4AE114B3" w14:textId="77777777" w:rsidR="002D11B7" w:rsidRPr="009E4E4F" w:rsidRDefault="002D11B7" w:rsidP="002D11B7">
      <w:pPr>
        <w:spacing w:before="240"/>
        <w:ind w:left="1440"/>
        <w:jc w:val="both"/>
        <w:rPr>
          <w:rFonts w:ascii="Book Antiqua" w:hAnsi="Book Antiqua" w:cs="Arial"/>
          <w:sz w:val="22"/>
          <w:szCs w:val="22"/>
        </w:rPr>
      </w:pPr>
      <w:r w:rsidRPr="009E4E4F">
        <w:rPr>
          <w:rFonts w:ascii="Book Antiqua" w:hAnsi="Book Antiqua" w:cs="Arial"/>
          <w:sz w:val="22"/>
          <w:szCs w:val="22"/>
        </w:rPr>
        <w:t>(b)  as a result would be unlawful under section 6 of the Human Rights Act 1998.</w:t>
      </w:r>
    </w:p>
    <w:p w14:paraId="37E3E75A" w14:textId="77777777" w:rsidR="002D11B7" w:rsidRPr="009E4E4F" w:rsidRDefault="002D11B7" w:rsidP="002D11B7">
      <w:pPr>
        <w:spacing w:before="240"/>
        <w:ind w:left="1440"/>
        <w:jc w:val="both"/>
        <w:rPr>
          <w:rFonts w:ascii="Book Antiqua" w:hAnsi="Book Antiqua" w:cs="Arial"/>
          <w:sz w:val="22"/>
          <w:szCs w:val="22"/>
        </w:rPr>
      </w:pPr>
      <w:r w:rsidRPr="009E4E4F">
        <w:rPr>
          <w:rFonts w:ascii="Book Antiqua" w:hAnsi="Book Antiqua" w:cs="Arial"/>
          <w:sz w:val="22"/>
          <w:szCs w:val="22"/>
        </w:rPr>
        <w:t>(2) In considering the public interest question, the court or tribunal must (in particular) have regard—</w:t>
      </w:r>
    </w:p>
    <w:p w14:paraId="3D2F36BF" w14:textId="77777777" w:rsidR="002D11B7" w:rsidRPr="009E4E4F" w:rsidRDefault="002D11B7" w:rsidP="002D11B7">
      <w:pPr>
        <w:spacing w:before="240"/>
        <w:ind w:left="1440"/>
        <w:jc w:val="both"/>
        <w:rPr>
          <w:rFonts w:ascii="Book Antiqua" w:hAnsi="Book Antiqua" w:cs="Arial"/>
          <w:sz w:val="22"/>
          <w:szCs w:val="22"/>
        </w:rPr>
      </w:pPr>
      <w:r w:rsidRPr="009E4E4F">
        <w:rPr>
          <w:rFonts w:ascii="Book Antiqua" w:hAnsi="Book Antiqua" w:cs="Arial"/>
          <w:sz w:val="22"/>
          <w:szCs w:val="22"/>
        </w:rPr>
        <w:t>(a)  in all cases, to the considerations listed in section 117B, and</w:t>
      </w:r>
    </w:p>
    <w:p w14:paraId="4DEC962F" w14:textId="017F159E" w:rsidR="002D11B7" w:rsidRPr="009E4E4F" w:rsidRDefault="002D11B7" w:rsidP="002D11B7">
      <w:pPr>
        <w:spacing w:before="240"/>
        <w:ind w:left="1440"/>
        <w:jc w:val="both"/>
        <w:rPr>
          <w:rFonts w:ascii="Book Antiqua" w:hAnsi="Book Antiqua" w:cs="Arial"/>
          <w:sz w:val="22"/>
          <w:szCs w:val="22"/>
        </w:rPr>
      </w:pPr>
      <w:r w:rsidRPr="009E4E4F">
        <w:rPr>
          <w:rFonts w:ascii="Book Antiqua" w:hAnsi="Book Antiqua" w:cs="Arial"/>
          <w:sz w:val="22"/>
          <w:szCs w:val="22"/>
        </w:rPr>
        <w:t>(b)  in cases concerning the deportation of foreign criminals, to the considerations listed in section 117C.</w:t>
      </w:r>
    </w:p>
    <w:p w14:paraId="027DE7FB" w14:textId="7F507564" w:rsidR="00DF6D13" w:rsidRPr="009E4E4F" w:rsidRDefault="002D11B7" w:rsidP="002D11B7">
      <w:pPr>
        <w:spacing w:before="240"/>
        <w:ind w:left="1440"/>
        <w:jc w:val="both"/>
        <w:rPr>
          <w:rFonts w:ascii="Book Antiqua" w:hAnsi="Book Antiqua" w:cs="Arial"/>
          <w:sz w:val="22"/>
          <w:szCs w:val="22"/>
        </w:rPr>
      </w:pPr>
      <w:r w:rsidRPr="009E4E4F">
        <w:rPr>
          <w:rFonts w:ascii="Book Antiqua" w:hAnsi="Book Antiqua" w:cs="Arial"/>
          <w:sz w:val="22"/>
          <w:szCs w:val="22"/>
        </w:rPr>
        <w:t>(3) In subsection (2), “the public interest question” means the question of whether an interference with a person's right to respect for private and family life is justified under Article 8(2).”</w:t>
      </w:r>
    </w:p>
    <w:p w14:paraId="51A62868" w14:textId="19ECEDB0" w:rsidR="00666A01" w:rsidRPr="00666A01" w:rsidRDefault="00D825F8" w:rsidP="00865BFE">
      <w:pPr>
        <w:numPr>
          <w:ilvl w:val="0"/>
          <w:numId w:val="18"/>
        </w:numPr>
        <w:spacing w:before="240"/>
        <w:jc w:val="both"/>
        <w:rPr>
          <w:rFonts w:ascii="Book Antiqua" w:hAnsi="Book Antiqua" w:cs="Arial"/>
        </w:rPr>
      </w:pPr>
      <w:r>
        <w:rPr>
          <w:rFonts w:ascii="Book Antiqua" w:hAnsi="Book Antiqua" w:cs="Arial"/>
        </w:rPr>
        <w:t>Section</w:t>
      </w:r>
      <w:r w:rsidR="009A0215">
        <w:rPr>
          <w:rFonts w:ascii="Book Antiqua" w:hAnsi="Book Antiqua" w:cs="Arial"/>
        </w:rPr>
        <w:t xml:space="preserve"> 117C</w:t>
      </w:r>
      <w:r w:rsidR="00C970A3">
        <w:rPr>
          <w:rFonts w:ascii="Book Antiqua" w:hAnsi="Book Antiqua" w:cs="Arial"/>
        </w:rPr>
        <w:t xml:space="preserve"> </w:t>
      </w:r>
      <w:r w:rsidR="00B2431B">
        <w:rPr>
          <w:rFonts w:ascii="Book Antiqua" w:hAnsi="Book Antiqua" w:cs="Arial"/>
        </w:rPr>
        <w:t>is very</w:t>
      </w:r>
      <w:r w:rsidR="00A4290F">
        <w:rPr>
          <w:rFonts w:ascii="Book Antiqua" w:hAnsi="Book Antiqua" w:cs="Arial"/>
        </w:rPr>
        <w:t xml:space="preserve"> familiar to all </w:t>
      </w:r>
      <w:r w:rsidR="005147C8">
        <w:rPr>
          <w:rFonts w:ascii="Book Antiqua" w:hAnsi="Book Antiqua" w:cs="Arial"/>
        </w:rPr>
        <w:t xml:space="preserve">and </w:t>
      </w:r>
      <w:r w:rsidR="00C970A3">
        <w:rPr>
          <w:rFonts w:ascii="Book Antiqua" w:hAnsi="Book Antiqua" w:cs="Arial"/>
        </w:rPr>
        <w:t>provides</w:t>
      </w:r>
      <w:r w:rsidR="00666A01">
        <w:rPr>
          <w:rFonts w:ascii="Book Antiqua" w:hAnsi="Book Antiqua" w:cs="Arial"/>
        </w:rPr>
        <w:t>:</w:t>
      </w:r>
    </w:p>
    <w:p w14:paraId="5DB38491" w14:textId="77777777"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“117C Article 8: additional considerations in cases involving foreign criminals</w:t>
      </w:r>
    </w:p>
    <w:p w14:paraId="4AF1922E" w14:textId="77777777"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(1) The deportation of foreign criminals is in the public interest.</w:t>
      </w:r>
    </w:p>
    <w:p w14:paraId="7F398C68" w14:textId="216C77AF"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(2) The more serious the offence committed by a foreign criminal, the greater is the public interest</w:t>
      </w:r>
      <w:r w:rsidR="007C02F7" w:rsidRPr="00521DC4">
        <w:rPr>
          <w:rFonts w:ascii="Book Antiqua" w:hAnsi="Book Antiqua" w:cs="Arial"/>
          <w:sz w:val="22"/>
          <w:szCs w:val="22"/>
        </w:rPr>
        <w:t xml:space="preserve"> </w:t>
      </w:r>
      <w:r w:rsidRPr="00521DC4">
        <w:rPr>
          <w:rFonts w:ascii="Book Antiqua" w:hAnsi="Book Antiqua" w:cs="Arial"/>
          <w:sz w:val="22"/>
          <w:szCs w:val="22"/>
        </w:rPr>
        <w:t>in deportation of the criminal.</w:t>
      </w:r>
    </w:p>
    <w:p w14:paraId="687ADE02" w14:textId="0DD09A19"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(3) In the case of a foreign criminal (“C”) who has not been sentenced to a period of imprisonment</w:t>
      </w:r>
      <w:r w:rsidR="007C02F7" w:rsidRPr="00521DC4">
        <w:rPr>
          <w:rFonts w:ascii="Book Antiqua" w:hAnsi="Book Antiqua" w:cs="Arial"/>
          <w:sz w:val="22"/>
          <w:szCs w:val="22"/>
        </w:rPr>
        <w:t xml:space="preserve"> </w:t>
      </w:r>
      <w:r w:rsidRPr="00521DC4">
        <w:rPr>
          <w:rFonts w:ascii="Book Antiqua" w:hAnsi="Book Antiqua" w:cs="Arial"/>
          <w:sz w:val="22"/>
          <w:szCs w:val="22"/>
        </w:rPr>
        <w:t>of four years or more, the public interest requires C's deportation unless Exception 1 or Exception</w:t>
      </w:r>
      <w:r w:rsidR="007C02F7" w:rsidRPr="00521DC4">
        <w:rPr>
          <w:rFonts w:ascii="Book Antiqua" w:hAnsi="Book Antiqua" w:cs="Arial"/>
          <w:sz w:val="22"/>
          <w:szCs w:val="22"/>
        </w:rPr>
        <w:t xml:space="preserve"> </w:t>
      </w:r>
      <w:r w:rsidRPr="00521DC4">
        <w:rPr>
          <w:rFonts w:ascii="Book Antiqua" w:hAnsi="Book Antiqua" w:cs="Arial"/>
          <w:sz w:val="22"/>
          <w:szCs w:val="22"/>
        </w:rPr>
        <w:t>2 applies.</w:t>
      </w:r>
    </w:p>
    <w:p w14:paraId="4CA3DAF4" w14:textId="77777777"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(4) Exception 1 applies where—</w:t>
      </w:r>
    </w:p>
    <w:p w14:paraId="45138F84" w14:textId="77777777"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(a)  C has been lawfully resident in the United Kingdom for most of C's life,</w:t>
      </w:r>
    </w:p>
    <w:p w14:paraId="1A75A2BB" w14:textId="77777777"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(b)  C is socially and culturally integrated in the United Kingdom, and</w:t>
      </w:r>
    </w:p>
    <w:p w14:paraId="049E2EEE" w14:textId="1277B5CF"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(c)  there would be very significant obstacles to C's integration into the country to which C</w:t>
      </w:r>
      <w:r w:rsidR="007C02F7" w:rsidRPr="00521DC4">
        <w:rPr>
          <w:rFonts w:ascii="Book Antiqua" w:hAnsi="Book Antiqua" w:cs="Arial"/>
          <w:sz w:val="22"/>
          <w:szCs w:val="22"/>
        </w:rPr>
        <w:t xml:space="preserve"> </w:t>
      </w:r>
      <w:r w:rsidRPr="00521DC4">
        <w:rPr>
          <w:rFonts w:ascii="Book Antiqua" w:hAnsi="Book Antiqua" w:cs="Arial"/>
          <w:sz w:val="22"/>
          <w:szCs w:val="22"/>
        </w:rPr>
        <w:t>is proposed to be deported.</w:t>
      </w:r>
    </w:p>
    <w:p w14:paraId="15D27E1E" w14:textId="329A5913"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(5) Exception 2 applies where C has a genuine and subsisting relationship with a qualifying partner,</w:t>
      </w:r>
      <w:r w:rsidR="007C02F7" w:rsidRPr="00521DC4">
        <w:rPr>
          <w:rFonts w:ascii="Book Antiqua" w:hAnsi="Book Antiqua" w:cs="Arial"/>
          <w:sz w:val="22"/>
          <w:szCs w:val="22"/>
        </w:rPr>
        <w:t xml:space="preserve"> </w:t>
      </w:r>
      <w:r w:rsidRPr="00521DC4">
        <w:rPr>
          <w:rFonts w:ascii="Book Antiqua" w:hAnsi="Book Antiqua" w:cs="Arial"/>
          <w:sz w:val="22"/>
          <w:szCs w:val="22"/>
        </w:rPr>
        <w:t>or a genuine and subsisting parental relationship with a qualifying child, and the effect of C's</w:t>
      </w:r>
      <w:r w:rsidR="007C02F7" w:rsidRPr="00521DC4">
        <w:rPr>
          <w:rFonts w:ascii="Book Antiqua" w:hAnsi="Book Antiqua" w:cs="Arial"/>
          <w:sz w:val="22"/>
          <w:szCs w:val="22"/>
        </w:rPr>
        <w:t xml:space="preserve"> </w:t>
      </w:r>
      <w:r w:rsidRPr="00521DC4">
        <w:rPr>
          <w:rFonts w:ascii="Book Antiqua" w:hAnsi="Book Antiqua" w:cs="Arial"/>
          <w:sz w:val="22"/>
          <w:szCs w:val="22"/>
        </w:rPr>
        <w:t>deportation on the partner or child would be unduly harsh.</w:t>
      </w:r>
    </w:p>
    <w:p w14:paraId="5BF9F164" w14:textId="0D4F796A"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(6) In the case of a foreign criminal who has been sentenced to a period of imprisonment of at least</w:t>
      </w:r>
      <w:r w:rsidR="007C02F7" w:rsidRPr="00521DC4">
        <w:rPr>
          <w:rFonts w:ascii="Book Antiqua" w:hAnsi="Book Antiqua" w:cs="Arial"/>
          <w:sz w:val="22"/>
          <w:szCs w:val="22"/>
        </w:rPr>
        <w:t xml:space="preserve"> </w:t>
      </w:r>
      <w:r w:rsidRPr="00521DC4">
        <w:rPr>
          <w:rFonts w:ascii="Book Antiqua" w:hAnsi="Book Antiqua" w:cs="Arial"/>
          <w:sz w:val="22"/>
          <w:szCs w:val="22"/>
        </w:rPr>
        <w:t>four years, the public interest requires deportation unless there are very compelling circumstances,</w:t>
      </w:r>
      <w:r w:rsidR="007C02F7" w:rsidRPr="00521DC4">
        <w:rPr>
          <w:rFonts w:ascii="Book Antiqua" w:hAnsi="Book Antiqua" w:cs="Arial"/>
          <w:sz w:val="22"/>
          <w:szCs w:val="22"/>
        </w:rPr>
        <w:t xml:space="preserve"> </w:t>
      </w:r>
      <w:r w:rsidRPr="00521DC4">
        <w:rPr>
          <w:rFonts w:ascii="Book Antiqua" w:hAnsi="Book Antiqua" w:cs="Arial"/>
          <w:sz w:val="22"/>
          <w:szCs w:val="22"/>
        </w:rPr>
        <w:t>over and above those described in Exceptions 1 and 2.</w:t>
      </w:r>
    </w:p>
    <w:p w14:paraId="495009C8" w14:textId="302889E0" w:rsidR="00666A01" w:rsidRPr="00521DC4" w:rsidRDefault="00666A01" w:rsidP="00430267">
      <w:pPr>
        <w:spacing w:before="240"/>
        <w:ind w:left="1440"/>
        <w:jc w:val="both"/>
        <w:rPr>
          <w:rFonts w:ascii="Book Antiqua" w:hAnsi="Book Antiqua" w:cs="Arial"/>
          <w:sz w:val="22"/>
          <w:szCs w:val="22"/>
        </w:rPr>
      </w:pPr>
      <w:r w:rsidRPr="00521DC4">
        <w:rPr>
          <w:rFonts w:ascii="Book Antiqua" w:hAnsi="Book Antiqua" w:cs="Arial"/>
          <w:sz w:val="22"/>
          <w:szCs w:val="22"/>
        </w:rPr>
        <w:t>(7) The considerations in subsections (1) to (6) are to be taken into account where a court or tribunal</w:t>
      </w:r>
      <w:r w:rsidR="007C02F7" w:rsidRPr="00521DC4">
        <w:rPr>
          <w:rFonts w:ascii="Book Antiqua" w:hAnsi="Book Antiqua" w:cs="Arial"/>
          <w:sz w:val="22"/>
          <w:szCs w:val="22"/>
        </w:rPr>
        <w:t xml:space="preserve"> </w:t>
      </w:r>
      <w:r w:rsidRPr="00521DC4">
        <w:rPr>
          <w:rFonts w:ascii="Book Antiqua" w:hAnsi="Book Antiqua" w:cs="Arial"/>
          <w:sz w:val="22"/>
          <w:szCs w:val="22"/>
        </w:rPr>
        <w:t>is considering a decision to deport a foreign criminal only to the extent that the reason for the</w:t>
      </w:r>
      <w:r w:rsidR="007C02F7" w:rsidRPr="00521DC4">
        <w:rPr>
          <w:rFonts w:ascii="Book Antiqua" w:hAnsi="Book Antiqua" w:cs="Arial"/>
          <w:sz w:val="22"/>
          <w:szCs w:val="22"/>
        </w:rPr>
        <w:t xml:space="preserve"> </w:t>
      </w:r>
      <w:r w:rsidRPr="00521DC4">
        <w:rPr>
          <w:rFonts w:ascii="Book Antiqua" w:hAnsi="Book Antiqua" w:cs="Arial"/>
          <w:sz w:val="22"/>
          <w:szCs w:val="22"/>
        </w:rPr>
        <w:t>decision was the offence or offences for which the criminal has been convicted.</w:t>
      </w:r>
      <w:r w:rsidR="007C02F7" w:rsidRPr="00521DC4">
        <w:rPr>
          <w:rFonts w:ascii="Book Antiqua" w:hAnsi="Book Antiqua" w:cs="Arial"/>
          <w:sz w:val="22"/>
          <w:szCs w:val="22"/>
        </w:rPr>
        <w:t>”</w:t>
      </w:r>
    </w:p>
    <w:p w14:paraId="45703C27" w14:textId="662857D0" w:rsidR="007474B0" w:rsidRDefault="00B02500" w:rsidP="00865BFE">
      <w:pPr>
        <w:numPr>
          <w:ilvl w:val="0"/>
          <w:numId w:val="18"/>
        </w:numPr>
        <w:spacing w:before="240"/>
        <w:jc w:val="both"/>
        <w:rPr>
          <w:rFonts w:ascii="Book Antiqua" w:hAnsi="Book Antiqua" w:cs="Arial"/>
        </w:rPr>
      </w:pPr>
      <w:r>
        <w:rPr>
          <w:rFonts w:ascii="Book Antiqua" w:hAnsi="Book Antiqua" w:cs="Arial"/>
        </w:rPr>
        <w:t>S</w:t>
      </w:r>
      <w:r w:rsidR="007474B0">
        <w:rPr>
          <w:rFonts w:ascii="Book Antiqua" w:hAnsi="Book Antiqua" w:cs="Arial"/>
        </w:rPr>
        <w:t>ection</w:t>
      </w:r>
      <w:r w:rsidR="00913606">
        <w:rPr>
          <w:rFonts w:ascii="Book Antiqua" w:hAnsi="Book Antiqua" w:cs="Arial"/>
        </w:rPr>
        <w:t xml:space="preserve"> 117D </w:t>
      </w:r>
      <w:r w:rsidR="00BF4C74">
        <w:rPr>
          <w:rFonts w:ascii="Book Antiqua" w:hAnsi="Book Antiqua" w:cs="Arial"/>
        </w:rPr>
        <w:t>defines the term “foreign criminal”:</w:t>
      </w:r>
    </w:p>
    <w:p w14:paraId="5E8D3C5C" w14:textId="77777777" w:rsidR="007734DE" w:rsidRDefault="00BF4C74" w:rsidP="00430267">
      <w:pPr>
        <w:spacing w:before="240"/>
        <w:ind w:left="1440"/>
        <w:jc w:val="both"/>
        <w:rPr>
          <w:rFonts w:ascii="Book Antiqua" w:hAnsi="Book Antiqua" w:cs="Arial"/>
          <w:sz w:val="22"/>
          <w:szCs w:val="22"/>
        </w:rPr>
      </w:pPr>
      <w:r w:rsidRPr="00FB0819">
        <w:rPr>
          <w:rFonts w:ascii="Book Antiqua" w:hAnsi="Book Antiqua" w:cs="Arial"/>
          <w:sz w:val="22"/>
          <w:szCs w:val="22"/>
        </w:rPr>
        <w:t>“</w:t>
      </w:r>
      <w:r w:rsidR="00FB0819" w:rsidRPr="00FB0819">
        <w:rPr>
          <w:rFonts w:ascii="Book Antiqua" w:hAnsi="Book Antiqua" w:cs="Arial"/>
          <w:sz w:val="22"/>
          <w:szCs w:val="22"/>
        </w:rPr>
        <w:t>(2) In this Part, “foreign criminal” means a person—</w:t>
      </w:r>
    </w:p>
    <w:p w14:paraId="718966EF" w14:textId="6982EB64" w:rsidR="00FB0819" w:rsidRPr="00FB0819" w:rsidRDefault="00FB0819" w:rsidP="00430267">
      <w:pPr>
        <w:spacing w:before="240"/>
        <w:ind w:left="1440"/>
        <w:jc w:val="both"/>
        <w:rPr>
          <w:rFonts w:ascii="Book Antiqua" w:hAnsi="Book Antiqua" w:cs="Arial"/>
          <w:sz w:val="22"/>
          <w:szCs w:val="22"/>
        </w:rPr>
      </w:pPr>
      <w:r w:rsidRPr="00FB0819">
        <w:rPr>
          <w:rFonts w:ascii="Book Antiqua" w:hAnsi="Book Antiqua" w:cs="Arial"/>
          <w:sz w:val="22"/>
          <w:szCs w:val="22"/>
        </w:rPr>
        <w:t>(a)  who is not a British citizen,</w:t>
      </w:r>
    </w:p>
    <w:p w14:paraId="3F3ECED8" w14:textId="77777777" w:rsidR="00FB0819" w:rsidRPr="00FB0819" w:rsidRDefault="00FB0819" w:rsidP="00430267">
      <w:pPr>
        <w:spacing w:before="240"/>
        <w:ind w:left="1440"/>
        <w:jc w:val="both"/>
        <w:rPr>
          <w:rFonts w:ascii="Book Antiqua" w:hAnsi="Book Antiqua" w:cs="Arial"/>
          <w:sz w:val="22"/>
          <w:szCs w:val="22"/>
        </w:rPr>
      </w:pPr>
      <w:r w:rsidRPr="00FB0819">
        <w:rPr>
          <w:rFonts w:ascii="Book Antiqua" w:hAnsi="Book Antiqua" w:cs="Arial"/>
          <w:sz w:val="22"/>
          <w:szCs w:val="22"/>
        </w:rPr>
        <w:t>(b)  who has been convicted in the United Kingdom of an offence, and</w:t>
      </w:r>
    </w:p>
    <w:p w14:paraId="6791FD39" w14:textId="77777777" w:rsidR="00FB0819" w:rsidRPr="00FB0819" w:rsidRDefault="00FB0819" w:rsidP="00430267">
      <w:pPr>
        <w:spacing w:before="240"/>
        <w:ind w:left="1440"/>
        <w:jc w:val="both"/>
        <w:rPr>
          <w:rFonts w:ascii="Book Antiqua" w:hAnsi="Book Antiqua" w:cs="Arial"/>
          <w:sz w:val="22"/>
          <w:szCs w:val="22"/>
        </w:rPr>
      </w:pPr>
      <w:r w:rsidRPr="00FB0819">
        <w:rPr>
          <w:rFonts w:ascii="Book Antiqua" w:hAnsi="Book Antiqua" w:cs="Arial"/>
          <w:sz w:val="22"/>
          <w:szCs w:val="22"/>
        </w:rPr>
        <w:t>(c)  who—</w:t>
      </w:r>
    </w:p>
    <w:p w14:paraId="66AC5BDB" w14:textId="77777777" w:rsidR="00FB0819" w:rsidRPr="00FB0819" w:rsidRDefault="00FB0819" w:rsidP="00430267">
      <w:pPr>
        <w:spacing w:before="240"/>
        <w:ind w:left="1440"/>
        <w:jc w:val="both"/>
        <w:rPr>
          <w:rFonts w:ascii="Book Antiqua" w:hAnsi="Book Antiqua" w:cs="Arial"/>
          <w:sz w:val="22"/>
          <w:szCs w:val="22"/>
        </w:rPr>
      </w:pPr>
      <w:r w:rsidRPr="00FB0819">
        <w:rPr>
          <w:rFonts w:ascii="Book Antiqua" w:hAnsi="Book Antiqua" w:cs="Arial"/>
          <w:sz w:val="22"/>
          <w:szCs w:val="22"/>
        </w:rPr>
        <w:t>(i)  has been sentenced to a period of imprisonment of at least 12 months,</w:t>
      </w:r>
    </w:p>
    <w:p w14:paraId="7D4CCCD4" w14:textId="77777777" w:rsidR="00FB0819" w:rsidRPr="00FB0819" w:rsidRDefault="00FB0819" w:rsidP="00430267">
      <w:pPr>
        <w:spacing w:before="240"/>
        <w:ind w:left="1440"/>
        <w:jc w:val="both"/>
        <w:rPr>
          <w:rFonts w:ascii="Book Antiqua" w:hAnsi="Book Antiqua" w:cs="Arial"/>
          <w:sz w:val="22"/>
          <w:szCs w:val="22"/>
        </w:rPr>
      </w:pPr>
      <w:r w:rsidRPr="00FB0819">
        <w:rPr>
          <w:rFonts w:ascii="Book Antiqua" w:hAnsi="Book Antiqua" w:cs="Arial"/>
          <w:sz w:val="22"/>
          <w:szCs w:val="22"/>
        </w:rPr>
        <w:t>(ii)  has been convicted of an offence that has caused serious harm, or</w:t>
      </w:r>
    </w:p>
    <w:p w14:paraId="474EC097" w14:textId="18F083AC" w:rsidR="00BF4C74" w:rsidRDefault="00FB0819" w:rsidP="00430267">
      <w:pPr>
        <w:spacing w:before="240"/>
        <w:ind w:left="1440"/>
        <w:jc w:val="both"/>
        <w:rPr>
          <w:rFonts w:ascii="Book Antiqua" w:hAnsi="Book Antiqua" w:cs="Arial"/>
        </w:rPr>
      </w:pPr>
      <w:r w:rsidRPr="00FB0819">
        <w:rPr>
          <w:rFonts w:ascii="Book Antiqua" w:hAnsi="Book Antiqua" w:cs="Arial"/>
          <w:sz w:val="22"/>
          <w:szCs w:val="22"/>
        </w:rPr>
        <w:t>(iii)  is a persistent offender.”</w:t>
      </w:r>
    </w:p>
    <w:p w14:paraId="27A8C1A6" w14:textId="403344A6" w:rsidR="00666A01" w:rsidRDefault="000B08F6" w:rsidP="00865BFE">
      <w:pPr>
        <w:numPr>
          <w:ilvl w:val="0"/>
          <w:numId w:val="18"/>
        </w:numPr>
        <w:spacing w:before="240"/>
        <w:jc w:val="both"/>
        <w:rPr>
          <w:rFonts w:ascii="Book Antiqua" w:hAnsi="Book Antiqua" w:cs="Arial"/>
        </w:rPr>
      </w:pPr>
      <w:r>
        <w:rPr>
          <w:rFonts w:ascii="Book Antiqua" w:hAnsi="Book Antiqua" w:cs="Arial"/>
        </w:rPr>
        <w:t xml:space="preserve">Paragraphs </w:t>
      </w:r>
      <w:r w:rsidR="00672CCC">
        <w:rPr>
          <w:rFonts w:ascii="Book Antiqua" w:hAnsi="Book Antiqua" w:cs="Arial"/>
        </w:rPr>
        <w:t>398-399A of the Rules</w:t>
      </w:r>
      <w:r w:rsidR="0086028A">
        <w:rPr>
          <w:rFonts w:ascii="Book Antiqua" w:hAnsi="Book Antiqua" w:cs="Arial"/>
        </w:rPr>
        <w:t xml:space="preserve"> will </w:t>
      </w:r>
      <w:r w:rsidR="00C92E46">
        <w:rPr>
          <w:rFonts w:ascii="Book Antiqua" w:hAnsi="Book Antiqua" w:cs="Arial"/>
        </w:rPr>
        <w:t xml:space="preserve">also </w:t>
      </w:r>
      <w:r w:rsidR="0086028A">
        <w:rPr>
          <w:rFonts w:ascii="Book Antiqua" w:hAnsi="Book Antiqua" w:cs="Arial"/>
        </w:rPr>
        <w:t>be familiar to the reader and do not, for the purposes of this appeal, require setting out.</w:t>
      </w:r>
      <w:r w:rsidR="00F3734B">
        <w:rPr>
          <w:rFonts w:ascii="Book Antiqua" w:hAnsi="Book Antiqua" w:cs="Arial"/>
        </w:rPr>
        <w:t xml:space="preserve"> Paragraph 399D is of greater relevance</w:t>
      </w:r>
      <w:r w:rsidR="006D5FBE">
        <w:rPr>
          <w:rFonts w:ascii="Book Antiqua" w:hAnsi="Book Antiqua" w:cs="Arial"/>
        </w:rPr>
        <w:t xml:space="preserve"> </w:t>
      </w:r>
      <w:r w:rsidR="00C92E46">
        <w:rPr>
          <w:rFonts w:ascii="Book Antiqua" w:hAnsi="Book Antiqua" w:cs="Arial"/>
        </w:rPr>
        <w:t xml:space="preserve">and it </w:t>
      </w:r>
      <w:r w:rsidR="008169A7">
        <w:rPr>
          <w:rFonts w:ascii="Book Antiqua" w:hAnsi="Book Antiqua" w:cs="Arial"/>
        </w:rPr>
        <w:t>provides as follows</w:t>
      </w:r>
      <w:r w:rsidR="002B5C40">
        <w:rPr>
          <w:rFonts w:ascii="Book Antiqua" w:hAnsi="Book Antiqua" w:cs="Arial"/>
        </w:rPr>
        <w:t>:</w:t>
      </w:r>
    </w:p>
    <w:p w14:paraId="59C4655D" w14:textId="77777777" w:rsidR="002B5C40" w:rsidRDefault="002B5C40" w:rsidP="002B5C40">
      <w:pPr>
        <w:spacing w:before="240"/>
        <w:ind w:left="567"/>
        <w:jc w:val="both"/>
        <w:rPr>
          <w:rFonts w:ascii="Book Antiqua" w:hAnsi="Book Antiqua" w:cs="Arial"/>
        </w:rPr>
      </w:pPr>
    </w:p>
    <w:p w14:paraId="32E1B37A" w14:textId="3C982F2B" w:rsidR="002B5C40" w:rsidRPr="002B5C40" w:rsidRDefault="002B5C40" w:rsidP="002B5C40">
      <w:pPr>
        <w:ind w:left="1287"/>
        <w:jc w:val="both"/>
        <w:rPr>
          <w:rFonts w:ascii="Book Antiqua" w:hAnsi="Book Antiqua" w:cs="Arial"/>
          <w:sz w:val="22"/>
          <w:szCs w:val="22"/>
        </w:rPr>
      </w:pPr>
      <w:r w:rsidRPr="002B5C40">
        <w:rPr>
          <w:rFonts w:ascii="Book Antiqua" w:hAnsi="Book Antiqua" w:cs="Arial"/>
          <w:sz w:val="22"/>
          <w:szCs w:val="22"/>
        </w:rPr>
        <w:t>“399D. Where a foreign criminal has been deported and enters the United Kingdom in breach of a deportation order enforcement of the deportation order is in the public interest and will be implemented unless there are very exceptional circumstances.</w:t>
      </w:r>
      <w:r w:rsidR="00117FA5">
        <w:rPr>
          <w:rFonts w:ascii="Book Antiqua" w:hAnsi="Book Antiqua" w:cs="Arial"/>
          <w:sz w:val="22"/>
          <w:szCs w:val="22"/>
        </w:rPr>
        <w:t>”</w:t>
      </w:r>
    </w:p>
    <w:p w14:paraId="61CFF196" w14:textId="1703FA6E" w:rsidR="00117FA5" w:rsidRPr="00B07F80" w:rsidRDefault="003C44AA" w:rsidP="00117FA5">
      <w:pPr>
        <w:spacing w:before="240"/>
        <w:jc w:val="both"/>
        <w:rPr>
          <w:rFonts w:ascii="Book Antiqua" w:hAnsi="Book Antiqua" w:cs="Arial"/>
          <w:b/>
          <w:bCs/>
          <w:u w:val="single"/>
        </w:rPr>
      </w:pPr>
      <w:r w:rsidRPr="00B07F80">
        <w:rPr>
          <w:rFonts w:ascii="Book Antiqua" w:hAnsi="Book Antiqua" w:cs="Arial"/>
          <w:b/>
          <w:bCs/>
          <w:u w:val="single"/>
        </w:rPr>
        <w:t>THE SUBSTANTIVE ISSUE: DISCUSSION</w:t>
      </w:r>
    </w:p>
    <w:p w14:paraId="39706E79" w14:textId="2B0C25B0" w:rsidR="00117FA5" w:rsidRDefault="00722597" w:rsidP="00865BFE">
      <w:pPr>
        <w:numPr>
          <w:ilvl w:val="0"/>
          <w:numId w:val="18"/>
        </w:numPr>
        <w:spacing w:before="240"/>
        <w:jc w:val="both"/>
        <w:rPr>
          <w:rFonts w:ascii="Book Antiqua" w:hAnsi="Book Antiqua" w:cs="Arial"/>
        </w:rPr>
      </w:pPr>
      <w:r>
        <w:rPr>
          <w:rFonts w:ascii="Book Antiqua" w:hAnsi="Book Antiqua" w:cs="Arial"/>
        </w:rPr>
        <w:t>In his</w:t>
      </w:r>
      <w:r w:rsidR="000C7CF4">
        <w:rPr>
          <w:rFonts w:ascii="Book Antiqua" w:hAnsi="Book Antiqua" w:cs="Arial"/>
        </w:rPr>
        <w:t xml:space="preserve"> skeleton argument</w:t>
      </w:r>
      <w:r w:rsidR="00ED0E0A">
        <w:rPr>
          <w:rFonts w:ascii="Book Antiqua" w:hAnsi="Book Antiqua" w:cs="Arial"/>
        </w:rPr>
        <w:t xml:space="preserve"> prepared for the hearing or 5 November 2020</w:t>
      </w:r>
      <w:r w:rsidR="000C7CF4">
        <w:rPr>
          <w:rFonts w:ascii="Book Antiqua" w:hAnsi="Book Antiqua" w:cs="Arial"/>
        </w:rPr>
        <w:t>, Mr Jarvis</w:t>
      </w:r>
      <w:r w:rsidR="00B850E4">
        <w:rPr>
          <w:rFonts w:ascii="Book Antiqua" w:hAnsi="Book Antiqua" w:cs="Arial"/>
        </w:rPr>
        <w:t xml:space="preserve"> made</w:t>
      </w:r>
      <w:r w:rsidR="009C17A4">
        <w:rPr>
          <w:rFonts w:ascii="Book Antiqua" w:hAnsi="Book Antiqua" w:cs="Arial"/>
        </w:rPr>
        <w:t xml:space="preserve"> the following essential submissions:</w:t>
      </w:r>
    </w:p>
    <w:p w14:paraId="6355B7B2" w14:textId="3F5C9252" w:rsidR="00E62906" w:rsidRDefault="004D3A0E" w:rsidP="00CF6B78">
      <w:pPr>
        <w:pStyle w:val="ListParagraph"/>
        <w:numPr>
          <w:ilvl w:val="2"/>
          <w:numId w:val="14"/>
        </w:numPr>
        <w:spacing w:before="240"/>
        <w:jc w:val="both"/>
        <w:rPr>
          <w:rFonts w:ascii="Book Antiqua" w:hAnsi="Book Antiqua" w:cs="Arial"/>
        </w:rPr>
      </w:pPr>
      <w:r>
        <w:rPr>
          <w:rFonts w:ascii="Book Antiqua" w:hAnsi="Book Antiqua" w:cs="Arial"/>
        </w:rPr>
        <w:t>W</w:t>
      </w:r>
      <w:r w:rsidR="00F97D40">
        <w:rPr>
          <w:rFonts w:ascii="Book Antiqua" w:hAnsi="Book Antiqua" w:cs="Arial"/>
        </w:rPr>
        <w:t>hen</w:t>
      </w:r>
      <w:r w:rsidR="000E236D">
        <w:rPr>
          <w:rFonts w:ascii="Book Antiqua" w:hAnsi="Book Antiqua" w:cs="Arial"/>
        </w:rPr>
        <w:t xml:space="preserve"> a Tribunal is considering an appeal based on Article 8 ECHR</w:t>
      </w:r>
      <w:r w:rsidR="0028123E">
        <w:rPr>
          <w:rFonts w:ascii="Book Antiqua" w:hAnsi="Book Antiqua" w:cs="Arial"/>
        </w:rPr>
        <w:t xml:space="preserve"> in a deportation context</w:t>
      </w:r>
      <w:r w:rsidR="000E236D">
        <w:rPr>
          <w:rFonts w:ascii="Book Antiqua" w:hAnsi="Book Antiqua" w:cs="Arial"/>
        </w:rPr>
        <w:t>, it should first apply</w:t>
      </w:r>
      <w:r w:rsidR="0028123E">
        <w:rPr>
          <w:rFonts w:ascii="Book Antiqua" w:hAnsi="Book Antiqua" w:cs="Arial"/>
        </w:rPr>
        <w:t xml:space="preserve"> section 117C of the 2002 Act</w:t>
      </w:r>
      <w:r w:rsidR="008259C8">
        <w:rPr>
          <w:rFonts w:ascii="Book Antiqua" w:hAnsi="Book Antiqua" w:cs="Arial"/>
        </w:rPr>
        <w:t>, this being consistent with the “normal approach”</w:t>
      </w:r>
      <w:r w:rsidR="004A614D">
        <w:rPr>
          <w:rFonts w:ascii="Book Antiqua" w:hAnsi="Book Antiqua" w:cs="Arial"/>
        </w:rPr>
        <w:t xml:space="preserve"> that primary legislation is the starting point and in line with what is said in </w:t>
      </w:r>
      <w:r w:rsidR="004A614D" w:rsidRPr="00D51565">
        <w:rPr>
          <w:rFonts w:ascii="Book Antiqua" w:hAnsi="Book Antiqua" w:cs="Arial"/>
          <w:u w:val="single"/>
        </w:rPr>
        <w:t>CI (Nigeria)</w:t>
      </w:r>
      <w:r w:rsidR="004A614D">
        <w:rPr>
          <w:rFonts w:ascii="Book Antiqua" w:hAnsi="Book Antiqua" w:cs="Arial"/>
        </w:rPr>
        <w:t xml:space="preserve"> [2019] </w:t>
      </w:r>
      <w:r w:rsidR="00890E4C">
        <w:rPr>
          <w:rFonts w:ascii="Book Antiqua" w:hAnsi="Book Antiqua" w:cs="Arial"/>
        </w:rPr>
        <w:t>EWCA Civ 2027;</w:t>
      </w:r>
    </w:p>
    <w:p w14:paraId="408087A3" w14:textId="77777777" w:rsidR="008D4129" w:rsidRDefault="008D4129" w:rsidP="008D4129">
      <w:pPr>
        <w:pStyle w:val="ListParagraph"/>
        <w:spacing w:before="240"/>
        <w:ind w:left="1701"/>
        <w:jc w:val="both"/>
        <w:rPr>
          <w:rFonts w:ascii="Book Antiqua" w:hAnsi="Book Antiqua" w:cs="Arial"/>
        </w:rPr>
      </w:pPr>
    </w:p>
    <w:p w14:paraId="4007289F" w14:textId="04E43BB8" w:rsidR="00E62906" w:rsidRDefault="000B4721" w:rsidP="00CF6B78">
      <w:pPr>
        <w:pStyle w:val="ListParagraph"/>
        <w:numPr>
          <w:ilvl w:val="2"/>
          <w:numId w:val="14"/>
        </w:numPr>
        <w:spacing w:before="240"/>
        <w:jc w:val="both"/>
        <w:rPr>
          <w:rFonts w:ascii="Book Antiqua" w:hAnsi="Book Antiqua" w:cs="Arial"/>
        </w:rPr>
      </w:pPr>
      <w:r>
        <w:rPr>
          <w:rFonts w:ascii="Book Antiqua" w:hAnsi="Book Antiqua" w:cs="Arial"/>
        </w:rPr>
        <w:t>T</w:t>
      </w:r>
      <w:r w:rsidR="00DE1EE3" w:rsidRPr="00E62906">
        <w:rPr>
          <w:rFonts w:ascii="Book Antiqua" w:hAnsi="Book Antiqua" w:cs="Arial"/>
        </w:rPr>
        <w:t xml:space="preserve">here is no difference in approach whether </w:t>
      </w:r>
      <w:r>
        <w:rPr>
          <w:rFonts w:ascii="Book Antiqua" w:hAnsi="Book Antiqua" w:cs="Arial"/>
        </w:rPr>
        <w:t>a</w:t>
      </w:r>
      <w:r w:rsidR="00DE1EE3" w:rsidRPr="00E62906">
        <w:rPr>
          <w:rFonts w:ascii="Book Antiqua" w:hAnsi="Book Antiqua" w:cs="Arial"/>
        </w:rPr>
        <w:t xml:space="preserve"> tribunal</w:t>
      </w:r>
      <w:r w:rsidR="00CE1682" w:rsidRPr="00E62906">
        <w:rPr>
          <w:rFonts w:ascii="Book Antiqua" w:hAnsi="Book Antiqua" w:cs="Arial"/>
        </w:rPr>
        <w:t xml:space="preserve"> is considering a pre-</w:t>
      </w:r>
      <w:r w:rsidR="00A563D5" w:rsidRPr="00E62906">
        <w:rPr>
          <w:rFonts w:ascii="Book Antiqua" w:hAnsi="Book Antiqua" w:cs="Arial"/>
        </w:rPr>
        <w:t>deportation scenario (i.e. where the individual has not yet been removed from the United Kingdom) or a</w:t>
      </w:r>
      <w:r w:rsidR="009E591C" w:rsidRPr="00E62906">
        <w:rPr>
          <w:rFonts w:ascii="Book Antiqua" w:hAnsi="Book Antiqua" w:cs="Arial"/>
        </w:rPr>
        <w:t xml:space="preserve"> refusal on the respondent’s part to revoke a deportation order</w:t>
      </w:r>
      <w:r w:rsidR="00E038A8" w:rsidRPr="00E62906">
        <w:rPr>
          <w:rFonts w:ascii="Book Antiqua" w:hAnsi="Book Antiqua" w:cs="Arial"/>
        </w:rPr>
        <w:t>, whether</w:t>
      </w:r>
      <w:r w:rsidR="003220E6" w:rsidRPr="00E62906">
        <w:rPr>
          <w:rFonts w:ascii="Book Antiqua" w:hAnsi="Book Antiqua" w:cs="Arial"/>
        </w:rPr>
        <w:t xml:space="preserve"> the individual is abroad or they have re-entered this country in breach of</w:t>
      </w:r>
      <w:r w:rsidR="006543E1" w:rsidRPr="00E62906">
        <w:rPr>
          <w:rFonts w:ascii="Book Antiqua" w:hAnsi="Book Antiqua" w:cs="Arial"/>
        </w:rPr>
        <w:t xml:space="preserve"> an order</w:t>
      </w:r>
      <w:r w:rsidR="00C9342F" w:rsidRPr="00E62906">
        <w:rPr>
          <w:rFonts w:ascii="Book Antiqua" w:hAnsi="Book Antiqua" w:cs="Arial"/>
        </w:rPr>
        <w:t>;</w:t>
      </w:r>
    </w:p>
    <w:p w14:paraId="3F3A9178" w14:textId="77777777" w:rsidR="008D4129" w:rsidRDefault="008D4129" w:rsidP="008D4129">
      <w:pPr>
        <w:pStyle w:val="ListParagraph"/>
        <w:spacing w:before="240"/>
        <w:ind w:left="1701"/>
        <w:jc w:val="both"/>
        <w:rPr>
          <w:rFonts w:ascii="Book Antiqua" w:hAnsi="Book Antiqua" w:cs="Arial"/>
        </w:rPr>
      </w:pPr>
    </w:p>
    <w:p w14:paraId="1B36CBEE" w14:textId="5004B69C" w:rsidR="00E62906" w:rsidRDefault="000B4721" w:rsidP="00CF6B78">
      <w:pPr>
        <w:pStyle w:val="ListParagraph"/>
        <w:numPr>
          <w:ilvl w:val="2"/>
          <w:numId w:val="14"/>
        </w:numPr>
        <w:spacing w:before="240"/>
        <w:jc w:val="both"/>
        <w:rPr>
          <w:rFonts w:ascii="Book Antiqua" w:hAnsi="Book Antiqua" w:cs="Arial"/>
        </w:rPr>
      </w:pPr>
      <w:r>
        <w:rPr>
          <w:rFonts w:ascii="Book Antiqua" w:hAnsi="Book Antiqua" w:cs="Arial"/>
        </w:rPr>
        <w:t>I</w:t>
      </w:r>
      <w:r w:rsidR="00C9342F" w:rsidRPr="00E62906">
        <w:rPr>
          <w:rFonts w:ascii="Book Antiqua" w:hAnsi="Book Antiqua" w:cs="Arial"/>
        </w:rPr>
        <w:t xml:space="preserve">n </w:t>
      </w:r>
      <w:r w:rsidR="00C9342F" w:rsidRPr="00E62906">
        <w:rPr>
          <w:rFonts w:ascii="Book Antiqua" w:hAnsi="Book Antiqua" w:cs="Arial"/>
          <w:u w:val="single"/>
        </w:rPr>
        <w:t>SU</w:t>
      </w:r>
      <w:r w:rsidR="00C9342F" w:rsidRPr="00E62906">
        <w:rPr>
          <w:rFonts w:ascii="Book Antiqua" w:hAnsi="Book Antiqua" w:cs="Arial"/>
        </w:rPr>
        <w:t xml:space="preserve"> </w:t>
      </w:r>
      <w:r w:rsidR="004C3805" w:rsidRPr="00E62906">
        <w:rPr>
          <w:rFonts w:ascii="Book Antiqua" w:hAnsi="Book Antiqua" w:cs="Arial"/>
        </w:rPr>
        <w:t>[</w:t>
      </w:r>
      <w:r w:rsidR="00CF4A67" w:rsidRPr="00E62906">
        <w:rPr>
          <w:rFonts w:ascii="Book Antiqua" w:hAnsi="Book Antiqua" w:cs="Arial"/>
        </w:rPr>
        <w:t xml:space="preserve">2017] EWCA </w:t>
      </w:r>
      <w:proofErr w:type="spellStart"/>
      <w:r w:rsidR="00CF4A67" w:rsidRPr="00E62906">
        <w:rPr>
          <w:rFonts w:ascii="Book Antiqua" w:hAnsi="Book Antiqua" w:cs="Arial"/>
        </w:rPr>
        <w:t>Civ</w:t>
      </w:r>
      <w:proofErr w:type="spellEnd"/>
      <w:r w:rsidR="00CF4A67" w:rsidRPr="00E62906">
        <w:rPr>
          <w:rFonts w:ascii="Book Antiqua" w:hAnsi="Book Antiqua" w:cs="Arial"/>
        </w:rPr>
        <w:t xml:space="preserve"> 1069,</w:t>
      </w:r>
      <w:r>
        <w:rPr>
          <w:rFonts w:ascii="Book Antiqua" w:hAnsi="Book Antiqua" w:cs="Arial"/>
        </w:rPr>
        <w:t xml:space="preserve"> </w:t>
      </w:r>
      <w:r w:rsidR="00B6540B" w:rsidRPr="00E62906">
        <w:rPr>
          <w:rFonts w:ascii="Book Antiqua" w:hAnsi="Book Antiqua" w:cs="Arial"/>
        </w:rPr>
        <w:t>the Court of Appeal</w:t>
      </w:r>
      <w:r w:rsidR="00720641" w:rsidRPr="00E62906">
        <w:rPr>
          <w:rFonts w:ascii="Book Antiqua" w:hAnsi="Book Antiqua" w:cs="Arial"/>
        </w:rPr>
        <w:t xml:space="preserve"> </w:t>
      </w:r>
      <w:r w:rsidR="0053220C" w:rsidRPr="00E62906">
        <w:rPr>
          <w:rFonts w:ascii="Book Antiqua" w:hAnsi="Book Antiqua" w:cs="Arial"/>
        </w:rPr>
        <w:t>did</w:t>
      </w:r>
      <w:r w:rsidR="00720641" w:rsidRPr="00E62906">
        <w:rPr>
          <w:rFonts w:ascii="Book Antiqua" w:hAnsi="Book Antiqua" w:cs="Arial"/>
        </w:rPr>
        <w:t xml:space="preserve"> not address</w:t>
      </w:r>
      <w:r w:rsidR="00484692" w:rsidRPr="00E62906">
        <w:rPr>
          <w:rFonts w:ascii="Book Antiqua" w:hAnsi="Book Antiqua" w:cs="Arial"/>
        </w:rPr>
        <w:t xml:space="preserve"> the question of the interaction between the 2002 Act and the Rules;</w:t>
      </w:r>
    </w:p>
    <w:p w14:paraId="190638DD" w14:textId="77777777" w:rsidR="008D4129" w:rsidRDefault="008D4129" w:rsidP="008D4129">
      <w:pPr>
        <w:pStyle w:val="ListParagraph"/>
        <w:spacing w:before="240"/>
        <w:ind w:left="1701"/>
        <w:jc w:val="both"/>
        <w:rPr>
          <w:rFonts w:ascii="Book Antiqua" w:hAnsi="Book Antiqua" w:cs="Arial"/>
        </w:rPr>
      </w:pPr>
    </w:p>
    <w:p w14:paraId="4981A93D" w14:textId="4D23D8FA" w:rsidR="008D4129" w:rsidRDefault="00E51BA9" w:rsidP="00CF6B78">
      <w:pPr>
        <w:pStyle w:val="ListParagraph"/>
        <w:numPr>
          <w:ilvl w:val="2"/>
          <w:numId w:val="14"/>
        </w:numPr>
        <w:spacing w:before="240"/>
        <w:jc w:val="both"/>
        <w:rPr>
          <w:rFonts w:ascii="Book Antiqua" w:hAnsi="Book Antiqua" w:cs="Arial"/>
        </w:rPr>
      </w:pPr>
      <w:r>
        <w:rPr>
          <w:rFonts w:ascii="Book Antiqua" w:hAnsi="Book Antiqua" w:cs="Arial"/>
        </w:rPr>
        <w:t>T</w:t>
      </w:r>
      <w:r w:rsidR="00E7691F" w:rsidRPr="00E62906">
        <w:rPr>
          <w:rFonts w:ascii="Book Antiqua" w:hAnsi="Book Antiqua" w:cs="Arial"/>
        </w:rPr>
        <w:t>hat</w:t>
      </w:r>
      <w:r w:rsidR="00FE0D3B" w:rsidRPr="00E62906">
        <w:rPr>
          <w:rFonts w:ascii="Book Antiqua" w:hAnsi="Book Antiqua" w:cs="Arial"/>
        </w:rPr>
        <w:t xml:space="preserve"> the</w:t>
      </w:r>
      <w:r w:rsidR="00B07642" w:rsidRPr="00E62906">
        <w:rPr>
          <w:rFonts w:ascii="Book Antiqua" w:hAnsi="Book Antiqua" w:cs="Arial"/>
        </w:rPr>
        <w:t xml:space="preserve"> test of undue harshness under section 117C(5) of the 2002 Act </w:t>
      </w:r>
      <w:r w:rsidR="009079F4" w:rsidRPr="00E62906">
        <w:rPr>
          <w:rFonts w:ascii="Book Antiqua" w:hAnsi="Book Antiqua" w:cs="Arial"/>
        </w:rPr>
        <w:t xml:space="preserve">bore the meaning attributed to it by the Supreme Court in </w:t>
      </w:r>
      <w:r w:rsidR="009079F4" w:rsidRPr="00E62906">
        <w:rPr>
          <w:rFonts w:ascii="Book Antiqua" w:hAnsi="Book Antiqua" w:cs="Arial"/>
          <w:u w:val="single"/>
        </w:rPr>
        <w:t>KO (Nigeria)</w:t>
      </w:r>
      <w:r w:rsidR="00C95F8B" w:rsidRPr="00E62906">
        <w:rPr>
          <w:rFonts w:ascii="Book Antiqua" w:hAnsi="Book Antiqua" w:cs="Arial"/>
        </w:rPr>
        <w:t xml:space="preserve"> [2018] UKSC 53; </w:t>
      </w:r>
      <w:r w:rsidR="002C1D44" w:rsidRPr="00E62906">
        <w:rPr>
          <w:rFonts w:ascii="Book Antiqua" w:hAnsi="Book Antiqua" w:cs="Arial"/>
        </w:rPr>
        <w:t>[</w:t>
      </w:r>
      <w:r w:rsidR="00C87145" w:rsidRPr="00E62906">
        <w:rPr>
          <w:rFonts w:ascii="Book Antiqua" w:hAnsi="Book Antiqua" w:cs="Arial"/>
        </w:rPr>
        <w:t>2018] 1 WLR 5273;</w:t>
      </w:r>
    </w:p>
    <w:p w14:paraId="4D202EBC" w14:textId="77777777" w:rsidR="008D4129" w:rsidRDefault="008D4129" w:rsidP="008D4129">
      <w:pPr>
        <w:pStyle w:val="ListParagraph"/>
        <w:spacing w:before="240"/>
        <w:ind w:left="1701"/>
        <w:jc w:val="both"/>
        <w:rPr>
          <w:rFonts w:ascii="Book Antiqua" w:hAnsi="Book Antiqua" w:cs="Arial"/>
        </w:rPr>
      </w:pPr>
    </w:p>
    <w:p w14:paraId="2135443A" w14:textId="68B4AB1C" w:rsidR="008D4129" w:rsidRDefault="00E51BA9" w:rsidP="00CF6B78">
      <w:pPr>
        <w:pStyle w:val="ListParagraph"/>
        <w:numPr>
          <w:ilvl w:val="2"/>
          <w:numId w:val="14"/>
        </w:numPr>
        <w:spacing w:before="240"/>
        <w:jc w:val="both"/>
        <w:rPr>
          <w:rFonts w:ascii="Book Antiqua" w:hAnsi="Book Antiqua" w:cs="Arial"/>
        </w:rPr>
      </w:pPr>
      <w:r>
        <w:rPr>
          <w:rFonts w:ascii="Book Antiqua" w:hAnsi="Book Antiqua" w:cs="Arial"/>
        </w:rPr>
        <w:t>T</w:t>
      </w:r>
      <w:r w:rsidR="00C87145" w:rsidRPr="008D4129">
        <w:rPr>
          <w:rFonts w:ascii="Book Antiqua" w:hAnsi="Book Antiqua" w:cs="Arial"/>
        </w:rPr>
        <w:t xml:space="preserve">hat </w:t>
      </w:r>
      <w:r w:rsidR="00654BC6" w:rsidRPr="008D4129">
        <w:rPr>
          <w:rFonts w:ascii="Book Antiqua" w:hAnsi="Book Antiqua" w:cs="Arial"/>
        </w:rPr>
        <w:t xml:space="preserve">once the judge </w:t>
      </w:r>
      <w:r>
        <w:rPr>
          <w:rFonts w:ascii="Book Antiqua" w:hAnsi="Book Antiqua" w:cs="Arial"/>
        </w:rPr>
        <w:t xml:space="preserve">in the present case </w:t>
      </w:r>
      <w:r w:rsidR="00654BC6" w:rsidRPr="008D4129">
        <w:rPr>
          <w:rFonts w:ascii="Book Antiqua" w:hAnsi="Book Antiqua" w:cs="Arial"/>
        </w:rPr>
        <w:t>had reached her conclusions under section 117C(5),</w:t>
      </w:r>
      <w:r w:rsidR="009F6007" w:rsidRPr="008D4129">
        <w:rPr>
          <w:rFonts w:ascii="Book Antiqua" w:hAnsi="Book Antiqua" w:cs="Arial"/>
        </w:rPr>
        <w:t xml:space="preserve"> she should not then have gone on to consider paragraph 399D of the Rules;</w:t>
      </w:r>
    </w:p>
    <w:p w14:paraId="341145A0" w14:textId="77777777" w:rsidR="008D4129" w:rsidRDefault="008D4129" w:rsidP="008D4129">
      <w:pPr>
        <w:pStyle w:val="ListParagraph"/>
        <w:spacing w:before="240"/>
        <w:ind w:left="1701"/>
        <w:jc w:val="both"/>
        <w:rPr>
          <w:rFonts w:ascii="Book Antiqua" w:hAnsi="Book Antiqua" w:cs="Arial"/>
        </w:rPr>
      </w:pPr>
    </w:p>
    <w:p w14:paraId="7F491823" w14:textId="2952F365" w:rsidR="00785918" w:rsidRPr="008D4129" w:rsidRDefault="00E51BA9" w:rsidP="00CF6B78">
      <w:pPr>
        <w:pStyle w:val="ListParagraph"/>
        <w:numPr>
          <w:ilvl w:val="2"/>
          <w:numId w:val="14"/>
        </w:numPr>
        <w:spacing w:before="240"/>
        <w:jc w:val="both"/>
        <w:rPr>
          <w:rFonts w:ascii="Book Antiqua" w:hAnsi="Book Antiqua" w:cs="Arial"/>
        </w:rPr>
      </w:pPr>
      <w:r>
        <w:rPr>
          <w:rFonts w:ascii="Book Antiqua" w:hAnsi="Book Antiqua" w:cs="Arial"/>
        </w:rPr>
        <w:t>A</w:t>
      </w:r>
      <w:r w:rsidR="00785918" w:rsidRPr="008D4129">
        <w:rPr>
          <w:rFonts w:ascii="Book Antiqua" w:hAnsi="Book Antiqua" w:cs="Arial"/>
        </w:rPr>
        <w:t>s the findings on the unduly harsh issue had been open to the judge,</w:t>
      </w:r>
      <w:r w:rsidR="00F06C94" w:rsidRPr="008D4129">
        <w:rPr>
          <w:rFonts w:ascii="Book Antiqua" w:hAnsi="Book Antiqua" w:cs="Arial"/>
        </w:rPr>
        <w:t xml:space="preserve"> </w:t>
      </w:r>
      <w:r w:rsidR="00EA5394" w:rsidRPr="008D4129">
        <w:rPr>
          <w:rFonts w:ascii="Book Antiqua" w:hAnsi="Book Antiqua" w:cs="Arial"/>
        </w:rPr>
        <w:t>her</w:t>
      </w:r>
      <w:r w:rsidR="00F06C94" w:rsidRPr="008D4129">
        <w:rPr>
          <w:rFonts w:ascii="Book Antiqua" w:hAnsi="Book Antiqua" w:cs="Arial"/>
        </w:rPr>
        <w:t xml:space="preserve"> decision should be set aside and the decision be re</w:t>
      </w:r>
      <w:r w:rsidR="00DF3DC5">
        <w:rPr>
          <w:rFonts w:ascii="Book Antiqua" w:hAnsi="Book Antiqua" w:cs="Arial"/>
        </w:rPr>
        <w:t>-</w:t>
      </w:r>
      <w:r w:rsidR="00F06C94" w:rsidRPr="008D4129">
        <w:rPr>
          <w:rFonts w:ascii="Book Antiqua" w:hAnsi="Book Antiqua" w:cs="Arial"/>
        </w:rPr>
        <w:t>made in the appellant’s favour.</w:t>
      </w:r>
    </w:p>
    <w:p w14:paraId="4B56A524" w14:textId="0B662811" w:rsidR="005768DA" w:rsidRDefault="00030E84" w:rsidP="00865BFE">
      <w:pPr>
        <w:numPr>
          <w:ilvl w:val="0"/>
          <w:numId w:val="18"/>
        </w:numPr>
        <w:spacing w:before="240"/>
        <w:jc w:val="both"/>
        <w:rPr>
          <w:rFonts w:ascii="Book Antiqua" w:hAnsi="Book Antiqua" w:cs="Arial"/>
        </w:rPr>
      </w:pPr>
      <w:r>
        <w:rPr>
          <w:rFonts w:ascii="Book Antiqua" w:hAnsi="Book Antiqua" w:cs="Arial"/>
        </w:rPr>
        <w:t>Unsurprisingly,</w:t>
      </w:r>
      <w:r w:rsidR="0087424B">
        <w:rPr>
          <w:rFonts w:ascii="Book Antiqua" w:hAnsi="Book Antiqua" w:cs="Arial"/>
        </w:rPr>
        <w:t xml:space="preserve"> </w:t>
      </w:r>
      <w:r w:rsidR="00AE2A91">
        <w:rPr>
          <w:rFonts w:ascii="Book Antiqua" w:hAnsi="Book Antiqua" w:cs="Arial"/>
        </w:rPr>
        <w:t xml:space="preserve">in his first skeleton argument </w:t>
      </w:r>
      <w:r w:rsidR="0087424B">
        <w:rPr>
          <w:rFonts w:ascii="Book Antiqua" w:hAnsi="Book Antiqua" w:cs="Arial"/>
        </w:rPr>
        <w:t>Mr Malik endorsed the respondent’s analysis</w:t>
      </w:r>
      <w:r w:rsidR="00AA73F2">
        <w:rPr>
          <w:rFonts w:ascii="Book Antiqua" w:hAnsi="Book Antiqua" w:cs="Arial"/>
        </w:rPr>
        <w:t xml:space="preserve">.  </w:t>
      </w:r>
    </w:p>
    <w:p w14:paraId="2FB0023D" w14:textId="0D4E8CF3" w:rsidR="00C96A4E" w:rsidRPr="00A65707" w:rsidRDefault="00A50ED9" w:rsidP="00865BFE">
      <w:pPr>
        <w:numPr>
          <w:ilvl w:val="0"/>
          <w:numId w:val="18"/>
        </w:numPr>
        <w:spacing w:before="240"/>
        <w:jc w:val="both"/>
        <w:rPr>
          <w:rFonts w:ascii="Book Antiqua" w:hAnsi="Book Antiqua" w:cs="Arial"/>
        </w:rPr>
      </w:pPr>
      <w:r>
        <w:rPr>
          <w:rFonts w:ascii="Book Antiqua" w:hAnsi="Book Antiqua" w:cs="Arial"/>
        </w:rPr>
        <w:t xml:space="preserve">At the </w:t>
      </w:r>
      <w:r w:rsidR="00304FAD">
        <w:rPr>
          <w:rFonts w:ascii="Book Antiqua" w:hAnsi="Book Antiqua" w:cs="Arial"/>
        </w:rPr>
        <w:t>remote hearing on 5 November 2020, we raised</w:t>
      </w:r>
      <w:r w:rsidR="00753E54">
        <w:rPr>
          <w:rFonts w:ascii="Book Antiqua" w:hAnsi="Book Antiqua" w:cs="Arial"/>
        </w:rPr>
        <w:t xml:space="preserve"> a concern as to the respondent’s</w:t>
      </w:r>
      <w:r w:rsidR="00A12934">
        <w:rPr>
          <w:rFonts w:ascii="Book Antiqua" w:hAnsi="Book Antiqua" w:cs="Arial"/>
        </w:rPr>
        <w:t xml:space="preserve"> concession</w:t>
      </w:r>
      <w:r w:rsidR="00EA5394">
        <w:rPr>
          <w:rFonts w:ascii="Book Antiqua" w:hAnsi="Book Antiqua" w:cs="Arial"/>
        </w:rPr>
        <w:t>s</w:t>
      </w:r>
      <w:r w:rsidR="00A12934">
        <w:rPr>
          <w:rFonts w:ascii="Book Antiqua" w:hAnsi="Book Antiqua" w:cs="Arial"/>
        </w:rPr>
        <w:t xml:space="preserve">, as set out in </w:t>
      </w:r>
      <w:r w:rsidR="00CF6B78">
        <w:rPr>
          <w:rFonts w:ascii="Book Antiqua" w:hAnsi="Book Antiqua" w:cs="Arial"/>
        </w:rPr>
        <w:t>(b) and (e)</w:t>
      </w:r>
      <w:r w:rsidR="00933BD6">
        <w:rPr>
          <w:rFonts w:ascii="Book Antiqua" w:hAnsi="Book Antiqua" w:cs="Arial"/>
        </w:rPr>
        <w:t>, above.</w:t>
      </w:r>
      <w:r w:rsidR="00B25555">
        <w:rPr>
          <w:rFonts w:ascii="Book Antiqua" w:hAnsi="Book Antiqua" w:cs="Arial"/>
        </w:rPr>
        <w:t xml:space="preserve"> </w:t>
      </w:r>
      <w:r w:rsidR="00E86350">
        <w:rPr>
          <w:rFonts w:ascii="Book Antiqua" w:hAnsi="Book Antiqua" w:cs="Arial"/>
        </w:rPr>
        <w:t>It was not immediately apparent to us why paragraph 399D of the Rules added nothing</w:t>
      </w:r>
      <w:r w:rsidR="00235575">
        <w:rPr>
          <w:rFonts w:ascii="Book Antiqua" w:hAnsi="Book Antiqua" w:cs="Arial"/>
        </w:rPr>
        <w:t xml:space="preserve"> to the equation.</w:t>
      </w:r>
      <w:r w:rsidR="00510F7C">
        <w:rPr>
          <w:rFonts w:ascii="Book Antiqua" w:hAnsi="Book Antiqua" w:cs="Arial"/>
        </w:rPr>
        <w:t xml:space="preserve"> </w:t>
      </w:r>
      <w:r w:rsidR="00A23931">
        <w:rPr>
          <w:rFonts w:ascii="Book Antiqua" w:hAnsi="Book Antiqua" w:cs="Arial"/>
        </w:rPr>
        <w:t>On one possible reading of section 117C(</w:t>
      </w:r>
      <w:r w:rsidR="00A65707">
        <w:rPr>
          <w:rFonts w:ascii="Book Antiqua" w:hAnsi="Book Antiqua" w:cs="Arial"/>
        </w:rPr>
        <w:t>7</w:t>
      </w:r>
      <w:r w:rsidR="00A23931">
        <w:rPr>
          <w:rFonts w:ascii="Book Antiqua" w:hAnsi="Book Antiqua" w:cs="Arial"/>
        </w:rPr>
        <w:t>)</w:t>
      </w:r>
      <w:r w:rsidR="0059612C">
        <w:rPr>
          <w:rFonts w:ascii="Book Antiqua" w:hAnsi="Book Antiqua" w:cs="Arial"/>
        </w:rPr>
        <w:t>, it might be said</w:t>
      </w:r>
      <w:r w:rsidR="00F41FA5">
        <w:rPr>
          <w:rFonts w:ascii="Book Antiqua" w:hAnsi="Book Antiqua" w:cs="Arial"/>
        </w:rPr>
        <w:t xml:space="preserve"> that the mandatory considerations set out in subsections</w:t>
      </w:r>
      <w:r w:rsidR="00A56431">
        <w:rPr>
          <w:rFonts w:ascii="Book Antiqua" w:hAnsi="Book Antiqua" w:cs="Arial"/>
        </w:rPr>
        <w:t xml:space="preserve"> (1) to (6) did not cover all of the ground</w:t>
      </w:r>
      <w:r w:rsidR="00044C4D">
        <w:rPr>
          <w:rFonts w:ascii="Book Antiqua" w:hAnsi="Book Antiqua" w:cs="Arial"/>
        </w:rPr>
        <w:t xml:space="preserve"> in a case concerning</w:t>
      </w:r>
      <w:r w:rsidR="00FC2E25">
        <w:rPr>
          <w:rFonts w:ascii="Book Antiqua" w:hAnsi="Book Antiqua" w:cs="Arial"/>
        </w:rPr>
        <w:t xml:space="preserve"> an individual who re-entered the United Kingdom in breach of a deportation order</w:t>
      </w:r>
      <w:r w:rsidR="00500DE1">
        <w:rPr>
          <w:rFonts w:ascii="Book Antiqua" w:hAnsi="Book Antiqua" w:cs="Arial"/>
        </w:rPr>
        <w:t xml:space="preserve"> and that they </w:t>
      </w:r>
      <w:r w:rsidR="00044C4D" w:rsidRPr="00A65707">
        <w:rPr>
          <w:rFonts w:ascii="Book Antiqua" w:hAnsi="Book Antiqua" w:cs="Arial"/>
        </w:rPr>
        <w:t>might legitimately face an even stronger public interest counterweight to their Article 8 claim tha</w:t>
      </w:r>
      <w:r w:rsidR="00E1785B">
        <w:rPr>
          <w:rFonts w:ascii="Book Antiqua" w:hAnsi="Book Antiqua" w:cs="Arial"/>
        </w:rPr>
        <w:t>n</w:t>
      </w:r>
      <w:r w:rsidR="00044C4D" w:rsidRPr="00A65707">
        <w:rPr>
          <w:rFonts w:ascii="Book Antiqua" w:hAnsi="Book Antiqua" w:cs="Arial"/>
        </w:rPr>
        <w:t xml:space="preserve"> would be the case in a pre-deportation or post-deportation scenario. </w:t>
      </w:r>
      <w:r w:rsidR="00500DE1">
        <w:rPr>
          <w:rFonts w:ascii="Book Antiqua" w:hAnsi="Book Antiqua" w:cs="Arial"/>
        </w:rPr>
        <w:t>In turn,</w:t>
      </w:r>
      <w:r w:rsidR="00640CE1">
        <w:rPr>
          <w:rFonts w:ascii="Book Antiqua" w:hAnsi="Book Antiqua" w:cs="Arial"/>
        </w:rPr>
        <w:t xml:space="preserve"> where it was not simply the fact of previous convictions which underpinned the</w:t>
      </w:r>
      <w:r w:rsidR="00995D83">
        <w:rPr>
          <w:rFonts w:ascii="Book Antiqua" w:hAnsi="Book Antiqua" w:cs="Arial"/>
        </w:rPr>
        <w:t xml:space="preserve"> decision under appeal, the elevated threshold under paragraph 399D of the Rules may play a part, with the effect</w:t>
      </w:r>
      <w:r w:rsidR="007E0A97">
        <w:rPr>
          <w:rFonts w:ascii="Book Antiqua" w:hAnsi="Book Antiqua" w:cs="Arial"/>
        </w:rPr>
        <w:t xml:space="preserve"> that the satisfaction of </w:t>
      </w:r>
      <w:r w:rsidR="006D1187">
        <w:rPr>
          <w:rFonts w:ascii="Book Antiqua" w:hAnsi="Book Antiqua" w:cs="Arial"/>
        </w:rPr>
        <w:t>either</w:t>
      </w:r>
      <w:r w:rsidR="00C548B8">
        <w:rPr>
          <w:rFonts w:ascii="Book Antiqua" w:hAnsi="Book Antiqua" w:cs="Arial"/>
        </w:rPr>
        <w:t xml:space="preserve"> of the exceptions under section 117C(4) </w:t>
      </w:r>
      <w:r w:rsidR="00A8301F">
        <w:rPr>
          <w:rFonts w:ascii="Book Antiqua" w:hAnsi="Book Antiqua" w:cs="Arial"/>
        </w:rPr>
        <w:t>and (5), or indeed the</w:t>
      </w:r>
      <w:r w:rsidR="00BE793F">
        <w:rPr>
          <w:rFonts w:ascii="Book Antiqua" w:hAnsi="Book Antiqua" w:cs="Arial"/>
        </w:rPr>
        <w:t xml:space="preserve"> wider</w:t>
      </w:r>
      <w:r w:rsidR="000F2447">
        <w:rPr>
          <w:rFonts w:ascii="Book Antiqua" w:hAnsi="Book Antiqua" w:cs="Arial"/>
        </w:rPr>
        <w:t xml:space="preserve"> exercise under (6), might not in fact be determinative</w:t>
      </w:r>
      <w:r w:rsidR="00933BD6">
        <w:rPr>
          <w:rFonts w:ascii="Book Antiqua" w:hAnsi="Book Antiqua" w:cs="Arial"/>
        </w:rPr>
        <w:t xml:space="preserve"> </w:t>
      </w:r>
      <w:r w:rsidR="000F2447">
        <w:rPr>
          <w:rFonts w:ascii="Book Antiqua" w:hAnsi="Book Antiqua" w:cs="Arial"/>
        </w:rPr>
        <w:t>of an appeal.</w:t>
      </w:r>
    </w:p>
    <w:p w14:paraId="639F5E68" w14:textId="2D90A84D" w:rsidR="00A23931" w:rsidRDefault="00342377" w:rsidP="00865BFE">
      <w:pPr>
        <w:numPr>
          <w:ilvl w:val="0"/>
          <w:numId w:val="18"/>
        </w:numPr>
        <w:spacing w:before="240"/>
        <w:jc w:val="both"/>
        <w:rPr>
          <w:rFonts w:ascii="Book Antiqua" w:hAnsi="Book Antiqua" w:cs="Arial"/>
        </w:rPr>
      </w:pPr>
      <w:r>
        <w:rPr>
          <w:rFonts w:ascii="Book Antiqua" w:hAnsi="Book Antiqua" w:cs="Arial"/>
        </w:rPr>
        <w:t>As this</w:t>
      </w:r>
      <w:r w:rsidR="00A23E6E">
        <w:rPr>
          <w:rFonts w:ascii="Book Antiqua" w:hAnsi="Book Antiqua" w:cs="Arial"/>
        </w:rPr>
        <w:t xml:space="preserve"> particular</w:t>
      </w:r>
      <w:r w:rsidR="008C71CB">
        <w:rPr>
          <w:rFonts w:ascii="Book Antiqua" w:hAnsi="Book Antiqua" w:cs="Arial"/>
        </w:rPr>
        <w:t xml:space="preserve"> angle on the substantive issue had not been considered by the parties</w:t>
      </w:r>
      <w:r w:rsidR="00933BD6">
        <w:rPr>
          <w:rFonts w:ascii="Book Antiqua" w:hAnsi="Book Antiqua" w:cs="Arial"/>
        </w:rPr>
        <w:t>,</w:t>
      </w:r>
      <w:r w:rsidR="003C06C9">
        <w:rPr>
          <w:rFonts w:ascii="Book Antiqua" w:hAnsi="Book Antiqua" w:cs="Arial"/>
        </w:rPr>
        <w:t xml:space="preserve"> an adjournment was granted in order for further submissions to be provided.</w:t>
      </w:r>
      <w:r w:rsidR="009A3298">
        <w:rPr>
          <w:rFonts w:ascii="Book Antiqua" w:hAnsi="Book Antiqua" w:cs="Arial"/>
        </w:rPr>
        <w:t xml:space="preserve"> This was done through additional skeleton arguments from Mr Jarvis and Mr Malik, together with their concise</w:t>
      </w:r>
      <w:r w:rsidR="00B273EC">
        <w:rPr>
          <w:rFonts w:ascii="Book Antiqua" w:hAnsi="Book Antiqua" w:cs="Arial"/>
        </w:rPr>
        <w:t xml:space="preserve"> oral submissions at the resumed hearing.</w:t>
      </w:r>
    </w:p>
    <w:p w14:paraId="44C7A27F" w14:textId="2D9C31A8" w:rsidR="00B273EC" w:rsidRDefault="00C90970" w:rsidP="00865BFE">
      <w:pPr>
        <w:numPr>
          <w:ilvl w:val="0"/>
          <w:numId w:val="18"/>
        </w:numPr>
        <w:spacing w:before="240"/>
        <w:jc w:val="both"/>
        <w:rPr>
          <w:rFonts w:ascii="Book Antiqua" w:hAnsi="Book Antiqua" w:cs="Arial"/>
        </w:rPr>
      </w:pPr>
      <w:r>
        <w:rPr>
          <w:rFonts w:ascii="Book Antiqua" w:hAnsi="Book Antiqua" w:cs="Arial"/>
        </w:rPr>
        <w:t>On behalf of the respondent, Mr Jarvis maintained the concession previously made</w:t>
      </w:r>
      <w:r w:rsidR="00112B03">
        <w:rPr>
          <w:rFonts w:ascii="Book Antiqua" w:hAnsi="Book Antiqua" w:cs="Arial"/>
        </w:rPr>
        <w:t xml:space="preserve"> and provided the following refined submissions:</w:t>
      </w:r>
    </w:p>
    <w:p w14:paraId="36651846" w14:textId="789B872B" w:rsidR="00C27E12" w:rsidRDefault="000A7462" w:rsidP="00C27E12">
      <w:pPr>
        <w:pStyle w:val="ListParagraph"/>
        <w:numPr>
          <w:ilvl w:val="2"/>
          <w:numId w:val="15"/>
        </w:numPr>
        <w:spacing w:before="240"/>
        <w:jc w:val="both"/>
        <w:rPr>
          <w:rFonts w:ascii="Book Antiqua" w:hAnsi="Book Antiqua" w:cs="Arial"/>
        </w:rPr>
      </w:pPr>
      <w:r>
        <w:rPr>
          <w:rFonts w:ascii="Book Antiqua" w:hAnsi="Book Antiqua" w:cs="Arial"/>
        </w:rPr>
        <w:t>O</w:t>
      </w:r>
      <w:r w:rsidR="008A076B" w:rsidRPr="00C27E12">
        <w:rPr>
          <w:rFonts w:ascii="Book Antiqua" w:hAnsi="Book Antiqua" w:cs="Arial"/>
        </w:rPr>
        <w:t>ne of the purposes</w:t>
      </w:r>
      <w:r w:rsidR="00196D83" w:rsidRPr="00C27E12">
        <w:rPr>
          <w:rFonts w:ascii="Book Antiqua" w:hAnsi="Book Antiqua" w:cs="Arial"/>
        </w:rPr>
        <w:t xml:space="preserve"> of section 117C(7) of the 2002 Act </w:t>
      </w:r>
      <w:r w:rsidR="00C753EE" w:rsidRPr="00C27E12">
        <w:rPr>
          <w:rFonts w:ascii="Book Antiqua" w:hAnsi="Book Antiqua" w:cs="Arial"/>
        </w:rPr>
        <w:t>is to ensure that</w:t>
      </w:r>
      <w:r w:rsidR="00A5417A" w:rsidRPr="00C27E12">
        <w:rPr>
          <w:rFonts w:ascii="Book Antiqua" w:hAnsi="Book Antiqua" w:cs="Arial"/>
        </w:rPr>
        <w:t xml:space="preserve"> </w:t>
      </w:r>
      <w:r w:rsidR="00C43078" w:rsidRPr="00C27E12">
        <w:rPr>
          <w:rFonts w:ascii="Book Antiqua" w:hAnsi="Book Antiqua" w:cs="Arial"/>
        </w:rPr>
        <w:t>the mandatory considerations set out in</w:t>
      </w:r>
      <w:r w:rsidR="00AF613D" w:rsidRPr="00C27E12">
        <w:rPr>
          <w:rFonts w:ascii="Book Antiqua" w:hAnsi="Book Antiqua" w:cs="Arial"/>
        </w:rPr>
        <w:t xml:space="preserve"> subsections (1) to (6) </w:t>
      </w:r>
      <w:r w:rsidR="00AB2392" w:rsidRPr="00C27E12">
        <w:rPr>
          <w:rFonts w:ascii="Book Antiqua" w:hAnsi="Book Antiqua" w:cs="Arial"/>
        </w:rPr>
        <w:t xml:space="preserve">are applied by </w:t>
      </w:r>
      <w:r w:rsidR="00BA79F5">
        <w:rPr>
          <w:rFonts w:ascii="Book Antiqua" w:hAnsi="Book Antiqua" w:cs="Arial"/>
        </w:rPr>
        <w:t>t</w:t>
      </w:r>
      <w:r w:rsidR="00AB2392" w:rsidRPr="00C27E12">
        <w:rPr>
          <w:rFonts w:ascii="Book Antiqua" w:hAnsi="Book Antiqua" w:cs="Arial"/>
        </w:rPr>
        <w:t>ribunals only in</w:t>
      </w:r>
      <w:r w:rsidR="00BA79F5">
        <w:rPr>
          <w:rFonts w:ascii="Book Antiqua" w:hAnsi="Book Antiqua" w:cs="Arial"/>
        </w:rPr>
        <w:t xml:space="preserve"> </w:t>
      </w:r>
      <w:r w:rsidR="00AB2392" w:rsidRPr="00C27E12">
        <w:rPr>
          <w:rFonts w:ascii="Book Antiqua" w:hAnsi="Book Antiqua" w:cs="Arial"/>
        </w:rPr>
        <w:t>so</w:t>
      </w:r>
      <w:r w:rsidR="00BA79F5">
        <w:rPr>
          <w:rFonts w:ascii="Book Antiqua" w:hAnsi="Book Antiqua" w:cs="Arial"/>
        </w:rPr>
        <w:t xml:space="preserve"> </w:t>
      </w:r>
      <w:r w:rsidR="00AB2392" w:rsidRPr="00C27E12">
        <w:rPr>
          <w:rFonts w:ascii="Book Antiqua" w:hAnsi="Book Antiqua" w:cs="Arial"/>
        </w:rPr>
        <w:t>far as the decision under appeal</w:t>
      </w:r>
      <w:r w:rsidR="00FC59D5" w:rsidRPr="00C27E12">
        <w:rPr>
          <w:rFonts w:ascii="Book Antiqua" w:hAnsi="Book Antiqua" w:cs="Arial"/>
        </w:rPr>
        <w:t xml:space="preserve"> is predicated upon a conviction or convictions and </w:t>
      </w:r>
      <w:proofErr w:type="spellStart"/>
      <w:r w:rsidR="00FC59D5" w:rsidRPr="00C27E12">
        <w:rPr>
          <w:rFonts w:ascii="Book Antiqua" w:hAnsi="Book Antiqua" w:cs="Arial"/>
        </w:rPr>
        <w:t>not</w:t>
      </w:r>
      <w:proofErr w:type="spellEnd"/>
      <w:r w:rsidR="00FC59D5" w:rsidRPr="00C27E12">
        <w:rPr>
          <w:rFonts w:ascii="Book Antiqua" w:hAnsi="Book Antiqua" w:cs="Arial"/>
        </w:rPr>
        <w:t xml:space="preserve"> other factors such as</w:t>
      </w:r>
      <w:r w:rsidR="00D74D13" w:rsidRPr="00C27E12">
        <w:rPr>
          <w:rFonts w:ascii="Book Antiqua" w:hAnsi="Book Antiqua" w:cs="Arial"/>
        </w:rPr>
        <w:t xml:space="preserve"> offending which did not lead to a conviction;</w:t>
      </w:r>
    </w:p>
    <w:p w14:paraId="40D4F689" w14:textId="77777777" w:rsidR="005524CF" w:rsidRDefault="005524CF" w:rsidP="005524CF">
      <w:pPr>
        <w:pStyle w:val="ListParagraph"/>
        <w:spacing w:before="240"/>
        <w:ind w:left="1701"/>
        <w:jc w:val="both"/>
        <w:rPr>
          <w:rFonts w:ascii="Book Antiqua" w:hAnsi="Book Antiqua" w:cs="Arial"/>
        </w:rPr>
      </w:pPr>
    </w:p>
    <w:p w14:paraId="67AE998F" w14:textId="0FCAD36C" w:rsidR="00C27E12" w:rsidRDefault="000A7462" w:rsidP="00C27E12">
      <w:pPr>
        <w:pStyle w:val="ListParagraph"/>
        <w:numPr>
          <w:ilvl w:val="2"/>
          <w:numId w:val="15"/>
        </w:numPr>
        <w:spacing w:before="240"/>
        <w:jc w:val="both"/>
        <w:rPr>
          <w:rFonts w:ascii="Book Antiqua" w:hAnsi="Book Antiqua" w:cs="Arial"/>
        </w:rPr>
      </w:pPr>
      <w:r>
        <w:rPr>
          <w:rFonts w:ascii="Book Antiqua" w:hAnsi="Book Antiqua" w:cs="Arial"/>
        </w:rPr>
        <w:t>T</w:t>
      </w:r>
      <w:r w:rsidR="000B6524" w:rsidRPr="00C27E12">
        <w:rPr>
          <w:rFonts w:ascii="Book Antiqua" w:hAnsi="Book Antiqua" w:cs="Arial"/>
        </w:rPr>
        <w:t>he provision also has the effect of ensuring that all convictions</w:t>
      </w:r>
      <w:r w:rsidR="00D85A00" w:rsidRPr="00C27E12">
        <w:rPr>
          <w:rFonts w:ascii="Book Antiqua" w:hAnsi="Book Antiqua" w:cs="Arial"/>
        </w:rPr>
        <w:t xml:space="preserve"> </w:t>
      </w:r>
      <w:r w:rsidR="00BA79F5">
        <w:rPr>
          <w:rFonts w:ascii="Book Antiqua" w:hAnsi="Book Antiqua" w:cs="Arial"/>
        </w:rPr>
        <w:t xml:space="preserve">may in principle be </w:t>
      </w:r>
      <w:r w:rsidR="00D85A00" w:rsidRPr="00C27E12">
        <w:rPr>
          <w:rFonts w:ascii="Book Antiqua" w:hAnsi="Book Antiqua" w:cs="Arial"/>
        </w:rPr>
        <w:t>relevant to an assessment under section 117C</w:t>
      </w:r>
      <w:r w:rsidR="00773574" w:rsidRPr="00C27E12">
        <w:rPr>
          <w:rFonts w:ascii="Book Antiqua" w:hAnsi="Book Antiqua" w:cs="Arial"/>
        </w:rPr>
        <w:t>;</w:t>
      </w:r>
    </w:p>
    <w:p w14:paraId="16AB67C4" w14:textId="77777777" w:rsidR="005524CF" w:rsidRDefault="005524CF" w:rsidP="005524CF">
      <w:pPr>
        <w:pStyle w:val="ListParagraph"/>
        <w:spacing w:before="240"/>
        <w:ind w:left="1701"/>
        <w:jc w:val="both"/>
        <w:rPr>
          <w:rFonts w:ascii="Book Antiqua" w:hAnsi="Book Antiqua" w:cs="Arial"/>
        </w:rPr>
      </w:pPr>
    </w:p>
    <w:p w14:paraId="317C4513" w14:textId="2CD64310" w:rsidR="00C27E12" w:rsidRDefault="000A7462" w:rsidP="00C27E12">
      <w:pPr>
        <w:pStyle w:val="ListParagraph"/>
        <w:numPr>
          <w:ilvl w:val="2"/>
          <w:numId w:val="15"/>
        </w:numPr>
        <w:spacing w:before="240"/>
        <w:jc w:val="both"/>
        <w:rPr>
          <w:rFonts w:ascii="Book Antiqua" w:hAnsi="Book Antiqua" w:cs="Arial"/>
        </w:rPr>
      </w:pPr>
      <w:r>
        <w:rPr>
          <w:rFonts w:ascii="Book Antiqua" w:hAnsi="Book Antiqua" w:cs="Arial"/>
        </w:rPr>
        <w:t>T</w:t>
      </w:r>
      <w:r w:rsidR="00773574" w:rsidRPr="00C27E12">
        <w:rPr>
          <w:rFonts w:ascii="Book Antiqua" w:hAnsi="Book Antiqua" w:cs="Arial"/>
        </w:rPr>
        <w:t>hat</w:t>
      </w:r>
      <w:r w:rsidR="001A63F2" w:rsidRPr="00C27E12">
        <w:rPr>
          <w:rFonts w:ascii="Book Antiqua" w:hAnsi="Book Antiqua" w:cs="Arial"/>
        </w:rPr>
        <w:t xml:space="preserve"> </w:t>
      </w:r>
      <w:r w:rsidR="0080303B" w:rsidRPr="00C27E12">
        <w:rPr>
          <w:rFonts w:ascii="Book Antiqua" w:hAnsi="Book Antiqua" w:cs="Arial"/>
        </w:rPr>
        <w:t xml:space="preserve">“a decision </w:t>
      </w:r>
      <w:r w:rsidR="006C5919" w:rsidRPr="00C27E12">
        <w:rPr>
          <w:rFonts w:ascii="Book Antiqua" w:hAnsi="Book Antiqua" w:cs="Arial"/>
        </w:rPr>
        <w:t xml:space="preserve">to </w:t>
      </w:r>
      <w:r w:rsidR="00324F1E" w:rsidRPr="00C27E12">
        <w:rPr>
          <w:rFonts w:ascii="Book Antiqua" w:hAnsi="Book Antiqua" w:cs="Arial"/>
        </w:rPr>
        <w:t xml:space="preserve">deport a </w:t>
      </w:r>
      <w:r w:rsidR="0080303B" w:rsidRPr="00C27E12">
        <w:rPr>
          <w:rFonts w:ascii="Book Antiqua" w:hAnsi="Book Antiqua" w:cs="Arial"/>
        </w:rPr>
        <w:t>foreign criminal”</w:t>
      </w:r>
      <w:r w:rsidR="00630DB7" w:rsidRPr="00C27E12">
        <w:rPr>
          <w:rFonts w:ascii="Book Antiqua" w:hAnsi="Book Antiqua" w:cs="Arial"/>
        </w:rPr>
        <w:t xml:space="preserve"> </w:t>
      </w:r>
      <w:r w:rsidR="009D7760">
        <w:rPr>
          <w:rFonts w:ascii="Book Antiqua" w:hAnsi="Book Antiqua" w:cs="Arial"/>
        </w:rPr>
        <w:t xml:space="preserve">in section 117C(7) </w:t>
      </w:r>
      <w:r w:rsidR="00630DB7" w:rsidRPr="00C27E12">
        <w:rPr>
          <w:rFonts w:ascii="Book Antiqua" w:hAnsi="Book Antiqua" w:cs="Arial"/>
        </w:rPr>
        <w:t>should be</w:t>
      </w:r>
      <w:r w:rsidR="00333796" w:rsidRPr="00C27E12">
        <w:rPr>
          <w:rFonts w:ascii="Book Antiqua" w:hAnsi="Book Antiqua" w:cs="Arial"/>
        </w:rPr>
        <w:t xml:space="preserve"> read together with the phrase “cases concerning the deportation of foreign criminals” in section 117A</w:t>
      </w:r>
      <w:r w:rsidR="00E96F61" w:rsidRPr="00C27E12">
        <w:rPr>
          <w:rFonts w:ascii="Book Antiqua" w:hAnsi="Book Antiqua" w:cs="Arial"/>
        </w:rPr>
        <w:t>(2)(b): both</w:t>
      </w:r>
      <w:r w:rsidR="00A63B89" w:rsidRPr="00C27E12">
        <w:rPr>
          <w:rFonts w:ascii="Book Antiqua" w:hAnsi="Book Antiqua" w:cs="Arial"/>
        </w:rPr>
        <w:t xml:space="preserve"> should be construed as covering</w:t>
      </w:r>
      <w:r w:rsidR="00095DE3" w:rsidRPr="00C27E12">
        <w:rPr>
          <w:rFonts w:ascii="Book Antiqua" w:hAnsi="Book Antiqua" w:cs="Arial"/>
        </w:rPr>
        <w:t xml:space="preserve"> all aspects of the respondent’s efforts to</w:t>
      </w:r>
      <w:r w:rsidR="00A55772" w:rsidRPr="00C27E12">
        <w:rPr>
          <w:rFonts w:ascii="Book Antiqua" w:hAnsi="Book Antiqua" w:cs="Arial"/>
        </w:rPr>
        <w:t xml:space="preserve"> carry out and maintain deportation action, whether that involves</w:t>
      </w:r>
      <w:r w:rsidR="005B5138" w:rsidRPr="00C27E12">
        <w:rPr>
          <w:rFonts w:ascii="Book Antiqua" w:hAnsi="Book Antiqua" w:cs="Arial"/>
        </w:rPr>
        <w:t xml:space="preserve"> deporting </w:t>
      </w:r>
      <w:r w:rsidR="00B9133A" w:rsidRPr="00C27E12">
        <w:rPr>
          <w:rFonts w:ascii="Book Antiqua" w:hAnsi="Book Antiqua" w:cs="Arial"/>
        </w:rPr>
        <w:t>an</w:t>
      </w:r>
      <w:r w:rsidR="005B5138" w:rsidRPr="00C27E12">
        <w:rPr>
          <w:rFonts w:ascii="Book Antiqua" w:hAnsi="Book Antiqua" w:cs="Arial"/>
        </w:rPr>
        <w:t xml:space="preserve"> individual in the first instance, preventing them from re-entering in breach of deportation order, or</w:t>
      </w:r>
      <w:r w:rsidR="00B9133A" w:rsidRPr="00C27E12">
        <w:rPr>
          <w:rFonts w:ascii="Book Antiqua" w:hAnsi="Book Antiqua" w:cs="Arial"/>
        </w:rPr>
        <w:t xml:space="preserve"> seeking to deport those wh</w:t>
      </w:r>
      <w:r w:rsidR="00860582" w:rsidRPr="00C27E12">
        <w:rPr>
          <w:rFonts w:ascii="Book Antiqua" w:hAnsi="Book Antiqua" w:cs="Arial"/>
        </w:rPr>
        <w:t>o</w:t>
      </w:r>
      <w:r w:rsidR="00B9133A" w:rsidRPr="00C27E12">
        <w:rPr>
          <w:rFonts w:ascii="Book Antiqua" w:hAnsi="Book Antiqua" w:cs="Arial"/>
        </w:rPr>
        <w:t xml:space="preserve"> have managed to re-enter</w:t>
      </w:r>
      <w:r w:rsidR="00860582" w:rsidRPr="00C27E12">
        <w:rPr>
          <w:rFonts w:ascii="Book Antiqua" w:hAnsi="Book Antiqua" w:cs="Arial"/>
        </w:rPr>
        <w:t>;</w:t>
      </w:r>
    </w:p>
    <w:p w14:paraId="6CCDBEEF" w14:textId="77777777" w:rsidR="005524CF" w:rsidRDefault="005524CF" w:rsidP="005524CF">
      <w:pPr>
        <w:pStyle w:val="ListParagraph"/>
        <w:spacing w:before="240"/>
        <w:ind w:left="1701"/>
        <w:jc w:val="both"/>
        <w:rPr>
          <w:rFonts w:ascii="Book Antiqua" w:hAnsi="Book Antiqua" w:cs="Arial"/>
        </w:rPr>
      </w:pPr>
    </w:p>
    <w:p w14:paraId="2B4DF65F" w14:textId="5686883A" w:rsidR="00C27E12" w:rsidRDefault="0015340E" w:rsidP="00C27E12">
      <w:pPr>
        <w:pStyle w:val="ListParagraph"/>
        <w:numPr>
          <w:ilvl w:val="2"/>
          <w:numId w:val="15"/>
        </w:numPr>
        <w:spacing w:before="240"/>
        <w:jc w:val="both"/>
        <w:rPr>
          <w:rFonts w:ascii="Book Antiqua" w:hAnsi="Book Antiqua" w:cs="Arial"/>
        </w:rPr>
      </w:pPr>
      <w:r>
        <w:rPr>
          <w:rFonts w:ascii="Book Antiqua" w:hAnsi="Book Antiqua" w:cs="Arial"/>
        </w:rPr>
        <w:t>I</w:t>
      </w:r>
      <w:r w:rsidR="00624F55" w:rsidRPr="00C27E12">
        <w:rPr>
          <w:rFonts w:ascii="Book Antiqua" w:hAnsi="Book Antiqua" w:cs="Arial"/>
        </w:rPr>
        <w:t xml:space="preserve">n the case of </w:t>
      </w:r>
      <w:r w:rsidR="00583EBD">
        <w:rPr>
          <w:rFonts w:ascii="Book Antiqua" w:hAnsi="Book Antiqua" w:cs="Arial"/>
        </w:rPr>
        <w:t xml:space="preserve">an </w:t>
      </w:r>
      <w:r w:rsidR="00624F55" w:rsidRPr="00C27E12">
        <w:rPr>
          <w:rFonts w:ascii="Book Antiqua" w:hAnsi="Book Antiqua" w:cs="Arial"/>
        </w:rPr>
        <w:t xml:space="preserve">individual who is able to rely on </w:t>
      </w:r>
      <w:r w:rsidR="00F43F6D">
        <w:rPr>
          <w:rFonts w:ascii="Book Antiqua" w:hAnsi="Book Antiqua" w:cs="Arial"/>
        </w:rPr>
        <w:t>either</w:t>
      </w:r>
      <w:r w:rsidR="00624F55" w:rsidRPr="00C27E12">
        <w:rPr>
          <w:rFonts w:ascii="Book Antiqua" w:hAnsi="Book Antiqua" w:cs="Arial"/>
        </w:rPr>
        <w:t xml:space="preserve"> of the two exceptions under section 117C(4)</w:t>
      </w:r>
      <w:r w:rsidR="00B80767" w:rsidRPr="00C27E12">
        <w:rPr>
          <w:rFonts w:ascii="Book Antiqua" w:hAnsi="Book Antiqua" w:cs="Arial"/>
        </w:rPr>
        <w:t xml:space="preserve"> and (5)</w:t>
      </w:r>
      <w:r w:rsidR="009C354F" w:rsidRPr="00C27E12">
        <w:rPr>
          <w:rFonts w:ascii="Book Antiqua" w:hAnsi="Book Antiqua" w:cs="Arial"/>
        </w:rPr>
        <w:t xml:space="preserve"> and in fact satisfies one or both thereof</w:t>
      </w:r>
      <w:r w:rsidR="00B80767" w:rsidRPr="00C27E12">
        <w:rPr>
          <w:rFonts w:ascii="Book Antiqua" w:hAnsi="Book Antiqua" w:cs="Arial"/>
        </w:rPr>
        <w:t>, the effect of section</w:t>
      </w:r>
      <w:r w:rsidR="009C354F" w:rsidRPr="00C27E12">
        <w:rPr>
          <w:rFonts w:ascii="Book Antiqua" w:hAnsi="Book Antiqua" w:cs="Arial"/>
        </w:rPr>
        <w:t xml:space="preserve"> </w:t>
      </w:r>
      <w:r w:rsidR="00B80767" w:rsidRPr="00C27E12">
        <w:rPr>
          <w:rFonts w:ascii="Book Antiqua" w:hAnsi="Book Antiqua" w:cs="Arial"/>
        </w:rPr>
        <w:t xml:space="preserve">117C(3) </w:t>
      </w:r>
      <w:r w:rsidR="009C354F" w:rsidRPr="00C27E12">
        <w:rPr>
          <w:rFonts w:ascii="Book Antiqua" w:hAnsi="Book Antiqua" w:cs="Arial"/>
        </w:rPr>
        <w:t>is that</w:t>
      </w:r>
      <w:r w:rsidR="000E12C7" w:rsidRPr="00C27E12">
        <w:rPr>
          <w:rFonts w:ascii="Book Antiqua" w:hAnsi="Book Antiqua" w:cs="Arial"/>
        </w:rPr>
        <w:t xml:space="preserve"> the public interest does not require deportation and the appeal</w:t>
      </w:r>
      <w:r w:rsidR="00C7303F" w:rsidRPr="00C27E12">
        <w:rPr>
          <w:rFonts w:ascii="Book Antiqua" w:hAnsi="Book Antiqua" w:cs="Arial"/>
        </w:rPr>
        <w:t xml:space="preserve"> </w:t>
      </w:r>
      <w:r w:rsidR="00BA79F5">
        <w:rPr>
          <w:rFonts w:ascii="Book Antiqua" w:hAnsi="Book Antiqua" w:cs="Arial"/>
        </w:rPr>
        <w:t>would fall</w:t>
      </w:r>
      <w:r w:rsidR="00C7303F" w:rsidRPr="00C27E12">
        <w:rPr>
          <w:rFonts w:ascii="Book Antiqua" w:hAnsi="Book Antiqua" w:cs="Arial"/>
        </w:rPr>
        <w:t xml:space="preserve"> to be allowed</w:t>
      </w:r>
      <w:r w:rsidR="000E12C7" w:rsidRPr="00C27E12">
        <w:rPr>
          <w:rFonts w:ascii="Book Antiqua" w:hAnsi="Book Antiqua" w:cs="Arial"/>
        </w:rPr>
        <w:t>;</w:t>
      </w:r>
    </w:p>
    <w:p w14:paraId="53DF68F6" w14:textId="77777777" w:rsidR="005524CF" w:rsidRDefault="005524CF" w:rsidP="005524CF">
      <w:pPr>
        <w:pStyle w:val="ListParagraph"/>
        <w:spacing w:before="240"/>
        <w:ind w:left="1701"/>
        <w:jc w:val="both"/>
        <w:rPr>
          <w:rFonts w:ascii="Book Antiqua" w:hAnsi="Book Antiqua" w:cs="Arial"/>
        </w:rPr>
      </w:pPr>
    </w:p>
    <w:p w14:paraId="1B3F62D2" w14:textId="5722965D" w:rsidR="000E12C7" w:rsidRPr="00C27E12" w:rsidRDefault="0015340E" w:rsidP="00C27E12">
      <w:pPr>
        <w:pStyle w:val="ListParagraph"/>
        <w:numPr>
          <w:ilvl w:val="2"/>
          <w:numId w:val="15"/>
        </w:numPr>
        <w:spacing w:before="240"/>
        <w:jc w:val="both"/>
        <w:rPr>
          <w:rFonts w:ascii="Book Antiqua" w:hAnsi="Book Antiqua" w:cs="Arial"/>
        </w:rPr>
      </w:pPr>
      <w:r>
        <w:rPr>
          <w:rFonts w:ascii="Book Antiqua" w:hAnsi="Book Antiqua" w:cs="Arial"/>
        </w:rPr>
        <w:t>T</w:t>
      </w:r>
      <w:r w:rsidR="00C7303F" w:rsidRPr="00C27E12">
        <w:rPr>
          <w:rFonts w:ascii="Book Antiqua" w:hAnsi="Book Antiqua" w:cs="Arial"/>
        </w:rPr>
        <w:t xml:space="preserve">he Rules play no part in the assessment of </w:t>
      </w:r>
      <w:r w:rsidR="009F2379" w:rsidRPr="00C27E12">
        <w:rPr>
          <w:rFonts w:ascii="Book Antiqua" w:hAnsi="Book Antiqua" w:cs="Arial"/>
        </w:rPr>
        <w:t>undue harshness under section 117C(5)</w:t>
      </w:r>
      <w:r w:rsidR="00FD7992" w:rsidRPr="00C27E12">
        <w:rPr>
          <w:rFonts w:ascii="Book Antiqua" w:hAnsi="Book Antiqua" w:cs="Arial"/>
        </w:rPr>
        <w:t xml:space="preserve"> and are only of relevance where</w:t>
      </w:r>
      <w:r w:rsidR="00FE1BCC" w:rsidRPr="00C27E12">
        <w:rPr>
          <w:rFonts w:ascii="Book Antiqua" w:hAnsi="Book Antiqua" w:cs="Arial"/>
        </w:rPr>
        <w:t xml:space="preserve"> </w:t>
      </w:r>
      <w:r w:rsidR="004B2550">
        <w:rPr>
          <w:rFonts w:ascii="Book Antiqua" w:hAnsi="Book Antiqua" w:cs="Arial"/>
        </w:rPr>
        <w:t>a</w:t>
      </w:r>
      <w:r w:rsidR="00FE1BCC" w:rsidRPr="00C27E12">
        <w:rPr>
          <w:rFonts w:ascii="Book Antiqua" w:hAnsi="Book Antiqua" w:cs="Arial"/>
        </w:rPr>
        <w:t xml:space="preserve"> tribunal is considering section 117C(6) in so far as they</w:t>
      </w:r>
      <w:r w:rsidR="00343463" w:rsidRPr="00C27E12">
        <w:rPr>
          <w:rFonts w:ascii="Book Antiqua" w:hAnsi="Book Antiqua" w:cs="Arial"/>
        </w:rPr>
        <w:t xml:space="preserve"> provide “further insight into the character of the public interest”. Even then, it is the</w:t>
      </w:r>
      <w:r w:rsidR="00DD3245" w:rsidRPr="00C27E12">
        <w:rPr>
          <w:rFonts w:ascii="Book Antiqua" w:hAnsi="Book Antiqua" w:cs="Arial"/>
        </w:rPr>
        <w:t xml:space="preserve"> very compelling circumstances test which must be applied rather than the</w:t>
      </w:r>
      <w:r w:rsidR="00276FE4" w:rsidRPr="00C27E12">
        <w:rPr>
          <w:rFonts w:ascii="Book Antiqua" w:hAnsi="Book Antiqua" w:cs="Arial"/>
        </w:rPr>
        <w:t xml:space="preserve"> very exceptional circumstances threshold under paragraph 399D of the Rules.</w:t>
      </w:r>
    </w:p>
    <w:p w14:paraId="26A07A5C" w14:textId="186ACFDA" w:rsidR="00A17E57" w:rsidRDefault="00216989" w:rsidP="00865BFE">
      <w:pPr>
        <w:numPr>
          <w:ilvl w:val="0"/>
          <w:numId w:val="18"/>
        </w:numPr>
        <w:spacing w:before="240"/>
        <w:jc w:val="both"/>
        <w:rPr>
          <w:rFonts w:ascii="Book Antiqua" w:hAnsi="Book Antiqua" w:cs="Arial"/>
        </w:rPr>
      </w:pPr>
      <w:r>
        <w:rPr>
          <w:rFonts w:ascii="Book Antiqua" w:hAnsi="Book Antiqua" w:cs="Arial"/>
        </w:rPr>
        <w:t xml:space="preserve">Mr Malik </w:t>
      </w:r>
      <w:r w:rsidR="00E8068D">
        <w:rPr>
          <w:rFonts w:ascii="Book Antiqua" w:hAnsi="Book Antiqua" w:cs="Arial"/>
        </w:rPr>
        <w:t xml:space="preserve">again agreed with Mr Jarvis’ position. </w:t>
      </w:r>
      <w:r w:rsidR="00AA73F2">
        <w:rPr>
          <w:rFonts w:ascii="Book Antiqua" w:hAnsi="Book Antiqua" w:cs="Arial"/>
        </w:rPr>
        <w:t xml:space="preserve">Relying on </w:t>
      </w:r>
      <w:r w:rsidR="00AA73F2" w:rsidRPr="00242812">
        <w:rPr>
          <w:rFonts w:ascii="Book Antiqua" w:hAnsi="Book Antiqua" w:cs="Arial"/>
          <w:u w:val="single"/>
        </w:rPr>
        <w:t>CI (Nigeria)</w:t>
      </w:r>
      <w:r w:rsidR="00AA73F2">
        <w:rPr>
          <w:rFonts w:ascii="Book Antiqua" w:hAnsi="Book Antiqua" w:cs="Arial"/>
        </w:rPr>
        <w:t xml:space="preserve">, </w:t>
      </w:r>
      <w:r w:rsidR="00E8068D">
        <w:rPr>
          <w:rFonts w:ascii="Book Antiqua" w:hAnsi="Book Antiqua" w:cs="Arial"/>
        </w:rPr>
        <w:t>he</w:t>
      </w:r>
      <w:r w:rsidR="00AA73F2">
        <w:rPr>
          <w:rFonts w:ascii="Book Antiqua" w:hAnsi="Book Antiqua" w:cs="Arial"/>
        </w:rPr>
        <w:t xml:space="preserve"> submitted that</w:t>
      </w:r>
      <w:r w:rsidR="0047745F">
        <w:rPr>
          <w:rFonts w:ascii="Book Antiqua" w:hAnsi="Book Antiqua" w:cs="Arial"/>
        </w:rPr>
        <w:t xml:space="preserve"> the provisions of Part 5A of the 2002 Act established a structured approach</w:t>
      </w:r>
      <w:r w:rsidR="00BE04DD">
        <w:rPr>
          <w:rFonts w:ascii="Book Antiqua" w:hAnsi="Book Antiqua" w:cs="Arial"/>
        </w:rPr>
        <w:t xml:space="preserve"> which would produce in all cases a final result compatible with Article 8. This approach, it is said, </w:t>
      </w:r>
      <w:r w:rsidR="00271D2C">
        <w:rPr>
          <w:rFonts w:ascii="Book Antiqua" w:hAnsi="Book Antiqua" w:cs="Arial"/>
        </w:rPr>
        <w:t>applies</w:t>
      </w:r>
      <w:r w:rsidR="00BE04DD">
        <w:rPr>
          <w:rFonts w:ascii="Book Antiqua" w:hAnsi="Book Antiqua" w:cs="Arial"/>
        </w:rPr>
        <w:t xml:space="preserve"> to all foreign criminals, including those who re-enter the United Kingdom in breach of a deportation order.</w:t>
      </w:r>
      <w:r w:rsidR="00ED048B">
        <w:rPr>
          <w:rFonts w:ascii="Book Antiqua" w:hAnsi="Book Antiqua" w:cs="Arial"/>
        </w:rPr>
        <w:t xml:space="preserve"> He then posited</w:t>
      </w:r>
      <w:r w:rsidR="008F3F07">
        <w:rPr>
          <w:rFonts w:ascii="Book Antiqua" w:hAnsi="Book Antiqua" w:cs="Arial"/>
        </w:rPr>
        <w:t xml:space="preserve"> two</w:t>
      </w:r>
      <w:r w:rsidR="00307B2A">
        <w:rPr>
          <w:rFonts w:ascii="Book Antiqua" w:hAnsi="Book Antiqua" w:cs="Arial"/>
        </w:rPr>
        <w:t xml:space="preserve"> solutions to the question posed by the substantive issue</w:t>
      </w:r>
      <w:r w:rsidR="001F46F0">
        <w:rPr>
          <w:rFonts w:ascii="Book Antiqua" w:hAnsi="Book Antiqua" w:cs="Arial"/>
        </w:rPr>
        <w:t>:</w:t>
      </w:r>
    </w:p>
    <w:p w14:paraId="16D6A8A0" w14:textId="4B2E272E" w:rsidR="00EA7C2F" w:rsidRDefault="007D0497" w:rsidP="00EA7C2F">
      <w:pPr>
        <w:pStyle w:val="ListParagraph"/>
        <w:numPr>
          <w:ilvl w:val="2"/>
          <w:numId w:val="16"/>
        </w:numPr>
        <w:spacing w:before="240"/>
        <w:jc w:val="both"/>
        <w:rPr>
          <w:rFonts w:ascii="Book Antiqua" w:hAnsi="Book Antiqua" w:cs="Arial"/>
        </w:rPr>
      </w:pPr>
      <w:r>
        <w:rPr>
          <w:rFonts w:ascii="Book Antiqua" w:hAnsi="Book Antiqua" w:cs="Arial"/>
        </w:rPr>
        <w:t>F</w:t>
      </w:r>
      <w:r w:rsidR="009540BC" w:rsidRPr="00EA7C2F">
        <w:rPr>
          <w:rFonts w:ascii="Book Antiqua" w:hAnsi="Book Antiqua" w:cs="Arial"/>
        </w:rPr>
        <w:t>or the purpose of paragraph 399D of the Rules</w:t>
      </w:r>
      <w:r>
        <w:rPr>
          <w:rFonts w:ascii="Book Antiqua" w:hAnsi="Book Antiqua" w:cs="Arial"/>
        </w:rPr>
        <w:t>, “</w:t>
      </w:r>
      <w:r w:rsidRPr="00EA7C2F">
        <w:rPr>
          <w:rFonts w:ascii="Book Antiqua" w:hAnsi="Book Antiqua" w:cs="Arial"/>
        </w:rPr>
        <w:t xml:space="preserve">very exceptional circumstances” </w:t>
      </w:r>
      <w:r w:rsidR="009540BC" w:rsidRPr="00EA7C2F">
        <w:rPr>
          <w:rFonts w:ascii="Book Antiqua" w:hAnsi="Book Antiqua" w:cs="Arial"/>
        </w:rPr>
        <w:t xml:space="preserve">will exist in a case where </w:t>
      </w:r>
      <w:r w:rsidR="004B1DBB">
        <w:rPr>
          <w:rFonts w:ascii="Book Antiqua" w:hAnsi="Book Antiqua" w:cs="Arial"/>
        </w:rPr>
        <w:t>either</w:t>
      </w:r>
      <w:r w:rsidR="009540BC" w:rsidRPr="00EA7C2F">
        <w:rPr>
          <w:rFonts w:ascii="Book Antiqua" w:hAnsi="Book Antiqua" w:cs="Arial"/>
        </w:rPr>
        <w:t xml:space="preserve"> of the two exceptions in section 117C(5) and (6) of the</w:t>
      </w:r>
      <w:r w:rsidR="002A6B00" w:rsidRPr="00EA7C2F">
        <w:rPr>
          <w:rFonts w:ascii="Book Antiqua" w:hAnsi="Book Antiqua" w:cs="Arial"/>
        </w:rPr>
        <w:t xml:space="preserve"> 2002 Act applies; or</w:t>
      </w:r>
    </w:p>
    <w:p w14:paraId="2A8E3CEB" w14:textId="77777777" w:rsidR="00EA7C2F" w:rsidRDefault="00EA7C2F" w:rsidP="00EA7C2F">
      <w:pPr>
        <w:pStyle w:val="ListParagraph"/>
        <w:spacing w:before="240"/>
        <w:ind w:left="1701"/>
        <w:jc w:val="both"/>
        <w:rPr>
          <w:rFonts w:ascii="Book Antiqua" w:hAnsi="Book Antiqua" w:cs="Arial"/>
        </w:rPr>
      </w:pPr>
    </w:p>
    <w:p w14:paraId="4B839649" w14:textId="2F1A7AC0" w:rsidR="002A6B00" w:rsidRPr="00EA7C2F" w:rsidRDefault="007D0497" w:rsidP="00EA7C2F">
      <w:pPr>
        <w:pStyle w:val="ListParagraph"/>
        <w:numPr>
          <w:ilvl w:val="2"/>
          <w:numId w:val="16"/>
        </w:numPr>
        <w:spacing w:before="240"/>
        <w:jc w:val="both"/>
        <w:rPr>
          <w:rFonts w:ascii="Book Antiqua" w:hAnsi="Book Antiqua" w:cs="Arial"/>
        </w:rPr>
      </w:pPr>
      <w:r>
        <w:rPr>
          <w:rFonts w:ascii="Book Antiqua" w:hAnsi="Book Antiqua" w:cs="Arial"/>
        </w:rPr>
        <w:t>W</w:t>
      </w:r>
      <w:r w:rsidR="00305914" w:rsidRPr="00EA7C2F">
        <w:rPr>
          <w:rFonts w:ascii="Book Antiqua" w:hAnsi="Book Antiqua" w:cs="Arial"/>
        </w:rPr>
        <w:t xml:space="preserve">here </w:t>
      </w:r>
      <w:r w:rsidR="00AF2B61">
        <w:rPr>
          <w:rFonts w:ascii="Book Antiqua" w:hAnsi="Book Antiqua" w:cs="Arial"/>
        </w:rPr>
        <w:t>either</w:t>
      </w:r>
      <w:r w:rsidR="00305914" w:rsidRPr="00EA7C2F">
        <w:rPr>
          <w:rFonts w:ascii="Book Antiqua" w:hAnsi="Book Antiqua" w:cs="Arial"/>
        </w:rPr>
        <w:t xml:space="preserve"> of the two exceptions in section 117C(5) and (6) of the 2002 Act apply</w:t>
      </w:r>
      <w:r w:rsidR="008A4B9B" w:rsidRPr="00EA7C2F">
        <w:rPr>
          <w:rFonts w:ascii="Book Antiqua" w:hAnsi="Book Antiqua" w:cs="Arial"/>
        </w:rPr>
        <w:t>, the appeal will succeed even if there are no “very exceptional circumstances” for the purposes of paragraph 399D of the Rules</w:t>
      </w:r>
    </w:p>
    <w:p w14:paraId="7B884113" w14:textId="48A5026D" w:rsidR="00C60865" w:rsidRDefault="00E87B45" w:rsidP="00865BFE">
      <w:pPr>
        <w:numPr>
          <w:ilvl w:val="0"/>
          <w:numId w:val="18"/>
        </w:numPr>
        <w:spacing w:before="240"/>
        <w:jc w:val="both"/>
        <w:rPr>
          <w:rFonts w:ascii="Book Antiqua" w:hAnsi="Book Antiqua" w:cs="Arial"/>
        </w:rPr>
      </w:pPr>
      <w:r>
        <w:rPr>
          <w:rFonts w:ascii="Book Antiqua" w:hAnsi="Book Antiqua" w:cs="Arial"/>
        </w:rPr>
        <w:t>Strictly speaking, the two exceptions arise under subsection</w:t>
      </w:r>
      <w:r w:rsidR="00F17CCE">
        <w:rPr>
          <w:rFonts w:ascii="Book Antiqua" w:hAnsi="Book Antiqua" w:cs="Arial"/>
        </w:rPr>
        <w:t>s</w:t>
      </w:r>
      <w:r>
        <w:rPr>
          <w:rFonts w:ascii="Book Antiqua" w:hAnsi="Book Antiqua" w:cs="Arial"/>
        </w:rPr>
        <w:t xml:space="preserve"> (4) and (5), not (6)</w:t>
      </w:r>
      <w:r w:rsidR="00F17CCE">
        <w:rPr>
          <w:rFonts w:ascii="Book Antiqua" w:hAnsi="Book Antiqua" w:cs="Arial"/>
        </w:rPr>
        <w:t>, although the point being made by Mr Malik is clear enough</w:t>
      </w:r>
      <w:r w:rsidR="00900AC6">
        <w:rPr>
          <w:rFonts w:ascii="Book Antiqua" w:hAnsi="Book Antiqua" w:cs="Arial"/>
        </w:rPr>
        <w:t>: an ability</w:t>
      </w:r>
      <w:r w:rsidR="00B75682">
        <w:rPr>
          <w:rFonts w:ascii="Book Antiqua" w:hAnsi="Book Antiqua" w:cs="Arial"/>
        </w:rPr>
        <w:t xml:space="preserve"> to satisfy any of the criteria</w:t>
      </w:r>
      <w:r w:rsidR="00433769">
        <w:rPr>
          <w:rFonts w:ascii="Book Antiqua" w:hAnsi="Book Antiqua" w:cs="Arial"/>
        </w:rPr>
        <w:t xml:space="preserve"> </w:t>
      </w:r>
      <w:r w:rsidR="00EA7C2F">
        <w:rPr>
          <w:rFonts w:ascii="Book Antiqua" w:hAnsi="Book Antiqua" w:cs="Arial"/>
        </w:rPr>
        <w:t xml:space="preserve">in </w:t>
      </w:r>
      <w:r w:rsidR="00433769">
        <w:rPr>
          <w:rFonts w:ascii="Book Antiqua" w:hAnsi="Book Antiqua" w:cs="Arial"/>
        </w:rPr>
        <w:t xml:space="preserve">these subsections will be determinative of an appeal without </w:t>
      </w:r>
      <w:r w:rsidR="001C0F73">
        <w:rPr>
          <w:rFonts w:ascii="Book Antiqua" w:hAnsi="Book Antiqua" w:cs="Arial"/>
        </w:rPr>
        <w:t>needing to have</w:t>
      </w:r>
      <w:r w:rsidR="00433769">
        <w:rPr>
          <w:rFonts w:ascii="Book Antiqua" w:hAnsi="Book Antiqua" w:cs="Arial"/>
        </w:rPr>
        <w:t xml:space="preserve"> recourse to the provisions of the Rules.</w:t>
      </w:r>
    </w:p>
    <w:p w14:paraId="56D15D3A" w14:textId="0D0560A1" w:rsidR="00902C20" w:rsidRDefault="008267CE" w:rsidP="00865BFE">
      <w:pPr>
        <w:numPr>
          <w:ilvl w:val="0"/>
          <w:numId w:val="18"/>
        </w:numPr>
        <w:spacing w:before="240"/>
        <w:jc w:val="both"/>
        <w:rPr>
          <w:rFonts w:ascii="Book Antiqua" w:hAnsi="Book Antiqua" w:cs="Arial"/>
        </w:rPr>
      </w:pPr>
      <w:r>
        <w:rPr>
          <w:rFonts w:ascii="Book Antiqua" w:hAnsi="Book Antiqua" w:cs="Arial"/>
        </w:rPr>
        <w:t>In our judgment, the collective position of the parties</w:t>
      </w:r>
      <w:r w:rsidR="0076272E">
        <w:rPr>
          <w:rFonts w:ascii="Book Antiqua" w:hAnsi="Book Antiqua" w:cs="Arial"/>
        </w:rPr>
        <w:t xml:space="preserve"> on the substantive issue in this appeal is </w:t>
      </w:r>
      <w:r w:rsidR="00BD3949">
        <w:rPr>
          <w:rFonts w:ascii="Book Antiqua" w:hAnsi="Book Antiqua" w:cs="Arial"/>
        </w:rPr>
        <w:t xml:space="preserve">essentially </w:t>
      </w:r>
      <w:r w:rsidR="0076272E">
        <w:rPr>
          <w:rFonts w:ascii="Book Antiqua" w:hAnsi="Book Antiqua" w:cs="Arial"/>
        </w:rPr>
        <w:t>correct</w:t>
      </w:r>
      <w:r w:rsidR="00B107B8">
        <w:rPr>
          <w:rFonts w:ascii="Book Antiqua" w:hAnsi="Book Antiqua" w:cs="Arial"/>
        </w:rPr>
        <w:t xml:space="preserve"> and our initial concern (</w:t>
      </w:r>
      <w:r w:rsidR="001E5EC4">
        <w:rPr>
          <w:rFonts w:ascii="Book Antiqua" w:hAnsi="Book Antiqua" w:cs="Arial"/>
        </w:rPr>
        <w:t>set out in paragraph</w:t>
      </w:r>
      <w:r w:rsidR="00005C7E">
        <w:rPr>
          <w:rFonts w:ascii="Book Antiqua" w:hAnsi="Book Antiqua" w:cs="Arial"/>
        </w:rPr>
        <w:t xml:space="preserve"> </w:t>
      </w:r>
      <w:r w:rsidR="00C67D35">
        <w:rPr>
          <w:rFonts w:ascii="Book Antiqua" w:hAnsi="Book Antiqua" w:cs="Arial"/>
        </w:rPr>
        <w:t>7</w:t>
      </w:r>
      <w:r w:rsidR="00E2389D">
        <w:rPr>
          <w:rFonts w:ascii="Book Antiqua" w:hAnsi="Book Antiqua" w:cs="Arial"/>
        </w:rPr>
        <w:t>1</w:t>
      </w:r>
      <w:r w:rsidR="00005C7E">
        <w:rPr>
          <w:rFonts w:ascii="Book Antiqua" w:hAnsi="Book Antiqua" w:cs="Arial"/>
        </w:rPr>
        <w:t>,</w:t>
      </w:r>
      <w:r w:rsidR="001E5EC4">
        <w:rPr>
          <w:rFonts w:ascii="Book Antiqua" w:hAnsi="Book Antiqua" w:cs="Arial"/>
        </w:rPr>
        <w:t xml:space="preserve"> above) falls away.</w:t>
      </w:r>
      <w:r w:rsidR="00902C20">
        <w:rPr>
          <w:rFonts w:ascii="Book Antiqua" w:hAnsi="Book Antiqua" w:cs="Arial"/>
        </w:rPr>
        <w:t xml:space="preserve"> </w:t>
      </w:r>
      <w:r w:rsidR="00057127">
        <w:rPr>
          <w:rFonts w:ascii="Book Antiqua" w:hAnsi="Book Antiqua" w:cs="Arial"/>
        </w:rPr>
        <w:t>Our reasons for reaching this conclusion are as follows.</w:t>
      </w:r>
    </w:p>
    <w:p w14:paraId="4B0FE1A3" w14:textId="61DD9737" w:rsidR="007D15F3" w:rsidRDefault="00730C93" w:rsidP="00865BFE">
      <w:pPr>
        <w:numPr>
          <w:ilvl w:val="0"/>
          <w:numId w:val="18"/>
        </w:numPr>
        <w:spacing w:before="240"/>
        <w:jc w:val="both"/>
        <w:rPr>
          <w:rFonts w:ascii="Book Antiqua" w:hAnsi="Book Antiqua" w:cs="Arial"/>
        </w:rPr>
      </w:pPr>
      <w:r>
        <w:rPr>
          <w:rFonts w:ascii="Book Antiqua" w:hAnsi="Book Antiqua" w:cs="Arial"/>
        </w:rPr>
        <w:t xml:space="preserve">By virtue of </w:t>
      </w:r>
      <w:r w:rsidR="00ED5219">
        <w:rPr>
          <w:rFonts w:ascii="Book Antiqua" w:hAnsi="Book Antiqua" w:cs="Arial"/>
        </w:rPr>
        <w:t>section 117A(1)</w:t>
      </w:r>
      <w:r w:rsidR="00452A74">
        <w:rPr>
          <w:rFonts w:ascii="Book Antiqua" w:hAnsi="Book Antiqua" w:cs="Arial"/>
        </w:rPr>
        <w:t xml:space="preserve"> </w:t>
      </w:r>
      <w:r w:rsidR="00AB19E5">
        <w:rPr>
          <w:rFonts w:ascii="Book Antiqua" w:hAnsi="Book Antiqua" w:cs="Arial"/>
        </w:rPr>
        <w:t xml:space="preserve">of the 2002 Act </w:t>
      </w:r>
      <w:r w:rsidR="00452A74">
        <w:rPr>
          <w:rFonts w:ascii="Book Antiqua" w:hAnsi="Book Antiqua" w:cs="Arial"/>
        </w:rPr>
        <w:t xml:space="preserve">a tribunal </w:t>
      </w:r>
      <w:r w:rsidR="00AB19E5">
        <w:rPr>
          <w:rFonts w:ascii="Book Antiqua" w:hAnsi="Book Antiqua" w:cs="Arial"/>
        </w:rPr>
        <w:t>is bound to</w:t>
      </w:r>
      <w:r w:rsidR="00452A74">
        <w:rPr>
          <w:rFonts w:ascii="Book Antiqua" w:hAnsi="Book Antiqua" w:cs="Arial"/>
        </w:rPr>
        <w:t xml:space="preserve"> apply </w:t>
      </w:r>
      <w:r w:rsidR="00005C7E">
        <w:rPr>
          <w:rFonts w:ascii="Book Antiqua" w:hAnsi="Book Antiqua" w:cs="Arial"/>
        </w:rPr>
        <w:t>the</w:t>
      </w:r>
      <w:r w:rsidR="00452A74">
        <w:rPr>
          <w:rFonts w:ascii="Book Antiqua" w:hAnsi="Book Antiqua" w:cs="Arial"/>
        </w:rPr>
        <w:t xml:space="preserve"> </w:t>
      </w:r>
      <w:r w:rsidR="0067406C">
        <w:rPr>
          <w:rFonts w:ascii="Book Antiqua" w:hAnsi="Book Antiqua" w:cs="Arial"/>
        </w:rPr>
        <w:t>provisions of primary legislation</w:t>
      </w:r>
      <w:r w:rsidR="00D709C3">
        <w:rPr>
          <w:rFonts w:ascii="Book Antiqua" w:hAnsi="Book Antiqua" w:cs="Arial"/>
        </w:rPr>
        <w:t>, as set out in sections 117B and 117C,</w:t>
      </w:r>
      <w:r w:rsidR="0067406C">
        <w:rPr>
          <w:rFonts w:ascii="Book Antiqua" w:hAnsi="Book Antiqua" w:cs="Arial"/>
        </w:rPr>
        <w:t xml:space="preserve"> when determining </w:t>
      </w:r>
      <w:r w:rsidR="00311779">
        <w:rPr>
          <w:rFonts w:ascii="Book Antiqua" w:hAnsi="Book Antiqua" w:cs="Arial"/>
        </w:rPr>
        <w:t>an appeal</w:t>
      </w:r>
      <w:r w:rsidR="00F772CD">
        <w:rPr>
          <w:rFonts w:ascii="Book Antiqua" w:hAnsi="Book Antiqua" w:cs="Arial"/>
        </w:rPr>
        <w:t xml:space="preserve"> concerning Article 8</w:t>
      </w:r>
      <w:r w:rsidR="00311779">
        <w:rPr>
          <w:rFonts w:ascii="Book Antiqua" w:hAnsi="Book Antiqua" w:cs="Arial"/>
        </w:rPr>
        <w:t xml:space="preserve">. </w:t>
      </w:r>
      <w:r w:rsidR="00FC4D6C">
        <w:rPr>
          <w:rFonts w:ascii="Book Antiqua" w:hAnsi="Book Antiqua" w:cs="Arial"/>
        </w:rPr>
        <w:t xml:space="preserve">In </w:t>
      </w:r>
      <w:r w:rsidR="00AB358D">
        <w:rPr>
          <w:rFonts w:ascii="Book Antiqua" w:hAnsi="Book Antiqua" w:cs="Arial"/>
        </w:rPr>
        <w:t xml:space="preserve">cases concerning the deportation of </w:t>
      </w:r>
      <w:r w:rsidR="007168EF">
        <w:rPr>
          <w:rFonts w:ascii="Book Antiqua" w:hAnsi="Book Antiqua" w:cs="Arial"/>
        </w:rPr>
        <w:t xml:space="preserve">a </w:t>
      </w:r>
      <w:r w:rsidR="00AB358D">
        <w:rPr>
          <w:rFonts w:ascii="Book Antiqua" w:hAnsi="Book Antiqua" w:cs="Arial"/>
        </w:rPr>
        <w:t>foreign criminal (as defined), it is clear</w:t>
      </w:r>
      <w:r w:rsidR="00F638B2">
        <w:rPr>
          <w:rFonts w:ascii="Book Antiqua" w:hAnsi="Book Antiqua" w:cs="Arial"/>
        </w:rPr>
        <w:t xml:space="preserve"> from section 117A(2)(b) of the 2002 Act that the core</w:t>
      </w:r>
      <w:r w:rsidR="00576F2F">
        <w:rPr>
          <w:rFonts w:ascii="Book Antiqua" w:hAnsi="Book Antiqua" w:cs="Arial"/>
        </w:rPr>
        <w:t xml:space="preserve"> legislative provisions</w:t>
      </w:r>
      <w:r w:rsidR="00A86136">
        <w:rPr>
          <w:rFonts w:ascii="Book Antiqua" w:hAnsi="Book Antiqua" w:cs="Arial"/>
        </w:rPr>
        <w:t xml:space="preserve"> are those set out in section 117C.</w:t>
      </w:r>
      <w:r w:rsidR="006B2CB7">
        <w:rPr>
          <w:rFonts w:ascii="Book Antiqua" w:hAnsi="Book Antiqua" w:cs="Arial"/>
        </w:rPr>
        <w:t xml:space="preserve"> </w:t>
      </w:r>
      <w:r w:rsidR="00236049">
        <w:rPr>
          <w:rFonts w:ascii="Book Antiqua" w:hAnsi="Book Antiqua" w:cs="Arial"/>
        </w:rPr>
        <w:t xml:space="preserve">It is now well-established that </w:t>
      </w:r>
      <w:r w:rsidR="008D77FC">
        <w:rPr>
          <w:rFonts w:ascii="Book Antiqua" w:hAnsi="Book Antiqua" w:cs="Arial"/>
        </w:rPr>
        <w:t>these provisions</w:t>
      </w:r>
      <w:r w:rsidR="0066386B">
        <w:rPr>
          <w:rFonts w:ascii="Book Antiqua" w:hAnsi="Book Antiqua" w:cs="Arial"/>
        </w:rPr>
        <w:t xml:space="preserve"> provide a structured approach to the application of Article 8 which will produce in all cases a final result compatible with</w:t>
      </w:r>
      <w:r w:rsidR="00A87B5A">
        <w:rPr>
          <w:rFonts w:ascii="Book Antiqua" w:hAnsi="Book Antiqua" w:cs="Arial"/>
        </w:rPr>
        <w:t xml:space="preserve"> protected rights (see for example </w:t>
      </w:r>
      <w:r w:rsidR="00A87B5A" w:rsidRPr="003D7FD8">
        <w:rPr>
          <w:rFonts w:ascii="Book Antiqua" w:hAnsi="Book Antiqua" w:cs="Arial"/>
          <w:u w:val="single"/>
        </w:rPr>
        <w:t>NE-A (Nigeria)</w:t>
      </w:r>
      <w:r w:rsidR="0057736C">
        <w:rPr>
          <w:rFonts w:ascii="Book Antiqua" w:hAnsi="Book Antiqua" w:cs="Arial"/>
        </w:rPr>
        <w:t xml:space="preserve"> [2017] EWCA Civ 239, </w:t>
      </w:r>
      <w:r w:rsidR="004C3169">
        <w:rPr>
          <w:rFonts w:ascii="Book Antiqua" w:hAnsi="Book Antiqua" w:cs="Arial"/>
        </w:rPr>
        <w:t>a</w:t>
      </w:r>
      <w:r w:rsidR="0057736C">
        <w:rPr>
          <w:rFonts w:ascii="Book Antiqua" w:hAnsi="Book Antiqua" w:cs="Arial"/>
        </w:rPr>
        <w:t>t paragraph 14, and</w:t>
      </w:r>
      <w:r w:rsidR="003D7FD8">
        <w:rPr>
          <w:rFonts w:ascii="Book Antiqua" w:hAnsi="Book Antiqua" w:cs="Arial"/>
        </w:rPr>
        <w:t xml:space="preserve"> </w:t>
      </w:r>
      <w:r w:rsidR="003D7FD8" w:rsidRPr="003D7FD8">
        <w:rPr>
          <w:rFonts w:ascii="Book Antiqua" w:hAnsi="Book Antiqua" w:cs="Arial"/>
          <w:u w:val="single"/>
        </w:rPr>
        <w:t>CI (Nigeria)</w:t>
      </w:r>
      <w:r w:rsidR="003D7FD8">
        <w:rPr>
          <w:rFonts w:ascii="Book Antiqua" w:hAnsi="Book Antiqua" w:cs="Arial"/>
        </w:rPr>
        <w:t>, at paragraph 20).</w:t>
      </w:r>
    </w:p>
    <w:p w14:paraId="4CA194DC" w14:textId="0CFF16B7" w:rsidR="0014028B" w:rsidRDefault="006B2CB7" w:rsidP="00865BFE">
      <w:pPr>
        <w:numPr>
          <w:ilvl w:val="0"/>
          <w:numId w:val="18"/>
        </w:numPr>
        <w:spacing w:before="240"/>
        <w:jc w:val="both"/>
        <w:rPr>
          <w:rFonts w:ascii="Book Antiqua" w:hAnsi="Book Antiqua" w:cs="Arial"/>
        </w:rPr>
      </w:pPr>
      <w:r>
        <w:rPr>
          <w:rFonts w:ascii="Book Antiqua" w:hAnsi="Book Antiqua" w:cs="Arial"/>
        </w:rPr>
        <w:t>By contrast, the</w:t>
      </w:r>
      <w:r w:rsidR="00C068FD">
        <w:rPr>
          <w:rFonts w:ascii="Book Antiqua" w:hAnsi="Book Antiqua" w:cs="Arial"/>
        </w:rPr>
        <w:t xml:space="preserve"> </w:t>
      </w:r>
      <w:r w:rsidR="00BC6125">
        <w:rPr>
          <w:rFonts w:ascii="Book Antiqua" w:hAnsi="Book Antiqua" w:cs="Arial"/>
        </w:rPr>
        <w:t xml:space="preserve">relevant </w:t>
      </w:r>
      <w:r w:rsidR="00C068FD">
        <w:rPr>
          <w:rFonts w:ascii="Book Antiqua" w:hAnsi="Book Antiqua" w:cs="Arial"/>
        </w:rPr>
        <w:t>Rules are not legislation</w:t>
      </w:r>
      <w:r w:rsidR="00BC6125">
        <w:rPr>
          <w:rFonts w:ascii="Book Antiqua" w:hAnsi="Book Antiqua" w:cs="Arial"/>
        </w:rPr>
        <w:t xml:space="preserve">, but a statement of </w:t>
      </w:r>
      <w:r w:rsidR="00B9313E">
        <w:rPr>
          <w:rFonts w:ascii="Book Antiqua" w:hAnsi="Book Antiqua" w:cs="Arial"/>
        </w:rPr>
        <w:t xml:space="preserve">the practice to be followed by </w:t>
      </w:r>
      <w:r w:rsidR="00FA7FD2">
        <w:rPr>
          <w:rFonts w:ascii="Book Antiqua" w:hAnsi="Book Antiqua" w:cs="Arial"/>
        </w:rPr>
        <w:t xml:space="preserve">the respondent’s officials when assessing a claim by an individual </w:t>
      </w:r>
      <w:r w:rsidR="004D27CB">
        <w:rPr>
          <w:rFonts w:ascii="Book Antiqua" w:hAnsi="Book Antiqua" w:cs="Arial"/>
        </w:rPr>
        <w:t>seeking to resist deportation and a reflection of her view as to</w:t>
      </w:r>
      <w:r w:rsidR="00FD2E7F">
        <w:rPr>
          <w:rFonts w:ascii="Book Antiqua" w:hAnsi="Book Antiqua" w:cs="Arial"/>
        </w:rPr>
        <w:t xml:space="preserve"> where the public interest lies</w:t>
      </w:r>
      <w:r w:rsidR="00A32DF2">
        <w:rPr>
          <w:rFonts w:ascii="Book Antiqua" w:hAnsi="Book Antiqua" w:cs="Arial"/>
        </w:rPr>
        <w:t>.</w:t>
      </w:r>
      <w:r w:rsidR="002E3794">
        <w:rPr>
          <w:rFonts w:ascii="Book Antiqua" w:hAnsi="Book Antiqua" w:cs="Arial"/>
        </w:rPr>
        <w:t xml:space="preserve"> On this basis,</w:t>
      </w:r>
      <w:r w:rsidR="006D5817">
        <w:rPr>
          <w:rFonts w:ascii="Book Antiqua" w:hAnsi="Book Antiqua" w:cs="Arial"/>
        </w:rPr>
        <w:t xml:space="preserve"> Leggatt LJ (as he then was)</w:t>
      </w:r>
      <w:r w:rsidR="0005553D">
        <w:rPr>
          <w:rFonts w:ascii="Book Antiqua" w:hAnsi="Book Antiqua" w:cs="Arial"/>
        </w:rPr>
        <w:t xml:space="preserve"> </w:t>
      </w:r>
      <w:r w:rsidR="00B20785">
        <w:rPr>
          <w:rFonts w:ascii="Book Antiqua" w:hAnsi="Book Antiqua" w:cs="Arial"/>
        </w:rPr>
        <w:t>concluded</w:t>
      </w:r>
      <w:r w:rsidR="00690823">
        <w:rPr>
          <w:rFonts w:ascii="Book Antiqua" w:hAnsi="Book Antiqua" w:cs="Arial"/>
        </w:rPr>
        <w:t xml:space="preserve"> at paragraph 21 of </w:t>
      </w:r>
      <w:r w:rsidR="00690823" w:rsidRPr="00690823">
        <w:rPr>
          <w:rFonts w:ascii="Book Antiqua" w:hAnsi="Book Antiqua" w:cs="Arial"/>
          <w:u w:val="single"/>
        </w:rPr>
        <w:t>CI (Nigeria)</w:t>
      </w:r>
      <w:r w:rsidR="00690823">
        <w:rPr>
          <w:rFonts w:ascii="Book Antiqua" w:hAnsi="Book Antiqua" w:cs="Arial"/>
        </w:rPr>
        <w:t xml:space="preserve"> that:</w:t>
      </w:r>
    </w:p>
    <w:p w14:paraId="56A7DEBD" w14:textId="2490D0D6" w:rsidR="00690823" w:rsidRPr="00C411D8" w:rsidRDefault="00B20785" w:rsidP="00C411D8">
      <w:pPr>
        <w:spacing w:before="240"/>
        <w:ind w:left="1287"/>
        <w:jc w:val="both"/>
        <w:rPr>
          <w:rFonts w:ascii="Book Antiqua" w:hAnsi="Book Antiqua" w:cs="Arial"/>
          <w:sz w:val="22"/>
          <w:szCs w:val="22"/>
        </w:rPr>
      </w:pPr>
      <w:r w:rsidRPr="00C411D8">
        <w:rPr>
          <w:rFonts w:ascii="Book Antiqua" w:hAnsi="Book Antiqua" w:cs="Arial"/>
          <w:sz w:val="22"/>
          <w:szCs w:val="22"/>
        </w:rPr>
        <w:t>“In these circumstances it seems to me that it is generally unnecessary for a tribunal or court in a case in which a decision to deport a</w:t>
      </w:r>
      <w:r w:rsidR="000745B1" w:rsidRPr="00C411D8">
        <w:rPr>
          <w:rFonts w:ascii="Book Antiqua" w:hAnsi="Book Antiqua" w:cs="Arial"/>
          <w:sz w:val="22"/>
          <w:szCs w:val="22"/>
        </w:rPr>
        <w:t xml:space="preserve"> “foreign criminal” is challenged on article 8 grounds to refer to paragraphs 398-399A of the Immigration Rules, as they have no additional part to play in the analysis.”</w:t>
      </w:r>
    </w:p>
    <w:p w14:paraId="7B2B5CF0" w14:textId="2341763F" w:rsidR="00C411D8" w:rsidRDefault="00C411D8" w:rsidP="00865BFE">
      <w:pPr>
        <w:numPr>
          <w:ilvl w:val="0"/>
          <w:numId w:val="18"/>
        </w:numPr>
        <w:spacing w:before="240"/>
        <w:jc w:val="both"/>
        <w:rPr>
          <w:rFonts w:ascii="Book Antiqua" w:hAnsi="Book Antiqua" w:cs="Arial"/>
        </w:rPr>
      </w:pPr>
      <w:r>
        <w:rPr>
          <w:rFonts w:ascii="Book Antiqua" w:hAnsi="Book Antiqua" w:cs="Arial"/>
        </w:rPr>
        <w:t>We respectfully agree.</w:t>
      </w:r>
      <w:r w:rsidR="00114FB3">
        <w:rPr>
          <w:rFonts w:ascii="Book Antiqua" w:hAnsi="Book Antiqua" w:cs="Arial"/>
        </w:rPr>
        <w:t xml:space="preserve"> It is the structured approach set out in section</w:t>
      </w:r>
      <w:r w:rsidR="00BF3EFD">
        <w:rPr>
          <w:rFonts w:ascii="Book Antiqua" w:hAnsi="Book Antiqua" w:cs="Arial"/>
        </w:rPr>
        <w:t xml:space="preserve"> 117C of the 2002 Act which governs</w:t>
      </w:r>
      <w:r w:rsidR="008535BC">
        <w:rPr>
          <w:rFonts w:ascii="Book Antiqua" w:hAnsi="Book Antiqua" w:cs="Arial"/>
        </w:rPr>
        <w:t xml:space="preserve"> the task to be undertaken by </w:t>
      </w:r>
      <w:r w:rsidR="00D83A74">
        <w:rPr>
          <w:rFonts w:ascii="Book Antiqua" w:hAnsi="Book Antiqua" w:cs="Arial"/>
        </w:rPr>
        <w:t>a</w:t>
      </w:r>
      <w:r w:rsidR="008535BC">
        <w:rPr>
          <w:rFonts w:ascii="Book Antiqua" w:hAnsi="Book Antiqua" w:cs="Arial"/>
        </w:rPr>
        <w:t xml:space="preserve"> tribunal, not the provisions of the Rules.</w:t>
      </w:r>
    </w:p>
    <w:p w14:paraId="522A4AEB" w14:textId="421274BA" w:rsidR="0014760C" w:rsidRDefault="00B30756" w:rsidP="00865BFE">
      <w:pPr>
        <w:numPr>
          <w:ilvl w:val="0"/>
          <w:numId w:val="18"/>
        </w:numPr>
        <w:spacing w:before="240"/>
        <w:jc w:val="both"/>
        <w:rPr>
          <w:rFonts w:ascii="Book Antiqua" w:hAnsi="Book Antiqua" w:cs="Arial"/>
        </w:rPr>
      </w:pPr>
      <w:r>
        <w:rPr>
          <w:rFonts w:ascii="Book Antiqua" w:hAnsi="Book Antiqua" w:cs="Arial"/>
        </w:rPr>
        <w:t>We recognise</w:t>
      </w:r>
      <w:r w:rsidR="0014760C">
        <w:rPr>
          <w:rFonts w:ascii="Book Antiqua" w:hAnsi="Book Antiqua" w:cs="Arial"/>
        </w:rPr>
        <w:t xml:space="preserve"> that the Court in </w:t>
      </w:r>
      <w:r w:rsidR="0014760C" w:rsidRPr="00330633">
        <w:rPr>
          <w:rFonts w:ascii="Book Antiqua" w:hAnsi="Book Antiqua" w:cs="Arial"/>
          <w:u w:val="single"/>
        </w:rPr>
        <w:t>CI (Nigeria)</w:t>
      </w:r>
      <w:r w:rsidR="0014760C">
        <w:rPr>
          <w:rFonts w:ascii="Book Antiqua" w:hAnsi="Book Antiqua" w:cs="Arial"/>
        </w:rPr>
        <w:t xml:space="preserve"> was not concerned with an individual who had re-entered the United Kingdom in breach of a deportation order and thus paragraph 399D of the Rules did not arise. This factual difference with the present case does not</w:t>
      </w:r>
      <w:r w:rsidR="00D51522">
        <w:rPr>
          <w:rFonts w:ascii="Book Antiqua" w:hAnsi="Book Antiqua" w:cs="Arial"/>
        </w:rPr>
        <w:t>, however,</w:t>
      </w:r>
      <w:r w:rsidR="00A542F2">
        <w:rPr>
          <w:rFonts w:ascii="Book Antiqua" w:hAnsi="Book Antiqua" w:cs="Arial"/>
        </w:rPr>
        <w:t xml:space="preserve"> </w:t>
      </w:r>
      <w:r w:rsidR="0014760C">
        <w:rPr>
          <w:rFonts w:ascii="Book Antiqua" w:hAnsi="Book Antiqua" w:cs="Arial"/>
        </w:rPr>
        <w:t xml:space="preserve">undermine </w:t>
      </w:r>
      <w:r w:rsidR="00D51522">
        <w:rPr>
          <w:rFonts w:ascii="Book Antiqua" w:hAnsi="Book Antiqua" w:cs="Arial"/>
        </w:rPr>
        <w:t xml:space="preserve">our view as to </w:t>
      </w:r>
      <w:r w:rsidR="0014760C">
        <w:rPr>
          <w:rFonts w:ascii="Book Antiqua" w:hAnsi="Book Antiqua" w:cs="Arial"/>
        </w:rPr>
        <w:t xml:space="preserve">the </w:t>
      </w:r>
      <w:r w:rsidR="007747F4">
        <w:rPr>
          <w:rFonts w:ascii="Book Antiqua" w:hAnsi="Book Antiqua" w:cs="Arial"/>
        </w:rPr>
        <w:t xml:space="preserve">general </w:t>
      </w:r>
      <w:r w:rsidR="0014760C">
        <w:rPr>
          <w:rFonts w:ascii="Book Antiqua" w:hAnsi="Book Antiqua" w:cs="Arial"/>
        </w:rPr>
        <w:t xml:space="preserve">correctness of </w:t>
      </w:r>
      <w:r w:rsidR="002B2A90">
        <w:rPr>
          <w:rFonts w:ascii="Book Antiqua" w:hAnsi="Book Antiqua" w:cs="Arial"/>
        </w:rPr>
        <w:t>the respondent’s</w:t>
      </w:r>
      <w:r w:rsidR="0014760C">
        <w:rPr>
          <w:rFonts w:ascii="Book Antiqua" w:hAnsi="Book Antiqua" w:cs="Arial"/>
        </w:rPr>
        <w:t xml:space="preserve"> considered position</w:t>
      </w:r>
      <w:r w:rsidR="00756704">
        <w:rPr>
          <w:rFonts w:ascii="Book Antiqua" w:hAnsi="Book Antiqua" w:cs="Arial"/>
        </w:rPr>
        <w:t>,</w:t>
      </w:r>
      <w:r w:rsidR="006D17C1">
        <w:rPr>
          <w:rFonts w:ascii="Book Antiqua" w:hAnsi="Book Antiqua" w:cs="Arial"/>
        </w:rPr>
        <w:t xml:space="preserve"> </w:t>
      </w:r>
      <w:r w:rsidR="00756704">
        <w:rPr>
          <w:rFonts w:ascii="Book Antiqua" w:hAnsi="Book Antiqua" w:cs="Arial"/>
        </w:rPr>
        <w:t>as put forward by Mr Jarvis</w:t>
      </w:r>
      <w:r w:rsidR="0014760C">
        <w:rPr>
          <w:rFonts w:ascii="Book Antiqua" w:hAnsi="Book Antiqua" w:cs="Arial"/>
        </w:rPr>
        <w:t>.</w:t>
      </w:r>
    </w:p>
    <w:p w14:paraId="2306D083" w14:textId="72B57CB7" w:rsidR="003F0DED" w:rsidRPr="00D5701E" w:rsidRDefault="00525DDF" w:rsidP="00865BFE">
      <w:pPr>
        <w:numPr>
          <w:ilvl w:val="0"/>
          <w:numId w:val="18"/>
        </w:numPr>
        <w:spacing w:before="240"/>
        <w:jc w:val="both"/>
        <w:rPr>
          <w:rFonts w:ascii="Book Antiqua" w:hAnsi="Book Antiqua" w:cs="Arial"/>
        </w:rPr>
      </w:pPr>
      <w:r>
        <w:rPr>
          <w:rFonts w:ascii="Book Antiqua" w:hAnsi="Book Antiqua" w:cs="Arial"/>
        </w:rPr>
        <w:t>In the context of construing and applying Part 5A of the 2002 Act we see no reason in principle as to why the re-entry scenario should not be considered as much a part</w:t>
      </w:r>
      <w:r w:rsidR="00DA2B66" w:rsidRPr="0066403C">
        <w:rPr>
          <w:rFonts w:ascii="Book Antiqua" w:hAnsi="Book Antiqua" w:cs="Arial"/>
        </w:rPr>
        <w:t xml:space="preserve"> of what was described in </w:t>
      </w:r>
      <w:r w:rsidR="00DA2B66" w:rsidRPr="0066403C">
        <w:rPr>
          <w:rFonts w:ascii="Book Antiqua" w:hAnsi="Book Antiqua" w:cs="Arial"/>
          <w:u w:val="single"/>
        </w:rPr>
        <w:t>Williams (scope of “liable to deportation”)</w:t>
      </w:r>
      <w:r w:rsidR="0078200B" w:rsidRPr="0066403C">
        <w:rPr>
          <w:rFonts w:ascii="Book Antiqua" w:hAnsi="Book Antiqua" w:cs="Arial"/>
        </w:rPr>
        <w:t xml:space="preserve"> [2018] UKUT </w:t>
      </w:r>
      <w:r w:rsidR="0068033A" w:rsidRPr="0066403C">
        <w:rPr>
          <w:rFonts w:ascii="Book Antiqua" w:hAnsi="Book Antiqua" w:cs="Arial"/>
        </w:rPr>
        <w:t>00116 (IAC)</w:t>
      </w:r>
      <w:r w:rsidR="00090726" w:rsidRPr="0066403C">
        <w:rPr>
          <w:rFonts w:ascii="Book Antiqua" w:hAnsi="Book Antiqua" w:cs="Arial"/>
        </w:rPr>
        <w:t xml:space="preserve"> as the “deportation regime”</w:t>
      </w:r>
      <w:r w:rsidR="002764B1">
        <w:rPr>
          <w:rFonts w:ascii="Book Antiqua" w:hAnsi="Book Antiqua" w:cs="Arial"/>
        </w:rPr>
        <w:t xml:space="preserve"> as</w:t>
      </w:r>
      <w:r w:rsidR="00382BF3">
        <w:rPr>
          <w:rFonts w:ascii="Book Antiqua" w:hAnsi="Book Antiqua" w:cs="Arial"/>
        </w:rPr>
        <w:t xml:space="preserve"> </w:t>
      </w:r>
      <w:r w:rsidR="006B68A6">
        <w:rPr>
          <w:rFonts w:ascii="Book Antiqua" w:hAnsi="Book Antiqua" w:cs="Arial"/>
        </w:rPr>
        <w:t>removal action and</w:t>
      </w:r>
      <w:r w:rsidR="00FA6326">
        <w:rPr>
          <w:rFonts w:ascii="Book Antiqua" w:hAnsi="Book Antiqua" w:cs="Arial"/>
        </w:rPr>
        <w:t xml:space="preserve"> exclusion from</w:t>
      </w:r>
      <w:r w:rsidR="003F0DED">
        <w:rPr>
          <w:rFonts w:ascii="Book Antiqua" w:hAnsi="Book Antiqua" w:cs="Arial"/>
        </w:rPr>
        <w:t xml:space="preserve"> this country during the currency of a deportation order</w:t>
      </w:r>
      <w:r w:rsidR="00F8027C">
        <w:rPr>
          <w:rFonts w:ascii="Book Antiqua" w:hAnsi="Book Antiqua" w:cs="Arial"/>
        </w:rPr>
        <w:t>,</w:t>
      </w:r>
      <w:r w:rsidR="005A7163">
        <w:rPr>
          <w:rFonts w:ascii="Book Antiqua" w:hAnsi="Book Antiqua" w:cs="Arial"/>
        </w:rPr>
        <w:t xml:space="preserve"> and that the </w:t>
      </w:r>
      <w:r w:rsidR="003019B7">
        <w:rPr>
          <w:rFonts w:ascii="Book Antiqua" w:hAnsi="Book Antiqua" w:cs="Arial"/>
        </w:rPr>
        <w:t>phrases</w:t>
      </w:r>
      <w:r w:rsidR="005A7163">
        <w:rPr>
          <w:rFonts w:ascii="Book Antiqua" w:hAnsi="Book Antiqua" w:cs="Arial"/>
        </w:rPr>
        <w:t xml:space="preserve"> </w:t>
      </w:r>
      <w:r w:rsidR="001A0803">
        <w:rPr>
          <w:rFonts w:ascii="Book Antiqua" w:hAnsi="Book Antiqua" w:cs="Arial"/>
        </w:rPr>
        <w:t>“cases concerning the deportation of foreign criminals”</w:t>
      </w:r>
      <w:r w:rsidR="00FB6DBF">
        <w:rPr>
          <w:rFonts w:ascii="Book Antiqua" w:hAnsi="Book Antiqua" w:cs="Arial"/>
        </w:rPr>
        <w:t xml:space="preserve"> in section 117A(2) and</w:t>
      </w:r>
      <w:r w:rsidR="003019B7">
        <w:rPr>
          <w:rFonts w:ascii="Book Antiqua" w:hAnsi="Book Antiqua" w:cs="Arial"/>
        </w:rPr>
        <w:t xml:space="preserve"> </w:t>
      </w:r>
      <w:r w:rsidR="001A0803">
        <w:rPr>
          <w:rFonts w:ascii="Book Antiqua" w:hAnsi="Book Antiqua" w:cs="Arial"/>
        </w:rPr>
        <w:t>“a decision to deport a foreign criminal”</w:t>
      </w:r>
      <w:r w:rsidR="003019B7">
        <w:rPr>
          <w:rFonts w:ascii="Book Antiqua" w:hAnsi="Book Antiqua" w:cs="Arial"/>
        </w:rPr>
        <w:t xml:space="preserve"> in</w:t>
      </w:r>
      <w:r w:rsidR="00CA17FB">
        <w:rPr>
          <w:rFonts w:ascii="Book Antiqua" w:hAnsi="Book Antiqua" w:cs="Arial"/>
        </w:rPr>
        <w:t xml:space="preserve"> </w:t>
      </w:r>
      <w:r w:rsidR="00265CAB">
        <w:rPr>
          <w:rFonts w:ascii="Book Antiqua" w:hAnsi="Book Antiqua" w:cs="Arial"/>
        </w:rPr>
        <w:t xml:space="preserve">section </w:t>
      </w:r>
      <w:r w:rsidR="00CA17FB">
        <w:rPr>
          <w:rFonts w:ascii="Book Antiqua" w:hAnsi="Book Antiqua" w:cs="Arial"/>
        </w:rPr>
        <w:t>117C(7)</w:t>
      </w:r>
      <w:r w:rsidR="0053384C">
        <w:rPr>
          <w:rFonts w:ascii="Book Antiqua" w:hAnsi="Book Antiqua" w:cs="Arial"/>
        </w:rPr>
        <w:t xml:space="preserve"> </w:t>
      </w:r>
      <w:r w:rsidR="004C3169">
        <w:rPr>
          <w:rFonts w:ascii="Book Antiqua" w:hAnsi="Book Antiqua" w:cs="Arial"/>
        </w:rPr>
        <w:t>should</w:t>
      </w:r>
      <w:r w:rsidR="0053384C">
        <w:rPr>
          <w:rFonts w:ascii="Book Antiqua" w:hAnsi="Book Antiqua" w:cs="Arial"/>
        </w:rPr>
        <w:t xml:space="preserve"> be interpreted accordingly</w:t>
      </w:r>
      <w:r w:rsidR="003F0DED">
        <w:rPr>
          <w:rFonts w:ascii="Book Antiqua" w:hAnsi="Book Antiqua" w:cs="Arial"/>
        </w:rPr>
        <w:t>.</w:t>
      </w:r>
      <w:r w:rsidR="005328E6" w:rsidRPr="0066403C">
        <w:rPr>
          <w:rFonts w:ascii="Book Antiqua" w:hAnsi="Book Antiqua" w:cs="Arial"/>
        </w:rPr>
        <w:t xml:space="preserve"> </w:t>
      </w:r>
      <w:r w:rsidR="003F0DED">
        <w:rPr>
          <w:rFonts w:ascii="Book Antiqua" w:hAnsi="Book Antiqua" w:cs="Arial"/>
        </w:rPr>
        <w:t xml:space="preserve">The fact that an individual has endeavoured to circumvent the banishment consequent to being deported does not </w:t>
      </w:r>
      <w:r w:rsidR="00DA6251">
        <w:rPr>
          <w:rFonts w:ascii="Book Antiqua" w:hAnsi="Book Antiqua" w:cs="Arial"/>
        </w:rPr>
        <w:t xml:space="preserve">thereby </w:t>
      </w:r>
      <w:r w:rsidR="003F0DED">
        <w:rPr>
          <w:rFonts w:ascii="Book Antiqua" w:hAnsi="Book Antiqua" w:cs="Arial"/>
        </w:rPr>
        <w:t xml:space="preserve">take them outside of the </w:t>
      </w:r>
      <w:r w:rsidR="00D5701E">
        <w:rPr>
          <w:rFonts w:ascii="Book Antiqua" w:hAnsi="Book Antiqua" w:cs="Arial"/>
        </w:rPr>
        <w:t>schematic framework</w:t>
      </w:r>
      <w:r w:rsidR="003F0DED">
        <w:rPr>
          <w:rFonts w:ascii="Book Antiqua" w:hAnsi="Book Antiqua" w:cs="Arial"/>
        </w:rPr>
        <w:t xml:space="preserve"> in place to give effect to the public interest.</w:t>
      </w:r>
    </w:p>
    <w:p w14:paraId="554BA5F3" w14:textId="2B72F1B0" w:rsidR="0014760C" w:rsidRPr="0066403C" w:rsidRDefault="00AF2C16" w:rsidP="00865BFE">
      <w:pPr>
        <w:numPr>
          <w:ilvl w:val="0"/>
          <w:numId w:val="18"/>
        </w:numPr>
        <w:spacing w:before="240"/>
        <w:jc w:val="both"/>
        <w:rPr>
          <w:rFonts w:ascii="Book Antiqua" w:hAnsi="Book Antiqua" w:cs="Arial"/>
        </w:rPr>
      </w:pPr>
      <w:r>
        <w:rPr>
          <w:rFonts w:ascii="Book Antiqua" w:hAnsi="Book Antiqua" w:cs="Arial"/>
        </w:rPr>
        <w:t>We find support for our view in the case-law</w:t>
      </w:r>
      <w:r w:rsidR="000F053C">
        <w:rPr>
          <w:rFonts w:ascii="Book Antiqua" w:hAnsi="Book Antiqua" w:cs="Arial"/>
        </w:rPr>
        <w:t xml:space="preserve">. </w:t>
      </w:r>
      <w:r w:rsidR="007D45C2">
        <w:rPr>
          <w:rFonts w:ascii="Book Antiqua" w:hAnsi="Book Antiqua" w:cs="Arial"/>
        </w:rPr>
        <w:t xml:space="preserve">In </w:t>
      </w:r>
      <w:r w:rsidR="007D45C2" w:rsidRPr="007D45C2">
        <w:rPr>
          <w:rFonts w:ascii="Book Antiqua" w:hAnsi="Book Antiqua" w:cs="Arial"/>
          <w:u w:val="single"/>
        </w:rPr>
        <w:t>Williams</w:t>
      </w:r>
      <w:r w:rsidR="005328E6" w:rsidRPr="0066403C">
        <w:rPr>
          <w:rFonts w:ascii="Book Antiqua" w:hAnsi="Book Antiqua" w:cs="Arial"/>
        </w:rPr>
        <w:t>, the Upper Tribunal was dealing with</w:t>
      </w:r>
      <w:r w:rsidR="008D4D8B" w:rsidRPr="0066403C">
        <w:rPr>
          <w:rFonts w:ascii="Book Antiqua" w:hAnsi="Book Antiqua" w:cs="Arial"/>
        </w:rPr>
        <w:t xml:space="preserve"> an individual who had been deported and was seeking to have</w:t>
      </w:r>
      <w:r w:rsidR="00B73672" w:rsidRPr="0066403C">
        <w:rPr>
          <w:rFonts w:ascii="Book Antiqua" w:hAnsi="Book Antiqua" w:cs="Arial"/>
        </w:rPr>
        <w:t xml:space="preserve"> a deportation order revoked</w:t>
      </w:r>
      <w:r w:rsidR="00C94B87" w:rsidRPr="0066403C">
        <w:rPr>
          <w:rFonts w:ascii="Book Antiqua" w:hAnsi="Book Antiqua" w:cs="Arial"/>
        </w:rPr>
        <w:t xml:space="preserve"> whilst still outside of the United Kingdom</w:t>
      </w:r>
      <w:r w:rsidR="00B73672" w:rsidRPr="0066403C">
        <w:rPr>
          <w:rFonts w:ascii="Book Antiqua" w:hAnsi="Book Antiqua" w:cs="Arial"/>
        </w:rPr>
        <w:t>.</w:t>
      </w:r>
      <w:r w:rsidR="00914B8B" w:rsidRPr="0066403C">
        <w:rPr>
          <w:rFonts w:ascii="Book Antiqua" w:hAnsi="Book Antiqua" w:cs="Arial"/>
        </w:rPr>
        <w:t xml:space="preserve"> It concluded that sec</w:t>
      </w:r>
      <w:r w:rsidR="00E834D4" w:rsidRPr="0066403C">
        <w:rPr>
          <w:rFonts w:ascii="Book Antiqua" w:hAnsi="Book Antiqua" w:cs="Arial"/>
        </w:rPr>
        <w:t>tion 117C applied</w:t>
      </w:r>
      <w:r w:rsidR="0012213A" w:rsidRPr="0066403C">
        <w:rPr>
          <w:rFonts w:ascii="Book Antiqua" w:hAnsi="Book Antiqua" w:cs="Arial"/>
        </w:rPr>
        <w:t xml:space="preserve"> to those</w:t>
      </w:r>
      <w:r w:rsidR="00F21B04" w:rsidRPr="0066403C">
        <w:rPr>
          <w:rFonts w:ascii="Book Antiqua" w:hAnsi="Book Antiqua" w:cs="Arial"/>
        </w:rPr>
        <w:t xml:space="preserve"> against whom there was an extant deportation order, whether or not they had yet to be deported (</w:t>
      </w:r>
      <w:r w:rsidR="00876F32" w:rsidRPr="0066403C">
        <w:rPr>
          <w:rFonts w:ascii="Book Antiqua" w:hAnsi="Book Antiqua" w:cs="Arial"/>
        </w:rPr>
        <w:t xml:space="preserve">see paragraph 27 and 28). </w:t>
      </w:r>
      <w:r w:rsidR="008E65A8" w:rsidRPr="0066403C">
        <w:rPr>
          <w:rFonts w:ascii="Book Antiqua" w:hAnsi="Book Antiqua" w:cs="Arial"/>
        </w:rPr>
        <w:t>The Tribunal</w:t>
      </w:r>
      <w:r w:rsidR="009477A8" w:rsidRPr="0066403C">
        <w:rPr>
          <w:rFonts w:ascii="Book Antiqua" w:hAnsi="Book Antiqua" w:cs="Arial"/>
        </w:rPr>
        <w:t xml:space="preserve"> considered itself to be bound by</w:t>
      </w:r>
      <w:r w:rsidR="00673EFE" w:rsidRPr="0066403C">
        <w:rPr>
          <w:rFonts w:ascii="Book Antiqua" w:hAnsi="Book Antiqua" w:cs="Arial"/>
        </w:rPr>
        <w:t xml:space="preserve"> the Court of Appeal</w:t>
      </w:r>
      <w:r w:rsidR="008D443D" w:rsidRPr="0066403C">
        <w:rPr>
          <w:rFonts w:ascii="Book Antiqua" w:hAnsi="Book Antiqua" w:cs="Arial"/>
        </w:rPr>
        <w:t>’</w:t>
      </w:r>
      <w:r w:rsidR="00673EFE" w:rsidRPr="0066403C">
        <w:rPr>
          <w:rFonts w:ascii="Book Antiqua" w:hAnsi="Book Antiqua" w:cs="Arial"/>
        </w:rPr>
        <w:t xml:space="preserve">s judgment in </w:t>
      </w:r>
      <w:r w:rsidR="00673EFE" w:rsidRPr="0066403C">
        <w:rPr>
          <w:rFonts w:ascii="Book Antiqua" w:hAnsi="Book Antiqua" w:cs="Arial"/>
          <w:u w:val="single"/>
        </w:rPr>
        <w:t>IT (Jamaica)</w:t>
      </w:r>
      <w:r w:rsidR="0029541C" w:rsidRPr="0066403C">
        <w:rPr>
          <w:rFonts w:ascii="Book Antiqua" w:hAnsi="Book Antiqua" w:cs="Arial"/>
        </w:rPr>
        <w:t xml:space="preserve"> [2016] EWCA Civ 932</w:t>
      </w:r>
      <w:r w:rsidR="00EE3BEB" w:rsidRPr="0066403C">
        <w:rPr>
          <w:rFonts w:ascii="Book Antiqua" w:hAnsi="Book Antiqua" w:cs="Arial"/>
        </w:rPr>
        <w:t xml:space="preserve"> (although </w:t>
      </w:r>
      <w:r w:rsidR="00C929AF" w:rsidRPr="0066403C">
        <w:rPr>
          <w:rFonts w:ascii="Book Antiqua" w:hAnsi="Book Antiqua" w:cs="Arial"/>
        </w:rPr>
        <w:t xml:space="preserve">it </w:t>
      </w:r>
      <w:r w:rsidR="00EE3BEB" w:rsidRPr="0066403C">
        <w:rPr>
          <w:rFonts w:ascii="Book Antiqua" w:hAnsi="Book Antiqua" w:cs="Arial"/>
        </w:rPr>
        <w:t xml:space="preserve">stated that the same conclusion would have been reached in the absence </w:t>
      </w:r>
      <w:r w:rsidR="00D06DFA">
        <w:rPr>
          <w:rFonts w:ascii="Book Antiqua" w:hAnsi="Book Antiqua" w:cs="Arial"/>
        </w:rPr>
        <w:t>of such</w:t>
      </w:r>
      <w:r w:rsidR="00EE3BEB" w:rsidRPr="0066403C">
        <w:rPr>
          <w:rFonts w:ascii="Book Antiqua" w:hAnsi="Book Antiqua" w:cs="Arial"/>
        </w:rPr>
        <w:t xml:space="preserve"> authority)</w:t>
      </w:r>
      <w:r w:rsidR="00790582" w:rsidRPr="0066403C">
        <w:rPr>
          <w:rFonts w:ascii="Book Antiqua" w:hAnsi="Book Antiqua" w:cs="Arial"/>
        </w:rPr>
        <w:t>.</w:t>
      </w:r>
    </w:p>
    <w:p w14:paraId="19945119" w14:textId="3AE7DD9B" w:rsidR="00790582" w:rsidRDefault="00790582" w:rsidP="00865BFE">
      <w:pPr>
        <w:numPr>
          <w:ilvl w:val="0"/>
          <w:numId w:val="18"/>
        </w:numPr>
        <w:spacing w:before="240"/>
        <w:jc w:val="both"/>
        <w:rPr>
          <w:rFonts w:ascii="Book Antiqua" w:hAnsi="Book Antiqua" w:cs="Arial"/>
        </w:rPr>
      </w:pPr>
      <w:r>
        <w:rPr>
          <w:rFonts w:ascii="Book Antiqua" w:hAnsi="Book Antiqua" w:cs="Arial"/>
        </w:rPr>
        <w:t xml:space="preserve">Paragraph 52 of </w:t>
      </w:r>
      <w:r w:rsidRPr="00475CE4">
        <w:rPr>
          <w:rFonts w:ascii="Book Antiqua" w:hAnsi="Book Antiqua" w:cs="Arial"/>
          <w:u w:val="single"/>
        </w:rPr>
        <w:t>IT (Jamaica)</w:t>
      </w:r>
      <w:r>
        <w:rPr>
          <w:rFonts w:ascii="Book Antiqua" w:hAnsi="Book Antiqua" w:cs="Arial"/>
        </w:rPr>
        <w:t xml:space="preserve"> is</w:t>
      </w:r>
      <w:r w:rsidR="00323680">
        <w:rPr>
          <w:rFonts w:ascii="Book Antiqua" w:hAnsi="Book Antiqua" w:cs="Arial"/>
        </w:rPr>
        <w:t xml:space="preserve"> instructive for present purposes:</w:t>
      </w:r>
    </w:p>
    <w:p w14:paraId="6C2D5D5F" w14:textId="3A795464" w:rsidR="00AA76AD" w:rsidRPr="009F3560" w:rsidRDefault="00AA76AD" w:rsidP="009F3560">
      <w:pPr>
        <w:spacing w:before="240"/>
        <w:ind w:left="1440"/>
        <w:jc w:val="both"/>
        <w:rPr>
          <w:rFonts w:ascii="Book Antiqua" w:hAnsi="Book Antiqua" w:cs="Arial"/>
          <w:sz w:val="22"/>
          <w:szCs w:val="22"/>
        </w:rPr>
      </w:pPr>
      <w:r w:rsidRPr="00475CE4">
        <w:rPr>
          <w:rFonts w:ascii="Book Antiqua" w:hAnsi="Book Antiqua" w:cs="Arial"/>
          <w:sz w:val="22"/>
          <w:szCs w:val="22"/>
        </w:rPr>
        <w:t>“</w:t>
      </w:r>
      <w:r w:rsidR="00475CE4" w:rsidRPr="00475CE4">
        <w:rPr>
          <w:rFonts w:ascii="Book Antiqua" w:hAnsi="Book Antiqua" w:cs="Arial"/>
          <w:sz w:val="22"/>
          <w:szCs w:val="22"/>
        </w:rPr>
        <w:t>The function of section 117C is to set out the weight to be given to the public interest to be taken into account in the proportionality exercise to be carried out under Article 8 of the Convention in the case of a foreign criminal.   Section 117C(1) states that the deportation of foreign criminals is in the public interest.  In this context, and indeed in the other uses of the word “deportation”  in this section, the word “deportation” is being used to convey not just the act of removing someone from the jurisdiction but also the maintaining of the banishment for a given period of time: if this were not so, section 117C(1) would achieve little.”</w:t>
      </w:r>
    </w:p>
    <w:p w14:paraId="528E2DB0" w14:textId="73AEB1DE" w:rsidR="00D43F5C" w:rsidRDefault="00557493" w:rsidP="00865BFE">
      <w:pPr>
        <w:numPr>
          <w:ilvl w:val="0"/>
          <w:numId w:val="18"/>
        </w:numPr>
        <w:spacing w:before="240"/>
        <w:jc w:val="both"/>
        <w:rPr>
          <w:rFonts w:ascii="Book Antiqua" w:hAnsi="Book Antiqua" w:cs="Arial"/>
        </w:rPr>
      </w:pPr>
      <w:r>
        <w:rPr>
          <w:rFonts w:ascii="Book Antiqua" w:hAnsi="Book Antiqua" w:cs="Arial"/>
        </w:rPr>
        <w:t>We of course</w:t>
      </w:r>
      <w:r w:rsidR="008F39A9">
        <w:rPr>
          <w:rFonts w:ascii="Book Antiqua" w:hAnsi="Book Antiqua" w:cs="Arial"/>
        </w:rPr>
        <w:t xml:space="preserve"> </w:t>
      </w:r>
      <w:r w:rsidR="00C929AF">
        <w:rPr>
          <w:rFonts w:ascii="Book Antiqua" w:hAnsi="Book Antiqua" w:cs="Arial"/>
        </w:rPr>
        <w:t>acknowledge</w:t>
      </w:r>
      <w:r w:rsidR="008F39A9">
        <w:rPr>
          <w:rFonts w:ascii="Book Antiqua" w:hAnsi="Book Antiqua" w:cs="Arial"/>
        </w:rPr>
        <w:t xml:space="preserve"> that </w:t>
      </w:r>
      <w:r w:rsidR="00BB5CA3">
        <w:rPr>
          <w:rFonts w:ascii="Book Antiqua" w:hAnsi="Book Antiqua" w:cs="Arial"/>
        </w:rPr>
        <w:t>the</w:t>
      </w:r>
      <w:r w:rsidR="008F39A9">
        <w:rPr>
          <w:rFonts w:ascii="Book Antiqua" w:hAnsi="Book Antiqua" w:cs="Arial"/>
        </w:rPr>
        <w:t xml:space="preserve"> specific conclusion</w:t>
      </w:r>
      <w:r w:rsidR="00BB5CA3">
        <w:rPr>
          <w:rFonts w:ascii="Book Antiqua" w:hAnsi="Book Antiqua" w:cs="Arial"/>
        </w:rPr>
        <w:t>s</w:t>
      </w:r>
      <w:r w:rsidR="008F39A9">
        <w:rPr>
          <w:rFonts w:ascii="Book Antiqua" w:hAnsi="Book Antiqua" w:cs="Arial"/>
        </w:rPr>
        <w:t xml:space="preserve"> </w:t>
      </w:r>
      <w:r w:rsidR="00B44A28">
        <w:rPr>
          <w:rFonts w:ascii="Book Antiqua" w:hAnsi="Book Antiqua" w:cs="Arial"/>
        </w:rPr>
        <w:t>stated at paragraphs 55 and 64</w:t>
      </w:r>
      <w:r w:rsidR="00000F09">
        <w:rPr>
          <w:rFonts w:ascii="Book Antiqua" w:hAnsi="Book Antiqua" w:cs="Arial"/>
        </w:rPr>
        <w:t xml:space="preserve"> of</w:t>
      </w:r>
      <w:r w:rsidR="008F39A9">
        <w:rPr>
          <w:rFonts w:ascii="Book Antiqua" w:hAnsi="Book Antiqua" w:cs="Arial"/>
        </w:rPr>
        <w:t xml:space="preserve"> </w:t>
      </w:r>
      <w:r w:rsidR="008F39A9" w:rsidRPr="00D43F5C">
        <w:rPr>
          <w:rFonts w:ascii="Book Antiqua" w:hAnsi="Book Antiqua" w:cs="Arial"/>
          <w:u w:val="single"/>
        </w:rPr>
        <w:t>IT (Jamaica)</w:t>
      </w:r>
      <w:r w:rsidR="008F39A9">
        <w:rPr>
          <w:rFonts w:ascii="Book Antiqua" w:hAnsi="Book Antiqua" w:cs="Arial"/>
        </w:rPr>
        <w:t xml:space="preserve"> </w:t>
      </w:r>
      <w:r w:rsidR="00000F09">
        <w:rPr>
          <w:rFonts w:ascii="Book Antiqua" w:hAnsi="Book Antiqua" w:cs="Arial"/>
        </w:rPr>
        <w:t xml:space="preserve">(which effectively equated the undue harshness test with that of very compelling reasons) </w:t>
      </w:r>
      <w:r w:rsidR="008F39A9">
        <w:rPr>
          <w:rFonts w:ascii="Book Antiqua" w:hAnsi="Book Antiqua" w:cs="Arial"/>
        </w:rPr>
        <w:t>w</w:t>
      </w:r>
      <w:r w:rsidR="00436ADB">
        <w:rPr>
          <w:rFonts w:ascii="Book Antiqua" w:hAnsi="Book Antiqua" w:cs="Arial"/>
        </w:rPr>
        <w:t>ere</w:t>
      </w:r>
      <w:r w:rsidR="008F39A9">
        <w:rPr>
          <w:rFonts w:ascii="Book Antiqua" w:hAnsi="Book Antiqua" w:cs="Arial"/>
        </w:rPr>
        <w:t xml:space="preserve"> subsequently disapproved by the Supreme Court in </w:t>
      </w:r>
      <w:r w:rsidR="008F39A9" w:rsidRPr="00D43F5C">
        <w:rPr>
          <w:rFonts w:ascii="Book Antiqua" w:hAnsi="Book Antiqua" w:cs="Arial"/>
          <w:u w:val="single"/>
        </w:rPr>
        <w:t>KO (Nigeria)</w:t>
      </w:r>
      <w:r w:rsidR="008F39A9">
        <w:rPr>
          <w:rFonts w:ascii="Book Antiqua" w:hAnsi="Book Antiqua" w:cs="Arial"/>
        </w:rPr>
        <w:t>.</w:t>
      </w:r>
      <w:r w:rsidR="00FF3BB5">
        <w:rPr>
          <w:rFonts w:ascii="Book Antiqua" w:hAnsi="Book Antiqua" w:cs="Arial"/>
        </w:rPr>
        <w:t xml:space="preserve"> However, the </w:t>
      </w:r>
      <w:r w:rsidR="000C2559">
        <w:rPr>
          <w:rFonts w:ascii="Book Antiqua" w:hAnsi="Book Antiqua" w:cs="Arial"/>
        </w:rPr>
        <w:t xml:space="preserve">point made in the </w:t>
      </w:r>
      <w:r w:rsidR="00FF3BB5">
        <w:rPr>
          <w:rFonts w:ascii="Book Antiqua" w:hAnsi="Book Antiqua" w:cs="Arial"/>
        </w:rPr>
        <w:t xml:space="preserve">passage </w:t>
      </w:r>
      <w:r w:rsidR="00436ADB">
        <w:rPr>
          <w:rFonts w:ascii="Book Antiqua" w:hAnsi="Book Antiqua" w:cs="Arial"/>
        </w:rPr>
        <w:t>quoted above</w:t>
      </w:r>
      <w:r w:rsidR="00323607">
        <w:rPr>
          <w:rFonts w:ascii="Book Antiqua" w:hAnsi="Book Antiqua" w:cs="Arial"/>
        </w:rPr>
        <w:t xml:space="preserve"> </w:t>
      </w:r>
      <w:r w:rsidR="00A8651B">
        <w:rPr>
          <w:rFonts w:ascii="Book Antiqua" w:hAnsi="Book Antiqua" w:cs="Arial"/>
        </w:rPr>
        <w:t xml:space="preserve">was not the subject of criticism and it </w:t>
      </w:r>
      <w:r w:rsidR="00323607">
        <w:rPr>
          <w:rFonts w:ascii="Book Antiqua" w:hAnsi="Book Antiqua" w:cs="Arial"/>
        </w:rPr>
        <w:t>holds good</w:t>
      </w:r>
      <w:r w:rsidR="00771726">
        <w:rPr>
          <w:rFonts w:ascii="Book Antiqua" w:hAnsi="Book Antiqua" w:cs="Arial"/>
        </w:rPr>
        <w:t>.</w:t>
      </w:r>
      <w:r w:rsidR="00885AC9">
        <w:rPr>
          <w:rFonts w:ascii="Book Antiqua" w:hAnsi="Book Antiqua" w:cs="Arial"/>
        </w:rPr>
        <w:t xml:space="preserve">  </w:t>
      </w:r>
    </w:p>
    <w:p w14:paraId="1E0B4356" w14:textId="622AF070" w:rsidR="000F053C" w:rsidRDefault="00404925" w:rsidP="00865BFE">
      <w:pPr>
        <w:numPr>
          <w:ilvl w:val="0"/>
          <w:numId w:val="18"/>
        </w:numPr>
        <w:spacing w:before="240"/>
        <w:jc w:val="both"/>
        <w:rPr>
          <w:rFonts w:ascii="Book Antiqua" w:hAnsi="Book Antiqua" w:cs="Arial"/>
        </w:rPr>
      </w:pPr>
      <w:r>
        <w:rPr>
          <w:rFonts w:ascii="Book Antiqua" w:hAnsi="Book Antiqua" w:cs="Arial"/>
        </w:rPr>
        <w:t xml:space="preserve">In </w:t>
      </w:r>
      <w:r w:rsidRPr="008A75C6">
        <w:rPr>
          <w:rFonts w:ascii="Book Antiqua" w:hAnsi="Book Antiqua" w:cs="Arial"/>
          <w:u w:val="single"/>
        </w:rPr>
        <w:t>SU</w:t>
      </w:r>
      <w:r w:rsidR="00BF3A30">
        <w:rPr>
          <w:rFonts w:ascii="Book Antiqua" w:hAnsi="Book Antiqua" w:cs="Arial"/>
        </w:rPr>
        <w:t>, the Court of Appeal was faced with a factual scenario similar to that with which we are concerned.</w:t>
      </w:r>
      <w:r w:rsidR="002A7823">
        <w:rPr>
          <w:rFonts w:ascii="Book Antiqua" w:hAnsi="Book Antiqua" w:cs="Arial"/>
        </w:rPr>
        <w:t xml:space="preserve"> The novelty of this was stated</w:t>
      </w:r>
      <w:r w:rsidR="0089679C">
        <w:rPr>
          <w:rFonts w:ascii="Book Antiqua" w:hAnsi="Book Antiqua" w:cs="Arial"/>
        </w:rPr>
        <w:t xml:space="preserve"> at the outset of </w:t>
      </w:r>
      <w:r w:rsidR="00BF4775">
        <w:rPr>
          <w:rFonts w:ascii="Book Antiqua" w:hAnsi="Book Antiqua" w:cs="Arial"/>
        </w:rPr>
        <w:t xml:space="preserve">the judgment of David Richards LJ (with whom the Chancellor of the High Court and </w:t>
      </w:r>
      <w:proofErr w:type="spellStart"/>
      <w:r w:rsidR="00BF4775">
        <w:rPr>
          <w:rFonts w:ascii="Book Antiqua" w:hAnsi="Book Antiqua" w:cs="Arial"/>
        </w:rPr>
        <w:t>Asplin</w:t>
      </w:r>
      <w:proofErr w:type="spellEnd"/>
      <w:r w:rsidR="00BF4775">
        <w:rPr>
          <w:rFonts w:ascii="Book Antiqua" w:hAnsi="Book Antiqua" w:cs="Arial"/>
        </w:rPr>
        <w:t xml:space="preserve"> J (as she then was) agreed)</w:t>
      </w:r>
      <w:r w:rsidR="0089679C">
        <w:rPr>
          <w:rFonts w:ascii="Book Antiqua" w:hAnsi="Book Antiqua" w:cs="Arial"/>
        </w:rPr>
        <w:t>:</w:t>
      </w:r>
    </w:p>
    <w:p w14:paraId="5C9B7480" w14:textId="4C49A3E0" w:rsidR="0089679C" w:rsidRPr="00FB467F" w:rsidRDefault="00FB467F" w:rsidP="00FB467F">
      <w:pPr>
        <w:spacing w:before="240"/>
        <w:ind w:left="1440"/>
        <w:jc w:val="both"/>
        <w:rPr>
          <w:rFonts w:ascii="Book Antiqua" w:hAnsi="Book Antiqua" w:cs="Arial"/>
          <w:sz w:val="22"/>
          <w:szCs w:val="22"/>
        </w:rPr>
      </w:pPr>
      <w:r w:rsidRPr="00FB467F">
        <w:rPr>
          <w:rFonts w:ascii="Book Antiqua" w:hAnsi="Book Antiqua" w:cs="Arial"/>
          <w:sz w:val="22"/>
          <w:szCs w:val="22"/>
        </w:rPr>
        <w:t>“</w:t>
      </w:r>
      <w:r w:rsidR="003D6FF7">
        <w:rPr>
          <w:rFonts w:ascii="Book Antiqua" w:hAnsi="Book Antiqua" w:cs="Arial"/>
          <w:sz w:val="22"/>
          <w:szCs w:val="22"/>
        </w:rPr>
        <w:t xml:space="preserve">2. </w:t>
      </w:r>
      <w:r w:rsidRPr="00FB467F">
        <w:rPr>
          <w:rFonts w:ascii="Book Antiqua" w:hAnsi="Book Antiqua" w:cs="Arial"/>
          <w:sz w:val="22"/>
          <w:szCs w:val="22"/>
        </w:rPr>
        <w:t xml:space="preserve">We were told that this is the first occasion on which this court has been concerned with the correct approach to the revocation of a deportation order where it has been implemented but the deportee has, in breach of the deportation order, returned to the UK and has established a private and family life during the following period of unlawful presence here.” </w:t>
      </w:r>
    </w:p>
    <w:p w14:paraId="163011CE" w14:textId="672B0238" w:rsidR="002F0633" w:rsidRDefault="00302C9A" w:rsidP="00865BFE">
      <w:pPr>
        <w:numPr>
          <w:ilvl w:val="0"/>
          <w:numId w:val="18"/>
        </w:numPr>
        <w:spacing w:before="240"/>
        <w:jc w:val="both"/>
        <w:rPr>
          <w:rFonts w:ascii="Book Antiqua" w:hAnsi="Book Antiqua" w:cs="Arial"/>
        </w:rPr>
      </w:pPr>
      <w:r>
        <w:rPr>
          <w:rFonts w:ascii="Book Antiqua" w:hAnsi="Book Antiqua" w:cs="Arial"/>
        </w:rPr>
        <w:t xml:space="preserve">The </w:t>
      </w:r>
      <w:r w:rsidR="0034292E">
        <w:rPr>
          <w:rFonts w:ascii="Book Antiqua" w:hAnsi="Book Antiqua" w:cs="Arial"/>
        </w:rPr>
        <w:t>Court acknowledged that the provisions of Part</w:t>
      </w:r>
      <w:r w:rsidR="00B70CEB">
        <w:rPr>
          <w:rFonts w:ascii="Book Antiqua" w:hAnsi="Book Antiqua" w:cs="Arial"/>
        </w:rPr>
        <w:t xml:space="preserve"> 5A</w:t>
      </w:r>
      <w:r w:rsidR="007F7200">
        <w:rPr>
          <w:rFonts w:ascii="Book Antiqua" w:hAnsi="Book Antiqua" w:cs="Arial"/>
        </w:rPr>
        <w:t xml:space="preserve"> of the 2002 Act</w:t>
      </w:r>
      <w:r w:rsidR="00B70CEB">
        <w:rPr>
          <w:rFonts w:ascii="Book Antiqua" w:hAnsi="Book Antiqua" w:cs="Arial"/>
        </w:rPr>
        <w:t xml:space="preserve"> had applied </w:t>
      </w:r>
      <w:r w:rsidR="000519E5">
        <w:rPr>
          <w:rFonts w:ascii="Book Antiqua" w:hAnsi="Book Antiqua" w:cs="Arial"/>
        </w:rPr>
        <w:t>to the appellant’s appeal before the First-tier Tribunal.</w:t>
      </w:r>
      <w:r w:rsidR="001049B6">
        <w:rPr>
          <w:rFonts w:ascii="Book Antiqua" w:hAnsi="Book Antiqua" w:cs="Arial"/>
        </w:rPr>
        <w:t xml:space="preserve"> However,</w:t>
      </w:r>
      <w:r w:rsidR="00D37905">
        <w:rPr>
          <w:rFonts w:ascii="Book Antiqua" w:hAnsi="Book Antiqua" w:cs="Arial"/>
        </w:rPr>
        <w:t xml:space="preserve"> the focus of attention rested squarely</w:t>
      </w:r>
      <w:r w:rsidR="00976795">
        <w:rPr>
          <w:rFonts w:ascii="Book Antiqua" w:hAnsi="Book Antiqua" w:cs="Arial"/>
        </w:rPr>
        <w:t xml:space="preserve"> with the Rules</w:t>
      </w:r>
      <w:r w:rsidR="00924812">
        <w:rPr>
          <w:rFonts w:ascii="Book Antiqua" w:hAnsi="Book Antiqua" w:cs="Arial"/>
        </w:rPr>
        <w:t xml:space="preserve"> relating to deportation</w:t>
      </w:r>
      <w:r w:rsidR="0092262E">
        <w:rPr>
          <w:rFonts w:ascii="Book Antiqua" w:hAnsi="Book Antiqua" w:cs="Arial"/>
        </w:rPr>
        <w:t xml:space="preserve"> and</w:t>
      </w:r>
      <w:r w:rsidR="00976795">
        <w:rPr>
          <w:rFonts w:ascii="Book Antiqua" w:hAnsi="Book Antiqua" w:cs="Arial"/>
        </w:rPr>
        <w:t xml:space="preserve"> in particular </w:t>
      </w:r>
      <w:r w:rsidR="00DB2936">
        <w:rPr>
          <w:rFonts w:ascii="Book Antiqua" w:hAnsi="Book Antiqua" w:cs="Arial"/>
        </w:rPr>
        <w:t xml:space="preserve">whether </w:t>
      </w:r>
      <w:r w:rsidR="003913FB">
        <w:rPr>
          <w:rFonts w:ascii="Book Antiqua" w:hAnsi="Book Antiqua" w:cs="Arial"/>
        </w:rPr>
        <w:t xml:space="preserve">there was a material difference between the very compelling circumstances test under paragraph 398 and </w:t>
      </w:r>
      <w:r w:rsidR="00495306">
        <w:rPr>
          <w:rFonts w:ascii="Book Antiqua" w:hAnsi="Book Antiqua" w:cs="Arial"/>
        </w:rPr>
        <w:t>that of</w:t>
      </w:r>
      <w:r w:rsidR="003913FB">
        <w:rPr>
          <w:rFonts w:ascii="Book Antiqua" w:hAnsi="Book Antiqua" w:cs="Arial"/>
        </w:rPr>
        <w:t xml:space="preserve"> very exceptional circumstances under paragraph 399</w:t>
      </w:r>
      <w:r w:rsidR="00495306">
        <w:rPr>
          <w:rFonts w:ascii="Book Antiqua" w:hAnsi="Book Antiqua" w:cs="Arial"/>
        </w:rPr>
        <w:t>D.</w:t>
      </w:r>
      <w:r w:rsidR="002F0633">
        <w:rPr>
          <w:rFonts w:ascii="Book Antiqua" w:hAnsi="Book Antiqua" w:cs="Arial"/>
        </w:rPr>
        <w:t xml:space="preserve"> </w:t>
      </w:r>
      <w:r w:rsidR="00891642">
        <w:rPr>
          <w:rFonts w:ascii="Book Antiqua" w:hAnsi="Book Antiqua" w:cs="Arial"/>
        </w:rPr>
        <w:t xml:space="preserve">In </w:t>
      </w:r>
      <w:r w:rsidR="00D40DC1">
        <w:rPr>
          <w:rFonts w:ascii="Book Antiqua" w:hAnsi="Book Antiqua" w:cs="Arial"/>
        </w:rPr>
        <w:t xml:space="preserve">rejecting the appellant’s argument and </w:t>
      </w:r>
      <w:r w:rsidR="00891642">
        <w:rPr>
          <w:rFonts w:ascii="Book Antiqua" w:hAnsi="Book Antiqua" w:cs="Arial"/>
        </w:rPr>
        <w:t xml:space="preserve">concluding that there was,  Stephen Richards LJ </w:t>
      </w:r>
      <w:r w:rsidR="00884966">
        <w:rPr>
          <w:rFonts w:ascii="Book Antiqua" w:hAnsi="Book Antiqua" w:cs="Arial"/>
        </w:rPr>
        <w:t xml:space="preserve">concluded at </w:t>
      </w:r>
      <w:r w:rsidR="002F0633">
        <w:rPr>
          <w:rFonts w:ascii="Book Antiqua" w:hAnsi="Book Antiqua" w:cs="Arial"/>
        </w:rPr>
        <w:t>paragraph 45</w:t>
      </w:r>
      <w:r w:rsidR="006C7701">
        <w:rPr>
          <w:rFonts w:ascii="Book Antiqua" w:hAnsi="Book Antiqua" w:cs="Arial"/>
        </w:rPr>
        <w:t xml:space="preserve"> that</w:t>
      </w:r>
      <w:r w:rsidR="002F0633">
        <w:rPr>
          <w:rFonts w:ascii="Book Antiqua" w:hAnsi="Book Antiqua" w:cs="Arial"/>
        </w:rPr>
        <w:t>:</w:t>
      </w:r>
    </w:p>
    <w:p w14:paraId="3E453949" w14:textId="7A4E8A20" w:rsidR="002F0633" w:rsidRPr="00246204" w:rsidRDefault="00246204" w:rsidP="00246204">
      <w:pPr>
        <w:spacing w:before="240"/>
        <w:ind w:left="1440"/>
        <w:jc w:val="both"/>
        <w:rPr>
          <w:rFonts w:ascii="Book Antiqua" w:hAnsi="Book Antiqua" w:cs="Arial"/>
          <w:sz w:val="22"/>
          <w:szCs w:val="22"/>
        </w:rPr>
      </w:pPr>
      <w:r w:rsidRPr="00246204">
        <w:rPr>
          <w:rFonts w:ascii="Book Antiqua" w:hAnsi="Book Antiqua" w:cs="Arial"/>
          <w:sz w:val="22"/>
          <w:szCs w:val="22"/>
        </w:rPr>
        <w:t xml:space="preserve">“45. I am unable to accept this submission. The difference in the language of paragraphs 398 and 399D, suggesting a more stringent requirement under paragraph 399D, reflects a real difference in the circumstances covered by each paragraph. Paragraph 398 addresses the question whether a deportation order should be made, or an existing order maintained, against a person who has yet to be deported, whereas paragraph 399D addresses the very different case of a person who has been deported and then re-enters illegally and in breach of the order. In the latter case, any Article 8 claim that was raised by the deportee before his original deportation will, </w:t>
      </w:r>
      <w:r w:rsidRPr="00246204">
        <w:rPr>
          <w:rFonts w:ascii="Book Antiqua" w:hAnsi="Book Antiqua" w:cs="Arial"/>
          <w:i/>
          <w:sz w:val="22"/>
          <w:szCs w:val="22"/>
        </w:rPr>
        <w:t xml:space="preserve">ex </w:t>
      </w:r>
      <w:proofErr w:type="spellStart"/>
      <w:r w:rsidRPr="00246204">
        <w:rPr>
          <w:rFonts w:ascii="Book Antiqua" w:hAnsi="Book Antiqua" w:cs="Arial"/>
          <w:i/>
          <w:sz w:val="22"/>
          <w:szCs w:val="22"/>
        </w:rPr>
        <w:t>hypothesi</w:t>
      </w:r>
      <w:proofErr w:type="spellEnd"/>
      <w:r w:rsidRPr="00246204">
        <w:rPr>
          <w:rFonts w:ascii="Book Antiqua" w:hAnsi="Book Antiqua" w:cs="Arial"/>
          <w:i/>
          <w:sz w:val="22"/>
          <w:szCs w:val="22"/>
        </w:rPr>
        <w:t>,</w:t>
      </w:r>
      <w:r w:rsidRPr="00246204">
        <w:rPr>
          <w:rFonts w:ascii="Book Antiqua" w:hAnsi="Book Antiqua" w:cs="Arial"/>
          <w:sz w:val="22"/>
          <w:szCs w:val="22"/>
        </w:rPr>
        <w:t xml:space="preserve"> have been decided against him. It is readily understandable that in the cases covered by paragraph 399D the Secretary of State should have formed the view that there is a particularly strong public interest in maintaining the integrity of the deportation system as it applies to foreign criminals.”</w:t>
      </w:r>
    </w:p>
    <w:p w14:paraId="51E78921" w14:textId="754BA325" w:rsidR="00495306" w:rsidRDefault="0019349D" w:rsidP="00865BFE">
      <w:pPr>
        <w:numPr>
          <w:ilvl w:val="0"/>
          <w:numId w:val="18"/>
        </w:numPr>
        <w:spacing w:before="240"/>
        <w:jc w:val="both"/>
        <w:rPr>
          <w:rFonts w:ascii="Book Antiqua" w:hAnsi="Book Antiqua" w:cs="Arial"/>
        </w:rPr>
      </w:pPr>
      <w:r>
        <w:rPr>
          <w:rFonts w:ascii="Book Antiqua" w:hAnsi="Book Antiqua" w:cs="Arial"/>
        </w:rPr>
        <w:t>For whatever reason, no</w:t>
      </w:r>
      <w:r w:rsidR="00105B59">
        <w:rPr>
          <w:rFonts w:ascii="Book Antiqua" w:hAnsi="Book Antiqua" w:cs="Arial"/>
        </w:rPr>
        <w:t xml:space="preserve"> consideration was given to</w:t>
      </w:r>
      <w:r w:rsidR="0014016D">
        <w:rPr>
          <w:rFonts w:ascii="Book Antiqua" w:hAnsi="Book Antiqua" w:cs="Arial"/>
        </w:rPr>
        <w:t xml:space="preserve"> </w:t>
      </w:r>
      <w:r w:rsidR="00831E9C">
        <w:rPr>
          <w:rFonts w:ascii="Book Antiqua" w:hAnsi="Book Antiqua" w:cs="Arial"/>
        </w:rPr>
        <w:t xml:space="preserve">the application of the </w:t>
      </w:r>
      <w:r w:rsidR="00056589">
        <w:rPr>
          <w:rFonts w:ascii="Book Antiqua" w:hAnsi="Book Antiqua" w:cs="Arial"/>
        </w:rPr>
        <w:t>structured approach under Part 5A</w:t>
      </w:r>
      <w:r w:rsidR="00640B62">
        <w:rPr>
          <w:rFonts w:ascii="Book Antiqua" w:hAnsi="Book Antiqua" w:cs="Arial"/>
        </w:rPr>
        <w:t xml:space="preserve"> of the 2002 Act</w:t>
      </w:r>
      <w:r w:rsidR="00056589">
        <w:rPr>
          <w:rFonts w:ascii="Book Antiqua" w:hAnsi="Book Antiqua" w:cs="Arial"/>
        </w:rPr>
        <w:t xml:space="preserve"> and, in particular, </w:t>
      </w:r>
      <w:r w:rsidR="009F032E">
        <w:rPr>
          <w:rFonts w:ascii="Book Antiqua" w:hAnsi="Book Antiqua" w:cs="Arial"/>
        </w:rPr>
        <w:t xml:space="preserve">the import of </w:t>
      </w:r>
      <w:r w:rsidR="0014016D">
        <w:rPr>
          <w:rFonts w:ascii="Book Antiqua" w:hAnsi="Book Antiqua" w:cs="Arial"/>
        </w:rPr>
        <w:t>section 117C</w:t>
      </w:r>
      <w:r w:rsidR="00B75D7E">
        <w:rPr>
          <w:rFonts w:ascii="Book Antiqua" w:hAnsi="Book Antiqua" w:cs="Arial"/>
        </w:rPr>
        <w:t xml:space="preserve"> and its</w:t>
      </w:r>
      <w:r w:rsidR="00D51772">
        <w:rPr>
          <w:rFonts w:ascii="Book Antiqua" w:hAnsi="Book Antiqua" w:cs="Arial"/>
        </w:rPr>
        <w:t xml:space="preserve"> relationship </w:t>
      </w:r>
      <w:r w:rsidR="006D6CDB">
        <w:rPr>
          <w:rFonts w:ascii="Book Antiqua" w:hAnsi="Book Antiqua" w:cs="Arial"/>
        </w:rPr>
        <w:t>with</w:t>
      </w:r>
      <w:r w:rsidR="00D51772">
        <w:rPr>
          <w:rFonts w:ascii="Book Antiqua" w:hAnsi="Book Antiqua" w:cs="Arial"/>
        </w:rPr>
        <w:t xml:space="preserve"> the Rules.</w:t>
      </w:r>
      <w:r w:rsidR="00FB1481">
        <w:rPr>
          <w:rFonts w:ascii="Book Antiqua" w:hAnsi="Book Antiqua" w:cs="Arial"/>
        </w:rPr>
        <w:t xml:space="preserve"> </w:t>
      </w:r>
      <w:r w:rsidR="002470AC">
        <w:rPr>
          <w:rFonts w:ascii="Book Antiqua" w:hAnsi="Book Antiqua" w:cs="Arial"/>
        </w:rPr>
        <w:t>As such,</w:t>
      </w:r>
      <w:r w:rsidR="005310C5">
        <w:rPr>
          <w:rFonts w:ascii="Book Antiqua" w:hAnsi="Book Antiqua" w:cs="Arial"/>
        </w:rPr>
        <w:t xml:space="preserve"> we do not</w:t>
      </w:r>
      <w:r w:rsidR="00E65B6D">
        <w:rPr>
          <w:rFonts w:ascii="Book Antiqua" w:hAnsi="Book Antiqua" w:cs="Arial"/>
        </w:rPr>
        <w:t xml:space="preserve"> regard </w:t>
      </w:r>
      <w:r w:rsidR="00E65B6D" w:rsidRPr="006C7701">
        <w:rPr>
          <w:rFonts w:ascii="Book Antiqua" w:hAnsi="Book Antiqua" w:cs="Arial"/>
          <w:u w:val="single"/>
        </w:rPr>
        <w:t>SU</w:t>
      </w:r>
      <w:r w:rsidR="00E65B6D">
        <w:rPr>
          <w:rFonts w:ascii="Book Antiqua" w:hAnsi="Book Antiqua" w:cs="Arial"/>
        </w:rPr>
        <w:t xml:space="preserve"> as constituting binding authority to the effect that paragraph 399D of the </w:t>
      </w:r>
      <w:r w:rsidR="00E65B6D" w:rsidRPr="006C7701">
        <w:rPr>
          <w:rFonts w:ascii="Book Antiqua" w:hAnsi="Book Antiqua" w:cs="Arial"/>
        </w:rPr>
        <w:t xml:space="preserve">Rules </w:t>
      </w:r>
      <w:r w:rsidR="00366D62" w:rsidRPr="006C7701">
        <w:rPr>
          <w:rFonts w:ascii="Book Antiqua" w:hAnsi="Book Antiqua" w:cs="Arial"/>
        </w:rPr>
        <w:t xml:space="preserve">imports an additional </w:t>
      </w:r>
      <w:r w:rsidR="00384556" w:rsidRPr="006C7701">
        <w:rPr>
          <w:rFonts w:ascii="Book Antiqua" w:hAnsi="Book Antiqua" w:cs="Arial"/>
        </w:rPr>
        <w:t>threshold</w:t>
      </w:r>
      <w:r w:rsidR="00366D62" w:rsidRPr="006C7701">
        <w:rPr>
          <w:rFonts w:ascii="Book Antiqua" w:hAnsi="Book Antiqua" w:cs="Arial"/>
        </w:rPr>
        <w:t xml:space="preserve"> to be met over and above</w:t>
      </w:r>
      <w:r w:rsidR="007F7200" w:rsidRPr="006C7701">
        <w:rPr>
          <w:rFonts w:ascii="Book Antiqua" w:hAnsi="Book Antiqua" w:cs="Arial"/>
        </w:rPr>
        <w:t xml:space="preserve"> </w:t>
      </w:r>
      <w:r w:rsidR="002A192C">
        <w:rPr>
          <w:rFonts w:ascii="Book Antiqua" w:hAnsi="Book Antiqua" w:cs="Arial"/>
        </w:rPr>
        <w:t>what is contained</w:t>
      </w:r>
      <w:r w:rsidR="00C105F8">
        <w:rPr>
          <w:rFonts w:ascii="Book Antiqua" w:hAnsi="Book Antiqua" w:cs="Arial"/>
        </w:rPr>
        <w:t xml:space="preserve"> in</w:t>
      </w:r>
      <w:r w:rsidR="00FB78E4">
        <w:rPr>
          <w:rFonts w:ascii="Book Antiqua" w:hAnsi="Book Antiqua" w:cs="Arial"/>
        </w:rPr>
        <w:t xml:space="preserve"> section 117C</w:t>
      </w:r>
      <w:r w:rsidR="00E132E0">
        <w:rPr>
          <w:rFonts w:ascii="Book Antiqua" w:hAnsi="Book Antiqua" w:cs="Arial"/>
        </w:rPr>
        <w:t>.</w:t>
      </w:r>
    </w:p>
    <w:p w14:paraId="1C9B45CB" w14:textId="7F43BB02" w:rsidR="00E86025" w:rsidRDefault="00CD0A46" w:rsidP="00865BFE">
      <w:pPr>
        <w:numPr>
          <w:ilvl w:val="0"/>
          <w:numId w:val="18"/>
        </w:numPr>
        <w:spacing w:before="240"/>
        <w:jc w:val="both"/>
        <w:rPr>
          <w:rFonts w:ascii="Book Antiqua" w:hAnsi="Book Antiqua" w:cs="Arial"/>
        </w:rPr>
      </w:pPr>
      <w:r>
        <w:rPr>
          <w:rFonts w:ascii="Book Antiqua" w:hAnsi="Book Antiqua" w:cs="Arial"/>
        </w:rPr>
        <w:t xml:space="preserve">Nor </w:t>
      </w:r>
      <w:r w:rsidR="00822E54">
        <w:rPr>
          <w:rFonts w:ascii="Book Antiqua" w:hAnsi="Book Antiqua" w:cs="Arial"/>
        </w:rPr>
        <w:t xml:space="preserve">are we </w:t>
      </w:r>
      <w:r w:rsidR="0084522C">
        <w:rPr>
          <w:rFonts w:ascii="Book Antiqua" w:hAnsi="Book Antiqua" w:cs="Arial"/>
        </w:rPr>
        <w:t>persuaded</w:t>
      </w:r>
      <w:r w:rsidR="00822E54">
        <w:rPr>
          <w:rFonts w:ascii="Book Antiqua" w:hAnsi="Book Antiqua" w:cs="Arial"/>
        </w:rPr>
        <w:t xml:space="preserve"> that</w:t>
      </w:r>
      <w:r w:rsidR="00DF0E2C">
        <w:rPr>
          <w:rFonts w:ascii="Book Antiqua" w:hAnsi="Book Antiqua" w:cs="Arial"/>
        </w:rPr>
        <w:t xml:space="preserve"> the reasoning in </w:t>
      </w:r>
      <w:r w:rsidR="00DF0E2C" w:rsidRPr="00E132E0">
        <w:rPr>
          <w:rFonts w:ascii="Book Antiqua" w:hAnsi="Book Antiqua" w:cs="Arial"/>
          <w:u w:val="single"/>
        </w:rPr>
        <w:t>SU</w:t>
      </w:r>
      <w:r w:rsidR="00DF0E2C">
        <w:rPr>
          <w:rFonts w:ascii="Book Antiqua" w:hAnsi="Book Antiqua" w:cs="Arial"/>
        </w:rPr>
        <w:t xml:space="preserve"> </w:t>
      </w:r>
      <w:r w:rsidR="005A61CC">
        <w:rPr>
          <w:rFonts w:ascii="Book Antiqua" w:hAnsi="Book Antiqua" w:cs="Arial"/>
        </w:rPr>
        <w:t>should otherwise lead us</w:t>
      </w:r>
      <w:r w:rsidR="00494968">
        <w:rPr>
          <w:rFonts w:ascii="Book Antiqua" w:hAnsi="Book Antiqua" w:cs="Arial"/>
        </w:rPr>
        <w:t xml:space="preserve"> to </w:t>
      </w:r>
      <w:r w:rsidR="00D13EA7">
        <w:rPr>
          <w:rFonts w:ascii="Book Antiqua" w:hAnsi="Book Antiqua" w:cs="Arial"/>
        </w:rPr>
        <w:t xml:space="preserve">depart from </w:t>
      </w:r>
      <w:r w:rsidR="0084522C">
        <w:rPr>
          <w:rFonts w:ascii="Book Antiqua" w:hAnsi="Book Antiqua" w:cs="Arial"/>
        </w:rPr>
        <w:t xml:space="preserve">the view set out at paragraph </w:t>
      </w:r>
      <w:r w:rsidR="00BF6C1F">
        <w:rPr>
          <w:rFonts w:ascii="Book Antiqua" w:hAnsi="Book Antiqua" w:cs="Arial"/>
        </w:rPr>
        <w:t>8</w:t>
      </w:r>
      <w:r w:rsidR="00433022">
        <w:rPr>
          <w:rFonts w:ascii="Book Antiqua" w:hAnsi="Book Antiqua" w:cs="Arial"/>
        </w:rPr>
        <w:t>1</w:t>
      </w:r>
      <w:r w:rsidR="0084522C">
        <w:rPr>
          <w:rFonts w:ascii="Book Antiqua" w:hAnsi="Book Antiqua" w:cs="Arial"/>
        </w:rPr>
        <w:t>, above</w:t>
      </w:r>
      <w:r w:rsidR="0006104A">
        <w:rPr>
          <w:rFonts w:ascii="Book Antiqua" w:hAnsi="Book Antiqua" w:cs="Arial"/>
        </w:rPr>
        <w:t>, namely that</w:t>
      </w:r>
      <w:r w:rsidR="001737C8">
        <w:rPr>
          <w:rFonts w:ascii="Book Antiqua" w:hAnsi="Book Antiqua" w:cs="Arial"/>
        </w:rPr>
        <w:t xml:space="preserve"> section 1</w:t>
      </w:r>
      <w:r w:rsidR="002B22CB">
        <w:rPr>
          <w:rFonts w:ascii="Book Antiqua" w:hAnsi="Book Antiqua" w:cs="Arial"/>
        </w:rPr>
        <w:t xml:space="preserve">17C </w:t>
      </w:r>
      <w:r w:rsidR="007341ED">
        <w:rPr>
          <w:rFonts w:ascii="Book Antiqua" w:hAnsi="Book Antiqua" w:cs="Arial"/>
        </w:rPr>
        <w:t xml:space="preserve">applies </w:t>
      </w:r>
      <w:r w:rsidR="00372BDD">
        <w:rPr>
          <w:rFonts w:ascii="Book Antiqua" w:hAnsi="Book Antiqua" w:cs="Arial"/>
        </w:rPr>
        <w:t xml:space="preserve">equally </w:t>
      </w:r>
      <w:r w:rsidR="007341ED">
        <w:rPr>
          <w:rFonts w:ascii="Book Antiqua" w:hAnsi="Book Antiqua" w:cs="Arial"/>
        </w:rPr>
        <w:t xml:space="preserve">to </w:t>
      </w:r>
      <w:r w:rsidR="007F4D71">
        <w:rPr>
          <w:rFonts w:ascii="Book Antiqua" w:hAnsi="Book Antiqua" w:cs="Arial"/>
        </w:rPr>
        <w:t>all</w:t>
      </w:r>
      <w:r w:rsidR="007341ED">
        <w:rPr>
          <w:rFonts w:ascii="Book Antiqua" w:hAnsi="Book Antiqua" w:cs="Arial"/>
        </w:rPr>
        <w:t xml:space="preserve"> three</w:t>
      </w:r>
      <w:r w:rsidR="006C2066">
        <w:rPr>
          <w:rFonts w:ascii="Book Antiqua" w:hAnsi="Book Antiqua" w:cs="Arial"/>
        </w:rPr>
        <w:t xml:space="preserve"> aspects of the deportation regime: pre-removal; exclusion from the United Kingdom </w:t>
      </w:r>
      <w:r w:rsidR="001A3DFD">
        <w:rPr>
          <w:rFonts w:ascii="Book Antiqua" w:hAnsi="Book Antiqua" w:cs="Arial"/>
        </w:rPr>
        <w:t>once an individual has been removed; and</w:t>
      </w:r>
      <w:r w:rsidR="006508E4">
        <w:rPr>
          <w:rFonts w:ascii="Book Antiqua" w:hAnsi="Book Antiqua" w:cs="Arial"/>
        </w:rPr>
        <w:t xml:space="preserve"> efforts to remove an individual who has re-entered </w:t>
      </w:r>
      <w:r w:rsidR="00E06C4F">
        <w:rPr>
          <w:rFonts w:ascii="Book Antiqua" w:hAnsi="Book Antiqua" w:cs="Arial"/>
        </w:rPr>
        <w:t xml:space="preserve">this country </w:t>
      </w:r>
      <w:r w:rsidR="006508E4">
        <w:rPr>
          <w:rFonts w:ascii="Book Antiqua" w:hAnsi="Book Antiqua" w:cs="Arial"/>
        </w:rPr>
        <w:t>in breach of a deportation order</w:t>
      </w:r>
      <w:r w:rsidR="00822A32">
        <w:rPr>
          <w:rFonts w:ascii="Book Antiqua" w:hAnsi="Book Antiqua" w:cs="Arial"/>
        </w:rPr>
        <w:t>.</w:t>
      </w:r>
    </w:p>
    <w:p w14:paraId="796AB33C" w14:textId="1E7BF74D" w:rsidR="00A15D23" w:rsidRDefault="00DE7406" w:rsidP="00865BFE">
      <w:pPr>
        <w:numPr>
          <w:ilvl w:val="0"/>
          <w:numId w:val="18"/>
        </w:numPr>
        <w:spacing w:before="240"/>
        <w:jc w:val="both"/>
        <w:rPr>
          <w:rFonts w:ascii="Book Antiqua" w:hAnsi="Book Antiqua" w:cs="Arial"/>
        </w:rPr>
      </w:pPr>
      <w:r>
        <w:rPr>
          <w:rFonts w:ascii="Book Antiqua" w:hAnsi="Book Antiqua" w:cs="Arial"/>
        </w:rPr>
        <w:t>That the respondent herself</w:t>
      </w:r>
      <w:r w:rsidR="00341526">
        <w:rPr>
          <w:rFonts w:ascii="Book Antiqua" w:hAnsi="Book Antiqua" w:cs="Arial"/>
        </w:rPr>
        <w:t xml:space="preserve"> as expressly accepted that we should not</w:t>
      </w:r>
      <w:r w:rsidR="00B03565">
        <w:rPr>
          <w:rFonts w:ascii="Book Antiqua" w:hAnsi="Book Antiqua" w:cs="Arial"/>
        </w:rPr>
        <w:t xml:space="preserve"> </w:t>
      </w:r>
      <w:r w:rsidR="00E86025">
        <w:rPr>
          <w:rFonts w:ascii="Book Antiqua" w:hAnsi="Book Antiqua" w:cs="Arial"/>
        </w:rPr>
        <w:t xml:space="preserve">do so </w:t>
      </w:r>
      <w:r w:rsidR="00B03565">
        <w:rPr>
          <w:rFonts w:ascii="Book Antiqua" w:hAnsi="Book Antiqua" w:cs="Arial"/>
        </w:rPr>
        <w:t>is clearly significant.</w:t>
      </w:r>
      <w:r w:rsidR="00082166">
        <w:rPr>
          <w:rFonts w:ascii="Book Antiqua" w:hAnsi="Book Antiqua" w:cs="Arial"/>
        </w:rPr>
        <w:t xml:space="preserve"> </w:t>
      </w:r>
      <w:r w:rsidR="00CB0CD2">
        <w:rPr>
          <w:rFonts w:ascii="Book Antiqua" w:hAnsi="Book Antiqua" w:cs="Arial"/>
        </w:rPr>
        <w:t>So too is</w:t>
      </w:r>
      <w:r w:rsidR="00E06C4F">
        <w:rPr>
          <w:rFonts w:ascii="Book Antiqua" w:hAnsi="Book Antiqua" w:cs="Arial"/>
        </w:rPr>
        <w:t xml:space="preserve"> the fact of</w:t>
      </w:r>
      <w:r w:rsidR="00224698">
        <w:rPr>
          <w:rFonts w:ascii="Book Antiqua" w:hAnsi="Book Antiqua" w:cs="Arial"/>
        </w:rPr>
        <w:t xml:space="preserve"> what has not been provided for in section 117C. If Parliament had intended to impose a higher threshold in respect of those individuals re-entering United Kingdom in breach of a deportation order, it could have said so </w:t>
      </w:r>
      <w:r w:rsidR="005554EF">
        <w:rPr>
          <w:rFonts w:ascii="Book Antiqua" w:hAnsi="Book Antiqua" w:cs="Arial"/>
        </w:rPr>
        <w:t>in express terms</w:t>
      </w:r>
      <w:r w:rsidR="00224698">
        <w:rPr>
          <w:rFonts w:ascii="Book Antiqua" w:hAnsi="Book Antiqua" w:cs="Arial"/>
        </w:rPr>
        <w:t xml:space="preserve">. For example, that class of persons could </w:t>
      </w:r>
      <w:r w:rsidR="00D305A5">
        <w:rPr>
          <w:rFonts w:ascii="Book Antiqua" w:hAnsi="Book Antiqua" w:cs="Arial"/>
        </w:rPr>
        <w:t xml:space="preserve">have </w:t>
      </w:r>
      <w:r w:rsidR="00224698">
        <w:rPr>
          <w:rFonts w:ascii="Book Antiqua" w:hAnsi="Book Antiqua" w:cs="Arial"/>
        </w:rPr>
        <w:t>be</w:t>
      </w:r>
      <w:r w:rsidR="00D305A5">
        <w:rPr>
          <w:rFonts w:ascii="Book Antiqua" w:hAnsi="Book Antiqua" w:cs="Arial"/>
        </w:rPr>
        <w:t>en</w:t>
      </w:r>
      <w:r w:rsidR="00224698">
        <w:rPr>
          <w:rFonts w:ascii="Book Antiqua" w:hAnsi="Book Antiqua" w:cs="Arial"/>
        </w:rPr>
        <w:t xml:space="preserve"> treated as though they had received a sentence of four years or more, and were thus precluded from relying on either of the two exceptions under section 117C(4) and (5)</w:t>
      </w:r>
      <w:r w:rsidR="00BF1CCA">
        <w:rPr>
          <w:rFonts w:ascii="Book Antiqua" w:hAnsi="Book Antiqua" w:cs="Arial"/>
        </w:rPr>
        <w:t xml:space="preserve"> and</w:t>
      </w:r>
      <w:r w:rsidR="00CA04AC">
        <w:rPr>
          <w:rFonts w:ascii="Book Antiqua" w:hAnsi="Book Antiqua" w:cs="Arial"/>
        </w:rPr>
        <w:t xml:space="preserve"> that in addition</w:t>
      </w:r>
      <w:r w:rsidR="005F7216">
        <w:rPr>
          <w:rFonts w:ascii="Book Antiqua" w:hAnsi="Book Antiqua" w:cs="Arial"/>
        </w:rPr>
        <w:t xml:space="preserve"> they would have to show very exceptional circumstances in order to succeed on appeal rather than the very compelling circumstances</w:t>
      </w:r>
      <w:r w:rsidR="00D4415B">
        <w:rPr>
          <w:rFonts w:ascii="Book Antiqua" w:hAnsi="Book Antiqua" w:cs="Arial"/>
        </w:rPr>
        <w:t xml:space="preserve"> stated in section</w:t>
      </w:r>
      <w:r w:rsidR="00DB56B7">
        <w:rPr>
          <w:rFonts w:ascii="Book Antiqua" w:hAnsi="Book Antiqua" w:cs="Arial"/>
        </w:rPr>
        <w:t xml:space="preserve"> </w:t>
      </w:r>
      <w:r w:rsidR="00D4415B">
        <w:rPr>
          <w:rFonts w:ascii="Book Antiqua" w:hAnsi="Book Antiqua" w:cs="Arial"/>
        </w:rPr>
        <w:t>117C(6)</w:t>
      </w:r>
      <w:r w:rsidR="00224698">
        <w:rPr>
          <w:rFonts w:ascii="Book Antiqua" w:hAnsi="Book Antiqua" w:cs="Arial"/>
        </w:rPr>
        <w:t>.</w:t>
      </w:r>
      <w:r w:rsidR="00443EA8">
        <w:rPr>
          <w:rFonts w:ascii="Book Antiqua" w:hAnsi="Book Antiqua" w:cs="Arial"/>
        </w:rPr>
        <w:t xml:space="preserve"> Finally</w:t>
      </w:r>
      <w:r w:rsidR="00734B9D">
        <w:rPr>
          <w:rFonts w:ascii="Book Antiqua" w:hAnsi="Book Antiqua" w:cs="Arial"/>
        </w:rPr>
        <w:t>,</w:t>
      </w:r>
      <w:r w:rsidR="00A15D23">
        <w:rPr>
          <w:rFonts w:ascii="Book Antiqua" w:hAnsi="Book Antiqua" w:cs="Arial"/>
        </w:rPr>
        <w:t xml:space="preserve"> there is the plain wording of section 117C itself.</w:t>
      </w:r>
      <w:r w:rsidR="00A15D23" w:rsidRPr="00A15D23">
        <w:rPr>
          <w:rFonts w:ascii="Book Antiqua" w:hAnsi="Book Antiqua" w:cs="Arial"/>
        </w:rPr>
        <w:t xml:space="preserve"> </w:t>
      </w:r>
      <w:r w:rsidR="00D6322C">
        <w:rPr>
          <w:rFonts w:ascii="Book Antiqua" w:hAnsi="Book Antiqua" w:cs="Arial"/>
        </w:rPr>
        <w:t>We</w:t>
      </w:r>
      <w:r w:rsidR="00FF7268">
        <w:rPr>
          <w:rFonts w:ascii="Book Antiqua" w:hAnsi="Book Antiqua" w:cs="Arial"/>
        </w:rPr>
        <w:t xml:space="preserve"> look to subsections (3) and (6),</w:t>
      </w:r>
      <w:r w:rsidR="00D6322C">
        <w:rPr>
          <w:rFonts w:ascii="Book Antiqua" w:hAnsi="Book Antiqua" w:cs="Arial"/>
        </w:rPr>
        <w:t xml:space="preserve"> which provide</w:t>
      </w:r>
      <w:r w:rsidR="00A15D23">
        <w:rPr>
          <w:rFonts w:ascii="Book Antiqua" w:hAnsi="Book Antiqua" w:cs="Arial"/>
        </w:rPr>
        <w:t xml:space="preserve">: </w:t>
      </w:r>
    </w:p>
    <w:p w14:paraId="0D6AF891" w14:textId="6A3060A2" w:rsidR="00A15D23" w:rsidRDefault="00A15D23" w:rsidP="00A15D23">
      <w:pPr>
        <w:spacing w:before="240"/>
        <w:ind w:left="1440"/>
        <w:jc w:val="both"/>
        <w:rPr>
          <w:rFonts w:ascii="Book Antiqua" w:hAnsi="Book Antiqua" w:cs="Arial"/>
          <w:sz w:val="22"/>
          <w:szCs w:val="22"/>
        </w:rPr>
      </w:pPr>
      <w:r w:rsidRPr="00FE39AB">
        <w:rPr>
          <w:rFonts w:ascii="Book Antiqua" w:hAnsi="Book Antiqua" w:cs="Arial"/>
          <w:sz w:val="22"/>
          <w:szCs w:val="22"/>
        </w:rPr>
        <w:t>“</w:t>
      </w:r>
      <w:r w:rsidR="00FF7268">
        <w:rPr>
          <w:rFonts w:ascii="Book Antiqua" w:hAnsi="Book Antiqua" w:cs="Arial"/>
          <w:sz w:val="22"/>
          <w:szCs w:val="22"/>
        </w:rPr>
        <w:t xml:space="preserve">(3) </w:t>
      </w:r>
      <w:r w:rsidRPr="00FE39AB">
        <w:rPr>
          <w:rFonts w:ascii="Book Antiqua" w:hAnsi="Book Antiqua" w:cs="Arial"/>
          <w:sz w:val="22"/>
          <w:szCs w:val="22"/>
        </w:rPr>
        <w:t xml:space="preserve">In the case of a foreign criminal (“C”) who has not been sentenced to a period of imprisonment of four years or more, the public interest requires C’s deportation </w:t>
      </w:r>
      <w:r w:rsidRPr="00FE39AB">
        <w:rPr>
          <w:rFonts w:ascii="Book Antiqua" w:hAnsi="Book Antiqua" w:cs="Arial"/>
          <w:sz w:val="22"/>
          <w:szCs w:val="22"/>
          <w:u w:val="single"/>
        </w:rPr>
        <w:t>unless</w:t>
      </w:r>
      <w:r w:rsidRPr="00FE39AB">
        <w:rPr>
          <w:rFonts w:ascii="Book Antiqua" w:hAnsi="Book Antiqua" w:cs="Arial"/>
          <w:sz w:val="22"/>
          <w:szCs w:val="22"/>
        </w:rPr>
        <w:t xml:space="preserve"> Exception 1 or Exception 2 applies.</w:t>
      </w:r>
    </w:p>
    <w:p w14:paraId="5CF80F60" w14:textId="486E873D" w:rsidR="00FF7268" w:rsidRDefault="00034F8B" w:rsidP="00A15D23">
      <w:pPr>
        <w:spacing w:before="240"/>
        <w:ind w:left="1440"/>
        <w:jc w:val="both"/>
        <w:rPr>
          <w:rFonts w:ascii="Book Antiqua" w:hAnsi="Book Antiqua" w:cs="Arial"/>
          <w:sz w:val="22"/>
          <w:szCs w:val="22"/>
        </w:rPr>
      </w:pPr>
      <w:r>
        <w:rPr>
          <w:rFonts w:ascii="Book Antiqua" w:hAnsi="Book Antiqua" w:cs="Arial"/>
          <w:sz w:val="22"/>
          <w:szCs w:val="22"/>
        </w:rPr>
        <w:t>…</w:t>
      </w:r>
    </w:p>
    <w:p w14:paraId="5347015B" w14:textId="1C91AC35" w:rsidR="00034F8B" w:rsidRPr="00FE39AB" w:rsidRDefault="00034F8B" w:rsidP="00A15D23">
      <w:pPr>
        <w:spacing w:before="240"/>
        <w:ind w:left="1440"/>
        <w:jc w:val="both"/>
        <w:rPr>
          <w:rFonts w:ascii="Book Antiqua" w:hAnsi="Book Antiqua" w:cs="Arial"/>
          <w:sz w:val="22"/>
          <w:szCs w:val="22"/>
        </w:rPr>
      </w:pPr>
      <w:r>
        <w:rPr>
          <w:rFonts w:ascii="Book Antiqua" w:hAnsi="Book Antiqua" w:cs="Arial"/>
          <w:sz w:val="22"/>
          <w:szCs w:val="22"/>
        </w:rPr>
        <w:t>(6) In the case of a foreign criminal who has been sentenced to a period of imprisonment of at least four years,</w:t>
      </w:r>
      <w:r w:rsidR="0041411F">
        <w:rPr>
          <w:rFonts w:ascii="Book Antiqua" w:hAnsi="Book Antiqua" w:cs="Arial"/>
          <w:sz w:val="22"/>
          <w:szCs w:val="22"/>
        </w:rPr>
        <w:t xml:space="preserve"> the public interest requires deportation </w:t>
      </w:r>
      <w:r w:rsidR="0041411F" w:rsidRPr="0041411F">
        <w:rPr>
          <w:rFonts w:ascii="Book Antiqua" w:hAnsi="Book Antiqua" w:cs="Arial"/>
          <w:sz w:val="22"/>
          <w:szCs w:val="22"/>
          <w:u w:val="single"/>
        </w:rPr>
        <w:t>unless</w:t>
      </w:r>
      <w:r w:rsidR="0041411F">
        <w:rPr>
          <w:rFonts w:ascii="Book Antiqua" w:hAnsi="Book Antiqua" w:cs="Arial"/>
          <w:sz w:val="22"/>
          <w:szCs w:val="22"/>
        </w:rPr>
        <w:t xml:space="preserve"> there are very compelling circumstances, over and above those described in Exceptions 1 and 2.”</w:t>
      </w:r>
    </w:p>
    <w:p w14:paraId="5BCE7837" w14:textId="77777777" w:rsidR="00A15D23" w:rsidRDefault="00A15D23" w:rsidP="00A15D23">
      <w:pPr>
        <w:spacing w:before="240"/>
        <w:ind w:left="567"/>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(underlining added)</w:t>
      </w:r>
    </w:p>
    <w:p w14:paraId="1AE6AFE6" w14:textId="660C094C" w:rsidR="00A15D23" w:rsidRDefault="00A15D23" w:rsidP="00865BFE">
      <w:pPr>
        <w:numPr>
          <w:ilvl w:val="0"/>
          <w:numId w:val="18"/>
        </w:numPr>
        <w:spacing w:before="240"/>
        <w:jc w:val="both"/>
        <w:rPr>
          <w:rFonts w:ascii="Book Antiqua" w:hAnsi="Book Antiqua" w:cs="Arial"/>
        </w:rPr>
      </w:pPr>
      <w:r>
        <w:rPr>
          <w:rFonts w:ascii="Book Antiqua" w:hAnsi="Book Antiqua" w:cs="Arial"/>
        </w:rPr>
        <w:t xml:space="preserve">The effect of </w:t>
      </w:r>
      <w:r w:rsidR="000343BC">
        <w:rPr>
          <w:rFonts w:ascii="Book Antiqua" w:hAnsi="Book Antiqua" w:cs="Arial"/>
        </w:rPr>
        <w:t>the use of the term “unless”</w:t>
      </w:r>
      <w:r>
        <w:rPr>
          <w:rFonts w:ascii="Book Antiqua" w:hAnsi="Book Antiqua" w:cs="Arial"/>
        </w:rPr>
        <w:t xml:space="preserve"> is inescapable: if the </w:t>
      </w:r>
      <w:r w:rsidR="00394B63">
        <w:rPr>
          <w:rFonts w:ascii="Book Antiqua" w:hAnsi="Book Antiqua" w:cs="Arial"/>
        </w:rPr>
        <w:t>medium offender</w:t>
      </w:r>
      <w:r>
        <w:rPr>
          <w:rFonts w:ascii="Book Antiqua" w:hAnsi="Book Antiqua" w:cs="Arial"/>
        </w:rPr>
        <w:t xml:space="preserve"> can satisfy either of the two </w:t>
      </w:r>
      <w:r w:rsidR="002434C8">
        <w:rPr>
          <w:rFonts w:ascii="Book Antiqua" w:hAnsi="Book Antiqua" w:cs="Arial"/>
        </w:rPr>
        <w:t>e</w:t>
      </w:r>
      <w:r>
        <w:rPr>
          <w:rFonts w:ascii="Book Antiqua" w:hAnsi="Book Antiqua" w:cs="Arial"/>
        </w:rPr>
        <w:t>xceptions</w:t>
      </w:r>
      <w:r w:rsidR="008548D2">
        <w:rPr>
          <w:rFonts w:ascii="Book Antiqua" w:hAnsi="Book Antiqua" w:cs="Arial"/>
        </w:rPr>
        <w:t xml:space="preserve">, or </w:t>
      </w:r>
      <w:r w:rsidR="00347E0C">
        <w:rPr>
          <w:rFonts w:ascii="Book Antiqua" w:hAnsi="Book Antiqua" w:cs="Arial"/>
        </w:rPr>
        <w:t xml:space="preserve">if </w:t>
      </w:r>
      <w:r w:rsidR="00FD0D90">
        <w:rPr>
          <w:rFonts w:ascii="Book Antiqua" w:hAnsi="Book Antiqua" w:cs="Arial"/>
        </w:rPr>
        <w:t>they</w:t>
      </w:r>
      <w:r w:rsidR="00347E0C">
        <w:rPr>
          <w:rFonts w:ascii="Book Antiqua" w:hAnsi="Book Antiqua" w:cs="Arial"/>
        </w:rPr>
        <w:t xml:space="preserve"> cannot</w:t>
      </w:r>
      <w:r w:rsidR="004D509D">
        <w:rPr>
          <w:rFonts w:ascii="Book Antiqua" w:hAnsi="Book Antiqua" w:cs="Arial"/>
        </w:rPr>
        <w:t xml:space="preserve"> or </w:t>
      </w:r>
      <w:r w:rsidR="00681839">
        <w:rPr>
          <w:rFonts w:ascii="Book Antiqua" w:hAnsi="Book Antiqua" w:cs="Arial"/>
        </w:rPr>
        <w:t xml:space="preserve">are precluded </w:t>
      </w:r>
      <w:r w:rsidR="00790312">
        <w:rPr>
          <w:rFonts w:ascii="Book Antiqua" w:hAnsi="Book Antiqua" w:cs="Arial"/>
        </w:rPr>
        <w:t xml:space="preserve">from doing so due to the length of a custodial sentence, but yet can </w:t>
      </w:r>
      <w:r w:rsidR="00DD4BFA">
        <w:rPr>
          <w:rFonts w:ascii="Book Antiqua" w:hAnsi="Book Antiqua" w:cs="Arial"/>
        </w:rPr>
        <w:t xml:space="preserve">show that very compelling circumstances exist, </w:t>
      </w:r>
      <w:r>
        <w:rPr>
          <w:rFonts w:ascii="Book Antiqua" w:hAnsi="Book Antiqua" w:cs="Arial"/>
        </w:rPr>
        <w:t xml:space="preserve">the public interest will </w:t>
      </w:r>
      <w:r w:rsidRPr="00A53A30">
        <w:rPr>
          <w:rFonts w:ascii="Book Antiqua" w:hAnsi="Book Antiqua" w:cs="Arial"/>
          <w:i/>
          <w:iCs/>
        </w:rPr>
        <w:t>not</w:t>
      </w:r>
      <w:r>
        <w:rPr>
          <w:rFonts w:ascii="Book Antiqua" w:hAnsi="Book Antiqua" w:cs="Arial"/>
        </w:rPr>
        <w:t xml:space="preserve"> require their deportation</w:t>
      </w:r>
      <w:r w:rsidR="00E36AB7">
        <w:rPr>
          <w:rFonts w:ascii="Book Antiqua" w:hAnsi="Book Antiqua" w:cs="Arial"/>
        </w:rPr>
        <w:t xml:space="preserve"> and the appeal will be allowed</w:t>
      </w:r>
      <w:r>
        <w:rPr>
          <w:rFonts w:ascii="Book Antiqua" w:hAnsi="Book Antiqua" w:cs="Arial"/>
        </w:rPr>
        <w:t xml:space="preserve">. </w:t>
      </w:r>
      <w:r w:rsidR="00B664D6">
        <w:rPr>
          <w:rFonts w:ascii="Book Antiqua" w:hAnsi="Book Antiqua" w:cs="Arial"/>
        </w:rPr>
        <w:t>Nothing in the Rules</w:t>
      </w:r>
      <w:r w:rsidR="00A525E3">
        <w:rPr>
          <w:rFonts w:ascii="Book Antiqua" w:hAnsi="Book Antiqua" w:cs="Arial"/>
        </w:rPr>
        <w:t xml:space="preserve"> can </w:t>
      </w:r>
      <w:r w:rsidR="00E923C2">
        <w:rPr>
          <w:rFonts w:ascii="Book Antiqua" w:hAnsi="Book Antiqua" w:cs="Arial"/>
        </w:rPr>
        <w:t>be treated as</w:t>
      </w:r>
      <w:r w:rsidR="00146D7E">
        <w:rPr>
          <w:rFonts w:ascii="Book Antiqua" w:hAnsi="Book Antiqua" w:cs="Arial"/>
        </w:rPr>
        <w:t xml:space="preserve"> </w:t>
      </w:r>
      <w:r w:rsidR="00917ED6">
        <w:rPr>
          <w:rFonts w:ascii="Book Antiqua" w:hAnsi="Book Antiqua" w:cs="Arial"/>
        </w:rPr>
        <w:t>modifying</w:t>
      </w:r>
      <w:r w:rsidR="00146D7E">
        <w:rPr>
          <w:rFonts w:ascii="Book Antiqua" w:hAnsi="Book Antiqua" w:cs="Arial"/>
        </w:rPr>
        <w:t xml:space="preserve"> the</w:t>
      </w:r>
      <w:r w:rsidR="00366397">
        <w:rPr>
          <w:rFonts w:ascii="Book Antiqua" w:hAnsi="Book Antiqua" w:cs="Arial"/>
        </w:rPr>
        <w:t xml:space="preserve"> statutory criteria and outcomes provided for</w:t>
      </w:r>
      <w:r w:rsidR="006B4FE1">
        <w:rPr>
          <w:rFonts w:ascii="Book Antiqua" w:hAnsi="Book Antiqua" w:cs="Arial"/>
        </w:rPr>
        <w:t>.</w:t>
      </w:r>
    </w:p>
    <w:p w14:paraId="06463F28" w14:textId="1BEA4E8D" w:rsidR="00E55ACE" w:rsidRPr="00F70BBA" w:rsidRDefault="001D5161" w:rsidP="00865BFE">
      <w:pPr>
        <w:numPr>
          <w:ilvl w:val="0"/>
          <w:numId w:val="18"/>
        </w:numPr>
        <w:spacing w:before="240"/>
        <w:jc w:val="both"/>
        <w:rPr>
          <w:rFonts w:ascii="Book Antiqua" w:hAnsi="Book Antiqua" w:cs="Arial"/>
        </w:rPr>
      </w:pPr>
      <w:r w:rsidRPr="00F70BBA">
        <w:rPr>
          <w:rFonts w:ascii="Book Antiqua" w:hAnsi="Book Antiqua" w:cs="Arial"/>
        </w:rPr>
        <w:t>It follows from the foregoing that</w:t>
      </w:r>
      <w:r w:rsidR="004D2FAC" w:rsidRPr="00F70BBA">
        <w:rPr>
          <w:rFonts w:ascii="Book Antiqua" w:hAnsi="Book Antiqua" w:cs="Arial"/>
        </w:rPr>
        <w:t xml:space="preserve"> the</w:t>
      </w:r>
      <w:r w:rsidR="00952B97" w:rsidRPr="00F70BBA">
        <w:rPr>
          <w:rFonts w:ascii="Book Antiqua" w:hAnsi="Book Antiqua" w:cs="Arial"/>
        </w:rPr>
        <w:t xml:space="preserve"> structured approach to be undertaken by a tribunal considering</w:t>
      </w:r>
      <w:r w:rsidR="001E2931" w:rsidRPr="00F70BBA">
        <w:rPr>
          <w:rFonts w:ascii="Book Antiqua" w:hAnsi="Book Antiqua" w:cs="Arial"/>
        </w:rPr>
        <w:t xml:space="preserve"> an Article 8 appeal in the context of deportation begins and ends with Part 5A of the 2002 Act.</w:t>
      </w:r>
      <w:r w:rsidR="00C96983" w:rsidRPr="00F70BBA">
        <w:rPr>
          <w:rFonts w:ascii="Book Antiqua" w:hAnsi="Book Antiqua" w:cs="Arial"/>
        </w:rPr>
        <w:t xml:space="preserve"> Paragraph 399</w:t>
      </w:r>
      <w:r w:rsidR="00D560F0" w:rsidRPr="00F70BBA">
        <w:rPr>
          <w:rFonts w:ascii="Book Antiqua" w:hAnsi="Book Antiqua" w:cs="Arial"/>
        </w:rPr>
        <w:t xml:space="preserve">D of the Rules has no part to play in the application of section 117C(5), </w:t>
      </w:r>
      <w:r w:rsidR="005D6039" w:rsidRPr="00F70BBA">
        <w:rPr>
          <w:rFonts w:ascii="Book Antiqua" w:hAnsi="Book Antiqua" w:cs="Arial"/>
        </w:rPr>
        <w:t>or</w:t>
      </w:r>
      <w:r w:rsidR="00D560F0" w:rsidRPr="00F70BBA">
        <w:rPr>
          <w:rFonts w:ascii="Book Antiqua" w:hAnsi="Book Antiqua" w:cs="Arial"/>
        </w:rPr>
        <w:t xml:space="preserve"> for that matter</w:t>
      </w:r>
      <w:r w:rsidR="005D6039" w:rsidRPr="00F70BBA">
        <w:rPr>
          <w:rFonts w:ascii="Book Antiqua" w:hAnsi="Book Antiqua" w:cs="Arial"/>
        </w:rPr>
        <w:t xml:space="preserve"> section 117C(4)</w:t>
      </w:r>
      <w:r w:rsidR="00DF6C73" w:rsidRPr="00F70BBA">
        <w:rPr>
          <w:rFonts w:ascii="Book Antiqua" w:hAnsi="Book Antiqua" w:cs="Arial"/>
        </w:rPr>
        <w:t xml:space="preserve"> (although</w:t>
      </w:r>
      <w:r w:rsidR="00040D08" w:rsidRPr="00F70BBA">
        <w:rPr>
          <w:rFonts w:ascii="Book Antiqua" w:hAnsi="Book Antiqua" w:cs="Arial"/>
        </w:rPr>
        <w:t xml:space="preserve"> we find it hard</w:t>
      </w:r>
      <w:r w:rsidR="00CA4C8E" w:rsidRPr="00F70BBA">
        <w:rPr>
          <w:rFonts w:ascii="Book Antiqua" w:hAnsi="Book Antiqua" w:cs="Arial"/>
        </w:rPr>
        <w:t>, if not impossible,</w:t>
      </w:r>
      <w:r w:rsidR="00040D08" w:rsidRPr="00F70BBA">
        <w:rPr>
          <w:rFonts w:ascii="Book Antiqua" w:hAnsi="Book Antiqua" w:cs="Arial"/>
        </w:rPr>
        <w:t xml:space="preserve"> to conceive of a </w:t>
      </w:r>
      <w:r w:rsidR="00544C85" w:rsidRPr="00F70BBA">
        <w:rPr>
          <w:rFonts w:ascii="Book Antiqua" w:hAnsi="Book Antiqua" w:cs="Arial"/>
        </w:rPr>
        <w:t>situation</w:t>
      </w:r>
      <w:r w:rsidR="00040D08" w:rsidRPr="00F70BBA">
        <w:rPr>
          <w:rFonts w:ascii="Book Antiqua" w:hAnsi="Book Antiqua" w:cs="Arial"/>
        </w:rPr>
        <w:t xml:space="preserve"> in which</w:t>
      </w:r>
      <w:r w:rsidR="00544C85" w:rsidRPr="00F70BBA">
        <w:rPr>
          <w:rFonts w:ascii="Book Antiqua" w:hAnsi="Book Antiqua" w:cs="Arial"/>
        </w:rPr>
        <w:t xml:space="preserve"> an individual who had re-entered the United Kingdom in breach of a deportation order would be able to rely on </w:t>
      </w:r>
      <w:r w:rsidR="00D0227A" w:rsidRPr="00F70BBA">
        <w:rPr>
          <w:rFonts w:ascii="Book Antiqua" w:hAnsi="Book Antiqua" w:cs="Arial"/>
        </w:rPr>
        <w:t>the private life exception</w:t>
      </w:r>
      <w:r w:rsidR="00544C85" w:rsidRPr="00F70BBA">
        <w:rPr>
          <w:rFonts w:ascii="Book Antiqua" w:hAnsi="Book Antiqua" w:cs="Arial"/>
        </w:rPr>
        <w:t>)</w:t>
      </w:r>
      <w:r w:rsidR="005D6039" w:rsidRPr="00F70BBA">
        <w:rPr>
          <w:rFonts w:ascii="Book Antiqua" w:hAnsi="Book Antiqua" w:cs="Arial"/>
        </w:rPr>
        <w:t>.</w:t>
      </w:r>
      <w:r w:rsidR="00371994" w:rsidRPr="00F70BBA">
        <w:rPr>
          <w:rFonts w:ascii="Book Antiqua" w:hAnsi="Book Antiqua" w:cs="Arial"/>
        </w:rPr>
        <w:t xml:space="preserve"> Nor can paragraph 399D </w:t>
      </w:r>
      <w:r w:rsidR="00D37B94" w:rsidRPr="00F70BBA">
        <w:rPr>
          <w:rFonts w:ascii="Book Antiqua" w:hAnsi="Book Antiqua" w:cs="Arial"/>
        </w:rPr>
        <w:t>constitute a relevant factor</w:t>
      </w:r>
      <w:r w:rsidR="00E415C8" w:rsidRPr="00F70BBA">
        <w:rPr>
          <w:rFonts w:ascii="Book Antiqua" w:hAnsi="Book Antiqua" w:cs="Arial"/>
        </w:rPr>
        <w:t xml:space="preserve"> when a tribunal is considering section </w:t>
      </w:r>
      <w:r w:rsidR="00361FAB" w:rsidRPr="00F70BBA">
        <w:rPr>
          <w:rFonts w:ascii="Book Antiqua" w:hAnsi="Book Antiqua" w:cs="Arial"/>
        </w:rPr>
        <w:t>117C(6)</w:t>
      </w:r>
      <w:r w:rsidR="006A5DB1" w:rsidRPr="00F70BBA">
        <w:rPr>
          <w:rFonts w:ascii="Book Antiqua" w:hAnsi="Book Antiqua" w:cs="Arial"/>
        </w:rPr>
        <w:t xml:space="preserve"> and we reject</w:t>
      </w:r>
      <w:r w:rsidR="009B7AB2" w:rsidRPr="00F70BBA">
        <w:rPr>
          <w:rFonts w:ascii="Book Antiqua" w:hAnsi="Book Antiqua" w:cs="Arial"/>
        </w:rPr>
        <w:t xml:space="preserve"> th</w:t>
      </w:r>
      <w:r w:rsidR="000402F3" w:rsidRPr="00F70BBA">
        <w:rPr>
          <w:rFonts w:ascii="Book Antiqua" w:hAnsi="Book Antiqua" w:cs="Arial"/>
        </w:rPr>
        <w:t>is</w:t>
      </w:r>
      <w:r w:rsidR="009B7AB2" w:rsidRPr="00F70BBA">
        <w:rPr>
          <w:rFonts w:ascii="Book Antiqua" w:hAnsi="Book Antiqua" w:cs="Arial"/>
        </w:rPr>
        <w:t xml:space="preserve"> </w:t>
      </w:r>
      <w:r w:rsidR="00B74B40">
        <w:rPr>
          <w:rFonts w:ascii="Book Antiqua" w:hAnsi="Book Antiqua" w:cs="Arial"/>
        </w:rPr>
        <w:t xml:space="preserve">particular </w:t>
      </w:r>
      <w:r w:rsidR="009B7AB2" w:rsidRPr="00F70BBA">
        <w:rPr>
          <w:rFonts w:ascii="Book Antiqua" w:hAnsi="Book Antiqua" w:cs="Arial"/>
        </w:rPr>
        <w:t>aspect of Mr Jarvis’</w:t>
      </w:r>
      <w:r w:rsidR="000402F3" w:rsidRPr="00F70BBA">
        <w:rPr>
          <w:rFonts w:ascii="Book Antiqua" w:hAnsi="Book Antiqua" w:cs="Arial"/>
        </w:rPr>
        <w:t xml:space="preserve"> </w:t>
      </w:r>
      <w:r w:rsidR="009B7AB2" w:rsidRPr="00F70BBA">
        <w:rPr>
          <w:rFonts w:ascii="Book Antiqua" w:hAnsi="Book Antiqua" w:cs="Arial"/>
        </w:rPr>
        <w:t xml:space="preserve">submissions to the contrary. If, as we have concluded it does, </w:t>
      </w:r>
      <w:r w:rsidR="003D5591" w:rsidRPr="00F70BBA">
        <w:rPr>
          <w:rFonts w:ascii="Book Antiqua" w:hAnsi="Book Antiqua" w:cs="Arial"/>
        </w:rPr>
        <w:t>the</w:t>
      </w:r>
      <w:r w:rsidR="00015478" w:rsidRPr="00F70BBA">
        <w:rPr>
          <w:rFonts w:ascii="Book Antiqua" w:hAnsi="Book Antiqua" w:cs="Arial"/>
        </w:rPr>
        <w:t xml:space="preserve"> “deportation regime”</w:t>
      </w:r>
      <w:r w:rsidR="0056616E" w:rsidRPr="00F70BBA">
        <w:rPr>
          <w:rFonts w:ascii="Book Antiqua" w:hAnsi="Book Antiqua" w:cs="Arial"/>
        </w:rPr>
        <w:t xml:space="preserve"> established under Part 5A applies equally to </w:t>
      </w:r>
      <w:r w:rsidR="00E72A1F" w:rsidRPr="00F70BBA">
        <w:rPr>
          <w:rFonts w:ascii="Book Antiqua" w:hAnsi="Book Antiqua" w:cs="Arial"/>
        </w:rPr>
        <w:t>those individuals within the three</w:t>
      </w:r>
      <w:r w:rsidR="00570FCA" w:rsidRPr="00F70BBA">
        <w:rPr>
          <w:rFonts w:ascii="Book Antiqua" w:hAnsi="Book Antiqua" w:cs="Arial"/>
        </w:rPr>
        <w:t xml:space="preserve"> </w:t>
      </w:r>
      <w:r w:rsidR="0056616E" w:rsidRPr="00F70BBA">
        <w:rPr>
          <w:rFonts w:ascii="Book Antiqua" w:hAnsi="Book Antiqua" w:cs="Arial"/>
        </w:rPr>
        <w:t>categories</w:t>
      </w:r>
      <w:r w:rsidR="005D416C" w:rsidRPr="00F70BBA">
        <w:rPr>
          <w:rFonts w:ascii="Book Antiqua" w:hAnsi="Book Antiqua" w:cs="Arial"/>
        </w:rPr>
        <w:t xml:space="preserve"> identified in paragraph</w:t>
      </w:r>
      <w:r w:rsidR="00E72A1F" w:rsidRPr="00F70BBA">
        <w:rPr>
          <w:rFonts w:ascii="Book Antiqua" w:hAnsi="Book Antiqua" w:cs="Arial"/>
        </w:rPr>
        <w:t xml:space="preserve"> </w:t>
      </w:r>
      <w:r w:rsidR="0061308F">
        <w:rPr>
          <w:rFonts w:ascii="Book Antiqua" w:hAnsi="Book Antiqua" w:cs="Arial"/>
        </w:rPr>
        <w:t>89</w:t>
      </w:r>
      <w:r w:rsidR="00E72A1F" w:rsidRPr="00F70BBA">
        <w:rPr>
          <w:rFonts w:ascii="Book Antiqua" w:hAnsi="Book Antiqua" w:cs="Arial"/>
        </w:rPr>
        <w:t>, above, it must follow that</w:t>
      </w:r>
      <w:r w:rsidR="009B5AF3" w:rsidRPr="00F70BBA">
        <w:rPr>
          <w:rFonts w:ascii="Book Antiqua" w:hAnsi="Book Antiqua" w:cs="Arial"/>
        </w:rPr>
        <w:t xml:space="preserve"> </w:t>
      </w:r>
      <w:r w:rsidR="0081672E" w:rsidRPr="00F70BBA">
        <w:rPr>
          <w:rFonts w:ascii="Book Antiqua" w:hAnsi="Book Antiqua" w:cs="Arial"/>
        </w:rPr>
        <w:t xml:space="preserve">the criterion under </w:t>
      </w:r>
      <w:r w:rsidR="009E0CCF" w:rsidRPr="00F70BBA">
        <w:rPr>
          <w:rFonts w:ascii="Book Antiqua" w:hAnsi="Book Antiqua" w:cs="Arial"/>
        </w:rPr>
        <w:t xml:space="preserve">subsection </w:t>
      </w:r>
      <w:r w:rsidR="00EB473C" w:rsidRPr="00F70BBA">
        <w:rPr>
          <w:rFonts w:ascii="Book Antiqua" w:hAnsi="Book Antiqua" w:cs="Arial"/>
        </w:rPr>
        <w:t xml:space="preserve">(6) </w:t>
      </w:r>
      <w:r w:rsidR="00B418A2" w:rsidRPr="00F70BBA">
        <w:rPr>
          <w:rFonts w:ascii="Book Antiqua" w:hAnsi="Book Antiqua" w:cs="Arial"/>
        </w:rPr>
        <w:t xml:space="preserve">should be applied consistently </w:t>
      </w:r>
      <w:r w:rsidR="009E0CCF" w:rsidRPr="00F70BBA">
        <w:rPr>
          <w:rFonts w:ascii="Book Antiqua" w:hAnsi="Book Antiqua" w:cs="Arial"/>
        </w:rPr>
        <w:t xml:space="preserve">as between </w:t>
      </w:r>
      <w:r w:rsidR="00020038" w:rsidRPr="00F70BBA">
        <w:rPr>
          <w:rFonts w:ascii="Book Antiqua" w:hAnsi="Book Antiqua" w:cs="Arial"/>
        </w:rPr>
        <w:t>each.</w:t>
      </w:r>
      <w:r w:rsidR="00A62A26" w:rsidRPr="00F70BBA">
        <w:rPr>
          <w:rFonts w:ascii="Book Antiqua" w:hAnsi="Book Antiqua" w:cs="Arial"/>
        </w:rPr>
        <w:t xml:space="preserve"> The significance attached </w:t>
      </w:r>
      <w:r w:rsidR="005E7DDB" w:rsidRPr="00F70BBA">
        <w:rPr>
          <w:rFonts w:ascii="Book Antiqua" w:hAnsi="Book Antiqua" w:cs="Arial"/>
        </w:rPr>
        <w:t xml:space="preserve">by the respondent </w:t>
      </w:r>
      <w:r w:rsidR="00A62A26" w:rsidRPr="00F70BBA">
        <w:rPr>
          <w:rFonts w:ascii="Book Antiqua" w:hAnsi="Book Antiqua" w:cs="Arial"/>
        </w:rPr>
        <w:t>to a re-entry in breach of a deportation order</w:t>
      </w:r>
      <w:r w:rsidR="005E7DDB" w:rsidRPr="00F70BBA">
        <w:rPr>
          <w:rFonts w:ascii="Book Antiqua" w:hAnsi="Book Antiqua" w:cs="Arial"/>
        </w:rPr>
        <w:t>, as</w:t>
      </w:r>
      <w:r w:rsidR="00B96628" w:rsidRPr="00F70BBA">
        <w:rPr>
          <w:rFonts w:ascii="Book Antiqua" w:hAnsi="Book Antiqua" w:cs="Arial"/>
        </w:rPr>
        <w:t xml:space="preserve"> represented by paragraph 399D, is </w:t>
      </w:r>
      <w:r w:rsidR="00305E72">
        <w:rPr>
          <w:rFonts w:ascii="Book Antiqua" w:hAnsi="Book Antiqua" w:cs="Arial"/>
        </w:rPr>
        <w:t xml:space="preserve">in the first instance </w:t>
      </w:r>
      <w:r w:rsidR="00B96628" w:rsidRPr="00F70BBA">
        <w:rPr>
          <w:rFonts w:ascii="Book Antiqua" w:hAnsi="Book Antiqua" w:cs="Arial"/>
        </w:rPr>
        <w:t>a matter for her</w:t>
      </w:r>
      <w:r w:rsidR="00235BAE" w:rsidRPr="00F70BBA">
        <w:rPr>
          <w:rFonts w:ascii="Book Antiqua" w:hAnsi="Book Antiqua" w:cs="Arial"/>
        </w:rPr>
        <w:t xml:space="preserve"> officials to a</w:t>
      </w:r>
      <w:r w:rsidR="00273148">
        <w:rPr>
          <w:rFonts w:ascii="Book Antiqua" w:hAnsi="Book Antiqua" w:cs="Arial"/>
        </w:rPr>
        <w:t>ssess</w:t>
      </w:r>
      <w:r w:rsidR="00235BAE" w:rsidRPr="00F70BBA">
        <w:rPr>
          <w:rFonts w:ascii="Book Antiqua" w:hAnsi="Book Antiqua" w:cs="Arial"/>
        </w:rPr>
        <w:t xml:space="preserve"> when making decisions</w:t>
      </w:r>
      <w:r w:rsidR="005673DF" w:rsidRPr="00F70BBA">
        <w:rPr>
          <w:rFonts w:ascii="Book Antiqua" w:hAnsi="Book Antiqua" w:cs="Arial"/>
        </w:rPr>
        <w:t xml:space="preserve"> on human rights claims.</w:t>
      </w:r>
    </w:p>
    <w:p w14:paraId="0A967971" w14:textId="049A8774" w:rsidR="00E55ACE" w:rsidRDefault="00DD151C" w:rsidP="00865BFE">
      <w:pPr>
        <w:pStyle w:val="ListParagraph"/>
        <w:numPr>
          <w:ilvl w:val="0"/>
          <w:numId w:val="18"/>
        </w:numPr>
        <w:spacing w:before="240"/>
        <w:jc w:val="both"/>
        <w:rPr>
          <w:rFonts w:ascii="Book Antiqua" w:hAnsi="Book Antiqua" w:cs="Arial"/>
        </w:rPr>
      </w:pPr>
      <w:r>
        <w:rPr>
          <w:rFonts w:ascii="Book Antiqua" w:hAnsi="Book Antiqua" w:cs="Arial"/>
        </w:rPr>
        <w:t>It will be recalled</w:t>
      </w:r>
      <w:r w:rsidR="00667480">
        <w:rPr>
          <w:rFonts w:ascii="Book Antiqua" w:hAnsi="Book Antiqua" w:cs="Arial"/>
        </w:rPr>
        <w:t xml:space="preserve"> that Mr Malik proposed t</w:t>
      </w:r>
      <w:r w:rsidR="00B11CB1">
        <w:rPr>
          <w:rFonts w:ascii="Book Antiqua" w:hAnsi="Book Antiqua" w:cs="Arial"/>
        </w:rPr>
        <w:t>w</w:t>
      </w:r>
      <w:r w:rsidR="00667480">
        <w:rPr>
          <w:rFonts w:ascii="Book Antiqua" w:hAnsi="Book Antiqua" w:cs="Arial"/>
        </w:rPr>
        <w:t>o possible</w:t>
      </w:r>
      <w:r w:rsidR="00B11CB1">
        <w:rPr>
          <w:rFonts w:ascii="Book Antiqua" w:hAnsi="Book Antiqua" w:cs="Arial"/>
        </w:rPr>
        <w:t xml:space="preserve"> means by which paragraph 399D</w:t>
      </w:r>
      <w:r w:rsidR="00ED3CED">
        <w:rPr>
          <w:rFonts w:ascii="Book Antiqua" w:hAnsi="Book Antiqua" w:cs="Arial"/>
        </w:rPr>
        <w:t xml:space="preserve"> could be incorporated into our conclusions:</w:t>
      </w:r>
      <w:r w:rsidR="0045685B">
        <w:rPr>
          <w:rFonts w:ascii="Book Antiqua" w:hAnsi="Book Antiqua" w:cs="Arial"/>
        </w:rPr>
        <w:t xml:space="preserve"> the very exceptional circumstances threshold will be met where an individual can satisfy</w:t>
      </w:r>
      <w:r w:rsidR="009102D9">
        <w:rPr>
          <w:rFonts w:ascii="Book Antiqua" w:hAnsi="Book Antiqua" w:cs="Arial"/>
        </w:rPr>
        <w:t xml:space="preserve"> the criteria in section 117C(5) </w:t>
      </w:r>
      <w:r w:rsidR="0085624B">
        <w:rPr>
          <w:rFonts w:ascii="Book Antiqua" w:hAnsi="Book Antiqua" w:cs="Arial"/>
        </w:rPr>
        <w:t>or section 117C(6); alternatively,</w:t>
      </w:r>
      <w:r w:rsidR="00A25D57">
        <w:rPr>
          <w:rFonts w:ascii="Book Antiqua" w:hAnsi="Book Antiqua" w:cs="Arial"/>
        </w:rPr>
        <w:t xml:space="preserve"> that where the statutory</w:t>
      </w:r>
      <w:r w:rsidR="00F567C1">
        <w:rPr>
          <w:rFonts w:ascii="Book Antiqua" w:hAnsi="Book Antiqua" w:cs="Arial"/>
        </w:rPr>
        <w:t xml:space="preserve"> criteria have been met, the appeal must succeed even if no very exceptional circumstances exist.</w:t>
      </w:r>
      <w:r w:rsidR="00CA35C1">
        <w:rPr>
          <w:rFonts w:ascii="Book Antiqua" w:hAnsi="Book Antiqua" w:cs="Arial"/>
        </w:rPr>
        <w:t xml:space="preserve"> In light of what we have said,</w:t>
      </w:r>
      <w:r w:rsidR="003807B5">
        <w:rPr>
          <w:rFonts w:ascii="Book Antiqua" w:hAnsi="Book Antiqua" w:cs="Arial"/>
        </w:rPr>
        <w:t xml:space="preserve"> it is unnecessary to come down in favour of one or the other. The provisions of section 117C</w:t>
      </w:r>
      <w:r w:rsidR="00E8034B">
        <w:rPr>
          <w:rFonts w:ascii="Book Antiqua" w:hAnsi="Book Antiqua" w:cs="Arial"/>
        </w:rPr>
        <w:t xml:space="preserve"> speak for themselves and do not need to be reconciled with paragraph 399D of the Rules.</w:t>
      </w:r>
      <w:r w:rsidR="00A12FCF">
        <w:rPr>
          <w:rFonts w:ascii="Book Antiqua" w:hAnsi="Book Antiqua" w:cs="Arial"/>
        </w:rPr>
        <w:t xml:space="preserve"> For the sake of completeness, either proposition</w:t>
      </w:r>
      <w:r w:rsidR="00F4077A">
        <w:rPr>
          <w:rFonts w:ascii="Book Antiqua" w:hAnsi="Book Antiqua" w:cs="Arial"/>
        </w:rPr>
        <w:t xml:space="preserve"> offered by Mr Malik will suffice</w:t>
      </w:r>
      <w:r w:rsidR="002B703F">
        <w:rPr>
          <w:rFonts w:ascii="Book Antiqua" w:hAnsi="Book Antiqua" w:cs="Arial"/>
        </w:rPr>
        <w:t xml:space="preserve"> and a judge will not have materially erred in law by</w:t>
      </w:r>
      <w:r w:rsidR="005D761F">
        <w:rPr>
          <w:rFonts w:ascii="Book Antiqua" w:hAnsi="Book Antiqua" w:cs="Arial"/>
        </w:rPr>
        <w:t xml:space="preserve"> stating a </w:t>
      </w:r>
      <w:r w:rsidR="0003370E">
        <w:rPr>
          <w:rFonts w:ascii="Book Antiqua" w:hAnsi="Book Antiqua" w:cs="Arial"/>
        </w:rPr>
        <w:t>preference if</w:t>
      </w:r>
      <w:r w:rsidR="00645793">
        <w:rPr>
          <w:rFonts w:ascii="Book Antiqua" w:hAnsi="Book Antiqua" w:cs="Arial"/>
        </w:rPr>
        <w:t xml:space="preserve"> she/he is minded </w:t>
      </w:r>
      <w:proofErr w:type="gramStart"/>
      <w:r w:rsidR="00645793">
        <w:rPr>
          <w:rFonts w:ascii="Book Antiqua" w:hAnsi="Book Antiqua" w:cs="Arial"/>
        </w:rPr>
        <w:t>to do</w:t>
      </w:r>
      <w:proofErr w:type="gramEnd"/>
      <w:r w:rsidR="00645793">
        <w:rPr>
          <w:rFonts w:ascii="Book Antiqua" w:hAnsi="Book Antiqua" w:cs="Arial"/>
        </w:rPr>
        <w:t xml:space="preserve"> so.</w:t>
      </w:r>
    </w:p>
    <w:p w14:paraId="059BE5BD" w14:textId="374B12AE" w:rsidR="007B30F4" w:rsidRDefault="00C754EB" w:rsidP="00865BFE">
      <w:pPr>
        <w:numPr>
          <w:ilvl w:val="0"/>
          <w:numId w:val="18"/>
        </w:numPr>
        <w:spacing w:before="240"/>
        <w:jc w:val="both"/>
        <w:rPr>
          <w:rFonts w:ascii="Book Antiqua" w:hAnsi="Book Antiqua" w:cs="Arial"/>
        </w:rPr>
      </w:pPr>
      <w:r>
        <w:rPr>
          <w:rFonts w:ascii="Book Antiqua" w:hAnsi="Book Antiqua" w:cs="Arial"/>
        </w:rPr>
        <w:t>We turn to</w:t>
      </w:r>
      <w:r w:rsidR="004C0DEB">
        <w:rPr>
          <w:rFonts w:ascii="Book Antiqua" w:hAnsi="Book Antiqua" w:cs="Arial"/>
        </w:rPr>
        <w:t xml:space="preserve"> the</w:t>
      </w:r>
      <w:r w:rsidR="00946A60">
        <w:rPr>
          <w:rFonts w:ascii="Book Antiqua" w:hAnsi="Book Antiqua" w:cs="Arial"/>
        </w:rPr>
        <w:t xml:space="preserve"> </w:t>
      </w:r>
      <w:r w:rsidR="00852FB8">
        <w:rPr>
          <w:rFonts w:ascii="Book Antiqua" w:hAnsi="Book Antiqua" w:cs="Arial"/>
        </w:rPr>
        <w:t>other</w:t>
      </w:r>
      <w:r w:rsidR="002B4DDC">
        <w:rPr>
          <w:rFonts w:ascii="Book Antiqua" w:hAnsi="Book Antiqua" w:cs="Arial"/>
        </w:rPr>
        <w:t xml:space="preserve"> t</w:t>
      </w:r>
      <w:r w:rsidR="0068282D">
        <w:rPr>
          <w:rFonts w:ascii="Book Antiqua" w:hAnsi="Book Antiqua" w:cs="Arial"/>
        </w:rPr>
        <w:t>wo</w:t>
      </w:r>
      <w:r w:rsidR="000D5A18">
        <w:rPr>
          <w:rFonts w:ascii="Book Antiqua" w:hAnsi="Book Antiqua" w:cs="Arial"/>
        </w:rPr>
        <w:t xml:space="preserve"> </w:t>
      </w:r>
      <w:r w:rsidR="00EF5D71">
        <w:rPr>
          <w:rFonts w:ascii="Book Antiqua" w:hAnsi="Book Antiqua" w:cs="Arial"/>
        </w:rPr>
        <w:t>submissions</w:t>
      </w:r>
      <w:r w:rsidR="000D5A18">
        <w:rPr>
          <w:rFonts w:ascii="Book Antiqua" w:hAnsi="Book Antiqua" w:cs="Arial"/>
        </w:rPr>
        <w:t xml:space="preserve"> made by Mr Jarvis as to the</w:t>
      </w:r>
      <w:r w:rsidR="00FC7E4D">
        <w:rPr>
          <w:rFonts w:ascii="Book Antiqua" w:hAnsi="Book Antiqua" w:cs="Arial"/>
        </w:rPr>
        <w:t xml:space="preserve"> interpretation of section 117C(7) of the 2002 Act</w:t>
      </w:r>
      <w:r w:rsidR="0068282D">
        <w:rPr>
          <w:rFonts w:ascii="Book Antiqua" w:hAnsi="Book Antiqua" w:cs="Arial"/>
        </w:rPr>
        <w:t>, both of which we agree with</w:t>
      </w:r>
      <w:r w:rsidR="00BE779D">
        <w:rPr>
          <w:rFonts w:ascii="Book Antiqua" w:hAnsi="Book Antiqua" w:cs="Arial"/>
        </w:rPr>
        <w:t>.</w:t>
      </w:r>
      <w:r w:rsidR="00A2622C">
        <w:rPr>
          <w:rFonts w:ascii="Book Antiqua" w:hAnsi="Book Antiqua" w:cs="Arial"/>
        </w:rPr>
        <w:t xml:space="preserve"> </w:t>
      </w:r>
      <w:r w:rsidR="00407FAC">
        <w:rPr>
          <w:rFonts w:ascii="Book Antiqua" w:hAnsi="Book Antiqua" w:cs="Arial"/>
        </w:rPr>
        <w:t xml:space="preserve">In support of his position that the provision </w:t>
      </w:r>
      <w:r w:rsidR="003B5EFC">
        <w:rPr>
          <w:rFonts w:ascii="Book Antiqua" w:hAnsi="Book Antiqua" w:cs="Arial"/>
        </w:rPr>
        <w:t xml:space="preserve">in principle </w:t>
      </w:r>
      <w:r w:rsidR="00407FAC">
        <w:rPr>
          <w:rFonts w:ascii="Book Antiqua" w:hAnsi="Book Antiqua" w:cs="Arial"/>
        </w:rPr>
        <w:t>permits</w:t>
      </w:r>
      <w:r w:rsidR="000D2987">
        <w:rPr>
          <w:rFonts w:ascii="Book Antiqua" w:hAnsi="Book Antiqua" w:cs="Arial"/>
        </w:rPr>
        <w:t xml:space="preserve"> a tribunal to take account of all convictions</w:t>
      </w:r>
      <w:r w:rsidR="003B5EFC">
        <w:rPr>
          <w:rFonts w:ascii="Book Antiqua" w:hAnsi="Book Antiqua" w:cs="Arial"/>
        </w:rPr>
        <w:t xml:space="preserve"> acquired by a foreign criminal,</w:t>
      </w:r>
      <w:r w:rsidR="003B5EFC" w:rsidRPr="003B5EFC">
        <w:rPr>
          <w:rFonts w:ascii="Book Antiqua" w:hAnsi="Book Antiqua" w:cs="Arial"/>
          <w:u w:val="single"/>
        </w:rPr>
        <w:t xml:space="preserve"> </w:t>
      </w:r>
      <w:proofErr w:type="spellStart"/>
      <w:r w:rsidR="003B5EFC" w:rsidRPr="006564A4">
        <w:rPr>
          <w:rFonts w:ascii="Book Antiqua" w:hAnsi="Book Antiqua" w:cs="Arial"/>
          <w:u w:val="single"/>
        </w:rPr>
        <w:t>Rexha</w:t>
      </w:r>
      <w:proofErr w:type="spellEnd"/>
      <w:r w:rsidR="003B5EFC" w:rsidRPr="006564A4">
        <w:rPr>
          <w:rFonts w:ascii="Book Antiqua" w:hAnsi="Book Antiqua" w:cs="Arial"/>
          <w:u w:val="single"/>
        </w:rPr>
        <w:t xml:space="preserve"> (S.117C - earlier offences)</w:t>
      </w:r>
      <w:r w:rsidR="003B5EFC">
        <w:rPr>
          <w:rFonts w:ascii="Book Antiqua" w:hAnsi="Book Antiqua" w:cs="Arial"/>
        </w:rPr>
        <w:t xml:space="preserve"> [2016] UKUT 335 (IAC) is cited</w:t>
      </w:r>
      <w:r w:rsidR="00941A3E">
        <w:rPr>
          <w:rFonts w:ascii="Book Antiqua" w:hAnsi="Book Antiqua" w:cs="Arial"/>
        </w:rPr>
        <w:t>.</w:t>
      </w:r>
      <w:r w:rsidR="007B30F4" w:rsidRPr="007B30F4">
        <w:rPr>
          <w:rFonts w:ascii="Book Antiqua" w:hAnsi="Book Antiqua" w:cs="Arial"/>
        </w:rPr>
        <w:t xml:space="preserve"> </w:t>
      </w:r>
      <w:r w:rsidR="007B30F4">
        <w:rPr>
          <w:rFonts w:ascii="Book Antiqua" w:hAnsi="Book Antiqua" w:cs="Arial"/>
        </w:rPr>
        <w:t>At paragraph 15, the Upper Tribunal</w:t>
      </w:r>
      <w:r w:rsidR="005B5FDC">
        <w:rPr>
          <w:rFonts w:ascii="Book Antiqua" w:hAnsi="Book Antiqua" w:cs="Arial"/>
        </w:rPr>
        <w:t xml:space="preserve"> concluded as follows</w:t>
      </w:r>
      <w:r w:rsidR="007B30F4">
        <w:rPr>
          <w:rFonts w:ascii="Book Antiqua" w:hAnsi="Book Antiqua" w:cs="Arial"/>
        </w:rPr>
        <w:t>:</w:t>
      </w:r>
    </w:p>
    <w:p w14:paraId="48C93E41" w14:textId="6939BA61" w:rsidR="007B30F4" w:rsidRPr="00121CBD" w:rsidRDefault="007B30F4" w:rsidP="007B30F4">
      <w:pPr>
        <w:spacing w:before="240"/>
        <w:ind w:left="1440"/>
        <w:jc w:val="both"/>
        <w:rPr>
          <w:rFonts w:ascii="Book Antiqua" w:hAnsi="Book Antiqua" w:cs="Arial"/>
          <w:sz w:val="22"/>
          <w:szCs w:val="22"/>
        </w:rPr>
      </w:pPr>
      <w:r w:rsidRPr="00A2670F">
        <w:rPr>
          <w:rFonts w:ascii="Book Antiqua" w:hAnsi="Book Antiqua" w:cs="Arial"/>
          <w:sz w:val="22"/>
          <w:szCs w:val="22"/>
        </w:rPr>
        <w:t>“15. We see no reason for construing Section 117C(7) as limiting the considerations relevant to sub-Sections (1) to (6) to solely the most recent offence or offences for which the person has been convicted. Firstly, that is not what the Section expressly says. It does not say in Section 117C(7) that only the offence or offences immediately prior to the deportation decision are the be taken into account. Secondly, the use of the phrase "only to the extent that the reason for the decision was the offence or offences for which the criminal has been convicted" expressly requires an examination of the decision to identify which parts of the criminal's antecedent history provide the basis for the decision. It will be a matter for the respondent to decide in each case which parts of a candidate for deportation's criminal past</w:t>
      </w:r>
      <w:r w:rsidR="00457B27">
        <w:rPr>
          <w:rFonts w:ascii="Book Antiqua" w:hAnsi="Book Antiqua" w:cs="Arial"/>
          <w:sz w:val="22"/>
          <w:szCs w:val="22"/>
        </w:rPr>
        <w:t xml:space="preserve"> </w:t>
      </w:r>
      <w:r w:rsidRPr="00A2670F">
        <w:rPr>
          <w:rFonts w:ascii="Book Antiqua" w:hAnsi="Book Antiqua" w:cs="Arial"/>
          <w:sz w:val="22"/>
          <w:szCs w:val="22"/>
        </w:rPr>
        <w:t>is to be relied upon in support of the making of a deportation order. It may well be that in the vast majority of cases the</w:t>
      </w:r>
      <w:r w:rsidR="00CA1A21">
        <w:rPr>
          <w:rFonts w:ascii="Book Antiqua" w:hAnsi="Book Antiqua" w:cs="Arial"/>
          <w:sz w:val="22"/>
          <w:szCs w:val="22"/>
        </w:rPr>
        <w:t xml:space="preserve"> </w:t>
      </w:r>
      <w:r w:rsidRPr="00A2670F">
        <w:rPr>
          <w:rFonts w:ascii="Book Antiqua" w:hAnsi="Book Antiqua" w:cs="Arial"/>
          <w:sz w:val="22"/>
          <w:szCs w:val="22"/>
        </w:rPr>
        <w:t>of the criminal offending will provide the reason for the decision. Equally, there may be cases where some of the person's criminal past could not properly be relied upon. This could occur, for instance, because of their youth at the time of the offending or because of the passage of a significant period of time, or because the offending was rooted in beliefs or circumstances now quite irrelevant to the justification for a deportation order being made. Thus, in our view what is required is careful scrutiny pursuant to Section 117C(7) of those offences which are on the person's criminal record which have provided a reason for the decision to deport. All of those convictions are then relevant to undertaking the exercise required by Section 117C(1) to (6).”</w:t>
      </w:r>
    </w:p>
    <w:p w14:paraId="265FC7F4" w14:textId="059BC015" w:rsidR="005B5FDC" w:rsidRDefault="00CA1A21" w:rsidP="00865BFE">
      <w:pPr>
        <w:numPr>
          <w:ilvl w:val="0"/>
          <w:numId w:val="18"/>
        </w:numPr>
        <w:spacing w:before="240"/>
        <w:jc w:val="both"/>
        <w:rPr>
          <w:rFonts w:ascii="Book Antiqua" w:hAnsi="Book Antiqua" w:cs="Arial"/>
        </w:rPr>
      </w:pPr>
      <w:r>
        <w:rPr>
          <w:rFonts w:ascii="Book Antiqua" w:hAnsi="Book Antiqua" w:cs="Arial"/>
        </w:rPr>
        <w:t>Whilst this passage does indeed confirm that</w:t>
      </w:r>
      <w:r w:rsidR="00457B27">
        <w:rPr>
          <w:rFonts w:ascii="Book Antiqua" w:hAnsi="Book Antiqua" w:cs="Arial"/>
        </w:rPr>
        <w:t xml:space="preserve"> the totality of an individual’s criminal history</w:t>
      </w:r>
      <w:r w:rsidR="008C0517">
        <w:rPr>
          <w:rFonts w:ascii="Book Antiqua" w:hAnsi="Book Antiqua" w:cs="Arial"/>
        </w:rPr>
        <w:t xml:space="preserve"> </w:t>
      </w:r>
      <w:r w:rsidR="00F468D7">
        <w:rPr>
          <w:rFonts w:ascii="Book Antiqua" w:hAnsi="Book Antiqua" w:cs="Arial"/>
        </w:rPr>
        <w:t>can be relevant</w:t>
      </w:r>
      <w:r w:rsidR="00E45108">
        <w:rPr>
          <w:rFonts w:ascii="Book Antiqua" w:hAnsi="Book Antiqua" w:cs="Arial"/>
        </w:rPr>
        <w:t xml:space="preserve">, it also </w:t>
      </w:r>
      <w:r w:rsidR="00F1336E">
        <w:rPr>
          <w:rFonts w:ascii="Book Antiqua" w:hAnsi="Book Antiqua" w:cs="Arial"/>
        </w:rPr>
        <w:t>highlights</w:t>
      </w:r>
      <w:r w:rsidR="00E45108">
        <w:rPr>
          <w:rFonts w:ascii="Book Antiqua" w:hAnsi="Book Antiqua" w:cs="Arial"/>
        </w:rPr>
        <w:t xml:space="preserve"> the </w:t>
      </w:r>
      <w:r w:rsidR="00E85880">
        <w:rPr>
          <w:rFonts w:ascii="Book Antiqua" w:hAnsi="Book Antiqua" w:cs="Arial"/>
        </w:rPr>
        <w:t xml:space="preserve">important </w:t>
      </w:r>
      <w:r w:rsidR="00E45108">
        <w:rPr>
          <w:rFonts w:ascii="Book Antiqua" w:hAnsi="Book Antiqua" w:cs="Arial"/>
        </w:rPr>
        <w:t>caveat imposed by section 117C(7)</w:t>
      </w:r>
      <w:r w:rsidR="00D47048">
        <w:rPr>
          <w:rFonts w:ascii="Book Antiqua" w:hAnsi="Book Antiqua" w:cs="Arial"/>
        </w:rPr>
        <w:t xml:space="preserve"> </w:t>
      </w:r>
      <w:r w:rsidR="004E48B2">
        <w:rPr>
          <w:rFonts w:ascii="Book Antiqua" w:hAnsi="Book Antiqua" w:cs="Arial"/>
        </w:rPr>
        <w:t xml:space="preserve">to the effect that </w:t>
      </w:r>
      <w:r w:rsidR="002D7DB5">
        <w:rPr>
          <w:rFonts w:ascii="Book Antiqua" w:hAnsi="Book Antiqua" w:cs="Arial"/>
        </w:rPr>
        <w:t>the mandatory considerations under subsections (1) to (6)</w:t>
      </w:r>
      <w:r w:rsidR="0065438C">
        <w:rPr>
          <w:rFonts w:ascii="Book Antiqua" w:hAnsi="Book Antiqua" w:cs="Arial"/>
        </w:rPr>
        <w:t xml:space="preserve"> are only to be applied to the conviction(s) actually relied on in the decision.</w:t>
      </w:r>
    </w:p>
    <w:p w14:paraId="6B661F19" w14:textId="1DF2E082" w:rsidR="007B30F4" w:rsidRDefault="00F1336E" w:rsidP="00865BFE">
      <w:pPr>
        <w:numPr>
          <w:ilvl w:val="0"/>
          <w:numId w:val="18"/>
        </w:numPr>
        <w:spacing w:before="240"/>
        <w:jc w:val="both"/>
        <w:rPr>
          <w:rFonts w:ascii="Book Antiqua" w:hAnsi="Book Antiqua" w:cs="Arial"/>
        </w:rPr>
      </w:pPr>
      <w:r>
        <w:rPr>
          <w:rFonts w:ascii="Book Antiqua" w:hAnsi="Book Antiqua" w:cs="Arial"/>
        </w:rPr>
        <w:t xml:space="preserve">The reasoning in </w:t>
      </w:r>
      <w:proofErr w:type="spellStart"/>
      <w:r w:rsidRPr="0089708C">
        <w:rPr>
          <w:rFonts w:ascii="Book Antiqua" w:hAnsi="Book Antiqua" w:cs="Arial"/>
          <w:u w:val="single"/>
        </w:rPr>
        <w:t>Rexha</w:t>
      </w:r>
      <w:proofErr w:type="spellEnd"/>
      <w:r>
        <w:rPr>
          <w:rFonts w:ascii="Book Antiqua" w:hAnsi="Book Antiqua" w:cs="Arial"/>
        </w:rPr>
        <w:t xml:space="preserve"> was </w:t>
      </w:r>
      <w:r w:rsidR="00D6755C">
        <w:rPr>
          <w:rFonts w:ascii="Book Antiqua" w:hAnsi="Book Antiqua" w:cs="Arial"/>
        </w:rPr>
        <w:t xml:space="preserve">approved </w:t>
      </w:r>
      <w:r>
        <w:rPr>
          <w:rFonts w:ascii="Book Antiqua" w:hAnsi="Book Antiqua" w:cs="Arial"/>
        </w:rPr>
        <w:t>by the Court of Appeal</w:t>
      </w:r>
      <w:r w:rsidR="0089708C">
        <w:rPr>
          <w:rFonts w:ascii="Book Antiqua" w:hAnsi="Book Antiqua" w:cs="Arial"/>
        </w:rPr>
        <w:t xml:space="preserve"> in</w:t>
      </w:r>
      <w:r w:rsidR="007B30F4">
        <w:rPr>
          <w:rFonts w:ascii="Book Antiqua" w:hAnsi="Book Antiqua" w:cs="Arial"/>
        </w:rPr>
        <w:t xml:space="preserve"> </w:t>
      </w:r>
      <w:r w:rsidR="007B30F4" w:rsidRPr="00C91EFF">
        <w:rPr>
          <w:rFonts w:ascii="Book Antiqua" w:hAnsi="Book Antiqua" w:cs="Arial"/>
          <w:u w:val="single"/>
        </w:rPr>
        <w:t>OH (Algeria)</w:t>
      </w:r>
      <w:r w:rsidR="007B30F4">
        <w:rPr>
          <w:rFonts w:ascii="Book Antiqua" w:hAnsi="Book Antiqua" w:cs="Arial"/>
        </w:rPr>
        <w:t xml:space="preserve"> [2019] EWCA Civ 1763</w:t>
      </w:r>
      <w:r w:rsidR="0089708C">
        <w:rPr>
          <w:rFonts w:ascii="Book Antiqua" w:hAnsi="Book Antiqua" w:cs="Arial"/>
        </w:rPr>
        <w:t xml:space="preserve">, </w:t>
      </w:r>
      <w:r w:rsidR="00061A6B">
        <w:rPr>
          <w:rFonts w:ascii="Book Antiqua" w:hAnsi="Book Antiqua" w:cs="Arial"/>
        </w:rPr>
        <w:t xml:space="preserve">implicitly at paragraph 46 and expressly </w:t>
      </w:r>
      <w:r w:rsidR="0089708C">
        <w:rPr>
          <w:rFonts w:ascii="Book Antiqua" w:hAnsi="Book Antiqua" w:cs="Arial"/>
        </w:rPr>
        <w:t>at paragraph 48.</w:t>
      </w:r>
    </w:p>
    <w:p w14:paraId="0D1417D3" w14:textId="56CCBD79" w:rsidR="004A075D" w:rsidRPr="00645793" w:rsidRDefault="00535D25" w:rsidP="00865BFE">
      <w:pPr>
        <w:numPr>
          <w:ilvl w:val="0"/>
          <w:numId w:val="18"/>
        </w:numPr>
        <w:spacing w:before="240"/>
        <w:jc w:val="both"/>
        <w:rPr>
          <w:rFonts w:ascii="Book Antiqua" w:hAnsi="Book Antiqua" w:cs="Arial"/>
        </w:rPr>
      </w:pPr>
      <w:r>
        <w:rPr>
          <w:rFonts w:ascii="Book Antiqua" w:hAnsi="Book Antiqua" w:cs="Arial"/>
        </w:rPr>
        <w:t>Mr Jarvis’ final</w:t>
      </w:r>
      <w:r w:rsidR="000F33B1">
        <w:rPr>
          <w:rFonts w:ascii="Book Antiqua" w:hAnsi="Book Antiqua" w:cs="Arial"/>
        </w:rPr>
        <w:t xml:space="preserve"> point</w:t>
      </w:r>
      <w:r w:rsidR="004A6E20">
        <w:rPr>
          <w:rFonts w:ascii="Book Antiqua" w:hAnsi="Book Antiqua" w:cs="Arial"/>
        </w:rPr>
        <w:t xml:space="preserve"> is that</w:t>
      </w:r>
      <w:r w:rsidR="003A3B46" w:rsidRPr="004A6E20">
        <w:rPr>
          <w:rFonts w:ascii="Book Antiqua" w:hAnsi="Book Antiqua" w:cs="Arial"/>
        </w:rPr>
        <w:t xml:space="preserve"> the wording of section 117C(7) </w:t>
      </w:r>
      <w:r w:rsidR="005C3271" w:rsidRPr="004A6E20">
        <w:rPr>
          <w:rFonts w:ascii="Book Antiqua" w:hAnsi="Book Antiqua" w:cs="Arial"/>
        </w:rPr>
        <w:t xml:space="preserve">requires </w:t>
      </w:r>
      <w:r w:rsidR="003A3B46" w:rsidRPr="004A6E20">
        <w:rPr>
          <w:rFonts w:ascii="Book Antiqua" w:hAnsi="Book Antiqua" w:cs="Arial"/>
        </w:rPr>
        <w:t>a nexus between</w:t>
      </w:r>
      <w:r w:rsidR="00591B99" w:rsidRPr="004A6E20">
        <w:rPr>
          <w:rFonts w:ascii="Book Antiqua" w:hAnsi="Book Antiqua" w:cs="Arial"/>
        </w:rPr>
        <w:t xml:space="preserve"> the</w:t>
      </w:r>
      <w:r w:rsidR="00412AEA" w:rsidRPr="004A6E20">
        <w:rPr>
          <w:rFonts w:ascii="Book Antiqua" w:hAnsi="Book Antiqua" w:cs="Arial"/>
        </w:rPr>
        <w:t xml:space="preserve"> taking into account of the mandatory considerations in subsections (1) to (6) and</w:t>
      </w:r>
      <w:r w:rsidR="008C7BB9" w:rsidRPr="004A6E20">
        <w:rPr>
          <w:rFonts w:ascii="Book Antiqua" w:hAnsi="Book Antiqua" w:cs="Arial"/>
        </w:rPr>
        <w:t xml:space="preserve"> the existence of a conviction or convictions </w:t>
      </w:r>
      <w:r w:rsidR="000248E3" w:rsidRPr="004A6E20">
        <w:rPr>
          <w:rFonts w:ascii="Book Antiqua" w:hAnsi="Book Antiqua" w:cs="Arial"/>
        </w:rPr>
        <w:t>relied on in</w:t>
      </w:r>
      <w:r w:rsidR="008C7BB9" w:rsidRPr="004A6E20">
        <w:rPr>
          <w:rFonts w:ascii="Book Antiqua" w:hAnsi="Book Antiqua" w:cs="Arial"/>
        </w:rPr>
        <w:t xml:space="preserve"> the decision under appeal</w:t>
      </w:r>
      <w:r w:rsidR="00AB6E96" w:rsidRPr="004A6E20">
        <w:rPr>
          <w:rFonts w:ascii="Book Antiqua" w:hAnsi="Book Antiqua" w:cs="Arial"/>
        </w:rPr>
        <w:t>.</w:t>
      </w:r>
      <w:r w:rsidR="00B07C65" w:rsidRPr="004A6E20">
        <w:rPr>
          <w:rFonts w:ascii="Book Antiqua" w:hAnsi="Book Antiqua" w:cs="Arial"/>
        </w:rPr>
        <w:t xml:space="preserve"> In other words, the mandatory considerations are not to be taken into account in respect of </w:t>
      </w:r>
      <w:r w:rsidR="006C0C44" w:rsidRPr="004A6E20">
        <w:rPr>
          <w:rFonts w:ascii="Book Antiqua" w:hAnsi="Book Antiqua" w:cs="Arial"/>
        </w:rPr>
        <w:t>any aspect</w:t>
      </w:r>
      <w:r w:rsidR="00E85880" w:rsidRPr="004A6E20">
        <w:rPr>
          <w:rFonts w:ascii="Book Antiqua" w:hAnsi="Book Antiqua" w:cs="Arial"/>
        </w:rPr>
        <w:t xml:space="preserve"> of a decision</w:t>
      </w:r>
      <w:r w:rsidR="006C0C44" w:rsidRPr="004A6E20">
        <w:rPr>
          <w:rFonts w:ascii="Book Antiqua" w:hAnsi="Book Antiqua" w:cs="Arial"/>
        </w:rPr>
        <w:t xml:space="preserve"> which is not</w:t>
      </w:r>
      <w:r w:rsidR="008F6AEA" w:rsidRPr="004A6E20">
        <w:rPr>
          <w:rFonts w:ascii="Book Antiqua" w:hAnsi="Book Antiqua" w:cs="Arial"/>
        </w:rPr>
        <w:t xml:space="preserve"> based on a conviction or convictions. By way of example,</w:t>
      </w:r>
      <w:r w:rsidR="001817B0" w:rsidRPr="004A6E20">
        <w:rPr>
          <w:rFonts w:ascii="Book Antiqua" w:hAnsi="Book Antiqua" w:cs="Arial"/>
        </w:rPr>
        <w:t xml:space="preserve"> the considerations </w:t>
      </w:r>
      <w:r w:rsidR="00832B72" w:rsidRPr="004A6E20">
        <w:rPr>
          <w:rFonts w:ascii="Book Antiqua" w:hAnsi="Book Antiqua" w:cs="Arial"/>
        </w:rPr>
        <w:t>will not</w:t>
      </w:r>
      <w:r w:rsidR="001817B0" w:rsidRPr="004A6E20">
        <w:rPr>
          <w:rFonts w:ascii="Book Antiqua" w:hAnsi="Book Antiqua" w:cs="Arial"/>
        </w:rPr>
        <w:t xml:space="preserve"> apply </w:t>
      </w:r>
      <w:r w:rsidR="0068608D">
        <w:rPr>
          <w:rFonts w:ascii="Book Antiqua" w:hAnsi="Book Antiqua" w:cs="Arial"/>
        </w:rPr>
        <w:t>to that part of a</w:t>
      </w:r>
      <w:r w:rsidR="001817B0" w:rsidRPr="004A6E20">
        <w:rPr>
          <w:rFonts w:ascii="Book Antiqua" w:hAnsi="Book Antiqua" w:cs="Arial"/>
        </w:rPr>
        <w:t xml:space="preserve"> decision based</w:t>
      </w:r>
      <w:r w:rsidR="0022247B" w:rsidRPr="004A6E20">
        <w:rPr>
          <w:rFonts w:ascii="Book Antiqua" w:hAnsi="Book Antiqua" w:cs="Arial"/>
        </w:rPr>
        <w:t xml:space="preserve"> </w:t>
      </w:r>
      <w:r w:rsidR="001817B0" w:rsidRPr="004A6E20">
        <w:rPr>
          <w:rFonts w:ascii="Book Antiqua" w:hAnsi="Book Antiqua" w:cs="Arial"/>
        </w:rPr>
        <w:t>on information</w:t>
      </w:r>
      <w:r w:rsidR="00572413" w:rsidRPr="004A6E20">
        <w:rPr>
          <w:rFonts w:ascii="Book Antiqua" w:hAnsi="Book Antiqua" w:cs="Arial"/>
        </w:rPr>
        <w:t xml:space="preserve"> </w:t>
      </w:r>
      <w:r w:rsidR="007E477C" w:rsidRPr="004A6E20">
        <w:rPr>
          <w:rFonts w:ascii="Book Antiqua" w:hAnsi="Book Antiqua" w:cs="Arial"/>
        </w:rPr>
        <w:t xml:space="preserve">from </w:t>
      </w:r>
      <w:r w:rsidR="00572413" w:rsidRPr="004A6E20">
        <w:rPr>
          <w:rFonts w:ascii="Book Antiqua" w:hAnsi="Book Antiqua" w:cs="Arial"/>
        </w:rPr>
        <w:t>the police relating to associations and suspected criminality, but</w:t>
      </w:r>
      <w:r w:rsidR="007E477C" w:rsidRPr="004A6E20">
        <w:rPr>
          <w:rFonts w:ascii="Book Antiqua" w:hAnsi="Book Antiqua" w:cs="Arial"/>
        </w:rPr>
        <w:t xml:space="preserve"> </w:t>
      </w:r>
      <w:r w:rsidR="00116F26" w:rsidRPr="004A6E20">
        <w:rPr>
          <w:rFonts w:ascii="Book Antiqua" w:hAnsi="Book Antiqua" w:cs="Arial"/>
        </w:rPr>
        <w:t>in respect of which</w:t>
      </w:r>
      <w:r w:rsidR="00C63FDB" w:rsidRPr="004A6E20">
        <w:rPr>
          <w:rFonts w:ascii="Book Antiqua" w:hAnsi="Book Antiqua" w:cs="Arial"/>
        </w:rPr>
        <w:t xml:space="preserve"> </w:t>
      </w:r>
      <w:r w:rsidR="008A5BFA" w:rsidRPr="004A6E20">
        <w:rPr>
          <w:rFonts w:ascii="Book Antiqua" w:hAnsi="Book Antiqua" w:cs="Arial"/>
        </w:rPr>
        <w:t xml:space="preserve">there </w:t>
      </w:r>
      <w:r w:rsidR="00187C65" w:rsidRPr="004A6E20">
        <w:rPr>
          <w:rFonts w:ascii="Book Antiqua" w:hAnsi="Book Antiqua" w:cs="Arial"/>
        </w:rPr>
        <w:t>have been no</w:t>
      </w:r>
      <w:r w:rsidR="007E477C" w:rsidRPr="004A6E20">
        <w:rPr>
          <w:rFonts w:ascii="Book Antiqua" w:hAnsi="Book Antiqua" w:cs="Arial"/>
        </w:rPr>
        <w:t xml:space="preserve"> convictions</w:t>
      </w:r>
      <w:r w:rsidR="008A5BFA" w:rsidRPr="004A6E20">
        <w:rPr>
          <w:rFonts w:ascii="Book Antiqua" w:hAnsi="Book Antiqua" w:cs="Arial"/>
        </w:rPr>
        <w:t>.</w:t>
      </w:r>
      <w:r w:rsidR="00832B72" w:rsidRPr="004A6E20">
        <w:rPr>
          <w:rFonts w:ascii="Book Antiqua" w:hAnsi="Book Antiqua" w:cs="Arial"/>
        </w:rPr>
        <w:t xml:space="preserve">  This is consistent with </w:t>
      </w:r>
      <w:r w:rsidR="00DB5724" w:rsidRPr="004A6E20">
        <w:rPr>
          <w:rFonts w:ascii="Book Antiqua" w:hAnsi="Book Antiqua" w:cs="Arial"/>
        </w:rPr>
        <w:t xml:space="preserve">what is said </w:t>
      </w:r>
      <w:r w:rsidR="00FC128F">
        <w:rPr>
          <w:rFonts w:ascii="Book Antiqua" w:hAnsi="Book Antiqua" w:cs="Arial"/>
        </w:rPr>
        <w:t xml:space="preserve">in </w:t>
      </w:r>
      <w:proofErr w:type="spellStart"/>
      <w:r w:rsidR="00FC128F" w:rsidRPr="00FC128F">
        <w:rPr>
          <w:rFonts w:ascii="Book Antiqua" w:hAnsi="Book Antiqua" w:cs="Arial"/>
          <w:u w:val="single"/>
        </w:rPr>
        <w:t>Rexha</w:t>
      </w:r>
      <w:proofErr w:type="spellEnd"/>
      <w:r w:rsidR="00FC128F">
        <w:rPr>
          <w:rFonts w:ascii="Book Antiqua" w:hAnsi="Book Antiqua" w:cs="Arial"/>
        </w:rPr>
        <w:t xml:space="preserve"> and </w:t>
      </w:r>
      <w:r w:rsidR="00FC128F" w:rsidRPr="00FC128F">
        <w:rPr>
          <w:rFonts w:ascii="Book Antiqua" w:hAnsi="Book Antiqua" w:cs="Arial"/>
          <w:u w:val="single"/>
        </w:rPr>
        <w:t>OH (Algeria)</w:t>
      </w:r>
      <w:r w:rsidR="0068282D">
        <w:rPr>
          <w:rFonts w:ascii="Book Antiqua" w:hAnsi="Book Antiqua" w:cs="Arial"/>
        </w:rPr>
        <w:t xml:space="preserve"> and we agree with</w:t>
      </w:r>
      <w:r w:rsidR="00C624DF">
        <w:rPr>
          <w:rFonts w:ascii="Book Antiqua" w:hAnsi="Book Antiqua" w:cs="Arial"/>
        </w:rPr>
        <w:t xml:space="preserve"> Mr Jarvis’ position.</w:t>
      </w:r>
    </w:p>
    <w:p w14:paraId="2B2B222D" w14:textId="2152A028" w:rsidR="00F113FD" w:rsidRPr="007F2309" w:rsidRDefault="00F113FD" w:rsidP="00F113FD">
      <w:pPr>
        <w:spacing w:before="240"/>
        <w:jc w:val="both"/>
        <w:rPr>
          <w:rFonts w:ascii="Book Antiqua" w:hAnsi="Book Antiqua" w:cs="Arial"/>
          <w:b/>
          <w:bCs/>
          <w:u w:val="single"/>
        </w:rPr>
      </w:pPr>
      <w:r w:rsidRPr="007F2309">
        <w:rPr>
          <w:rFonts w:ascii="Book Antiqua" w:hAnsi="Book Antiqua" w:cs="Arial"/>
          <w:b/>
          <w:bCs/>
          <w:u w:val="single"/>
        </w:rPr>
        <w:t>S</w:t>
      </w:r>
      <w:r w:rsidR="00A933A0">
        <w:rPr>
          <w:rFonts w:ascii="Book Antiqua" w:hAnsi="Book Antiqua" w:cs="Arial"/>
          <w:b/>
          <w:bCs/>
          <w:u w:val="single"/>
        </w:rPr>
        <w:t>UMMARY OF CONCLUSIONS</w:t>
      </w:r>
    </w:p>
    <w:p w14:paraId="0D597F6A" w14:textId="3D79C62C" w:rsidR="000D548D" w:rsidRDefault="000D548D" w:rsidP="00865BFE">
      <w:pPr>
        <w:numPr>
          <w:ilvl w:val="0"/>
          <w:numId w:val="18"/>
        </w:numPr>
        <w:spacing w:before="240"/>
        <w:jc w:val="both"/>
        <w:rPr>
          <w:rFonts w:ascii="Book Antiqua" w:hAnsi="Book Antiqua" w:cs="Arial"/>
        </w:rPr>
      </w:pPr>
      <w:r>
        <w:rPr>
          <w:rFonts w:ascii="Book Antiqua" w:hAnsi="Book Antiqua" w:cs="Arial"/>
        </w:rPr>
        <w:t xml:space="preserve">Our central conclusions on the substantive issue in this appeal can be summarised as follows: </w:t>
      </w:r>
    </w:p>
    <w:p w14:paraId="6CC790C7" w14:textId="75CF72E9" w:rsidR="0041445C" w:rsidRDefault="00F71381" w:rsidP="0041445C">
      <w:pPr>
        <w:pStyle w:val="ListParagraph"/>
        <w:numPr>
          <w:ilvl w:val="2"/>
          <w:numId w:val="17"/>
        </w:numPr>
        <w:spacing w:before="240"/>
        <w:jc w:val="both"/>
        <w:rPr>
          <w:rFonts w:ascii="Book Antiqua" w:hAnsi="Book Antiqua" w:cs="Arial"/>
        </w:rPr>
      </w:pPr>
      <w:bookmarkStart w:id="3" w:name="_Hlk62656305"/>
      <w:r w:rsidRPr="0041445C">
        <w:rPr>
          <w:rFonts w:ascii="Book Antiqua" w:hAnsi="Book Antiqua" w:cs="Arial"/>
        </w:rPr>
        <w:t>By virtue of section 117A(1) of the 2002 Act</w:t>
      </w:r>
      <w:r w:rsidR="00DC6726">
        <w:rPr>
          <w:rFonts w:ascii="Book Antiqua" w:hAnsi="Book Antiqua" w:cs="Arial"/>
        </w:rPr>
        <w:t>,</w:t>
      </w:r>
      <w:r w:rsidRPr="0041445C">
        <w:rPr>
          <w:rFonts w:ascii="Book Antiqua" w:hAnsi="Book Antiqua" w:cs="Arial"/>
        </w:rPr>
        <w:t xml:space="preserve"> a tribunal is </w:t>
      </w:r>
      <w:r w:rsidR="00210898">
        <w:rPr>
          <w:rFonts w:ascii="Book Antiqua" w:hAnsi="Book Antiqua" w:cs="Arial"/>
        </w:rPr>
        <w:t>bound to appl</w:t>
      </w:r>
      <w:r w:rsidR="00367CB2">
        <w:rPr>
          <w:rFonts w:ascii="Book Antiqua" w:hAnsi="Book Antiqua" w:cs="Arial"/>
        </w:rPr>
        <w:t>y</w:t>
      </w:r>
      <w:r w:rsidR="00210898">
        <w:rPr>
          <w:rFonts w:ascii="Book Antiqua" w:hAnsi="Book Antiqua" w:cs="Arial"/>
        </w:rPr>
        <w:t xml:space="preserve"> </w:t>
      </w:r>
      <w:r w:rsidR="004035A1">
        <w:rPr>
          <w:rFonts w:ascii="Book Antiqua" w:hAnsi="Book Antiqua" w:cs="Arial"/>
        </w:rPr>
        <w:t xml:space="preserve">the provisions of primary legislation, as set out </w:t>
      </w:r>
      <w:r w:rsidR="00210898">
        <w:rPr>
          <w:rFonts w:ascii="Book Antiqua" w:hAnsi="Book Antiqua" w:cs="Arial"/>
        </w:rPr>
        <w:t>in sections 117B and 117C</w:t>
      </w:r>
      <w:r w:rsidR="00325E64">
        <w:rPr>
          <w:rFonts w:ascii="Book Antiqua" w:hAnsi="Book Antiqua" w:cs="Arial"/>
        </w:rPr>
        <w:t>,</w:t>
      </w:r>
      <w:r w:rsidRPr="0041445C">
        <w:rPr>
          <w:rFonts w:ascii="Book Antiqua" w:hAnsi="Book Antiqua" w:cs="Arial"/>
        </w:rPr>
        <w:t xml:space="preserve"> when determining an appeal concerning Article 8.  </w:t>
      </w:r>
    </w:p>
    <w:p w14:paraId="4495D25C" w14:textId="77777777" w:rsidR="00DC6726" w:rsidRDefault="00DC6726" w:rsidP="00DC6726">
      <w:pPr>
        <w:pStyle w:val="ListParagraph"/>
        <w:spacing w:before="240"/>
        <w:ind w:left="1701"/>
        <w:jc w:val="both"/>
        <w:rPr>
          <w:rFonts w:ascii="Book Antiqua" w:hAnsi="Book Antiqua" w:cs="Arial"/>
        </w:rPr>
      </w:pPr>
    </w:p>
    <w:p w14:paraId="0323074A" w14:textId="79570A58" w:rsidR="0041445C" w:rsidRDefault="00F71381" w:rsidP="0041445C">
      <w:pPr>
        <w:pStyle w:val="ListParagraph"/>
        <w:numPr>
          <w:ilvl w:val="2"/>
          <w:numId w:val="17"/>
        </w:numPr>
        <w:spacing w:before="240"/>
        <w:jc w:val="both"/>
        <w:rPr>
          <w:rFonts w:ascii="Book Antiqua" w:hAnsi="Book Antiqua" w:cs="Arial"/>
        </w:rPr>
      </w:pPr>
      <w:r w:rsidRPr="0041445C">
        <w:rPr>
          <w:rFonts w:ascii="Book Antiqua" w:hAnsi="Book Antiqua" w:cs="Arial"/>
        </w:rPr>
        <w:t>In cases concerning the deportation of foreign criminals (as defined), it is clear from section 117A(2)(b) of the 2002 Act that the core legislative provisions are those set out in section 117C. It is now well-established that these provisions provide a structured approach to the application of Article 8 which will produce in all cases a final result compatible with protected rights</w:t>
      </w:r>
      <w:r w:rsidR="00F72D62" w:rsidRPr="0041445C">
        <w:rPr>
          <w:rFonts w:ascii="Book Antiqua" w:hAnsi="Book Antiqua" w:cs="Arial"/>
        </w:rPr>
        <w:t>.</w:t>
      </w:r>
    </w:p>
    <w:p w14:paraId="0E6AD4F1" w14:textId="77777777" w:rsidR="00DC6726" w:rsidRDefault="00DC6726" w:rsidP="00DC6726">
      <w:pPr>
        <w:pStyle w:val="ListParagraph"/>
        <w:spacing w:before="240"/>
        <w:ind w:left="1701"/>
        <w:jc w:val="both"/>
        <w:rPr>
          <w:rFonts w:ascii="Book Antiqua" w:hAnsi="Book Antiqua" w:cs="Arial"/>
        </w:rPr>
      </w:pPr>
    </w:p>
    <w:p w14:paraId="02E81D00" w14:textId="42B3FFD8" w:rsidR="0041445C" w:rsidRDefault="000B45E4" w:rsidP="0041445C">
      <w:pPr>
        <w:pStyle w:val="ListParagraph"/>
        <w:numPr>
          <w:ilvl w:val="2"/>
          <w:numId w:val="17"/>
        </w:numPr>
        <w:spacing w:before="240"/>
        <w:jc w:val="both"/>
        <w:rPr>
          <w:rFonts w:ascii="Book Antiqua" w:hAnsi="Book Antiqua" w:cs="Arial"/>
        </w:rPr>
      </w:pPr>
      <w:r w:rsidRPr="0041445C">
        <w:rPr>
          <w:rFonts w:ascii="Book Antiqua" w:hAnsi="Book Antiqua" w:cs="Arial"/>
        </w:rPr>
        <w:t>It is the structured approach set out in section 117C of the 2002 Act which governs the task to be undertaken by the tribunal, not the provisions of the Rules.</w:t>
      </w:r>
    </w:p>
    <w:p w14:paraId="1933E833" w14:textId="77777777" w:rsidR="00DC6726" w:rsidRDefault="00DC6726" w:rsidP="00DC6726">
      <w:pPr>
        <w:pStyle w:val="ListParagraph"/>
        <w:spacing w:before="240"/>
        <w:ind w:left="1701"/>
        <w:jc w:val="both"/>
        <w:rPr>
          <w:rFonts w:ascii="Book Antiqua" w:hAnsi="Book Antiqua" w:cs="Arial"/>
        </w:rPr>
      </w:pPr>
    </w:p>
    <w:p w14:paraId="079660D4" w14:textId="3AA2AFA6" w:rsidR="0041445C" w:rsidRDefault="001809B1" w:rsidP="0041445C">
      <w:pPr>
        <w:pStyle w:val="ListParagraph"/>
        <w:numPr>
          <w:ilvl w:val="2"/>
          <w:numId w:val="17"/>
        </w:numPr>
        <w:spacing w:before="240"/>
        <w:jc w:val="both"/>
        <w:rPr>
          <w:rFonts w:ascii="Book Antiqua" w:hAnsi="Book Antiqua" w:cs="Arial"/>
        </w:rPr>
      </w:pPr>
      <w:r w:rsidRPr="0041445C">
        <w:rPr>
          <w:rFonts w:ascii="Book Antiqua" w:hAnsi="Book Antiqua" w:cs="Arial"/>
        </w:rPr>
        <w:t xml:space="preserve">A foreign criminal </w:t>
      </w:r>
      <w:r w:rsidR="00F413E0" w:rsidRPr="0041445C">
        <w:rPr>
          <w:rFonts w:ascii="Book Antiqua" w:hAnsi="Book Antiqua" w:cs="Arial"/>
        </w:rPr>
        <w:t>who has re-entered the United Kingdom in breach of an ext</w:t>
      </w:r>
      <w:r w:rsidR="0022031F">
        <w:rPr>
          <w:rFonts w:ascii="Book Antiqua" w:hAnsi="Book Antiqua" w:cs="Arial"/>
        </w:rPr>
        <w:t>a</w:t>
      </w:r>
      <w:r w:rsidR="00F413E0" w:rsidRPr="0041445C">
        <w:rPr>
          <w:rFonts w:ascii="Book Antiqua" w:hAnsi="Book Antiqua" w:cs="Arial"/>
        </w:rPr>
        <w:t xml:space="preserve">nt deportation order is subject to the same deportation regime </w:t>
      </w:r>
      <w:r w:rsidR="00670A33" w:rsidRPr="0041445C">
        <w:rPr>
          <w:rFonts w:ascii="Book Antiqua" w:hAnsi="Book Antiqua" w:cs="Arial"/>
        </w:rPr>
        <w:t xml:space="preserve">as those who have yet to be removed </w:t>
      </w:r>
      <w:r w:rsidR="005C3061" w:rsidRPr="0041445C">
        <w:rPr>
          <w:rFonts w:ascii="Book Antiqua" w:hAnsi="Book Antiqua" w:cs="Arial"/>
        </w:rPr>
        <w:t>or</w:t>
      </w:r>
      <w:r w:rsidR="0005168D" w:rsidRPr="0041445C">
        <w:rPr>
          <w:rFonts w:ascii="Book Antiqua" w:hAnsi="Book Antiqua" w:cs="Arial"/>
        </w:rPr>
        <w:t xml:space="preserve"> who have been removed and are seeking a revocation of a deportation order from abroad. </w:t>
      </w:r>
      <w:r w:rsidR="00BA36C4" w:rsidRPr="0041445C">
        <w:rPr>
          <w:rFonts w:ascii="Book Antiqua" w:hAnsi="Book Antiqua" w:cs="Arial"/>
        </w:rPr>
        <w:t>T</w:t>
      </w:r>
      <w:r w:rsidR="00160DC5" w:rsidRPr="0041445C">
        <w:rPr>
          <w:rFonts w:ascii="Book Antiqua" w:hAnsi="Book Antiqua" w:cs="Arial"/>
        </w:rPr>
        <w:t xml:space="preserve">he phrases “cases concerning the deportation of foreign criminals” in section 117A(2) and “a decision to deport a foreign criminal” in </w:t>
      </w:r>
      <w:r w:rsidR="00BA36C4" w:rsidRPr="0041445C">
        <w:rPr>
          <w:rFonts w:ascii="Book Antiqua" w:hAnsi="Book Antiqua" w:cs="Arial"/>
        </w:rPr>
        <w:t xml:space="preserve">section </w:t>
      </w:r>
      <w:r w:rsidR="00160DC5" w:rsidRPr="0041445C">
        <w:rPr>
          <w:rFonts w:ascii="Book Antiqua" w:hAnsi="Book Antiqua" w:cs="Arial"/>
        </w:rPr>
        <w:t xml:space="preserve">117C(7) are to be interpreted accordingly.  </w:t>
      </w:r>
    </w:p>
    <w:p w14:paraId="5E67D94E" w14:textId="77777777" w:rsidR="00DC6726" w:rsidRDefault="00DC6726" w:rsidP="00DC6726">
      <w:pPr>
        <w:pStyle w:val="ListParagraph"/>
        <w:spacing w:before="240"/>
        <w:ind w:left="1701"/>
        <w:jc w:val="both"/>
        <w:rPr>
          <w:rFonts w:ascii="Book Antiqua" w:hAnsi="Book Antiqua" w:cs="Arial"/>
        </w:rPr>
      </w:pPr>
    </w:p>
    <w:p w14:paraId="48A0DFE2" w14:textId="0CB61E0F" w:rsidR="0041445C" w:rsidRPr="00F70BBA" w:rsidRDefault="0091104F" w:rsidP="0041445C">
      <w:pPr>
        <w:pStyle w:val="ListParagraph"/>
        <w:numPr>
          <w:ilvl w:val="2"/>
          <w:numId w:val="17"/>
        </w:numPr>
        <w:spacing w:before="240"/>
        <w:jc w:val="both"/>
        <w:rPr>
          <w:rFonts w:ascii="Book Antiqua" w:hAnsi="Book Antiqua" w:cs="Arial"/>
        </w:rPr>
      </w:pPr>
      <w:r w:rsidRPr="00F70BBA">
        <w:rPr>
          <w:rFonts w:ascii="Book Antiqua" w:hAnsi="Book Antiqua" w:cs="Arial"/>
        </w:rPr>
        <w:t>Paragraph 399</w:t>
      </w:r>
      <w:r w:rsidR="001D0842" w:rsidRPr="00F70BBA">
        <w:rPr>
          <w:rFonts w:ascii="Book Antiqua" w:hAnsi="Book Antiqua" w:cs="Arial"/>
        </w:rPr>
        <w:t xml:space="preserve">D of the Rules </w:t>
      </w:r>
      <w:r w:rsidR="008C4E43" w:rsidRPr="00F70BBA">
        <w:rPr>
          <w:rFonts w:ascii="Book Antiqua" w:hAnsi="Book Antiqua" w:cs="Arial"/>
        </w:rPr>
        <w:t>has no relevance to the application of</w:t>
      </w:r>
      <w:r w:rsidR="001D0842" w:rsidRPr="00F70BBA">
        <w:rPr>
          <w:rFonts w:ascii="Book Antiqua" w:hAnsi="Book Antiqua" w:cs="Arial"/>
        </w:rPr>
        <w:t xml:space="preserve"> the</w:t>
      </w:r>
      <w:r w:rsidR="00A62C1A" w:rsidRPr="00F70BBA">
        <w:rPr>
          <w:rFonts w:ascii="Book Antiqua" w:hAnsi="Book Antiqua" w:cs="Arial"/>
        </w:rPr>
        <w:t xml:space="preserve"> statutory criteria set out in section 117C</w:t>
      </w:r>
      <w:r w:rsidR="005673DF" w:rsidRPr="00F70BBA">
        <w:rPr>
          <w:rFonts w:ascii="Book Antiqua" w:hAnsi="Book Antiqua" w:cs="Arial"/>
        </w:rPr>
        <w:t xml:space="preserve">(4), </w:t>
      </w:r>
      <w:r w:rsidR="00A62C1A" w:rsidRPr="00F70BBA">
        <w:rPr>
          <w:rFonts w:ascii="Book Antiqua" w:hAnsi="Book Antiqua" w:cs="Arial"/>
        </w:rPr>
        <w:t xml:space="preserve">(5) </w:t>
      </w:r>
      <w:r w:rsidR="001136C1" w:rsidRPr="00F70BBA">
        <w:rPr>
          <w:rFonts w:ascii="Book Antiqua" w:hAnsi="Book Antiqua" w:cs="Arial"/>
        </w:rPr>
        <w:t>and</w:t>
      </w:r>
      <w:r w:rsidR="005673DF" w:rsidRPr="00F70BBA">
        <w:rPr>
          <w:rFonts w:ascii="Book Antiqua" w:hAnsi="Book Antiqua" w:cs="Arial"/>
        </w:rPr>
        <w:t xml:space="preserve"> </w:t>
      </w:r>
      <w:r w:rsidR="001136C1" w:rsidRPr="00F70BBA">
        <w:rPr>
          <w:rFonts w:ascii="Book Antiqua" w:hAnsi="Book Antiqua" w:cs="Arial"/>
        </w:rPr>
        <w:t>(6)</w:t>
      </w:r>
      <w:r w:rsidR="005673DF" w:rsidRPr="00F70BBA">
        <w:rPr>
          <w:rFonts w:ascii="Book Antiqua" w:hAnsi="Book Antiqua" w:cs="Arial"/>
        </w:rPr>
        <w:t>;</w:t>
      </w:r>
    </w:p>
    <w:p w14:paraId="25A33A79" w14:textId="77777777" w:rsidR="00DC6726" w:rsidRDefault="00DC6726" w:rsidP="00DC6726">
      <w:pPr>
        <w:pStyle w:val="ListParagraph"/>
        <w:spacing w:before="240"/>
        <w:ind w:left="1701"/>
        <w:jc w:val="both"/>
        <w:rPr>
          <w:rFonts w:ascii="Book Antiqua" w:hAnsi="Book Antiqua" w:cs="Arial"/>
        </w:rPr>
      </w:pPr>
    </w:p>
    <w:p w14:paraId="20711636" w14:textId="108CD14B" w:rsidR="006E1A6D" w:rsidRPr="007830EA" w:rsidRDefault="00A60784" w:rsidP="007830EA">
      <w:pPr>
        <w:pStyle w:val="ListParagraph"/>
        <w:numPr>
          <w:ilvl w:val="2"/>
          <w:numId w:val="17"/>
        </w:numPr>
        <w:spacing w:before="240"/>
        <w:jc w:val="both"/>
        <w:rPr>
          <w:rFonts w:ascii="Book Antiqua" w:hAnsi="Book Antiqua" w:cs="Arial"/>
        </w:rPr>
      </w:pPr>
      <w:r w:rsidRPr="0041445C">
        <w:rPr>
          <w:rFonts w:ascii="Book Antiqua" w:hAnsi="Book Antiqua" w:cs="Arial"/>
        </w:rPr>
        <w:t xml:space="preserve">It follows that the structured approach to be undertaken by a tribunal considering an Article 8 appeal in the context of deportation begins and ends with Part 5A of the 2002 Act.  </w:t>
      </w:r>
    </w:p>
    <w:bookmarkEnd w:id="3"/>
    <w:p w14:paraId="596153D4" w14:textId="3D0DB5D6" w:rsidR="00F70158" w:rsidRPr="00915F0B" w:rsidRDefault="00E14857" w:rsidP="00F70158">
      <w:pPr>
        <w:spacing w:before="240"/>
        <w:jc w:val="both"/>
        <w:rPr>
          <w:rFonts w:ascii="Book Antiqua" w:hAnsi="Book Antiqua" w:cs="Arial"/>
          <w:b/>
          <w:u w:val="single"/>
        </w:rPr>
      </w:pPr>
      <w:r>
        <w:rPr>
          <w:rFonts w:ascii="Book Antiqua" w:hAnsi="Book Antiqua" w:cs="Arial"/>
          <w:b/>
          <w:u w:val="single"/>
        </w:rPr>
        <w:t>DECISION ON ERROR OF LAW</w:t>
      </w:r>
    </w:p>
    <w:p w14:paraId="05D9CD0D" w14:textId="0013E5E0" w:rsidR="00F70158" w:rsidRDefault="0026748B" w:rsidP="00865BFE">
      <w:pPr>
        <w:numPr>
          <w:ilvl w:val="0"/>
          <w:numId w:val="18"/>
        </w:numPr>
        <w:spacing w:before="240"/>
        <w:jc w:val="both"/>
        <w:rPr>
          <w:rFonts w:ascii="Book Antiqua" w:hAnsi="Book Antiqua" w:cs="Arial"/>
        </w:rPr>
      </w:pPr>
      <w:r>
        <w:rPr>
          <w:rFonts w:ascii="Book Antiqua" w:hAnsi="Book Antiqua" w:cs="Arial"/>
        </w:rPr>
        <w:t>In light of the respondent’s concession on the substantive issue, with which</w:t>
      </w:r>
      <w:r w:rsidR="009C55DA">
        <w:rPr>
          <w:rFonts w:ascii="Book Antiqua" w:hAnsi="Book Antiqua" w:cs="Arial"/>
        </w:rPr>
        <w:t>, for the reasons set out above,</w:t>
      </w:r>
      <w:r>
        <w:rPr>
          <w:rFonts w:ascii="Book Antiqua" w:hAnsi="Book Antiqua" w:cs="Arial"/>
        </w:rPr>
        <w:t xml:space="preserve"> we agree</w:t>
      </w:r>
      <w:r w:rsidR="009C55DA">
        <w:rPr>
          <w:rFonts w:ascii="Book Antiqua" w:hAnsi="Book Antiqua" w:cs="Arial"/>
        </w:rPr>
        <w:t xml:space="preserve">, the judge erred in law by </w:t>
      </w:r>
      <w:r w:rsidR="009E29AC">
        <w:rPr>
          <w:rFonts w:ascii="Book Antiqua" w:hAnsi="Book Antiqua" w:cs="Arial"/>
        </w:rPr>
        <w:t>treating</w:t>
      </w:r>
      <w:r w:rsidR="00203B95">
        <w:rPr>
          <w:rFonts w:ascii="Book Antiqua" w:hAnsi="Book Antiqua" w:cs="Arial"/>
        </w:rPr>
        <w:t xml:space="preserve"> </w:t>
      </w:r>
      <w:r w:rsidR="00792312">
        <w:rPr>
          <w:rFonts w:ascii="Book Antiqua" w:hAnsi="Book Antiqua" w:cs="Arial"/>
        </w:rPr>
        <w:t xml:space="preserve">the satisfaction of </w:t>
      </w:r>
      <w:r w:rsidR="00903BFB">
        <w:rPr>
          <w:rFonts w:ascii="Book Antiqua" w:hAnsi="Book Antiqua" w:cs="Arial"/>
        </w:rPr>
        <w:t>E</w:t>
      </w:r>
      <w:r w:rsidR="00203B95">
        <w:rPr>
          <w:rFonts w:ascii="Book Antiqua" w:hAnsi="Book Antiqua" w:cs="Arial"/>
        </w:rPr>
        <w:t xml:space="preserve">xception 2 under section 117C(5) of the 2002 Act as </w:t>
      </w:r>
      <w:r w:rsidR="00BB3950">
        <w:rPr>
          <w:rFonts w:ascii="Book Antiqua" w:hAnsi="Book Antiqua" w:cs="Arial"/>
        </w:rPr>
        <w:t xml:space="preserve">constituting </w:t>
      </w:r>
      <w:r w:rsidR="0094469F">
        <w:rPr>
          <w:rFonts w:ascii="Book Antiqua" w:hAnsi="Book Antiqua" w:cs="Arial"/>
        </w:rPr>
        <w:t xml:space="preserve">simply one factor to be considered </w:t>
      </w:r>
      <w:r w:rsidR="00DA5089">
        <w:rPr>
          <w:rFonts w:ascii="Book Antiqua" w:hAnsi="Book Antiqua" w:cs="Arial"/>
        </w:rPr>
        <w:t>in light of</w:t>
      </w:r>
      <w:r w:rsidR="0094469F">
        <w:rPr>
          <w:rFonts w:ascii="Book Antiqua" w:hAnsi="Book Antiqua" w:cs="Arial"/>
        </w:rPr>
        <w:t xml:space="preserve"> paragraph 399D of the Rules</w:t>
      </w:r>
      <w:r w:rsidR="00B87B79">
        <w:rPr>
          <w:rFonts w:ascii="Book Antiqua" w:hAnsi="Book Antiqua" w:cs="Arial"/>
        </w:rPr>
        <w:t>,</w:t>
      </w:r>
      <w:r w:rsidR="0094469F">
        <w:rPr>
          <w:rFonts w:ascii="Book Antiqua" w:hAnsi="Book Antiqua" w:cs="Arial"/>
        </w:rPr>
        <w:t xml:space="preserve"> and</w:t>
      </w:r>
      <w:r w:rsidR="007B6A43">
        <w:rPr>
          <w:rFonts w:ascii="Book Antiqua" w:hAnsi="Book Antiqua" w:cs="Arial"/>
        </w:rPr>
        <w:t>, as a consequence,</w:t>
      </w:r>
      <w:r w:rsidR="00C9218E">
        <w:rPr>
          <w:rFonts w:ascii="Book Antiqua" w:hAnsi="Book Antiqua" w:cs="Arial"/>
        </w:rPr>
        <w:t xml:space="preserve"> failing to treat the satisfaction of the </w:t>
      </w:r>
      <w:r w:rsidR="00B87B79">
        <w:rPr>
          <w:rFonts w:ascii="Book Antiqua" w:hAnsi="Book Antiqua" w:cs="Arial"/>
        </w:rPr>
        <w:t>e</w:t>
      </w:r>
      <w:r w:rsidR="00C9218E">
        <w:rPr>
          <w:rFonts w:ascii="Book Antiqua" w:hAnsi="Book Antiqua" w:cs="Arial"/>
        </w:rPr>
        <w:t xml:space="preserve">xception as being </w:t>
      </w:r>
      <w:r w:rsidR="00203B95">
        <w:rPr>
          <w:rFonts w:ascii="Book Antiqua" w:hAnsi="Book Antiqua" w:cs="Arial"/>
        </w:rPr>
        <w:t>determinative of the appellant’s appeal</w:t>
      </w:r>
      <w:r w:rsidR="00001BC9">
        <w:rPr>
          <w:rFonts w:ascii="Book Antiqua" w:hAnsi="Book Antiqua" w:cs="Arial"/>
        </w:rPr>
        <w:t>.</w:t>
      </w:r>
    </w:p>
    <w:p w14:paraId="32EAB6EA" w14:textId="4365B353" w:rsidR="00915F0B" w:rsidRPr="00DF5B03" w:rsidRDefault="00001BC9" w:rsidP="00865BFE">
      <w:pPr>
        <w:numPr>
          <w:ilvl w:val="0"/>
          <w:numId w:val="18"/>
        </w:numPr>
        <w:spacing w:before="240"/>
        <w:jc w:val="both"/>
        <w:rPr>
          <w:rFonts w:ascii="Book Antiqua" w:hAnsi="Book Antiqua" w:cs="Arial"/>
        </w:rPr>
      </w:pPr>
      <w:r>
        <w:rPr>
          <w:rFonts w:ascii="Book Antiqua" w:hAnsi="Book Antiqua" w:cs="Arial"/>
        </w:rPr>
        <w:t xml:space="preserve">On this basis, </w:t>
      </w:r>
      <w:r w:rsidR="001F6F40">
        <w:rPr>
          <w:rFonts w:ascii="Book Antiqua" w:hAnsi="Book Antiqua" w:cs="Arial"/>
        </w:rPr>
        <w:t>we set</w:t>
      </w:r>
      <w:r>
        <w:rPr>
          <w:rFonts w:ascii="Book Antiqua" w:hAnsi="Book Antiqua" w:cs="Arial"/>
        </w:rPr>
        <w:t xml:space="preserve"> </w:t>
      </w:r>
      <w:r w:rsidR="00FD53DE">
        <w:rPr>
          <w:rFonts w:ascii="Book Antiqua" w:hAnsi="Book Antiqua" w:cs="Arial"/>
        </w:rPr>
        <w:t>the judge’s</w:t>
      </w:r>
      <w:r>
        <w:rPr>
          <w:rFonts w:ascii="Book Antiqua" w:hAnsi="Book Antiqua" w:cs="Arial"/>
        </w:rPr>
        <w:t xml:space="preserve"> decision aside.</w:t>
      </w:r>
      <w:r w:rsidR="006F40FD">
        <w:rPr>
          <w:rFonts w:ascii="Book Antiqua" w:hAnsi="Book Antiqua" w:cs="Arial"/>
        </w:rPr>
        <w:t xml:space="preserve"> It is unnecessary to address the</w:t>
      </w:r>
      <w:r w:rsidR="00A32868">
        <w:rPr>
          <w:rFonts w:ascii="Book Antiqua" w:hAnsi="Book Antiqua" w:cs="Arial"/>
        </w:rPr>
        <w:t xml:space="preserve"> remaining grounds of appeal.</w:t>
      </w:r>
    </w:p>
    <w:p w14:paraId="71780BC4" w14:textId="0A4C23AD" w:rsidR="00915F0B" w:rsidRPr="00915F0B" w:rsidRDefault="00915F0B" w:rsidP="00915F0B">
      <w:pPr>
        <w:spacing w:before="240"/>
        <w:jc w:val="both"/>
        <w:rPr>
          <w:rFonts w:ascii="Book Antiqua" w:hAnsi="Book Antiqua" w:cs="Arial"/>
          <w:b/>
          <w:u w:val="single"/>
        </w:rPr>
      </w:pPr>
      <w:r w:rsidRPr="00915F0B">
        <w:rPr>
          <w:rFonts w:ascii="Book Antiqua" w:hAnsi="Book Antiqua" w:cs="Arial"/>
          <w:b/>
          <w:u w:val="single"/>
        </w:rPr>
        <w:t>R</w:t>
      </w:r>
      <w:r w:rsidR="00E14857">
        <w:rPr>
          <w:rFonts w:ascii="Book Antiqua" w:hAnsi="Book Antiqua" w:cs="Arial"/>
          <w:b/>
          <w:u w:val="single"/>
        </w:rPr>
        <w:t>E</w:t>
      </w:r>
      <w:r w:rsidR="007307F8">
        <w:rPr>
          <w:rFonts w:ascii="Book Antiqua" w:hAnsi="Book Antiqua" w:cs="Arial"/>
          <w:b/>
          <w:u w:val="single"/>
        </w:rPr>
        <w:t>-</w:t>
      </w:r>
      <w:r w:rsidR="00E14857">
        <w:rPr>
          <w:rFonts w:ascii="Book Antiqua" w:hAnsi="Book Antiqua" w:cs="Arial"/>
          <w:b/>
          <w:u w:val="single"/>
        </w:rPr>
        <w:t xml:space="preserve">MAKING THE DECISION </w:t>
      </w:r>
    </w:p>
    <w:p w14:paraId="35D71F67" w14:textId="0734B3CF" w:rsidR="00324472" w:rsidRPr="001A1D81" w:rsidRDefault="009032A6" w:rsidP="00865BFE">
      <w:pPr>
        <w:numPr>
          <w:ilvl w:val="0"/>
          <w:numId w:val="18"/>
        </w:numPr>
        <w:spacing w:before="240"/>
        <w:jc w:val="both"/>
        <w:rPr>
          <w:rFonts w:ascii="Book Antiqua" w:hAnsi="Book Antiqua" w:cs="Arial"/>
        </w:rPr>
      </w:pPr>
      <w:r>
        <w:rPr>
          <w:rFonts w:ascii="Book Antiqua" w:hAnsi="Book Antiqua" w:cs="Arial"/>
        </w:rPr>
        <w:t>T</w:t>
      </w:r>
      <w:r w:rsidR="00FD53DE">
        <w:rPr>
          <w:rFonts w:ascii="Book Antiqua" w:hAnsi="Book Antiqua" w:cs="Arial"/>
        </w:rPr>
        <w:t>he re</w:t>
      </w:r>
      <w:r w:rsidR="007307F8">
        <w:rPr>
          <w:rFonts w:ascii="Book Antiqua" w:hAnsi="Book Antiqua" w:cs="Arial"/>
        </w:rPr>
        <w:t>-</w:t>
      </w:r>
      <w:r w:rsidR="00FD53DE">
        <w:rPr>
          <w:rFonts w:ascii="Book Antiqua" w:hAnsi="Book Antiqua" w:cs="Arial"/>
        </w:rPr>
        <w:t>making of the decision</w:t>
      </w:r>
      <w:r>
        <w:rPr>
          <w:rFonts w:ascii="Book Antiqua" w:hAnsi="Book Antiqua" w:cs="Arial"/>
        </w:rPr>
        <w:t xml:space="preserve"> in th</w:t>
      </w:r>
      <w:r w:rsidR="00B87B79">
        <w:rPr>
          <w:rFonts w:ascii="Book Antiqua" w:hAnsi="Book Antiqua" w:cs="Arial"/>
        </w:rPr>
        <w:t>is</w:t>
      </w:r>
      <w:r>
        <w:rPr>
          <w:rFonts w:ascii="Book Antiqua" w:hAnsi="Book Antiqua" w:cs="Arial"/>
        </w:rPr>
        <w:t xml:space="preserve"> appeal can be stated briefly. </w:t>
      </w:r>
      <w:r w:rsidR="00054361">
        <w:rPr>
          <w:rFonts w:ascii="Book Antiqua" w:hAnsi="Book Antiqua" w:cs="Arial"/>
        </w:rPr>
        <w:t>It is now accepted by the respondent that the</w:t>
      </w:r>
      <w:r w:rsidR="00324472">
        <w:rPr>
          <w:rFonts w:ascii="Book Antiqua" w:hAnsi="Book Antiqua" w:cs="Arial"/>
        </w:rPr>
        <w:t xml:space="preserve"> </w:t>
      </w:r>
      <w:r w:rsidR="007B5B1F">
        <w:rPr>
          <w:rFonts w:ascii="Book Antiqua" w:hAnsi="Book Antiqua" w:cs="Arial"/>
        </w:rPr>
        <w:t xml:space="preserve">judge was entitled </w:t>
      </w:r>
      <w:r w:rsidR="00324472">
        <w:rPr>
          <w:rFonts w:ascii="Book Antiqua" w:hAnsi="Book Antiqua" w:cs="Arial"/>
        </w:rPr>
        <w:t xml:space="preserve">to find that it would be unduly harsh for the family unit to relocate to Kosovo and for </w:t>
      </w:r>
      <w:r w:rsidR="00C3369D">
        <w:rPr>
          <w:rFonts w:ascii="Book Antiqua" w:hAnsi="Book Antiqua" w:cs="Arial"/>
        </w:rPr>
        <w:t>the children to be separated from the appellant.</w:t>
      </w:r>
      <w:r w:rsidR="00954439">
        <w:rPr>
          <w:rFonts w:ascii="Book Antiqua" w:hAnsi="Book Antiqua" w:cs="Arial"/>
        </w:rPr>
        <w:t xml:space="preserve"> The appellant </w:t>
      </w:r>
      <w:r w:rsidR="007B5B1F">
        <w:rPr>
          <w:rFonts w:ascii="Book Antiqua" w:hAnsi="Book Antiqua" w:cs="Arial"/>
        </w:rPr>
        <w:t>satisfies</w:t>
      </w:r>
      <w:r w:rsidR="00954439">
        <w:rPr>
          <w:rFonts w:ascii="Book Antiqua" w:hAnsi="Book Antiqua" w:cs="Arial"/>
        </w:rPr>
        <w:t xml:space="preserve"> Exception 2 under section 117C(5)</w:t>
      </w:r>
      <w:r w:rsidR="0061406B">
        <w:rPr>
          <w:rFonts w:ascii="Book Antiqua" w:hAnsi="Book Antiqua" w:cs="Arial"/>
        </w:rPr>
        <w:t xml:space="preserve"> of the 2002 Act</w:t>
      </w:r>
      <w:r w:rsidR="007051D1">
        <w:rPr>
          <w:rFonts w:ascii="Book Antiqua" w:hAnsi="Book Antiqua" w:cs="Arial"/>
        </w:rPr>
        <w:t xml:space="preserve"> and, given</w:t>
      </w:r>
      <w:r w:rsidR="0061406B">
        <w:rPr>
          <w:rFonts w:ascii="Book Antiqua" w:hAnsi="Book Antiqua" w:cs="Arial"/>
        </w:rPr>
        <w:t xml:space="preserve"> our conclusions on the substantive issue, this is determinative of the appeal</w:t>
      </w:r>
      <w:r w:rsidR="001A1D81">
        <w:rPr>
          <w:rFonts w:ascii="Book Antiqua" w:hAnsi="Book Antiqua" w:cs="Arial"/>
        </w:rPr>
        <w:t xml:space="preserve"> and entitles the appellant to succeed on Article 8 grounds.</w:t>
      </w:r>
    </w:p>
    <w:p w14:paraId="5F373A92" w14:textId="6FB76229" w:rsidR="00324472" w:rsidRPr="001A1D81" w:rsidRDefault="00324472" w:rsidP="001A1D81">
      <w:pPr>
        <w:spacing w:before="240"/>
        <w:jc w:val="both"/>
        <w:rPr>
          <w:rFonts w:ascii="Book Antiqua" w:hAnsi="Book Antiqua" w:cs="Arial"/>
          <w:b/>
          <w:bCs/>
          <w:u w:val="single"/>
        </w:rPr>
      </w:pPr>
      <w:r w:rsidRPr="001A1D81">
        <w:rPr>
          <w:rFonts w:ascii="Book Antiqua" w:hAnsi="Book Antiqua" w:cs="Arial"/>
          <w:b/>
          <w:bCs/>
          <w:u w:val="single"/>
        </w:rPr>
        <w:t>A</w:t>
      </w:r>
      <w:r w:rsidR="00E14857">
        <w:rPr>
          <w:rFonts w:ascii="Book Antiqua" w:hAnsi="Book Antiqua" w:cs="Arial"/>
          <w:b/>
          <w:bCs/>
          <w:u w:val="single"/>
        </w:rPr>
        <w:t>NON</w:t>
      </w:r>
      <w:r w:rsidR="007051D1">
        <w:rPr>
          <w:rFonts w:ascii="Book Antiqua" w:hAnsi="Book Antiqua" w:cs="Arial"/>
          <w:b/>
          <w:bCs/>
          <w:u w:val="single"/>
        </w:rPr>
        <w:t>YMITY</w:t>
      </w:r>
    </w:p>
    <w:p w14:paraId="18CD791E" w14:textId="3EF4113D" w:rsidR="00003182" w:rsidRDefault="00C1069E" w:rsidP="00865BFE">
      <w:pPr>
        <w:numPr>
          <w:ilvl w:val="0"/>
          <w:numId w:val="18"/>
        </w:numPr>
        <w:spacing w:before="240"/>
        <w:jc w:val="both"/>
        <w:rPr>
          <w:rFonts w:ascii="Book Antiqua" w:hAnsi="Book Antiqua" w:cs="Arial"/>
        </w:rPr>
      </w:pPr>
      <w:r w:rsidRPr="00A62B34">
        <w:rPr>
          <w:rFonts w:ascii="Book Antiqua" w:hAnsi="Book Antiqua" w:cs="Arial"/>
        </w:rPr>
        <w:t>The First-tier Tribunal made an anonymity direction</w:t>
      </w:r>
      <w:r w:rsidR="00E0464D">
        <w:rPr>
          <w:rFonts w:ascii="Book Antiqua" w:hAnsi="Book Antiqua" w:cs="Arial"/>
        </w:rPr>
        <w:t xml:space="preserve"> </w:t>
      </w:r>
      <w:r w:rsidR="00DD3CD5">
        <w:rPr>
          <w:rFonts w:ascii="Book Antiqua" w:hAnsi="Book Antiqua" w:cs="Arial"/>
        </w:rPr>
        <w:t>in this case, although no reasons for doing so were provided.</w:t>
      </w:r>
      <w:r w:rsidR="005D7C8B">
        <w:rPr>
          <w:rFonts w:ascii="Book Antiqua" w:hAnsi="Book Antiqua" w:cs="Arial"/>
        </w:rPr>
        <w:t xml:space="preserve"> </w:t>
      </w:r>
    </w:p>
    <w:p w14:paraId="6A00A1A9" w14:textId="142B079F" w:rsidR="00FC1051" w:rsidRDefault="008526AB" w:rsidP="00865BFE">
      <w:pPr>
        <w:numPr>
          <w:ilvl w:val="0"/>
          <w:numId w:val="18"/>
        </w:numPr>
        <w:spacing w:before="240"/>
        <w:jc w:val="both"/>
        <w:rPr>
          <w:rFonts w:ascii="Book Antiqua" w:hAnsi="Book Antiqua" w:cs="Arial"/>
        </w:rPr>
      </w:pPr>
      <w:r>
        <w:rPr>
          <w:rFonts w:ascii="Book Antiqua" w:hAnsi="Book Antiqua" w:cs="Arial"/>
        </w:rPr>
        <w:t>We had reservations as to whether the anonymity direction</w:t>
      </w:r>
      <w:r w:rsidR="00230162">
        <w:rPr>
          <w:rFonts w:ascii="Book Antiqua" w:hAnsi="Book Antiqua" w:cs="Arial"/>
        </w:rPr>
        <w:t xml:space="preserve"> </w:t>
      </w:r>
      <w:r w:rsidR="00F264DC">
        <w:rPr>
          <w:rFonts w:ascii="Book Antiqua" w:hAnsi="Book Antiqua" w:cs="Arial"/>
        </w:rPr>
        <w:t xml:space="preserve">should be maintained </w:t>
      </w:r>
      <w:r w:rsidR="00230162">
        <w:rPr>
          <w:rFonts w:ascii="Book Antiqua" w:hAnsi="Book Antiqua" w:cs="Arial"/>
        </w:rPr>
        <w:t>and gave the parties an opportunity to provide written submissions on this issue.</w:t>
      </w:r>
      <w:r w:rsidR="00527746">
        <w:rPr>
          <w:rFonts w:ascii="Book Antiqua" w:hAnsi="Book Antiqua" w:cs="Arial"/>
        </w:rPr>
        <w:t xml:space="preserve"> In light of</w:t>
      </w:r>
      <w:r w:rsidR="00AF1C21">
        <w:rPr>
          <w:rFonts w:ascii="Book Antiqua" w:hAnsi="Book Antiqua" w:cs="Arial"/>
        </w:rPr>
        <w:t xml:space="preserve"> their responses and for the reasons set out below, we have concluded that it is not appropriate to </w:t>
      </w:r>
      <w:r w:rsidR="00693025">
        <w:rPr>
          <w:rFonts w:ascii="Book Antiqua" w:hAnsi="Book Antiqua" w:cs="Arial"/>
        </w:rPr>
        <w:t>maintain the anonymity direction.</w:t>
      </w:r>
    </w:p>
    <w:p w14:paraId="3EF01F3E" w14:textId="47A8420D" w:rsidR="00693025" w:rsidRDefault="00693025" w:rsidP="00865BFE">
      <w:pPr>
        <w:numPr>
          <w:ilvl w:val="0"/>
          <w:numId w:val="18"/>
        </w:numPr>
        <w:spacing w:before="240"/>
        <w:jc w:val="both"/>
        <w:rPr>
          <w:rFonts w:ascii="Book Antiqua" w:hAnsi="Book Antiqua" w:cs="Arial"/>
        </w:rPr>
      </w:pPr>
      <w:r>
        <w:rPr>
          <w:rFonts w:ascii="Book Antiqua" w:hAnsi="Book Antiqua" w:cs="Arial"/>
        </w:rPr>
        <w:t>First, a concern raised by the appellant was that</w:t>
      </w:r>
      <w:r w:rsidR="00C6761A">
        <w:rPr>
          <w:rFonts w:ascii="Book Antiqua" w:hAnsi="Book Antiqua" w:cs="Arial"/>
        </w:rPr>
        <w:t xml:space="preserve"> details of the mental health difficulties suffered by both he and his wife</w:t>
      </w:r>
      <w:r w:rsidR="001532E8">
        <w:rPr>
          <w:rFonts w:ascii="Book Antiqua" w:hAnsi="Book Antiqua" w:cs="Arial"/>
        </w:rPr>
        <w:t>, together with information relating to the latter’s past experiences,</w:t>
      </w:r>
      <w:r w:rsidR="00C861A7">
        <w:rPr>
          <w:rFonts w:ascii="Book Antiqua" w:hAnsi="Book Antiqua" w:cs="Arial"/>
        </w:rPr>
        <w:t xml:space="preserve"> might be set out in our decision. As is apparent, no such disclosure</w:t>
      </w:r>
      <w:r w:rsidR="00746D93">
        <w:rPr>
          <w:rFonts w:ascii="Book Antiqua" w:hAnsi="Book Antiqua" w:cs="Arial"/>
        </w:rPr>
        <w:t xml:space="preserve"> has occurred.</w:t>
      </w:r>
    </w:p>
    <w:p w14:paraId="6596967D" w14:textId="77777777" w:rsidR="00097537" w:rsidRDefault="00746D93" w:rsidP="00865BFE">
      <w:pPr>
        <w:numPr>
          <w:ilvl w:val="0"/>
          <w:numId w:val="18"/>
        </w:numPr>
        <w:spacing w:before="240"/>
        <w:jc w:val="both"/>
        <w:rPr>
          <w:rFonts w:ascii="Book Antiqua" w:hAnsi="Book Antiqua" w:cs="Arial"/>
        </w:rPr>
      </w:pPr>
      <w:r>
        <w:rPr>
          <w:rFonts w:ascii="Book Antiqua" w:hAnsi="Book Antiqua" w:cs="Arial"/>
        </w:rPr>
        <w:t xml:space="preserve">Second, this case </w:t>
      </w:r>
      <w:r w:rsidR="0011017D">
        <w:rPr>
          <w:rFonts w:ascii="Book Antiqua" w:hAnsi="Book Antiqua" w:cs="Arial"/>
        </w:rPr>
        <w:t xml:space="preserve">does not </w:t>
      </w:r>
      <w:r w:rsidR="00E82DD7">
        <w:rPr>
          <w:rFonts w:ascii="Book Antiqua" w:hAnsi="Book Antiqua" w:cs="Arial"/>
        </w:rPr>
        <w:t>fall within any of the categories requiring anonymity (</w:t>
      </w:r>
      <w:r w:rsidR="007E6519">
        <w:rPr>
          <w:rFonts w:ascii="Book Antiqua" w:hAnsi="Book Antiqua" w:cs="Arial"/>
        </w:rPr>
        <w:t>see Upper Tribunal Immigration and Asylum Chamber Guidance Note 2013 No.1</w:t>
      </w:r>
      <w:r w:rsidR="00097537">
        <w:rPr>
          <w:rFonts w:ascii="Book Antiqua" w:hAnsi="Book Antiqua" w:cs="Arial"/>
        </w:rPr>
        <w:t>).</w:t>
      </w:r>
    </w:p>
    <w:p w14:paraId="4399AB61" w14:textId="7A126D15" w:rsidR="00746D93" w:rsidRDefault="00097537" w:rsidP="00865BFE">
      <w:pPr>
        <w:numPr>
          <w:ilvl w:val="0"/>
          <w:numId w:val="18"/>
        </w:numPr>
        <w:spacing w:before="240"/>
        <w:jc w:val="both"/>
        <w:rPr>
          <w:rFonts w:ascii="Book Antiqua" w:hAnsi="Book Antiqua" w:cs="Arial"/>
        </w:rPr>
      </w:pPr>
      <w:r>
        <w:rPr>
          <w:rFonts w:ascii="Book Antiqua" w:hAnsi="Book Antiqua" w:cs="Arial"/>
        </w:rPr>
        <w:t>Third, no</w:t>
      </w:r>
      <w:r w:rsidR="00B13EDF">
        <w:rPr>
          <w:rFonts w:ascii="Book Antiqua" w:hAnsi="Book Antiqua" w:cs="Arial"/>
        </w:rPr>
        <w:t xml:space="preserve"> protection-based issues</w:t>
      </w:r>
      <w:r>
        <w:rPr>
          <w:rFonts w:ascii="Book Antiqua" w:hAnsi="Book Antiqua" w:cs="Arial"/>
        </w:rPr>
        <w:t xml:space="preserve"> arise.</w:t>
      </w:r>
    </w:p>
    <w:p w14:paraId="2FEFAB93" w14:textId="4B4F6E92" w:rsidR="006D4392" w:rsidRPr="00A62B34" w:rsidRDefault="006D4392" w:rsidP="00865BFE">
      <w:pPr>
        <w:numPr>
          <w:ilvl w:val="0"/>
          <w:numId w:val="18"/>
        </w:numPr>
        <w:spacing w:before="240"/>
        <w:jc w:val="both"/>
        <w:rPr>
          <w:rFonts w:ascii="Book Antiqua" w:hAnsi="Book Antiqua" w:cs="Arial"/>
        </w:rPr>
      </w:pPr>
      <w:r>
        <w:rPr>
          <w:rFonts w:ascii="Book Antiqua" w:hAnsi="Book Antiqua" w:cs="Arial"/>
        </w:rPr>
        <w:t>Fourth, the general principle</w:t>
      </w:r>
      <w:r w:rsidR="00D02727">
        <w:rPr>
          <w:rFonts w:ascii="Book Antiqua" w:hAnsi="Book Antiqua" w:cs="Arial"/>
        </w:rPr>
        <w:t xml:space="preserve"> that open justice</w:t>
      </w:r>
      <w:r w:rsidR="00FF6A2D">
        <w:rPr>
          <w:rFonts w:ascii="Book Antiqua" w:hAnsi="Book Antiqua" w:cs="Arial"/>
        </w:rPr>
        <w:t xml:space="preserve"> is a fundamental tenet</w:t>
      </w:r>
      <w:r w:rsidR="00011BFE">
        <w:rPr>
          <w:rFonts w:ascii="Book Antiqua" w:hAnsi="Book Antiqua" w:cs="Arial"/>
        </w:rPr>
        <w:t xml:space="preserve"> of our legal system is not</w:t>
      </w:r>
      <w:r w:rsidR="006E0360">
        <w:rPr>
          <w:rFonts w:ascii="Book Antiqua" w:hAnsi="Book Antiqua" w:cs="Arial"/>
        </w:rPr>
        <w:t xml:space="preserve"> </w:t>
      </w:r>
      <w:r w:rsidR="00011BFE">
        <w:rPr>
          <w:rFonts w:ascii="Book Antiqua" w:hAnsi="Book Antiqua" w:cs="Arial"/>
        </w:rPr>
        <w:t xml:space="preserve">displaced by any </w:t>
      </w:r>
      <w:r w:rsidR="00F1630A">
        <w:rPr>
          <w:rFonts w:ascii="Book Antiqua" w:hAnsi="Book Antiqua" w:cs="Arial"/>
        </w:rPr>
        <w:t>other</w:t>
      </w:r>
      <w:r w:rsidR="00011BFE">
        <w:rPr>
          <w:rFonts w:ascii="Book Antiqua" w:hAnsi="Book Antiqua" w:cs="Arial"/>
        </w:rPr>
        <w:t xml:space="preserve"> features in this case</w:t>
      </w:r>
      <w:r w:rsidR="001A2AFF">
        <w:rPr>
          <w:rFonts w:ascii="Book Antiqua" w:hAnsi="Book Antiqua" w:cs="Arial"/>
        </w:rPr>
        <w:t>. I</w:t>
      </w:r>
      <w:r w:rsidR="00883F81">
        <w:rPr>
          <w:rFonts w:ascii="Book Antiqua" w:hAnsi="Book Antiqua" w:cs="Arial"/>
        </w:rPr>
        <w:t>ndeed, as rightly pointed out by the respondent, there is a significant public interest</w:t>
      </w:r>
      <w:r w:rsidR="0059151D">
        <w:rPr>
          <w:rFonts w:ascii="Book Antiqua" w:hAnsi="Book Antiqua" w:cs="Arial"/>
        </w:rPr>
        <w:t xml:space="preserve"> in</w:t>
      </w:r>
      <w:r w:rsidR="008B05B6">
        <w:rPr>
          <w:rFonts w:ascii="Book Antiqua" w:hAnsi="Book Antiqua" w:cs="Arial"/>
        </w:rPr>
        <w:t xml:space="preserve"> disclosing the appellant’s identity in light of his offending history and re-entry</w:t>
      </w:r>
      <w:r w:rsidR="00405D2D">
        <w:rPr>
          <w:rFonts w:ascii="Book Antiqua" w:hAnsi="Book Antiqua" w:cs="Arial"/>
        </w:rPr>
        <w:t xml:space="preserve"> to this country in breach of a deportation order.</w:t>
      </w:r>
    </w:p>
    <w:p w14:paraId="6979C7D0" w14:textId="646A3662" w:rsidR="00405D2D" w:rsidRDefault="00405D2D" w:rsidP="00003182">
      <w:pPr>
        <w:jc w:val="both"/>
        <w:rPr>
          <w:rFonts w:ascii="Book Antiqua" w:hAnsi="Book Antiqua" w:cs="Arial"/>
        </w:rPr>
      </w:pPr>
    </w:p>
    <w:p w14:paraId="59B534C7" w14:textId="77777777" w:rsidR="00433022" w:rsidRDefault="00433022" w:rsidP="00003182">
      <w:pPr>
        <w:jc w:val="both"/>
        <w:rPr>
          <w:rFonts w:ascii="Book Antiqua" w:hAnsi="Book Antiqua" w:cs="Arial"/>
        </w:rPr>
      </w:pPr>
    </w:p>
    <w:p w14:paraId="484C5BE1" w14:textId="4C261F47" w:rsidR="00003182" w:rsidRPr="005F4AF7" w:rsidRDefault="00785087" w:rsidP="00003182">
      <w:pPr>
        <w:jc w:val="both"/>
        <w:outlineLvl w:val="0"/>
        <w:rPr>
          <w:rFonts w:ascii="Book Antiqua" w:hAnsi="Book Antiqua" w:cs="Arial"/>
          <w:b/>
          <w:u w:val="single"/>
        </w:rPr>
      </w:pPr>
      <w:r>
        <w:rPr>
          <w:rFonts w:ascii="Book Antiqua" w:hAnsi="Book Antiqua" w:cs="Arial"/>
          <w:b/>
          <w:u w:val="single"/>
        </w:rPr>
        <w:t>N</w:t>
      </w:r>
      <w:r w:rsidR="00A933A0">
        <w:rPr>
          <w:rFonts w:ascii="Book Antiqua" w:hAnsi="Book Antiqua" w:cs="Arial"/>
          <w:b/>
          <w:u w:val="single"/>
        </w:rPr>
        <w:t xml:space="preserve">OTICE OF DECISION </w:t>
      </w:r>
    </w:p>
    <w:p w14:paraId="346D95A4" w14:textId="77777777" w:rsidR="00003182" w:rsidRDefault="00003182" w:rsidP="00003182">
      <w:pPr>
        <w:tabs>
          <w:tab w:val="left" w:pos="567"/>
        </w:tabs>
        <w:jc w:val="both"/>
        <w:rPr>
          <w:rFonts w:ascii="Book Antiqua" w:hAnsi="Book Antiqua" w:cs="Arial"/>
        </w:rPr>
      </w:pPr>
    </w:p>
    <w:p w14:paraId="6B127251" w14:textId="46FECF4A" w:rsidR="00DF042B" w:rsidRDefault="00003182" w:rsidP="00865BFE">
      <w:pPr>
        <w:pStyle w:val="ListParagraph"/>
        <w:numPr>
          <w:ilvl w:val="0"/>
          <w:numId w:val="18"/>
        </w:numPr>
        <w:jc w:val="both"/>
        <w:rPr>
          <w:rFonts w:ascii="Book Antiqua" w:hAnsi="Book Antiqua" w:cs="Arial"/>
          <w:b/>
        </w:rPr>
      </w:pPr>
      <w:r w:rsidRPr="00DF042B">
        <w:rPr>
          <w:rFonts w:ascii="Book Antiqua" w:hAnsi="Book Antiqua" w:cs="Arial"/>
          <w:b/>
        </w:rPr>
        <w:t>The making of the decision of the First-tier Tribunal invol</w:t>
      </w:r>
      <w:r w:rsidR="00857E8B" w:rsidRPr="00DF042B">
        <w:rPr>
          <w:rFonts w:ascii="Book Antiqua" w:hAnsi="Book Antiqua" w:cs="Arial"/>
          <w:b/>
        </w:rPr>
        <w:t>ve</w:t>
      </w:r>
      <w:r w:rsidR="004316BB">
        <w:rPr>
          <w:rFonts w:ascii="Book Antiqua" w:hAnsi="Book Antiqua" w:cs="Arial"/>
          <w:b/>
        </w:rPr>
        <w:t>d</w:t>
      </w:r>
      <w:r w:rsidR="00857E8B" w:rsidRPr="00DF042B">
        <w:rPr>
          <w:rFonts w:ascii="Book Antiqua" w:hAnsi="Book Antiqua" w:cs="Arial"/>
          <w:b/>
        </w:rPr>
        <w:t xml:space="preserve"> the making of an error</w:t>
      </w:r>
      <w:r w:rsidRPr="00DF042B">
        <w:rPr>
          <w:rFonts w:ascii="Book Antiqua" w:hAnsi="Book Antiqua" w:cs="Arial"/>
          <w:b/>
        </w:rPr>
        <w:t xml:space="preserve"> on a point of law</w:t>
      </w:r>
      <w:r w:rsidR="007D184D" w:rsidRPr="00DF042B">
        <w:rPr>
          <w:rFonts w:ascii="Book Antiqua" w:hAnsi="Book Antiqua" w:cs="Arial"/>
          <w:b/>
        </w:rPr>
        <w:t>.</w:t>
      </w:r>
    </w:p>
    <w:p w14:paraId="3DB8810A" w14:textId="77777777" w:rsidR="00DF042B" w:rsidRDefault="00DF042B" w:rsidP="00DF042B">
      <w:pPr>
        <w:pStyle w:val="ListParagraph"/>
        <w:ind w:left="567"/>
        <w:jc w:val="both"/>
        <w:rPr>
          <w:rFonts w:ascii="Book Antiqua" w:hAnsi="Book Antiqua" w:cs="Arial"/>
          <w:b/>
        </w:rPr>
      </w:pPr>
    </w:p>
    <w:p w14:paraId="6A3B40F6" w14:textId="79AB6E2A" w:rsidR="00DF042B" w:rsidRDefault="003B737E" w:rsidP="00865BFE">
      <w:pPr>
        <w:pStyle w:val="ListParagraph"/>
        <w:numPr>
          <w:ilvl w:val="0"/>
          <w:numId w:val="18"/>
        </w:numPr>
        <w:jc w:val="both"/>
        <w:rPr>
          <w:rFonts w:ascii="Book Antiqua" w:hAnsi="Book Antiqua" w:cs="Arial"/>
          <w:b/>
        </w:rPr>
      </w:pPr>
      <w:r>
        <w:rPr>
          <w:rFonts w:ascii="Book Antiqua" w:hAnsi="Book Antiqua" w:cs="Arial"/>
          <w:b/>
        </w:rPr>
        <w:t>We</w:t>
      </w:r>
      <w:r w:rsidR="00003182" w:rsidRPr="00DF042B">
        <w:rPr>
          <w:rFonts w:ascii="Book Antiqua" w:hAnsi="Book Antiqua" w:cs="Arial"/>
          <w:b/>
        </w:rPr>
        <w:t xml:space="preserve"> set aside the deci</w:t>
      </w:r>
      <w:r w:rsidR="007D184D" w:rsidRPr="00DF042B">
        <w:rPr>
          <w:rFonts w:ascii="Book Antiqua" w:hAnsi="Book Antiqua" w:cs="Arial"/>
          <w:b/>
        </w:rPr>
        <w:t>sion of the First-tier Tribunal.</w:t>
      </w:r>
    </w:p>
    <w:p w14:paraId="7E37FF85" w14:textId="77777777" w:rsidR="00DF042B" w:rsidRPr="00DF042B" w:rsidRDefault="00DF042B" w:rsidP="00DF042B">
      <w:pPr>
        <w:pStyle w:val="ListParagraph"/>
        <w:rPr>
          <w:rFonts w:ascii="Book Antiqua" w:hAnsi="Book Antiqua" w:cs="Arial"/>
          <w:b/>
        </w:rPr>
      </w:pPr>
    </w:p>
    <w:p w14:paraId="45528F92" w14:textId="29FC0D06" w:rsidR="00DF042B" w:rsidRDefault="003B737E" w:rsidP="00865BFE">
      <w:pPr>
        <w:pStyle w:val="ListParagraph"/>
        <w:numPr>
          <w:ilvl w:val="0"/>
          <w:numId w:val="18"/>
        </w:numPr>
        <w:jc w:val="both"/>
        <w:rPr>
          <w:rFonts w:ascii="Book Antiqua" w:hAnsi="Book Antiqua" w:cs="Arial"/>
          <w:b/>
        </w:rPr>
      </w:pPr>
      <w:r>
        <w:rPr>
          <w:rFonts w:ascii="Book Antiqua" w:hAnsi="Book Antiqua" w:cs="Arial"/>
          <w:b/>
        </w:rPr>
        <w:t>We</w:t>
      </w:r>
      <w:r w:rsidR="00003182" w:rsidRPr="00DF042B">
        <w:rPr>
          <w:rFonts w:ascii="Book Antiqua" w:hAnsi="Book Antiqua" w:cs="Arial"/>
          <w:b/>
        </w:rPr>
        <w:t xml:space="preserve"> re</w:t>
      </w:r>
      <w:r w:rsidR="00A64FBB">
        <w:rPr>
          <w:rFonts w:ascii="Book Antiqua" w:hAnsi="Book Antiqua" w:cs="Arial"/>
          <w:b/>
        </w:rPr>
        <w:t>-</w:t>
      </w:r>
      <w:r w:rsidR="00003182" w:rsidRPr="00DF042B">
        <w:rPr>
          <w:rFonts w:ascii="Book Antiqua" w:hAnsi="Book Antiqua" w:cs="Arial"/>
          <w:b/>
        </w:rPr>
        <w:t>make the decision by allowing the appeal</w:t>
      </w:r>
      <w:r w:rsidR="00273148">
        <w:rPr>
          <w:rFonts w:ascii="Book Antiqua" w:hAnsi="Book Antiqua" w:cs="Arial"/>
          <w:b/>
        </w:rPr>
        <w:t xml:space="preserve"> on Article 8 ECHR grounds</w:t>
      </w:r>
      <w:r>
        <w:rPr>
          <w:rFonts w:ascii="Book Antiqua" w:hAnsi="Book Antiqua" w:cs="Arial"/>
          <w:b/>
        </w:rPr>
        <w:t>.</w:t>
      </w:r>
    </w:p>
    <w:p w14:paraId="0B5AB06E" w14:textId="77777777" w:rsidR="00DF042B" w:rsidRPr="00DF042B" w:rsidRDefault="00DF042B" w:rsidP="00DF042B">
      <w:pPr>
        <w:pStyle w:val="ListParagraph"/>
        <w:rPr>
          <w:rFonts w:ascii="Book Antiqua" w:hAnsi="Book Antiqua" w:cs="Arial"/>
          <w:b/>
        </w:rPr>
      </w:pPr>
    </w:p>
    <w:p w14:paraId="2B9E3E81" w14:textId="77777777" w:rsidR="00785087" w:rsidRPr="00C1069E" w:rsidRDefault="00785087" w:rsidP="00C1069E">
      <w:pPr>
        <w:jc w:val="both"/>
        <w:rPr>
          <w:rFonts w:ascii="Book Antiqua" w:hAnsi="Book Antiqua" w:cs="Arial"/>
        </w:rPr>
      </w:pPr>
    </w:p>
    <w:p w14:paraId="70D0B11A" w14:textId="77777777" w:rsidR="00003182" w:rsidRPr="00A56832" w:rsidRDefault="00003182" w:rsidP="00003182">
      <w:pPr>
        <w:jc w:val="both"/>
        <w:rPr>
          <w:rFonts w:ascii="Book Antiqua" w:hAnsi="Book Antiqua" w:cs="Arial"/>
        </w:rPr>
      </w:pPr>
    </w:p>
    <w:p w14:paraId="2833779A" w14:textId="690CED74" w:rsidR="00003182" w:rsidRPr="00A56832" w:rsidRDefault="00785087" w:rsidP="00F1630A">
      <w:pPr>
        <w:jc w:val="both"/>
        <w:rPr>
          <w:rFonts w:ascii="Book Antiqua" w:hAnsi="Book Antiqua" w:cs="Arial"/>
        </w:rPr>
      </w:pPr>
      <w:r>
        <w:rPr>
          <w:rFonts w:ascii="Book Antiqua" w:hAnsi="Book Antiqua" w:cs="Arial"/>
        </w:rPr>
        <w:t>Signed</w:t>
      </w:r>
      <w:r w:rsidR="002A08A1">
        <w:rPr>
          <w:rFonts w:ascii="Book Antiqua" w:hAnsi="Book Antiqua" w:cs="Arial"/>
        </w:rPr>
        <w:t xml:space="preserve">: </w:t>
      </w:r>
      <w:r w:rsidR="002A08A1">
        <w:rPr>
          <w:rFonts w:ascii="Lucida Handwriting" w:hAnsi="Lucida Handwriting" w:cs="Arial"/>
        </w:rPr>
        <w:t>H Norton-Taylor</w:t>
      </w:r>
      <w:r>
        <w:rPr>
          <w:rFonts w:ascii="Book Antiqua" w:hAnsi="Book Antiqua" w:cs="Arial"/>
        </w:rPr>
        <w:tab/>
      </w:r>
      <w:r>
        <w:rPr>
          <w:rFonts w:ascii="Book Antiqua" w:hAnsi="Book Antiqua" w:cs="Arial"/>
        </w:rPr>
        <w:tab/>
      </w:r>
      <w:r w:rsidR="00003182" w:rsidRPr="00A56832">
        <w:rPr>
          <w:rFonts w:ascii="Book Antiqua" w:hAnsi="Book Antiqua" w:cs="Arial"/>
        </w:rPr>
        <w:tab/>
        <w:t>Date</w:t>
      </w:r>
      <w:r>
        <w:rPr>
          <w:rFonts w:ascii="Book Antiqua" w:hAnsi="Book Antiqua" w:cs="Arial"/>
        </w:rPr>
        <w:t xml:space="preserve">:  </w:t>
      </w:r>
      <w:r w:rsidR="008B6158">
        <w:rPr>
          <w:rFonts w:ascii="Book Antiqua" w:hAnsi="Book Antiqua" w:cs="Arial"/>
        </w:rPr>
        <w:t xml:space="preserve">22 January </w:t>
      </w:r>
      <w:r>
        <w:rPr>
          <w:rFonts w:ascii="Book Antiqua" w:hAnsi="Book Antiqua" w:cs="Arial"/>
        </w:rPr>
        <w:t>20</w:t>
      </w:r>
      <w:r w:rsidR="002A08A1">
        <w:rPr>
          <w:rFonts w:ascii="Book Antiqua" w:hAnsi="Book Antiqua" w:cs="Arial"/>
        </w:rPr>
        <w:t>2</w:t>
      </w:r>
      <w:r w:rsidR="003B737E">
        <w:rPr>
          <w:rFonts w:ascii="Book Antiqua" w:hAnsi="Book Antiqua" w:cs="Arial"/>
        </w:rPr>
        <w:t>1</w:t>
      </w:r>
    </w:p>
    <w:p w14:paraId="59801920" w14:textId="77777777" w:rsidR="00003182" w:rsidRDefault="00003182" w:rsidP="00003182">
      <w:pPr>
        <w:jc w:val="both"/>
        <w:rPr>
          <w:rFonts w:ascii="Book Antiqua" w:hAnsi="Book Antiqua" w:cs="Arial"/>
        </w:rPr>
      </w:pPr>
      <w:r>
        <w:rPr>
          <w:rFonts w:ascii="Book Antiqua" w:hAnsi="Book Antiqua" w:cs="Arial"/>
        </w:rPr>
        <w:t>Upper Tribunal</w:t>
      </w:r>
      <w:r w:rsidR="00A60F7E">
        <w:rPr>
          <w:rFonts w:ascii="Book Antiqua" w:hAnsi="Book Antiqua" w:cs="Arial"/>
        </w:rPr>
        <w:t xml:space="preserve"> Judge Norton-Taylor</w:t>
      </w:r>
    </w:p>
    <w:p w14:paraId="2250B3B9" w14:textId="77777777" w:rsidR="00DE54A9" w:rsidRDefault="00DE54A9" w:rsidP="00003182">
      <w:pPr>
        <w:jc w:val="both"/>
        <w:rPr>
          <w:rFonts w:ascii="Book Antiqua" w:hAnsi="Book Antiqua" w:cs="Arial"/>
        </w:rPr>
      </w:pPr>
    </w:p>
    <w:p w14:paraId="0D0B848C" w14:textId="77777777" w:rsidR="00DE54A9" w:rsidRDefault="00DE54A9" w:rsidP="00003182">
      <w:pPr>
        <w:jc w:val="both"/>
        <w:rPr>
          <w:rFonts w:ascii="Book Antiqua" w:hAnsi="Book Antiqua" w:cs="Arial"/>
        </w:rPr>
      </w:pPr>
    </w:p>
    <w:p w14:paraId="0DE89527" w14:textId="77777777" w:rsidR="005152E0" w:rsidRDefault="005152E0" w:rsidP="00003182">
      <w:pPr>
        <w:jc w:val="both"/>
        <w:rPr>
          <w:rFonts w:ascii="Book Antiqua" w:hAnsi="Book Antiqua" w:cs="Arial"/>
        </w:rPr>
      </w:pPr>
    </w:p>
    <w:p w14:paraId="2EAEA5AD" w14:textId="096EE7A7" w:rsidR="005152E0" w:rsidRPr="003B737E" w:rsidRDefault="005152E0" w:rsidP="005152E0">
      <w:pPr>
        <w:jc w:val="both"/>
        <w:rPr>
          <w:rFonts w:ascii="Book Antiqua" w:hAnsi="Book Antiqua"/>
          <w:b/>
          <w:u w:val="single"/>
        </w:rPr>
      </w:pPr>
      <w:r w:rsidRPr="003B737E">
        <w:rPr>
          <w:rFonts w:ascii="Book Antiqua" w:hAnsi="Book Antiqua"/>
          <w:b/>
          <w:u w:val="single"/>
        </w:rPr>
        <w:t>TO THE RESPONDENT</w:t>
      </w:r>
    </w:p>
    <w:p w14:paraId="7D16B3A3" w14:textId="77777777" w:rsidR="005152E0" w:rsidRDefault="005152E0" w:rsidP="005152E0">
      <w:pPr>
        <w:jc w:val="both"/>
        <w:rPr>
          <w:rFonts w:ascii="Book Antiqua" w:hAnsi="Book Antiqua"/>
          <w:b/>
          <w:u w:val="single"/>
        </w:rPr>
      </w:pPr>
      <w:r>
        <w:rPr>
          <w:rFonts w:ascii="Book Antiqua" w:hAnsi="Book Antiqua"/>
          <w:b/>
          <w:u w:val="single"/>
        </w:rPr>
        <w:t>FEE AWARD</w:t>
      </w:r>
    </w:p>
    <w:p w14:paraId="6AF67397" w14:textId="77777777" w:rsidR="005152E0" w:rsidRDefault="005152E0" w:rsidP="005152E0">
      <w:pPr>
        <w:jc w:val="both"/>
        <w:rPr>
          <w:rFonts w:ascii="Book Antiqua" w:hAnsi="Book Antiqua"/>
          <w:b/>
          <w:u w:val="single"/>
        </w:rPr>
      </w:pPr>
    </w:p>
    <w:p w14:paraId="0C9D900A" w14:textId="77777777" w:rsidR="005152E0" w:rsidRDefault="005152E0" w:rsidP="005152E0">
      <w:pPr>
        <w:jc w:val="both"/>
        <w:rPr>
          <w:rFonts w:ascii="Book Antiqua" w:hAnsi="Book Antiqua"/>
        </w:rPr>
      </w:pPr>
    </w:p>
    <w:p w14:paraId="13AB800A" w14:textId="77777777" w:rsidR="005152E0" w:rsidRDefault="005152E0" w:rsidP="005152E0">
      <w:pPr>
        <w:jc w:val="both"/>
        <w:rPr>
          <w:rFonts w:ascii="Book Antiqua" w:hAnsi="Book Antiqua"/>
        </w:rPr>
      </w:pPr>
      <w:r>
        <w:rPr>
          <w:rFonts w:ascii="Book Antiqua" w:hAnsi="Book Antiqua"/>
        </w:rPr>
        <w:t>No fee is paid or payable and therefore there can be no fee award.</w:t>
      </w:r>
    </w:p>
    <w:p w14:paraId="355BC026" w14:textId="77777777" w:rsidR="005152E0" w:rsidRDefault="005152E0" w:rsidP="005152E0">
      <w:pPr>
        <w:jc w:val="both"/>
        <w:rPr>
          <w:rFonts w:ascii="Book Antiqua" w:hAnsi="Book Antiqua"/>
        </w:rPr>
      </w:pPr>
    </w:p>
    <w:p w14:paraId="28142EC4" w14:textId="77777777" w:rsidR="005152E0" w:rsidRPr="006B2320" w:rsidRDefault="005152E0" w:rsidP="005152E0">
      <w:pPr>
        <w:jc w:val="both"/>
        <w:rPr>
          <w:rFonts w:ascii="Book Antiqua" w:hAnsi="Book Antiqua"/>
          <w:b/>
          <w:u w:val="single"/>
        </w:rPr>
      </w:pPr>
    </w:p>
    <w:p w14:paraId="2952CFA6" w14:textId="77777777" w:rsidR="005152E0" w:rsidRDefault="005152E0" w:rsidP="005152E0">
      <w:pPr>
        <w:jc w:val="both"/>
        <w:rPr>
          <w:rFonts w:ascii="Book Antiqua" w:hAnsi="Book Antiqua"/>
        </w:rPr>
      </w:pPr>
    </w:p>
    <w:p w14:paraId="15630B53" w14:textId="73D62E83" w:rsidR="005152E0" w:rsidRPr="00A56832" w:rsidRDefault="005152E0" w:rsidP="00F1630A">
      <w:pPr>
        <w:jc w:val="both"/>
        <w:rPr>
          <w:rFonts w:ascii="Book Antiqua" w:hAnsi="Book Antiqua" w:cs="Arial"/>
        </w:rPr>
      </w:pPr>
      <w:r w:rsidRPr="00A56832">
        <w:rPr>
          <w:rFonts w:ascii="Book Antiqua" w:hAnsi="Book Antiqua" w:cs="Arial"/>
        </w:rPr>
        <w:t>Signed</w:t>
      </w:r>
      <w:r w:rsidR="002A08A1">
        <w:rPr>
          <w:rFonts w:ascii="Book Antiqua" w:hAnsi="Book Antiqua" w:cs="Arial"/>
        </w:rPr>
        <w:t xml:space="preserve">: </w:t>
      </w:r>
      <w:r w:rsidR="002A08A1">
        <w:rPr>
          <w:rFonts w:ascii="Lucida Handwriting" w:hAnsi="Lucida Handwriting" w:cs="Arial"/>
        </w:rPr>
        <w:t>H Norton-Taylor</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t>Date</w:t>
      </w:r>
      <w:r>
        <w:rPr>
          <w:rFonts w:ascii="Book Antiqua" w:hAnsi="Book Antiqua" w:cs="Arial"/>
        </w:rPr>
        <w:t xml:space="preserve">:  </w:t>
      </w:r>
      <w:r w:rsidR="008B6158">
        <w:rPr>
          <w:rFonts w:ascii="Book Antiqua" w:hAnsi="Book Antiqua" w:cs="Arial"/>
        </w:rPr>
        <w:t xml:space="preserve">22 January </w:t>
      </w:r>
      <w:r>
        <w:rPr>
          <w:rFonts w:ascii="Book Antiqua" w:hAnsi="Book Antiqua" w:cs="Arial"/>
        </w:rPr>
        <w:t>20</w:t>
      </w:r>
      <w:r w:rsidR="002A08A1">
        <w:rPr>
          <w:rFonts w:ascii="Book Antiqua" w:hAnsi="Book Antiqua" w:cs="Arial"/>
        </w:rPr>
        <w:t>2</w:t>
      </w:r>
      <w:r w:rsidR="003B737E">
        <w:rPr>
          <w:rFonts w:ascii="Book Antiqua" w:hAnsi="Book Antiqua" w:cs="Arial"/>
        </w:rPr>
        <w:t>1</w:t>
      </w:r>
    </w:p>
    <w:p w14:paraId="13B639DC" w14:textId="77777777" w:rsidR="005152E0" w:rsidRDefault="005152E0" w:rsidP="005152E0">
      <w:pPr>
        <w:jc w:val="both"/>
        <w:rPr>
          <w:rFonts w:ascii="Book Antiqua" w:hAnsi="Book Antiqua" w:cs="Arial"/>
        </w:rPr>
      </w:pPr>
      <w:r>
        <w:rPr>
          <w:rFonts w:ascii="Book Antiqua" w:hAnsi="Book Antiqua" w:cs="Arial"/>
        </w:rPr>
        <w:t xml:space="preserve">Upper Tribunal </w:t>
      </w:r>
      <w:r w:rsidR="00F14980">
        <w:rPr>
          <w:rFonts w:ascii="Book Antiqua" w:hAnsi="Book Antiqua" w:cs="Arial"/>
        </w:rPr>
        <w:t>Judge Norton-Taylor</w:t>
      </w:r>
    </w:p>
    <w:p w14:paraId="50D66412" w14:textId="77777777" w:rsidR="005152E0" w:rsidRDefault="005152E0" w:rsidP="00003182">
      <w:pPr>
        <w:jc w:val="both"/>
        <w:rPr>
          <w:rFonts w:ascii="Book Antiqua" w:hAnsi="Book Antiqua" w:cs="Arial"/>
        </w:rPr>
      </w:pPr>
    </w:p>
    <w:p w14:paraId="4BC9D464" w14:textId="77777777" w:rsidR="00003182" w:rsidRDefault="00003182" w:rsidP="00003182">
      <w:pPr>
        <w:jc w:val="both"/>
        <w:rPr>
          <w:rFonts w:ascii="Book Antiqua" w:hAnsi="Book Antiqua" w:cs="Arial"/>
        </w:rPr>
      </w:pPr>
    </w:p>
    <w:p w14:paraId="18E5CF9B" w14:textId="77777777" w:rsidR="00003182" w:rsidRDefault="00003182" w:rsidP="00003182">
      <w:pPr>
        <w:jc w:val="both"/>
        <w:rPr>
          <w:rFonts w:ascii="Book Antiqua" w:hAnsi="Book Antiqua" w:cs="Arial"/>
        </w:rPr>
      </w:pPr>
    </w:p>
    <w:sectPr w:rsidR="00003182" w:rsidSect="00003182">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42B7E" w14:textId="77777777" w:rsidR="008D6A5F" w:rsidRDefault="008D6A5F">
      <w:r>
        <w:separator/>
      </w:r>
    </w:p>
  </w:endnote>
  <w:endnote w:type="continuationSeparator" w:id="0">
    <w:p w14:paraId="5EE5B393" w14:textId="77777777" w:rsidR="008D6A5F" w:rsidRDefault="008D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011E2" w14:textId="77777777" w:rsidR="00340934" w:rsidRPr="00AD7071" w:rsidRDefault="00340934" w:rsidP="00003182">
    <w:pPr>
      <w:pStyle w:val="Footer"/>
      <w:jc w:val="center"/>
      <w:rPr>
        <w:rFonts w:ascii="Book Antiqua" w:hAnsi="Book Antiqua" w:cs="Arial"/>
      </w:rPr>
    </w:pPr>
    <w:r w:rsidRPr="00AD7071">
      <w:rPr>
        <w:rStyle w:val="PageNumber"/>
        <w:rFonts w:ascii="Book Antiqua" w:hAnsi="Book Antiqua" w:cs="Arial"/>
      </w:rPr>
      <w:fldChar w:fldCharType="begin"/>
    </w:r>
    <w:r w:rsidRPr="00AD7071">
      <w:rPr>
        <w:rStyle w:val="PageNumber"/>
        <w:rFonts w:ascii="Book Antiqua" w:hAnsi="Book Antiqua" w:cs="Arial"/>
      </w:rPr>
      <w:instrText xml:space="preserve"> PAGE </w:instrText>
    </w:r>
    <w:r w:rsidRPr="00AD7071">
      <w:rPr>
        <w:rStyle w:val="PageNumber"/>
        <w:rFonts w:ascii="Book Antiqua" w:hAnsi="Book Antiqua" w:cs="Arial"/>
      </w:rPr>
      <w:fldChar w:fldCharType="separate"/>
    </w:r>
    <w:r w:rsidR="005152E0" w:rsidRPr="00AD7071">
      <w:rPr>
        <w:rStyle w:val="PageNumber"/>
        <w:rFonts w:ascii="Book Antiqua" w:hAnsi="Book Antiqua" w:cs="Arial"/>
        <w:noProof/>
      </w:rPr>
      <w:t>3</w:t>
    </w:r>
    <w:r w:rsidRPr="00AD707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359A2" w14:textId="77777777" w:rsidR="00340934" w:rsidRPr="00A56832" w:rsidRDefault="00340934" w:rsidP="00003182">
    <w:pPr>
      <w:jc w:val="center"/>
      <w:rPr>
        <w:rFonts w:ascii="Book Antiqua" w:hAnsi="Book Antiqua" w:cs="Arial"/>
        <w:b/>
      </w:rPr>
    </w:pPr>
    <w:r w:rsidRPr="00A56832">
      <w:rPr>
        <w:rFonts w:ascii="Book Antiqua" w:hAnsi="Book Antiqua" w:cs="Arial"/>
        <w:b/>
        <w:spacing w:val="-6"/>
      </w:rPr>
      <w:t>©</w:t>
    </w:r>
    <w:r w:rsidR="00650569">
      <w:rPr>
        <w:rFonts w:ascii="Book Antiqua" w:hAnsi="Book Antiqua" w:cs="Arial"/>
        <w:b/>
      </w:rPr>
      <w:t xml:space="preserve"> CROWN COPYRIGHT 20</w:t>
    </w:r>
    <w:r w:rsidR="003B45A1">
      <w:rPr>
        <w:rFonts w:ascii="Book Antiqua" w:hAnsi="Book Antiqua" w:cs="Arial"/>
        <w:b/>
      </w:rPr>
      <w:t>2</w:t>
    </w:r>
    <w:r w:rsidR="00171420">
      <w:rPr>
        <w:rFonts w:ascii="Book Antiqua" w:hAnsi="Book Antiqua" w:cs="Arial"/>
        <w: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498EC" w14:textId="77777777" w:rsidR="008D6A5F" w:rsidRDefault="008D6A5F">
      <w:r>
        <w:separator/>
      </w:r>
    </w:p>
  </w:footnote>
  <w:footnote w:type="continuationSeparator" w:id="0">
    <w:p w14:paraId="092BA953" w14:textId="77777777" w:rsidR="008D6A5F" w:rsidRDefault="008D6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478E" w14:textId="46251BFA" w:rsidR="00340934" w:rsidRPr="00A56832" w:rsidRDefault="00340934" w:rsidP="00003182">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4173"/>
    <w:multiLevelType w:val="hybridMultilevel"/>
    <w:tmpl w:val="57027F42"/>
    <w:lvl w:ilvl="0" w:tplc="08090017">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3CE340E"/>
    <w:multiLevelType w:val="hybridMultilevel"/>
    <w:tmpl w:val="8B1EA1F6"/>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DA40997"/>
    <w:multiLevelType w:val="hybridMultilevel"/>
    <w:tmpl w:val="7E3087D4"/>
    <w:lvl w:ilvl="0" w:tplc="279E4F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A04E4B"/>
    <w:multiLevelType w:val="hybridMultilevel"/>
    <w:tmpl w:val="B576EC3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66E20DD"/>
    <w:multiLevelType w:val="hybridMultilevel"/>
    <w:tmpl w:val="F8DE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11F0D"/>
    <w:multiLevelType w:val="hybridMultilevel"/>
    <w:tmpl w:val="79BA7334"/>
    <w:lvl w:ilvl="0" w:tplc="0EAACC0C">
      <w:start w:val="27"/>
      <w:numFmt w:val="decimal"/>
      <w:lvlText w:val="%1."/>
      <w:lvlJc w:val="left"/>
      <w:pPr>
        <w:ind w:left="360" w:hanging="360"/>
      </w:pPr>
      <w:rPr>
        <w:rFonts w:hint="default"/>
        <w:b w:val="0"/>
        <w:bCs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CB33941"/>
    <w:multiLevelType w:val="hybridMultilevel"/>
    <w:tmpl w:val="07047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4C4380"/>
    <w:multiLevelType w:val="hybridMultilevel"/>
    <w:tmpl w:val="70C4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85561"/>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46D23B4"/>
    <w:multiLevelType w:val="hybridMultilevel"/>
    <w:tmpl w:val="E21C0454"/>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27884BAE"/>
    <w:multiLevelType w:val="hybridMultilevel"/>
    <w:tmpl w:val="32460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253028"/>
    <w:multiLevelType w:val="hybridMultilevel"/>
    <w:tmpl w:val="6A5607B2"/>
    <w:lvl w:ilvl="0" w:tplc="EE861C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0F6BE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561009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C024680"/>
    <w:multiLevelType w:val="hybridMultilevel"/>
    <w:tmpl w:val="BC4E836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1173545"/>
    <w:multiLevelType w:val="hybridMultilevel"/>
    <w:tmpl w:val="BD448CF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EC338D1"/>
    <w:multiLevelType w:val="hybridMultilevel"/>
    <w:tmpl w:val="EC529934"/>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5F7B38E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6CB3AE1"/>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2480D5E"/>
    <w:multiLevelType w:val="hybridMultilevel"/>
    <w:tmpl w:val="1A9AED8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4"/>
  </w:num>
  <w:num w:numId="2">
    <w:abstractNumId w:val="5"/>
  </w:num>
  <w:num w:numId="3">
    <w:abstractNumId w:val="8"/>
  </w:num>
  <w:num w:numId="4">
    <w:abstractNumId w:val="11"/>
  </w:num>
  <w:num w:numId="5">
    <w:abstractNumId w:val="20"/>
  </w:num>
  <w:num w:numId="6">
    <w:abstractNumId w:val="16"/>
  </w:num>
  <w:num w:numId="7">
    <w:abstractNumId w:val="0"/>
  </w:num>
  <w:num w:numId="8">
    <w:abstractNumId w:val="17"/>
  </w:num>
  <w:num w:numId="9">
    <w:abstractNumId w:val="1"/>
  </w:num>
  <w:num w:numId="10">
    <w:abstractNumId w:val="7"/>
  </w:num>
  <w:num w:numId="11">
    <w:abstractNumId w:val="10"/>
  </w:num>
  <w:num w:numId="12">
    <w:abstractNumId w:val="6"/>
  </w:num>
  <w:num w:numId="13">
    <w:abstractNumId w:val="15"/>
  </w:num>
  <w:num w:numId="14">
    <w:abstractNumId w:val="9"/>
  </w:num>
  <w:num w:numId="15">
    <w:abstractNumId w:val="14"/>
  </w:num>
  <w:num w:numId="16">
    <w:abstractNumId w:val="18"/>
  </w:num>
  <w:num w:numId="17">
    <w:abstractNumId w:val="19"/>
  </w:num>
  <w:num w:numId="18">
    <w:abstractNumId w:val="13"/>
  </w:num>
  <w:num w:numId="19">
    <w:abstractNumId w:val="3"/>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86D1D98-B577-4E83-A7B1-8C170566879B}"/>
    <w:docVar w:name="dgnword-eventsink" w:val="2013881981200"/>
  </w:docVars>
  <w:rsids>
    <w:rsidRoot w:val="00873130"/>
    <w:rsid w:val="00000D2D"/>
    <w:rsid w:val="00000F09"/>
    <w:rsid w:val="00001BC9"/>
    <w:rsid w:val="00001DB8"/>
    <w:rsid w:val="00003182"/>
    <w:rsid w:val="00003E71"/>
    <w:rsid w:val="00003F42"/>
    <w:rsid w:val="000040CC"/>
    <w:rsid w:val="0000410B"/>
    <w:rsid w:val="0000430D"/>
    <w:rsid w:val="00005C7E"/>
    <w:rsid w:val="00007633"/>
    <w:rsid w:val="00010F2D"/>
    <w:rsid w:val="0001196D"/>
    <w:rsid w:val="00011BFE"/>
    <w:rsid w:val="000129EE"/>
    <w:rsid w:val="00012F01"/>
    <w:rsid w:val="0001423D"/>
    <w:rsid w:val="0001525F"/>
    <w:rsid w:val="00015478"/>
    <w:rsid w:val="00015DFD"/>
    <w:rsid w:val="00017CA5"/>
    <w:rsid w:val="00017CF6"/>
    <w:rsid w:val="00020038"/>
    <w:rsid w:val="00022BE2"/>
    <w:rsid w:val="0002357A"/>
    <w:rsid w:val="00023FB6"/>
    <w:rsid w:val="00024008"/>
    <w:rsid w:val="000248E3"/>
    <w:rsid w:val="0002572B"/>
    <w:rsid w:val="00026744"/>
    <w:rsid w:val="00027203"/>
    <w:rsid w:val="00030E84"/>
    <w:rsid w:val="0003119A"/>
    <w:rsid w:val="00031AC3"/>
    <w:rsid w:val="0003370E"/>
    <w:rsid w:val="000343BC"/>
    <w:rsid w:val="000344DA"/>
    <w:rsid w:val="00034799"/>
    <w:rsid w:val="00034F8B"/>
    <w:rsid w:val="00035856"/>
    <w:rsid w:val="000364A1"/>
    <w:rsid w:val="000368B4"/>
    <w:rsid w:val="00036FE0"/>
    <w:rsid w:val="000402F3"/>
    <w:rsid w:val="00040D08"/>
    <w:rsid w:val="00043656"/>
    <w:rsid w:val="00044C4D"/>
    <w:rsid w:val="00046290"/>
    <w:rsid w:val="000472CC"/>
    <w:rsid w:val="000476CF"/>
    <w:rsid w:val="0005134A"/>
    <w:rsid w:val="0005168D"/>
    <w:rsid w:val="00051709"/>
    <w:rsid w:val="000519E5"/>
    <w:rsid w:val="00053258"/>
    <w:rsid w:val="00054211"/>
    <w:rsid w:val="00054361"/>
    <w:rsid w:val="000544E4"/>
    <w:rsid w:val="00055454"/>
    <w:rsid w:val="0005553D"/>
    <w:rsid w:val="00055632"/>
    <w:rsid w:val="00056589"/>
    <w:rsid w:val="00057127"/>
    <w:rsid w:val="00057FB3"/>
    <w:rsid w:val="0006104A"/>
    <w:rsid w:val="000612AA"/>
    <w:rsid w:val="000616B2"/>
    <w:rsid w:val="00061846"/>
    <w:rsid w:val="000618E1"/>
    <w:rsid w:val="00061A21"/>
    <w:rsid w:val="00061A6B"/>
    <w:rsid w:val="000623AA"/>
    <w:rsid w:val="000624AB"/>
    <w:rsid w:val="000628A8"/>
    <w:rsid w:val="00063FBD"/>
    <w:rsid w:val="000640BE"/>
    <w:rsid w:val="00064127"/>
    <w:rsid w:val="00065F0E"/>
    <w:rsid w:val="00066EDF"/>
    <w:rsid w:val="00067C31"/>
    <w:rsid w:val="00067ED8"/>
    <w:rsid w:val="00072E31"/>
    <w:rsid w:val="000745B1"/>
    <w:rsid w:val="00074A89"/>
    <w:rsid w:val="00075315"/>
    <w:rsid w:val="0007583C"/>
    <w:rsid w:val="00075A8B"/>
    <w:rsid w:val="000763CF"/>
    <w:rsid w:val="0007725E"/>
    <w:rsid w:val="000814D5"/>
    <w:rsid w:val="00082166"/>
    <w:rsid w:val="00082499"/>
    <w:rsid w:val="00082527"/>
    <w:rsid w:val="000828FE"/>
    <w:rsid w:val="0008359E"/>
    <w:rsid w:val="0008411A"/>
    <w:rsid w:val="00085080"/>
    <w:rsid w:val="00085356"/>
    <w:rsid w:val="00085F2B"/>
    <w:rsid w:val="000864BD"/>
    <w:rsid w:val="00086916"/>
    <w:rsid w:val="00086C62"/>
    <w:rsid w:val="0008765B"/>
    <w:rsid w:val="00090726"/>
    <w:rsid w:val="00091457"/>
    <w:rsid w:val="00091EBA"/>
    <w:rsid w:val="000936D2"/>
    <w:rsid w:val="00094026"/>
    <w:rsid w:val="00094140"/>
    <w:rsid w:val="00095D75"/>
    <w:rsid w:val="00095DE3"/>
    <w:rsid w:val="0009608B"/>
    <w:rsid w:val="0009751D"/>
    <w:rsid w:val="00097537"/>
    <w:rsid w:val="00097F69"/>
    <w:rsid w:val="000A01B1"/>
    <w:rsid w:val="000A0915"/>
    <w:rsid w:val="000A11A4"/>
    <w:rsid w:val="000A28BC"/>
    <w:rsid w:val="000A4BD5"/>
    <w:rsid w:val="000A551E"/>
    <w:rsid w:val="000A6B7B"/>
    <w:rsid w:val="000A7462"/>
    <w:rsid w:val="000B03EE"/>
    <w:rsid w:val="000B08F6"/>
    <w:rsid w:val="000B1FCC"/>
    <w:rsid w:val="000B2733"/>
    <w:rsid w:val="000B3820"/>
    <w:rsid w:val="000B3C96"/>
    <w:rsid w:val="000B43F3"/>
    <w:rsid w:val="000B45E4"/>
    <w:rsid w:val="000B4721"/>
    <w:rsid w:val="000B4D4F"/>
    <w:rsid w:val="000B641F"/>
    <w:rsid w:val="000B6524"/>
    <w:rsid w:val="000B6E43"/>
    <w:rsid w:val="000C1C72"/>
    <w:rsid w:val="000C1E1E"/>
    <w:rsid w:val="000C2559"/>
    <w:rsid w:val="000C3C38"/>
    <w:rsid w:val="000C3F26"/>
    <w:rsid w:val="000C44A4"/>
    <w:rsid w:val="000C7679"/>
    <w:rsid w:val="000C7CF4"/>
    <w:rsid w:val="000D14A1"/>
    <w:rsid w:val="000D1BFE"/>
    <w:rsid w:val="000D1C84"/>
    <w:rsid w:val="000D2044"/>
    <w:rsid w:val="000D275C"/>
    <w:rsid w:val="000D2987"/>
    <w:rsid w:val="000D4E78"/>
    <w:rsid w:val="000D548D"/>
    <w:rsid w:val="000D55CC"/>
    <w:rsid w:val="000D5A18"/>
    <w:rsid w:val="000D5E62"/>
    <w:rsid w:val="000D687A"/>
    <w:rsid w:val="000D71C5"/>
    <w:rsid w:val="000E00E1"/>
    <w:rsid w:val="000E0B38"/>
    <w:rsid w:val="000E12C7"/>
    <w:rsid w:val="000E1A35"/>
    <w:rsid w:val="000E236D"/>
    <w:rsid w:val="000E2446"/>
    <w:rsid w:val="000E4E38"/>
    <w:rsid w:val="000E6D29"/>
    <w:rsid w:val="000F053C"/>
    <w:rsid w:val="000F05B0"/>
    <w:rsid w:val="000F0D5D"/>
    <w:rsid w:val="000F1569"/>
    <w:rsid w:val="000F2447"/>
    <w:rsid w:val="000F33B1"/>
    <w:rsid w:val="000F412D"/>
    <w:rsid w:val="000F6ACE"/>
    <w:rsid w:val="000F7BF1"/>
    <w:rsid w:val="00104555"/>
    <w:rsid w:val="001049B6"/>
    <w:rsid w:val="00105B59"/>
    <w:rsid w:val="00105E6C"/>
    <w:rsid w:val="0010693A"/>
    <w:rsid w:val="00106BA6"/>
    <w:rsid w:val="00110176"/>
    <w:rsid w:val="0011017D"/>
    <w:rsid w:val="001109C6"/>
    <w:rsid w:val="00111A30"/>
    <w:rsid w:val="00111AAA"/>
    <w:rsid w:val="00112B03"/>
    <w:rsid w:val="0011314C"/>
    <w:rsid w:val="001136C1"/>
    <w:rsid w:val="00114FB3"/>
    <w:rsid w:val="00116F26"/>
    <w:rsid w:val="00117E16"/>
    <w:rsid w:val="00117FA5"/>
    <w:rsid w:val="0012017E"/>
    <w:rsid w:val="001204D2"/>
    <w:rsid w:val="0012052B"/>
    <w:rsid w:val="00121CBD"/>
    <w:rsid w:val="0012213A"/>
    <w:rsid w:val="001224B9"/>
    <w:rsid w:val="0012307C"/>
    <w:rsid w:val="0012461B"/>
    <w:rsid w:val="00124E8A"/>
    <w:rsid w:val="001255C5"/>
    <w:rsid w:val="00126226"/>
    <w:rsid w:val="00127B77"/>
    <w:rsid w:val="001308CA"/>
    <w:rsid w:val="001314A9"/>
    <w:rsid w:val="00131FA1"/>
    <w:rsid w:val="00132798"/>
    <w:rsid w:val="00133460"/>
    <w:rsid w:val="00134A01"/>
    <w:rsid w:val="00136835"/>
    <w:rsid w:val="0014016D"/>
    <w:rsid w:val="001401B5"/>
    <w:rsid w:val="0014028B"/>
    <w:rsid w:val="00140D50"/>
    <w:rsid w:val="00141892"/>
    <w:rsid w:val="001418D7"/>
    <w:rsid w:val="001422AA"/>
    <w:rsid w:val="0014471D"/>
    <w:rsid w:val="00145739"/>
    <w:rsid w:val="00146D7E"/>
    <w:rsid w:val="0014760C"/>
    <w:rsid w:val="00150EF9"/>
    <w:rsid w:val="00151895"/>
    <w:rsid w:val="001532E8"/>
    <w:rsid w:val="0015340E"/>
    <w:rsid w:val="00153938"/>
    <w:rsid w:val="00155B61"/>
    <w:rsid w:val="001561F4"/>
    <w:rsid w:val="00156685"/>
    <w:rsid w:val="00156DB5"/>
    <w:rsid w:val="00160CE7"/>
    <w:rsid w:val="00160DC5"/>
    <w:rsid w:val="0016154A"/>
    <w:rsid w:val="00161F7C"/>
    <w:rsid w:val="00164791"/>
    <w:rsid w:val="00166903"/>
    <w:rsid w:val="00166CAE"/>
    <w:rsid w:val="00171420"/>
    <w:rsid w:val="00171A0D"/>
    <w:rsid w:val="001726D0"/>
    <w:rsid w:val="00172AB4"/>
    <w:rsid w:val="001737C8"/>
    <w:rsid w:val="0017541D"/>
    <w:rsid w:val="00176535"/>
    <w:rsid w:val="001809B1"/>
    <w:rsid w:val="001816F8"/>
    <w:rsid w:val="001817B0"/>
    <w:rsid w:val="001820F5"/>
    <w:rsid w:val="00182276"/>
    <w:rsid w:val="001859B9"/>
    <w:rsid w:val="00187C65"/>
    <w:rsid w:val="00190495"/>
    <w:rsid w:val="00190DD3"/>
    <w:rsid w:val="001911F6"/>
    <w:rsid w:val="001917A6"/>
    <w:rsid w:val="001923F7"/>
    <w:rsid w:val="001932E8"/>
    <w:rsid w:val="0019349D"/>
    <w:rsid w:val="00193B78"/>
    <w:rsid w:val="00196114"/>
    <w:rsid w:val="001961ED"/>
    <w:rsid w:val="001967AB"/>
    <w:rsid w:val="00196D83"/>
    <w:rsid w:val="00197EC6"/>
    <w:rsid w:val="001A0803"/>
    <w:rsid w:val="001A0AC4"/>
    <w:rsid w:val="001A1019"/>
    <w:rsid w:val="001A1D81"/>
    <w:rsid w:val="001A2AFF"/>
    <w:rsid w:val="001A3DE8"/>
    <w:rsid w:val="001A3DFD"/>
    <w:rsid w:val="001A63F2"/>
    <w:rsid w:val="001A6928"/>
    <w:rsid w:val="001B0321"/>
    <w:rsid w:val="001B0505"/>
    <w:rsid w:val="001B12A0"/>
    <w:rsid w:val="001B1A6A"/>
    <w:rsid w:val="001B3DA0"/>
    <w:rsid w:val="001B4818"/>
    <w:rsid w:val="001B4A02"/>
    <w:rsid w:val="001B582F"/>
    <w:rsid w:val="001B6B96"/>
    <w:rsid w:val="001B7CE6"/>
    <w:rsid w:val="001C0994"/>
    <w:rsid w:val="001C0F73"/>
    <w:rsid w:val="001C267A"/>
    <w:rsid w:val="001C2D2F"/>
    <w:rsid w:val="001C348F"/>
    <w:rsid w:val="001C448C"/>
    <w:rsid w:val="001C58A2"/>
    <w:rsid w:val="001C58F6"/>
    <w:rsid w:val="001C6444"/>
    <w:rsid w:val="001D0842"/>
    <w:rsid w:val="001D13AD"/>
    <w:rsid w:val="001D2723"/>
    <w:rsid w:val="001D3174"/>
    <w:rsid w:val="001D328D"/>
    <w:rsid w:val="001D5161"/>
    <w:rsid w:val="001D55D1"/>
    <w:rsid w:val="001D6934"/>
    <w:rsid w:val="001D7DE9"/>
    <w:rsid w:val="001E0071"/>
    <w:rsid w:val="001E0176"/>
    <w:rsid w:val="001E0A1C"/>
    <w:rsid w:val="001E11B2"/>
    <w:rsid w:val="001E18C6"/>
    <w:rsid w:val="001E1CF2"/>
    <w:rsid w:val="001E2931"/>
    <w:rsid w:val="001E473F"/>
    <w:rsid w:val="001E5B42"/>
    <w:rsid w:val="001E5EC4"/>
    <w:rsid w:val="001F01E7"/>
    <w:rsid w:val="001F2DAA"/>
    <w:rsid w:val="001F333D"/>
    <w:rsid w:val="001F46F0"/>
    <w:rsid w:val="001F6808"/>
    <w:rsid w:val="001F6F40"/>
    <w:rsid w:val="001F7580"/>
    <w:rsid w:val="001F7CD5"/>
    <w:rsid w:val="00200BCF"/>
    <w:rsid w:val="002016D9"/>
    <w:rsid w:val="00201CE2"/>
    <w:rsid w:val="0020249B"/>
    <w:rsid w:val="00202DB8"/>
    <w:rsid w:val="0020324B"/>
    <w:rsid w:val="0020391D"/>
    <w:rsid w:val="00203B95"/>
    <w:rsid w:val="00205A70"/>
    <w:rsid w:val="00205C00"/>
    <w:rsid w:val="00206E89"/>
    <w:rsid w:val="00207A1F"/>
    <w:rsid w:val="00210898"/>
    <w:rsid w:val="002123B5"/>
    <w:rsid w:val="00212769"/>
    <w:rsid w:val="00212ABF"/>
    <w:rsid w:val="00213C56"/>
    <w:rsid w:val="002140E6"/>
    <w:rsid w:val="002145C6"/>
    <w:rsid w:val="0021535D"/>
    <w:rsid w:val="0021572C"/>
    <w:rsid w:val="00215D41"/>
    <w:rsid w:val="00216989"/>
    <w:rsid w:val="00216F83"/>
    <w:rsid w:val="0022031F"/>
    <w:rsid w:val="0022188C"/>
    <w:rsid w:val="0022247B"/>
    <w:rsid w:val="00222F12"/>
    <w:rsid w:val="00223023"/>
    <w:rsid w:val="0022399B"/>
    <w:rsid w:val="00223ECA"/>
    <w:rsid w:val="00224698"/>
    <w:rsid w:val="00224757"/>
    <w:rsid w:val="00225168"/>
    <w:rsid w:val="00226303"/>
    <w:rsid w:val="0022748B"/>
    <w:rsid w:val="00230162"/>
    <w:rsid w:val="0023071A"/>
    <w:rsid w:val="002309B4"/>
    <w:rsid w:val="0023129A"/>
    <w:rsid w:val="00231426"/>
    <w:rsid w:val="00234F49"/>
    <w:rsid w:val="00235575"/>
    <w:rsid w:val="00235BAE"/>
    <w:rsid w:val="00236049"/>
    <w:rsid w:val="00241120"/>
    <w:rsid w:val="0024114F"/>
    <w:rsid w:val="00242812"/>
    <w:rsid w:val="002434C8"/>
    <w:rsid w:val="00243C82"/>
    <w:rsid w:val="002458AA"/>
    <w:rsid w:val="00246204"/>
    <w:rsid w:val="0024692B"/>
    <w:rsid w:val="002470AC"/>
    <w:rsid w:val="0024729D"/>
    <w:rsid w:val="002472D7"/>
    <w:rsid w:val="00250B0A"/>
    <w:rsid w:val="00251459"/>
    <w:rsid w:val="00252AB0"/>
    <w:rsid w:val="002537A2"/>
    <w:rsid w:val="00255CF0"/>
    <w:rsid w:val="002564E4"/>
    <w:rsid w:val="0026001B"/>
    <w:rsid w:val="00261643"/>
    <w:rsid w:val="00261ED5"/>
    <w:rsid w:val="00262EF0"/>
    <w:rsid w:val="002635B4"/>
    <w:rsid w:val="00263C94"/>
    <w:rsid w:val="00265170"/>
    <w:rsid w:val="00265CAB"/>
    <w:rsid w:val="0026748B"/>
    <w:rsid w:val="00270077"/>
    <w:rsid w:val="00270DDD"/>
    <w:rsid w:val="00271D2C"/>
    <w:rsid w:val="00273148"/>
    <w:rsid w:val="0027583F"/>
    <w:rsid w:val="00275DC8"/>
    <w:rsid w:val="002764B1"/>
    <w:rsid w:val="00276BDE"/>
    <w:rsid w:val="00276F2A"/>
    <w:rsid w:val="00276FE4"/>
    <w:rsid w:val="00281115"/>
    <w:rsid w:val="0028123E"/>
    <w:rsid w:val="0028130B"/>
    <w:rsid w:val="00281D3D"/>
    <w:rsid w:val="00282905"/>
    <w:rsid w:val="0028378E"/>
    <w:rsid w:val="00283ED7"/>
    <w:rsid w:val="00285706"/>
    <w:rsid w:val="002861F1"/>
    <w:rsid w:val="00286527"/>
    <w:rsid w:val="0028678F"/>
    <w:rsid w:val="002872D4"/>
    <w:rsid w:val="0028768A"/>
    <w:rsid w:val="00290FC0"/>
    <w:rsid w:val="0029150E"/>
    <w:rsid w:val="0029166B"/>
    <w:rsid w:val="00293C47"/>
    <w:rsid w:val="0029447C"/>
    <w:rsid w:val="002953E8"/>
    <w:rsid w:val="0029541C"/>
    <w:rsid w:val="00295F36"/>
    <w:rsid w:val="00296FE7"/>
    <w:rsid w:val="002A08A1"/>
    <w:rsid w:val="002A170C"/>
    <w:rsid w:val="002A192C"/>
    <w:rsid w:val="002A2BC8"/>
    <w:rsid w:val="002A3AB8"/>
    <w:rsid w:val="002A3CE9"/>
    <w:rsid w:val="002A439E"/>
    <w:rsid w:val="002A5796"/>
    <w:rsid w:val="002A6B00"/>
    <w:rsid w:val="002A6BFC"/>
    <w:rsid w:val="002A734D"/>
    <w:rsid w:val="002A7823"/>
    <w:rsid w:val="002B0A20"/>
    <w:rsid w:val="002B1066"/>
    <w:rsid w:val="002B1CE3"/>
    <w:rsid w:val="002B21DF"/>
    <w:rsid w:val="002B22CB"/>
    <w:rsid w:val="002B22F8"/>
    <w:rsid w:val="002B2A90"/>
    <w:rsid w:val="002B2DD1"/>
    <w:rsid w:val="002B4AFF"/>
    <w:rsid w:val="002B4DDC"/>
    <w:rsid w:val="002B557A"/>
    <w:rsid w:val="002B5C40"/>
    <w:rsid w:val="002B703F"/>
    <w:rsid w:val="002C1D44"/>
    <w:rsid w:val="002C2EB8"/>
    <w:rsid w:val="002C723D"/>
    <w:rsid w:val="002D11B7"/>
    <w:rsid w:val="002D13FD"/>
    <w:rsid w:val="002D1E7C"/>
    <w:rsid w:val="002D280D"/>
    <w:rsid w:val="002D4D45"/>
    <w:rsid w:val="002D567F"/>
    <w:rsid w:val="002D71E7"/>
    <w:rsid w:val="002D7C7E"/>
    <w:rsid w:val="002D7DB5"/>
    <w:rsid w:val="002E0D2B"/>
    <w:rsid w:val="002E16BB"/>
    <w:rsid w:val="002E246C"/>
    <w:rsid w:val="002E3794"/>
    <w:rsid w:val="002E5CDC"/>
    <w:rsid w:val="002E7FED"/>
    <w:rsid w:val="002F0633"/>
    <w:rsid w:val="002F067F"/>
    <w:rsid w:val="002F0756"/>
    <w:rsid w:val="002F1314"/>
    <w:rsid w:val="002F4BC3"/>
    <w:rsid w:val="002F54AF"/>
    <w:rsid w:val="002F7F72"/>
    <w:rsid w:val="00300DE0"/>
    <w:rsid w:val="003019B7"/>
    <w:rsid w:val="003022DF"/>
    <w:rsid w:val="00302C9A"/>
    <w:rsid w:val="0030319B"/>
    <w:rsid w:val="00303D16"/>
    <w:rsid w:val="00304F64"/>
    <w:rsid w:val="00304FAD"/>
    <w:rsid w:val="00305390"/>
    <w:rsid w:val="00305914"/>
    <w:rsid w:val="00305B3C"/>
    <w:rsid w:val="00305E72"/>
    <w:rsid w:val="00305F98"/>
    <w:rsid w:val="0030678B"/>
    <w:rsid w:val="00307B2A"/>
    <w:rsid w:val="00307B6B"/>
    <w:rsid w:val="00311779"/>
    <w:rsid w:val="003117F8"/>
    <w:rsid w:val="00314FA9"/>
    <w:rsid w:val="00315CA5"/>
    <w:rsid w:val="00315F10"/>
    <w:rsid w:val="00315F43"/>
    <w:rsid w:val="0031778C"/>
    <w:rsid w:val="00317D0C"/>
    <w:rsid w:val="003220E6"/>
    <w:rsid w:val="0032339F"/>
    <w:rsid w:val="00323607"/>
    <w:rsid w:val="00323680"/>
    <w:rsid w:val="00324472"/>
    <w:rsid w:val="00324B93"/>
    <w:rsid w:val="00324F1E"/>
    <w:rsid w:val="003258DA"/>
    <w:rsid w:val="00325BC9"/>
    <w:rsid w:val="00325E64"/>
    <w:rsid w:val="00326D28"/>
    <w:rsid w:val="00327C4D"/>
    <w:rsid w:val="00327CC5"/>
    <w:rsid w:val="00330633"/>
    <w:rsid w:val="003319AE"/>
    <w:rsid w:val="00332674"/>
    <w:rsid w:val="00333794"/>
    <w:rsid w:val="00333796"/>
    <w:rsid w:val="003338B8"/>
    <w:rsid w:val="00334670"/>
    <w:rsid w:val="00335101"/>
    <w:rsid w:val="003354C5"/>
    <w:rsid w:val="00340339"/>
    <w:rsid w:val="00340934"/>
    <w:rsid w:val="00341526"/>
    <w:rsid w:val="003419B1"/>
    <w:rsid w:val="00342377"/>
    <w:rsid w:val="0034292E"/>
    <w:rsid w:val="00342B77"/>
    <w:rsid w:val="00343463"/>
    <w:rsid w:val="00344720"/>
    <w:rsid w:val="00344870"/>
    <w:rsid w:val="0034521D"/>
    <w:rsid w:val="00345551"/>
    <w:rsid w:val="00345B00"/>
    <w:rsid w:val="003472F1"/>
    <w:rsid w:val="00347E0C"/>
    <w:rsid w:val="00350019"/>
    <w:rsid w:val="003501DA"/>
    <w:rsid w:val="003512D4"/>
    <w:rsid w:val="00352600"/>
    <w:rsid w:val="0035362E"/>
    <w:rsid w:val="003552C2"/>
    <w:rsid w:val="003565CC"/>
    <w:rsid w:val="00357386"/>
    <w:rsid w:val="003577FC"/>
    <w:rsid w:val="00360948"/>
    <w:rsid w:val="00361068"/>
    <w:rsid w:val="0036172B"/>
    <w:rsid w:val="00361FAB"/>
    <w:rsid w:val="00366397"/>
    <w:rsid w:val="003665B9"/>
    <w:rsid w:val="0036683E"/>
    <w:rsid w:val="00366D62"/>
    <w:rsid w:val="00367CB2"/>
    <w:rsid w:val="00370C92"/>
    <w:rsid w:val="00371994"/>
    <w:rsid w:val="00371ADA"/>
    <w:rsid w:val="00371DDC"/>
    <w:rsid w:val="00372BDD"/>
    <w:rsid w:val="00373E74"/>
    <w:rsid w:val="00374B0C"/>
    <w:rsid w:val="003758E1"/>
    <w:rsid w:val="003763B1"/>
    <w:rsid w:val="00377430"/>
    <w:rsid w:val="0037786A"/>
    <w:rsid w:val="00377BF6"/>
    <w:rsid w:val="00377CFD"/>
    <w:rsid w:val="00380412"/>
    <w:rsid w:val="00380568"/>
    <w:rsid w:val="003807B5"/>
    <w:rsid w:val="003808E2"/>
    <w:rsid w:val="00380BAD"/>
    <w:rsid w:val="0038166A"/>
    <w:rsid w:val="00382BF3"/>
    <w:rsid w:val="00382F7B"/>
    <w:rsid w:val="00384556"/>
    <w:rsid w:val="00385FE6"/>
    <w:rsid w:val="003860AB"/>
    <w:rsid w:val="003860C5"/>
    <w:rsid w:val="0038663E"/>
    <w:rsid w:val="003904C0"/>
    <w:rsid w:val="00390CA1"/>
    <w:rsid w:val="00390FAE"/>
    <w:rsid w:val="003913FB"/>
    <w:rsid w:val="0039339C"/>
    <w:rsid w:val="00394B63"/>
    <w:rsid w:val="00394BEE"/>
    <w:rsid w:val="00395068"/>
    <w:rsid w:val="00395B68"/>
    <w:rsid w:val="00397560"/>
    <w:rsid w:val="003978F5"/>
    <w:rsid w:val="00397F12"/>
    <w:rsid w:val="003A0971"/>
    <w:rsid w:val="003A0E59"/>
    <w:rsid w:val="003A192D"/>
    <w:rsid w:val="003A1DE6"/>
    <w:rsid w:val="003A3628"/>
    <w:rsid w:val="003A3B46"/>
    <w:rsid w:val="003A3F08"/>
    <w:rsid w:val="003A52C0"/>
    <w:rsid w:val="003A60DE"/>
    <w:rsid w:val="003A68D8"/>
    <w:rsid w:val="003A7269"/>
    <w:rsid w:val="003A7925"/>
    <w:rsid w:val="003B0746"/>
    <w:rsid w:val="003B295E"/>
    <w:rsid w:val="003B3E27"/>
    <w:rsid w:val="003B4194"/>
    <w:rsid w:val="003B44E1"/>
    <w:rsid w:val="003B45A1"/>
    <w:rsid w:val="003B50C8"/>
    <w:rsid w:val="003B5EFC"/>
    <w:rsid w:val="003B737E"/>
    <w:rsid w:val="003C06C9"/>
    <w:rsid w:val="003C24EF"/>
    <w:rsid w:val="003C30E7"/>
    <w:rsid w:val="003C41E9"/>
    <w:rsid w:val="003C4388"/>
    <w:rsid w:val="003C44AA"/>
    <w:rsid w:val="003C47DF"/>
    <w:rsid w:val="003C5304"/>
    <w:rsid w:val="003C583C"/>
    <w:rsid w:val="003C7EC7"/>
    <w:rsid w:val="003C7F8A"/>
    <w:rsid w:val="003D0072"/>
    <w:rsid w:val="003D2B12"/>
    <w:rsid w:val="003D2D3B"/>
    <w:rsid w:val="003D4A5E"/>
    <w:rsid w:val="003D5591"/>
    <w:rsid w:val="003D58A3"/>
    <w:rsid w:val="003D58F4"/>
    <w:rsid w:val="003D5FE9"/>
    <w:rsid w:val="003D6E60"/>
    <w:rsid w:val="003D6EC0"/>
    <w:rsid w:val="003D6FF7"/>
    <w:rsid w:val="003D7FD8"/>
    <w:rsid w:val="003E118C"/>
    <w:rsid w:val="003E1299"/>
    <w:rsid w:val="003E1740"/>
    <w:rsid w:val="003E22D3"/>
    <w:rsid w:val="003E2953"/>
    <w:rsid w:val="003E5279"/>
    <w:rsid w:val="003E5415"/>
    <w:rsid w:val="003E5C01"/>
    <w:rsid w:val="003E66D7"/>
    <w:rsid w:val="003E74FB"/>
    <w:rsid w:val="003E7E1E"/>
    <w:rsid w:val="003F0DED"/>
    <w:rsid w:val="003F0E62"/>
    <w:rsid w:val="003F1564"/>
    <w:rsid w:val="003F19E7"/>
    <w:rsid w:val="003F20A9"/>
    <w:rsid w:val="003F2F03"/>
    <w:rsid w:val="003F4C24"/>
    <w:rsid w:val="003F7009"/>
    <w:rsid w:val="003F7059"/>
    <w:rsid w:val="003F734E"/>
    <w:rsid w:val="003F7C12"/>
    <w:rsid w:val="0040000D"/>
    <w:rsid w:val="0040276A"/>
    <w:rsid w:val="00402A4E"/>
    <w:rsid w:val="004035A1"/>
    <w:rsid w:val="00404925"/>
    <w:rsid w:val="00405440"/>
    <w:rsid w:val="00405D2D"/>
    <w:rsid w:val="00407FAC"/>
    <w:rsid w:val="00411376"/>
    <w:rsid w:val="004116F0"/>
    <w:rsid w:val="00412171"/>
    <w:rsid w:val="00412AEA"/>
    <w:rsid w:val="004132AD"/>
    <w:rsid w:val="00413F16"/>
    <w:rsid w:val="00413F42"/>
    <w:rsid w:val="0041411F"/>
    <w:rsid w:val="0041445C"/>
    <w:rsid w:val="004150DC"/>
    <w:rsid w:val="00416533"/>
    <w:rsid w:val="00421EED"/>
    <w:rsid w:val="00422E83"/>
    <w:rsid w:val="0042319C"/>
    <w:rsid w:val="00424CF0"/>
    <w:rsid w:val="00425B40"/>
    <w:rsid w:val="0043010A"/>
    <w:rsid w:val="00430267"/>
    <w:rsid w:val="00430E14"/>
    <w:rsid w:val="004316BB"/>
    <w:rsid w:val="00431982"/>
    <w:rsid w:val="0043234B"/>
    <w:rsid w:val="004328A3"/>
    <w:rsid w:val="00432C8F"/>
    <w:rsid w:val="00433022"/>
    <w:rsid w:val="004332DA"/>
    <w:rsid w:val="00433769"/>
    <w:rsid w:val="00433A13"/>
    <w:rsid w:val="00435376"/>
    <w:rsid w:val="00435796"/>
    <w:rsid w:val="00436ADB"/>
    <w:rsid w:val="004409E6"/>
    <w:rsid w:val="004419C5"/>
    <w:rsid w:val="00442E13"/>
    <w:rsid w:val="00443EA8"/>
    <w:rsid w:val="00443ECC"/>
    <w:rsid w:val="00444A0A"/>
    <w:rsid w:val="004463F9"/>
    <w:rsid w:val="00446A64"/>
    <w:rsid w:val="00446BF0"/>
    <w:rsid w:val="00450B13"/>
    <w:rsid w:val="00452A74"/>
    <w:rsid w:val="00452C2A"/>
    <w:rsid w:val="00452C52"/>
    <w:rsid w:val="004531AB"/>
    <w:rsid w:val="00455DFE"/>
    <w:rsid w:val="0045635F"/>
    <w:rsid w:val="0045685B"/>
    <w:rsid w:val="00457B27"/>
    <w:rsid w:val="00457BAF"/>
    <w:rsid w:val="004607CF"/>
    <w:rsid w:val="00460E64"/>
    <w:rsid w:val="00461B18"/>
    <w:rsid w:val="00461D0E"/>
    <w:rsid w:val="00462962"/>
    <w:rsid w:val="00464E15"/>
    <w:rsid w:val="004652D3"/>
    <w:rsid w:val="00474739"/>
    <w:rsid w:val="004750EB"/>
    <w:rsid w:val="004757FC"/>
    <w:rsid w:val="00475CE4"/>
    <w:rsid w:val="0047636D"/>
    <w:rsid w:val="0047745F"/>
    <w:rsid w:val="00477B27"/>
    <w:rsid w:val="00477FC0"/>
    <w:rsid w:val="00480201"/>
    <w:rsid w:val="00480334"/>
    <w:rsid w:val="00481A1F"/>
    <w:rsid w:val="00482C29"/>
    <w:rsid w:val="00484237"/>
    <w:rsid w:val="0048444E"/>
    <w:rsid w:val="00484692"/>
    <w:rsid w:val="00485279"/>
    <w:rsid w:val="00485B59"/>
    <w:rsid w:val="004864A1"/>
    <w:rsid w:val="00486EC1"/>
    <w:rsid w:val="0048755D"/>
    <w:rsid w:val="00487962"/>
    <w:rsid w:val="00490710"/>
    <w:rsid w:val="0049297A"/>
    <w:rsid w:val="00492B3C"/>
    <w:rsid w:val="00494968"/>
    <w:rsid w:val="004950F1"/>
    <w:rsid w:val="00495306"/>
    <w:rsid w:val="0049577F"/>
    <w:rsid w:val="004963EA"/>
    <w:rsid w:val="00496B02"/>
    <w:rsid w:val="004A0505"/>
    <w:rsid w:val="004A075D"/>
    <w:rsid w:val="004A0FAA"/>
    <w:rsid w:val="004A42FD"/>
    <w:rsid w:val="004A59DD"/>
    <w:rsid w:val="004A614D"/>
    <w:rsid w:val="004A6AEE"/>
    <w:rsid w:val="004A6E20"/>
    <w:rsid w:val="004A7160"/>
    <w:rsid w:val="004A7544"/>
    <w:rsid w:val="004A7872"/>
    <w:rsid w:val="004A7FD7"/>
    <w:rsid w:val="004B0926"/>
    <w:rsid w:val="004B0940"/>
    <w:rsid w:val="004B0EA7"/>
    <w:rsid w:val="004B13B5"/>
    <w:rsid w:val="004B1B36"/>
    <w:rsid w:val="004B1DBB"/>
    <w:rsid w:val="004B2550"/>
    <w:rsid w:val="004B2FE9"/>
    <w:rsid w:val="004B3AB4"/>
    <w:rsid w:val="004B4864"/>
    <w:rsid w:val="004B5296"/>
    <w:rsid w:val="004C003D"/>
    <w:rsid w:val="004C0DEB"/>
    <w:rsid w:val="004C1486"/>
    <w:rsid w:val="004C1A0C"/>
    <w:rsid w:val="004C20ED"/>
    <w:rsid w:val="004C3169"/>
    <w:rsid w:val="004C3805"/>
    <w:rsid w:val="004C3FB2"/>
    <w:rsid w:val="004C44E8"/>
    <w:rsid w:val="004C5A3A"/>
    <w:rsid w:val="004C5CC0"/>
    <w:rsid w:val="004C653A"/>
    <w:rsid w:val="004C6603"/>
    <w:rsid w:val="004D0776"/>
    <w:rsid w:val="004D27CB"/>
    <w:rsid w:val="004D2FAC"/>
    <w:rsid w:val="004D3A0E"/>
    <w:rsid w:val="004D48B2"/>
    <w:rsid w:val="004D4968"/>
    <w:rsid w:val="004D509D"/>
    <w:rsid w:val="004D60B4"/>
    <w:rsid w:val="004D61F4"/>
    <w:rsid w:val="004D6755"/>
    <w:rsid w:val="004D72F2"/>
    <w:rsid w:val="004D7733"/>
    <w:rsid w:val="004D77CE"/>
    <w:rsid w:val="004E0609"/>
    <w:rsid w:val="004E0F01"/>
    <w:rsid w:val="004E1F3D"/>
    <w:rsid w:val="004E48B2"/>
    <w:rsid w:val="004E779E"/>
    <w:rsid w:val="004F0D07"/>
    <w:rsid w:val="004F17FE"/>
    <w:rsid w:val="004F207B"/>
    <w:rsid w:val="004F2198"/>
    <w:rsid w:val="004F32A3"/>
    <w:rsid w:val="004F460C"/>
    <w:rsid w:val="004F4834"/>
    <w:rsid w:val="004F4B4A"/>
    <w:rsid w:val="004F5199"/>
    <w:rsid w:val="004F531D"/>
    <w:rsid w:val="004F5634"/>
    <w:rsid w:val="00500DE1"/>
    <w:rsid w:val="00502F05"/>
    <w:rsid w:val="00504380"/>
    <w:rsid w:val="005046F5"/>
    <w:rsid w:val="00504FC3"/>
    <w:rsid w:val="00505025"/>
    <w:rsid w:val="005068B3"/>
    <w:rsid w:val="00507D40"/>
    <w:rsid w:val="005104BE"/>
    <w:rsid w:val="005108F4"/>
    <w:rsid w:val="00510F7C"/>
    <w:rsid w:val="00511DCC"/>
    <w:rsid w:val="00512FF7"/>
    <w:rsid w:val="005147A0"/>
    <w:rsid w:val="005147C8"/>
    <w:rsid w:val="005152E0"/>
    <w:rsid w:val="00515AA5"/>
    <w:rsid w:val="005166BE"/>
    <w:rsid w:val="005169BA"/>
    <w:rsid w:val="00521DC4"/>
    <w:rsid w:val="00522D9F"/>
    <w:rsid w:val="005245A9"/>
    <w:rsid w:val="0052491B"/>
    <w:rsid w:val="00524A61"/>
    <w:rsid w:val="005251E7"/>
    <w:rsid w:val="00525657"/>
    <w:rsid w:val="00525DDF"/>
    <w:rsid w:val="005264C7"/>
    <w:rsid w:val="00526FA8"/>
    <w:rsid w:val="00527746"/>
    <w:rsid w:val="005310C5"/>
    <w:rsid w:val="0053220C"/>
    <w:rsid w:val="005328E6"/>
    <w:rsid w:val="0053384C"/>
    <w:rsid w:val="00535A31"/>
    <w:rsid w:val="00535D25"/>
    <w:rsid w:val="0053646D"/>
    <w:rsid w:val="0054024A"/>
    <w:rsid w:val="00540614"/>
    <w:rsid w:val="0054159E"/>
    <w:rsid w:val="00541F9B"/>
    <w:rsid w:val="00544C85"/>
    <w:rsid w:val="00544FE8"/>
    <w:rsid w:val="005500F2"/>
    <w:rsid w:val="005501CB"/>
    <w:rsid w:val="00550A6B"/>
    <w:rsid w:val="0055116D"/>
    <w:rsid w:val="00551A75"/>
    <w:rsid w:val="005524CF"/>
    <w:rsid w:val="00553005"/>
    <w:rsid w:val="00553BFE"/>
    <w:rsid w:val="005544BD"/>
    <w:rsid w:val="00554616"/>
    <w:rsid w:val="005554EF"/>
    <w:rsid w:val="00557493"/>
    <w:rsid w:val="0055764D"/>
    <w:rsid w:val="005611ED"/>
    <w:rsid w:val="00561218"/>
    <w:rsid w:val="00561394"/>
    <w:rsid w:val="00561AFB"/>
    <w:rsid w:val="00562487"/>
    <w:rsid w:val="00564454"/>
    <w:rsid w:val="00564823"/>
    <w:rsid w:val="00565154"/>
    <w:rsid w:val="00565E17"/>
    <w:rsid w:val="0056616E"/>
    <w:rsid w:val="005673DF"/>
    <w:rsid w:val="00570FCA"/>
    <w:rsid w:val="00572413"/>
    <w:rsid w:val="005745F7"/>
    <w:rsid w:val="00575175"/>
    <w:rsid w:val="00576138"/>
    <w:rsid w:val="005764BC"/>
    <w:rsid w:val="005768DA"/>
    <w:rsid w:val="00576F2F"/>
    <w:rsid w:val="00576FB4"/>
    <w:rsid w:val="005771D4"/>
    <w:rsid w:val="0057736C"/>
    <w:rsid w:val="0058031E"/>
    <w:rsid w:val="00580B16"/>
    <w:rsid w:val="005838DC"/>
    <w:rsid w:val="00583EBD"/>
    <w:rsid w:val="005842E9"/>
    <w:rsid w:val="00584BE1"/>
    <w:rsid w:val="00585113"/>
    <w:rsid w:val="005862A2"/>
    <w:rsid w:val="0058679E"/>
    <w:rsid w:val="00586BF4"/>
    <w:rsid w:val="00587089"/>
    <w:rsid w:val="0059107A"/>
    <w:rsid w:val="005913B3"/>
    <w:rsid w:val="0059151D"/>
    <w:rsid w:val="00591B99"/>
    <w:rsid w:val="00594911"/>
    <w:rsid w:val="00594CD5"/>
    <w:rsid w:val="00595000"/>
    <w:rsid w:val="00596058"/>
    <w:rsid w:val="0059612C"/>
    <w:rsid w:val="00596BE0"/>
    <w:rsid w:val="005A02AA"/>
    <w:rsid w:val="005A0954"/>
    <w:rsid w:val="005A09CC"/>
    <w:rsid w:val="005A1016"/>
    <w:rsid w:val="005A1371"/>
    <w:rsid w:val="005A1A4A"/>
    <w:rsid w:val="005A1D86"/>
    <w:rsid w:val="005A3D96"/>
    <w:rsid w:val="005A5BFB"/>
    <w:rsid w:val="005A61CC"/>
    <w:rsid w:val="005A7163"/>
    <w:rsid w:val="005A77C0"/>
    <w:rsid w:val="005B4EC3"/>
    <w:rsid w:val="005B5138"/>
    <w:rsid w:val="005B5FDC"/>
    <w:rsid w:val="005B6E72"/>
    <w:rsid w:val="005B6FDF"/>
    <w:rsid w:val="005B75CD"/>
    <w:rsid w:val="005B7BDE"/>
    <w:rsid w:val="005B7E6F"/>
    <w:rsid w:val="005C082A"/>
    <w:rsid w:val="005C1577"/>
    <w:rsid w:val="005C29D2"/>
    <w:rsid w:val="005C2F58"/>
    <w:rsid w:val="005C3061"/>
    <w:rsid w:val="005C3271"/>
    <w:rsid w:val="005C45CA"/>
    <w:rsid w:val="005C4B23"/>
    <w:rsid w:val="005C5419"/>
    <w:rsid w:val="005C5566"/>
    <w:rsid w:val="005D0EFC"/>
    <w:rsid w:val="005D2C70"/>
    <w:rsid w:val="005D3C01"/>
    <w:rsid w:val="005D416C"/>
    <w:rsid w:val="005D5072"/>
    <w:rsid w:val="005D5C7D"/>
    <w:rsid w:val="005D6039"/>
    <w:rsid w:val="005D693F"/>
    <w:rsid w:val="005D6C39"/>
    <w:rsid w:val="005D761F"/>
    <w:rsid w:val="005D7C8B"/>
    <w:rsid w:val="005E146A"/>
    <w:rsid w:val="005E36F5"/>
    <w:rsid w:val="005E3C29"/>
    <w:rsid w:val="005E45AC"/>
    <w:rsid w:val="005E5361"/>
    <w:rsid w:val="005E60AA"/>
    <w:rsid w:val="005E7DDB"/>
    <w:rsid w:val="005F0A3B"/>
    <w:rsid w:val="005F2984"/>
    <w:rsid w:val="005F3238"/>
    <w:rsid w:val="005F33C7"/>
    <w:rsid w:val="005F3EC9"/>
    <w:rsid w:val="005F477A"/>
    <w:rsid w:val="005F6EED"/>
    <w:rsid w:val="005F7216"/>
    <w:rsid w:val="00600A96"/>
    <w:rsid w:val="0060289E"/>
    <w:rsid w:val="0060298F"/>
    <w:rsid w:val="00603559"/>
    <w:rsid w:val="0060585A"/>
    <w:rsid w:val="00605F24"/>
    <w:rsid w:val="00610A51"/>
    <w:rsid w:val="006123AA"/>
    <w:rsid w:val="006123F0"/>
    <w:rsid w:val="00612759"/>
    <w:rsid w:val="0061308F"/>
    <w:rsid w:val="0061348F"/>
    <w:rsid w:val="006135F5"/>
    <w:rsid w:val="00613B05"/>
    <w:rsid w:val="0061406B"/>
    <w:rsid w:val="00616EA2"/>
    <w:rsid w:val="00620420"/>
    <w:rsid w:val="00620CE2"/>
    <w:rsid w:val="00621854"/>
    <w:rsid w:val="006218DC"/>
    <w:rsid w:val="00624401"/>
    <w:rsid w:val="00624F55"/>
    <w:rsid w:val="00626FB5"/>
    <w:rsid w:val="00630DB7"/>
    <w:rsid w:val="00631AD8"/>
    <w:rsid w:val="00632338"/>
    <w:rsid w:val="00632706"/>
    <w:rsid w:val="00632CDC"/>
    <w:rsid w:val="00633456"/>
    <w:rsid w:val="00633EC6"/>
    <w:rsid w:val="00634185"/>
    <w:rsid w:val="00635884"/>
    <w:rsid w:val="00636D9A"/>
    <w:rsid w:val="00640B62"/>
    <w:rsid w:val="00640CE1"/>
    <w:rsid w:val="006412BF"/>
    <w:rsid w:val="00642927"/>
    <w:rsid w:val="0064385C"/>
    <w:rsid w:val="00643EFC"/>
    <w:rsid w:val="00645793"/>
    <w:rsid w:val="006473EC"/>
    <w:rsid w:val="00647487"/>
    <w:rsid w:val="00647A39"/>
    <w:rsid w:val="00650569"/>
    <w:rsid w:val="006508E4"/>
    <w:rsid w:val="00651627"/>
    <w:rsid w:val="0065178B"/>
    <w:rsid w:val="006522AF"/>
    <w:rsid w:val="0065438C"/>
    <w:rsid w:val="006543E1"/>
    <w:rsid w:val="00654BC6"/>
    <w:rsid w:val="0065544A"/>
    <w:rsid w:val="006564A4"/>
    <w:rsid w:val="006572DB"/>
    <w:rsid w:val="00660DAB"/>
    <w:rsid w:val="00660F1C"/>
    <w:rsid w:val="00661B5D"/>
    <w:rsid w:val="0066386B"/>
    <w:rsid w:val="0066403C"/>
    <w:rsid w:val="00666A01"/>
    <w:rsid w:val="00667480"/>
    <w:rsid w:val="006705A3"/>
    <w:rsid w:val="00670993"/>
    <w:rsid w:val="00670A33"/>
    <w:rsid w:val="006716C8"/>
    <w:rsid w:val="006717C4"/>
    <w:rsid w:val="006719E3"/>
    <w:rsid w:val="00671CB1"/>
    <w:rsid w:val="0067215D"/>
    <w:rsid w:val="00672CCC"/>
    <w:rsid w:val="00673111"/>
    <w:rsid w:val="0067319E"/>
    <w:rsid w:val="0067355C"/>
    <w:rsid w:val="00673EFE"/>
    <w:rsid w:val="0067406C"/>
    <w:rsid w:val="00674E50"/>
    <w:rsid w:val="006761BA"/>
    <w:rsid w:val="00677C0F"/>
    <w:rsid w:val="006800ED"/>
    <w:rsid w:val="0068033A"/>
    <w:rsid w:val="00680EA7"/>
    <w:rsid w:val="00681839"/>
    <w:rsid w:val="0068190C"/>
    <w:rsid w:val="00681A2C"/>
    <w:rsid w:val="0068282D"/>
    <w:rsid w:val="00682B1A"/>
    <w:rsid w:val="00683541"/>
    <w:rsid w:val="0068365D"/>
    <w:rsid w:val="00683832"/>
    <w:rsid w:val="00683C25"/>
    <w:rsid w:val="006842F3"/>
    <w:rsid w:val="00684A8D"/>
    <w:rsid w:val="0068576C"/>
    <w:rsid w:val="0068608D"/>
    <w:rsid w:val="00687735"/>
    <w:rsid w:val="0069016E"/>
    <w:rsid w:val="00690786"/>
    <w:rsid w:val="00690822"/>
    <w:rsid w:val="00690823"/>
    <w:rsid w:val="00690B6D"/>
    <w:rsid w:val="00690EAA"/>
    <w:rsid w:val="006926F6"/>
    <w:rsid w:val="00693025"/>
    <w:rsid w:val="00693196"/>
    <w:rsid w:val="00693F46"/>
    <w:rsid w:val="00694BFF"/>
    <w:rsid w:val="00694C42"/>
    <w:rsid w:val="00696550"/>
    <w:rsid w:val="006A0089"/>
    <w:rsid w:val="006A0614"/>
    <w:rsid w:val="006A0A0D"/>
    <w:rsid w:val="006A0F80"/>
    <w:rsid w:val="006A110B"/>
    <w:rsid w:val="006A15D3"/>
    <w:rsid w:val="006A1719"/>
    <w:rsid w:val="006A37B9"/>
    <w:rsid w:val="006A3827"/>
    <w:rsid w:val="006A3C8C"/>
    <w:rsid w:val="006A5976"/>
    <w:rsid w:val="006A5DB1"/>
    <w:rsid w:val="006A6611"/>
    <w:rsid w:val="006A7C27"/>
    <w:rsid w:val="006A7ED8"/>
    <w:rsid w:val="006B0774"/>
    <w:rsid w:val="006B0953"/>
    <w:rsid w:val="006B10AF"/>
    <w:rsid w:val="006B18EB"/>
    <w:rsid w:val="006B2320"/>
    <w:rsid w:val="006B291F"/>
    <w:rsid w:val="006B2CB7"/>
    <w:rsid w:val="006B2E60"/>
    <w:rsid w:val="006B45FC"/>
    <w:rsid w:val="006B49E2"/>
    <w:rsid w:val="006B4FE1"/>
    <w:rsid w:val="006B68A6"/>
    <w:rsid w:val="006B69BE"/>
    <w:rsid w:val="006B7008"/>
    <w:rsid w:val="006C0096"/>
    <w:rsid w:val="006C0163"/>
    <w:rsid w:val="006C09D9"/>
    <w:rsid w:val="006C0C44"/>
    <w:rsid w:val="006C1932"/>
    <w:rsid w:val="006C2066"/>
    <w:rsid w:val="006C408E"/>
    <w:rsid w:val="006C4940"/>
    <w:rsid w:val="006C5919"/>
    <w:rsid w:val="006C5A5F"/>
    <w:rsid w:val="006C61C3"/>
    <w:rsid w:val="006C6C68"/>
    <w:rsid w:val="006C7701"/>
    <w:rsid w:val="006D000D"/>
    <w:rsid w:val="006D01B2"/>
    <w:rsid w:val="006D07EF"/>
    <w:rsid w:val="006D09AC"/>
    <w:rsid w:val="006D1187"/>
    <w:rsid w:val="006D17C1"/>
    <w:rsid w:val="006D2FE7"/>
    <w:rsid w:val="006D35BD"/>
    <w:rsid w:val="006D4392"/>
    <w:rsid w:val="006D5817"/>
    <w:rsid w:val="006D5FBE"/>
    <w:rsid w:val="006D644F"/>
    <w:rsid w:val="006D65F0"/>
    <w:rsid w:val="006D6CDB"/>
    <w:rsid w:val="006D768C"/>
    <w:rsid w:val="006E00C3"/>
    <w:rsid w:val="006E0360"/>
    <w:rsid w:val="006E1A6D"/>
    <w:rsid w:val="006E1F3F"/>
    <w:rsid w:val="006E2171"/>
    <w:rsid w:val="006E2B7F"/>
    <w:rsid w:val="006E2CEB"/>
    <w:rsid w:val="006E309C"/>
    <w:rsid w:val="006E4FDB"/>
    <w:rsid w:val="006E7028"/>
    <w:rsid w:val="006E7564"/>
    <w:rsid w:val="006E7903"/>
    <w:rsid w:val="006F02F4"/>
    <w:rsid w:val="006F04D6"/>
    <w:rsid w:val="006F07C9"/>
    <w:rsid w:val="006F1838"/>
    <w:rsid w:val="006F1F6F"/>
    <w:rsid w:val="006F37FF"/>
    <w:rsid w:val="006F40FD"/>
    <w:rsid w:val="006F567D"/>
    <w:rsid w:val="006F6BC6"/>
    <w:rsid w:val="00700E5A"/>
    <w:rsid w:val="00701051"/>
    <w:rsid w:val="0070119B"/>
    <w:rsid w:val="007025C6"/>
    <w:rsid w:val="007039B8"/>
    <w:rsid w:val="007044AC"/>
    <w:rsid w:val="00704969"/>
    <w:rsid w:val="00704FC3"/>
    <w:rsid w:val="007051D1"/>
    <w:rsid w:val="00706336"/>
    <w:rsid w:val="00710003"/>
    <w:rsid w:val="00710A1A"/>
    <w:rsid w:val="00711B94"/>
    <w:rsid w:val="00712DD4"/>
    <w:rsid w:val="007142CF"/>
    <w:rsid w:val="00714EA9"/>
    <w:rsid w:val="0071542D"/>
    <w:rsid w:val="007168EF"/>
    <w:rsid w:val="00716D46"/>
    <w:rsid w:val="00720641"/>
    <w:rsid w:val="0072111B"/>
    <w:rsid w:val="00721DD0"/>
    <w:rsid w:val="007220D3"/>
    <w:rsid w:val="00722597"/>
    <w:rsid w:val="007228D3"/>
    <w:rsid w:val="00723A5B"/>
    <w:rsid w:val="007240F5"/>
    <w:rsid w:val="00724A71"/>
    <w:rsid w:val="0072551D"/>
    <w:rsid w:val="007269F4"/>
    <w:rsid w:val="00727AB8"/>
    <w:rsid w:val="007307F8"/>
    <w:rsid w:val="00730812"/>
    <w:rsid w:val="00730C93"/>
    <w:rsid w:val="00731086"/>
    <w:rsid w:val="007313EE"/>
    <w:rsid w:val="00731CEC"/>
    <w:rsid w:val="00732DAD"/>
    <w:rsid w:val="00733DB7"/>
    <w:rsid w:val="007341ED"/>
    <w:rsid w:val="00734B9D"/>
    <w:rsid w:val="00735AA8"/>
    <w:rsid w:val="0074030B"/>
    <w:rsid w:val="00740E47"/>
    <w:rsid w:val="00740FC6"/>
    <w:rsid w:val="007415FA"/>
    <w:rsid w:val="00741A57"/>
    <w:rsid w:val="007432AD"/>
    <w:rsid w:val="00744B53"/>
    <w:rsid w:val="00745803"/>
    <w:rsid w:val="00746AAA"/>
    <w:rsid w:val="00746D93"/>
    <w:rsid w:val="007474B0"/>
    <w:rsid w:val="0074775F"/>
    <w:rsid w:val="00750299"/>
    <w:rsid w:val="00753E54"/>
    <w:rsid w:val="00754B34"/>
    <w:rsid w:val="00754DDF"/>
    <w:rsid w:val="0075534E"/>
    <w:rsid w:val="007564B2"/>
    <w:rsid w:val="0075662F"/>
    <w:rsid w:val="00756704"/>
    <w:rsid w:val="00757126"/>
    <w:rsid w:val="007614B0"/>
    <w:rsid w:val="0076180E"/>
    <w:rsid w:val="0076272E"/>
    <w:rsid w:val="0076408A"/>
    <w:rsid w:val="007668D9"/>
    <w:rsid w:val="00766CC9"/>
    <w:rsid w:val="00770BDC"/>
    <w:rsid w:val="00771726"/>
    <w:rsid w:val="00772B11"/>
    <w:rsid w:val="007734DE"/>
    <w:rsid w:val="00773574"/>
    <w:rsid w:val="007747F4"/>
    <w:rsid w:val="00775B9A"/>
    <w:rsid w:val="00776057"/>
    <w:rsid w:val="00777D0E"/>
    <w:rsid w:val="00777D31"/>
    <w:rsid w:val="00777D5C"/>
    <w:rsid w:val="00781981"/>
    <w:rsid w:val="0078200B"/>
    <w:rsid w:val="00782297"/>
    <w:rsid w:val="00782684"/>
    <w:rsid w:val="00782FB7"/>
    <w:rsid w:val="007830EA"/>
    <w:rsid w:val="00783B29"/>
    <w:rsid w:val="0078457E"/>
    <w:rsid w:val="00784DA9"/>
    <w:rsid w:val="00785087"/>
    <w:rsid w:val="007851CB"/>
    <w:rsid w:val="00785918"/>
    <w:rsid w:val="00785BA5"/>
    <w:rsid w:val="00785F56"/>
    <w:rsid w:val="00786029"/>
    <w:rsid w:val="00790312"/>
    <w:rsid w:val="00790582"/>
    <w:rsid w:val="00792312"/>
    <w:rsid w:val="007941ED"/>
    <w:rsid w:val="00794F5C"/>
    <w:rsid w:val="007951B1"/>
    <w:rsid w:val="00795595"/>
    <w:rsid w:val="00795FF9"/>
    <w:rsid w:val="00796155"/>
    <w:rsid w:val="00796169"/>
    <w:rsid w:val="0079629A"/>
    <w:rsid w:val="007962CC"/>
    <w:rsid w:val="007963FE"/>
    <w:rsid w:val="00796651"/>
    <w:rsid w:val="00796735"/>
    <w:rsid w:val="007A1092"/>
    <w:rsid w:val="007A225E"/>
    <w:rsid w:val="007A255D"/>
    <w:rsid w:val="007A2D5D"/>
    <w:rsid w:val="007A37BA"/>
    <w:rsid w:val="007A3B89"/>
    <w:rsid w:val="007A49D9"/>
    <w:rsid w:val="007A4CCA"/>
    <w:rsid w:val="007A5EC8"/>
    <w:rsid w:val="007A6061"/>
    <w:rsid w:val="007A7724"/>
    <w:rsid w:val="007A79B7"/>
    <w:rsid w:val="007A79F2"/>
    <w:rsid w:val="007B058A"/>
    <w:rsid w:val="007B15A9"/>
    <w:rsid w:val="007B1902"/>
    <w:rsid w:val="007B1A6D"/>
    <w:rsid w:val="007B254F"/>
    <w:rsid w:val="007B2B00"/>
    <w:rsid w:val="007B30F4"/>
    <w:rsid w:val="007B367C"/>
    <w:rsid w:val="007B53FE"/>
    <w:rsid w:val="007B58B2"/>
    <w:rsid w:val="007B5B1F"/>
    <w:rsid w:val="007B5FE6"/>
    <w:rsid w:val="007B6A43"/>
    <w:rsid w:val="007B6E69"/>
    <w:rsid w:val="007C02F7"/>
    <w:rsid w:val="007C0C2F"/>
    <w:rsid w:val="007C1450"/>
    <w:rsid w:val="007C19F4"/>
    <w:rsid w:val="007C2D57"/>
    <w:rsid w:val="007C3707"/>
    <w:rsid w:val="007C40F6"/>
    <w:rsid w:val="007C48E5"/>
    <w:rsid w:val="007C5B4E"/>
    <w:rsid w:val="007C6EB7"/>
    <w:rsid w:val="007C7859"/>
    <w:rsid w:val="007C7B1C"/>
    <w:rsid w:val="007D0497"/>
    <w:rsid w:val="007D15F3"/>
    <w:rsid w:val="007D184D"/>
    <w:rsid w:val="007D2861"/>
    <w:rsid w:val="007D2B5F"/>
    <w:rsid w:val="007D2CA4"/>
    <w:rsid w:val="007D3EBC"/>
    <w:rsid w:val="007D45C2"/>
    <w:rsid w:val="007D4A39"/>
    <w:rsid w:val="007D55A9"/>
    <w:rsid w:val="007D612B"/>
    <w:rsid w:val="007E03EF"/>
    <w:rsid w:val="007E04EB"/>
    <w:rsid w:val="007E05BE"/>
    <w:rsid w:val="007E0A97"/>
    <w:rsid w:val="007E36D8"/>
    <w:rsid w:val="007E477C"/>
    <w:rsid w:val="007E491F"/>
    <w:rsid w:val="007E6519"/>
    <w:rsid w:val="007F1F0C"/>
    <w:rsid w:val="007F2309"/>
    <w:rsid w:val="007F3AE5"/>
    <w:rsid w:val="007F3B81"/>
    <w:rsid w:val="007F3F15"/>
    <w:rsid w:val="007F4D71"/>
    <w:rsid w:val="007F50BB"/>
    <w:rsid w:val="007F7200"/>
    <w:rsid w:val="007F7E0A"/>
    <w:rsid w:val="00800909"/>
    <w:rsid w:val="00800963"/>
    <w:rsid w:val="00800C6C"/>
    <w:rsid w:val="008015C0"/>
    <w:rsid w:val="00801CC7"/>
    <w:rsid w:val="0080303B"/>
    <w:rsid w:val="00803414"/>
    <w:rsid w:val="00803720"/>
    <w:rsid w:val="008047BA"/>
    <w:rsid w:val="00807A5A"/>
    <w:rsid w:val="00811AA9"/>
    <w:rsid w:val="00811B78"/>
    <w:rsid w:val="00811E0F"/>
    <w:rsid w:val="00811F3B"/>
    <w:rsid w:val="00812748"/>
    <w:rsid w:val="00812D19"/>
    <w:rsid w:val="00812DC2"/>
    <w:rsid w:val="0081307D"/>
    <w:rsid w:val="00813385"/>
    <w:rsid w:val="00813C9B"/>
    <w:rsid w:val="00814C33"/>
    <w:rsid w:val="0081672E"/>
    <w:rsid w:val="00816751"/>
    <w:rsid w:val="008169A7"/>
    <w:rsid w:val="00816C41"/>
    <w:rsid w:val="0082129F"/>
    <w:rsid w:val="0082160C"/>
    <w:rsid w:val="008217CF"/>
    <w:rsid w:val="00822A32"/>
    <w:rsid w:val="00822BC0"/>
    <w:rsid w:val="00822E54"/>
    <w:rsid w:val="00823F97"/>
    <w:rsid w:val="008259C8"/>
    <w:rsid w:val="00825DAC"/>
    <w:rsid w:val="008267CE"/>
    <w:rsid w:val="00827845"/>
    <w:rsid w:val="00831E9C"/>
    <w:rsid w:val="00832B72"/>
    <w:rsid w:val="00834AA8"/>
    <w:rsid w:val="008354C8"/>
    <w:rsid w:val="008417C3"/>
    <w:rsid w:val="00842106"/>
    <w:rsid w:val="008424DE"/>
    <w:rsid w:val="00843262"/>
    <w:rsid w:val="00843A51"/>
    <w:rsid w:val="008449BC"/>
    <w:rsid w:val="0084500E"/>
    <w:rsid w:val="00845165"/>
    <w:rsid w:val="0084522C"/>
    <w:rsid w:val="00847C4E"/>
    <w:rsid w:val="008509EF"/>
    <w:rsid w:val="00850EC5"/>
    <w:rsid w:val="00850FDA"/>
    <w:rsid w:val="00851C02"/>
    <w:rsid w:val="008526AB"/>
    <w:rsid w:val="008529CC"/>
    <w:rsid w:val="00852FB8"/>
    <w:rsid w:val="008535BC"/>
    <w:rsid w:val="008538B1"/>
    <w:rsid w:val="00853F00"/>
    <w:rsid w:val="00854484"/>
    <w:rsid w:val="008548D2"/>
    <w:rsid w:val="00854B86"/>
    <w:rsid w:val="0085607C"/>
    <w:rsid w:val="0085624B"/>
    <w:rsid w:val="0085662A"/>
    <w:rsid w:val="00857E8B"/>
    <w:rsid w:val="0086028A"/>
    <w:rsid w:val="00860582"/>
    <w:rsid w:val="00862275"/>
    <w:rsid w:val="00863A00"/>
    <w:rsid w:val="00864CB0"/>
    <w:rsid w:val="0086578E"/>
    <w:rsid w:val="0086580C"/>
    <w:rsid w:val="00865BFE"/>
    <w:rsid w:val="0086609F"/>
    <w:rsid w:val="008678F5"/>
    <w:rsid w:val="008705A6"/>
    <w:rsid w:val="00870DEA"/>
    <w:rsid w:val="00872095"/>
    <w:rsid w:val="00873130"/>
    <w:rsid w:val="0087424B"/>
    <w:rsid w:val="00874D63"/>
    <w:rsid w:val="0087570B"/>
    <w:rsid w:val="0087638D"/>
    <w:rsid w:val="00876792"/>
    <w:rsid w:val="00876F32"/>
    <w:rsid w:val="00877305"/>
    <w:rsid w:val="00877935"/>
    <w:rsid w:val="008804E2"/>
    <w:rsid w:val="00882779"/>
    <w:rsid w:val="00882A8E"/>
    <w:rsid w:val="00883A58"/>
    <w:rsid w:val="00883F81"/>
    <w:rsid w:val="00884966"/>
    <w:rsid w:val="00885AC9"/>
    <w:rsid w:val="00887949"/>
    <w:rsid w:val="00887B73"/>
    <w:rsid w:val="00887D59"/>
    <w:rsid w:val="0089031E"/>
    <w:rsid w:val="0089063D"/>
    <w:rsid w:val="00890E4C"/>
    <w:rsid w:val="00891642"/>
    <w:rsid w:val="00892A2B"/>
    <w:rsid w:val="0089301A"/>
    <w:rsid w:val="0089491D"/>
    <w:rsid w:val="008952F7"/>
    <w:rsid w:val="00895372"/>
    <w:rsid w:val="0089679C"/>
    <w:rsid w:val="0089708C"/>
    <w:rsid w:val="00897737"/>
    <w:rsid w:val="008A076B"/>
    <w:rsid w:val="008A1B7C"/>
    <w:rsid w:val="008A2B6D"/>
    <w:rsid w:val="008A34A9"/>
    <w:rsid w:val="008A45B7"/>
    <w:rsid w:val="008A4B0B"/>
    <w:rsid w:val="008A4B9B"/>
    <w:rsid w:val="008A5BFA"/>
    <w:rsid w:val="008A5E01"/>
    <w:rsid w:val="008A5E19"/>
    <w:rsid w:val="008A620E"/>
    <w:rsid w:val="008A75C6"/>
    <w:rsid w:val="008B05B6"/>
    <w:rsid w:val="008B0C45"/>
    <w:rsid w:val="008B1E33"/>
    <w:rsid w:val="008B2F5A"/>
    <w:rsid w:val="008B35F7"/>
    <w:rsid w:val="008B370D"/>
    <w:rsid w:val="008B3F47"/>
    <w:rsid w:val="008B5597"/>
    <w:rsid w:val="008B5B66"/>
    <w:rsid w:val="008B6158"/>
    <w:rsid w:val="008B67FB"/>
    <w:rsid w:val="008C0398"/>
    <w:rsid w:val="008C0517"/>
    <w:rsid w:val="008C220B"/>
    <w:rsid w:val="008C2A94"/>
    <w:rsid w:val="008C4E43"/>
    <w:rsid w:val="008C4EFE"/>
    <w:rsid w:val="008C4FAF"/>
    <w:rsid w:val="008C5BC6"/>
    <w:rsid w:val="008C62D2"/>
    <w:rsid w:val="008C684A"/>
    <w:rsid w:val="008C6AFE"/>
    <w:rsid w:val="008C71CB"/>
    <w:rsid w:val="008C77EC"/>
    <w:rsid w:val="008C7BB9"/>
    <w:rsid w:val="008D0894"/>
    <w:rsid w:val="008D205C"/>
    <w:rsid w:val="008D338D"/>
    <w:rsid w:val="008D4129"/>
    <w:rsid w:val="008D443D"/>
    <w:rsid w:val="008D48AE"/>
    <w:rsid w:val="008D48B8"/>
    <w:rsid w:val="008D4D8B"/>
    <w:rsid w:val="008D546A"/>
    <w:rsid w:val="008D5A71"/>
    <w:rsid w:val="008D6549"/>
    <w:rsid w:val="008D6A3A"/>
    <w:rsid w:val="008D6A5F"/>
    <w:rsid w:val="008D77FC"/>
    <w:rsid w:val="008D7881"/>
    <w:rsid w:val="008E00AA"/>
    <w:rsid w:val="008E00D4"/>
    <w:rsid w:val="008E035A"/>
    <w:rsid w:val="008E04A1"/>
    <w:rsid w:val="008E0744"/>
    <w:rsid w:val="008E07D7"/>
    <w:rsid w:val="008E1223"/>
    <w:rsid w:val="008E15EC"/>
    <w:rsid w:val="008E1AD4"/>
    <w:rsid w:val="008E2ADD"/>
    <w:rsid w:val="008E2BBE"/>
    <w:rsid w:val="008E2F68"/>
    <w:rsid w:val="008E4EBD"/>
    <w:rsid w:val="008E50CC"/>
    <w:rsid w:val="008E50E2"/>
    <w:rsid w:val="008E57B4"/>
    <w:rsid w:val="008E6384"/>
    <w:rsid w:val="008E65A8"/>
    <w:rsid w:val="008E6E60"/>
    <w:rsid w:val="008E72EE"/>
    <w:rsid w:val="008E7E5F"/>
    <w:rsid w:val="008F124E"/>
    <w:rsid w:val="008F3023"/>
    <w:rsid w:val="008F39A9"/>
    <w:rsid w:val="008F3F07"/>
    <w:rsid w:val="008F3FD2"/>
    <w:rsid w:val="008F5BA7"/>
    <w:rsid w:val="008F69BB"/>
    <w:rsid w:val="008F6AEA"/>
    <w:rsid w:val="00900AC6"/>
    <w:rsid w:val="00901B5B"/>
    <w:rsid w:val="0090211B"/>
    <w:rsid w:val="00902C20"/>
    <w:rsid w:val="009032A6"/>
    <w:rsid w:val="009032DD"/>
    <w:rsid w:val="00903376"/>
    <w:rsid w:val="00903AC4"/>
    <w:rsid w:val="00903BFB"/>
    <w:rsid w:val="00903E21"/>
    <w:rsid w:val="009049EE"/>
    <w:rsid w:val="00905ECC"/>
    <w:rsid w:val="00907339"/>
    <w:rsid w:val="009079F4"/>
    <w:rsid w:val="009102D9"/>
    <w:rsid w:val="0091104F"/>
    <w:rsid w:val="009118F2"/>
    <w:rsid w:val="00911F7C"/>
    <w:rsid w:val="00913606"/>
    <w:rsid w:val="00914B8B"/>
    <w:rsid w:val="00915F0B"/>
    <w:rsid w:val="00917ED6"/>
    <w:rsid w:val="00922092"/>
    <w:rsid w:val="0092262E"/>
    <w:rsid w:val="00922F01"/>
    <w:rsid w:val="0092428D"/>
    <w:rsid w:val="00924812"/>
    <w:rsid w:val="00924A9E"/>
    <w:rsid w:val="00925DA7"/>
    <w:rsid w:val="009262F3"/>
    <w:rsid w:val="00930622"/>
    <w:rsid w:val="00931396"/>
    <w:rsid w:val="009320E0"/>
    <w:rsid w:val="0093264C"/>
    <w:rsid w:val="00933198"/>
    <w:rsid w:val="00933903"/>
    <w:rsid w:val="00933BD6"/>
    <w:rsid w:val="009365B5"/>
    <w:rsid w:val="009374E2"/>
    <w:rsid w:val="00940A5A"/>
    <w:rsid w:val="0094135B"/>
    <w:rsid w:val="00941A3E"/>
    <w:rsid w:val="0094219A"/>
    <w:rsid w:val="009426CF"/>
    <w:rsid w:val="0094469F"/>
    <w:rsid w:val="00945375"/>
    <w:rsid w:val="009454F2"/>
    <w:rsid w:val="00946A60"/>
    <w:rsid w:val="009477A8"/>
    <w:rsid w:val="00950B52"/>
    <w:rsid w:val="0095113E"/>
    <w:rsid w:val="00951434"/>
    <w:rsid w:val="00951614"/>
    <w:rsid w:val="009519CC"/>
    <w:rsid w:val="00952B06"/>
    <w:rsid w:val="00952B97"/>
    <w:rsid w:val="00952D70"/>
    <w:rsid w:val="009540BC"/>
    <w:rsid w:val="00954439"/>
    <w:rsid w:val="009547B1"/>
    <w:rsid w:val="009565B3"/>
    <w:rsid w:val="00957FA3"/>
    <w:rsid w:val="00961BCB"/>
    <w:rsid w:val="009623FB"/>
    <w:rsid w:val="009625B8"/>
    <w:rsid w:val="00964607"/>
    <w:rsid w:val="00966007"/>
    <w:rsid w:val="00966492"/>
    <w:rsid w:val="00966A7F"/>
    <w:rsid w:val="00967CEB"/>
    <w:rsid w:val="00967EC1"/>
    <w:rsid w:val="0097044E"/>
    <w:rsid w:val="009725D2"/>
    <w:rsid w:val="009742BE"/>
    <w:rsid w:val="00975B09"/>
    <w:rsid w:val="00976161"/>
    <w:rsid w:val="00976795"/>
    <w:rsid w:val="00976956"/>
    <w:rsid w:val="0097782D"/>
    <w:rsid w:val="00977D95"/>
    <w:rsid w:val="00980A86"/>
    <w:rsid w:val="00981672"/>
    <w:rsid w:val="00981C7A"/>
    <w:rsid w:val="00983396"/>
    <w:rsid w:val="00984401"/>
    <w:rsid w:val="009864AB"/>
    <w:rsid w:val="0099139E"/>
    <w:rsid w:val="0099255F"/>
    <w:rsid w:val="00994070"/>
    <w:rsid w:val="00995C34"/>
    <w:rsid w:val="00995D83"/>
    <w:rsid w:val="00995EA0"/>
    <w:rsid w:val="0099624F"/>
    <w:rsid w:val="0099786C"/>
    <w:rsid w:val="009A0215"/>
    <w:rsid w:val="009A1DC3"/>
    <w:rsid w:val="009A2F65"/>
    <w:rsid w:val="009A2F87"/>
    <w:rsid w:val="009A3298"/>
    <w:rsid w:val="009A56C9"/>
    <w:rsid w:val="009A7F27"/>
    <w:rsid w:val="009B00F3"/>
    <w:rsid w:val="009B0EC0"/>
    <w:rsid w:val="009B2A69"/>
    <w:rsid w:val="009B38F5"/>
    <w:rsid w:val="009B3E13"/>
    <w:rsid w:val="009B4CAB"/>
    <w:rsid w:val="009B5292"/>
    <w:rsid w:val="009B5AF3"/>
    <w:rsid w:val="009B7AB2"/>
    <w:rsid w:val="009B7C2D"/>
    <w:rsid w:val="009C0292"/>
    <w:rsid w:val="009C0882"/>
    <w:rsid w:val="009C14EA"/>
    <w:rsid w:val="009C17A4"/>
    <w:rsid w:val="009C3539"/>
    <w:rsid w:val="009C354F"/>
    <w:rsid w:val="009C3668"/>
    <w:rsid w:val="009C3971"/>
    <w:rsid w:val="009C47F6"/>
    <w:rsid w:val="009C4E64"/>
    <w:rsid w:val="009C55DA"/>
    <w:rsid w:val="009D086F"/>
    <w:rsid w:val="009D1839"/>
    <w:rsid w:val="009D1D87"/>
    <w:rsid w:val="009D3393"/>
    <w:rsid w:val="009D3405"/>
    <w:rsid w:val="009D34F5"/>
    <w:rsid w:val="009D3CC5"/>
    <w:rsid w:val="009D463C"/>
    <w:rsid w:val="009D537D"/>
    <w:rsid w:val="009D653B"/>
    <w:rsid w:val="009D6A12"/>
    <w:rsid w:val="009D7760"/>
    <w:rsid w:val="009D7800"/>
    <w:rsid w:val="009E0CCF"/>
    <w:rsid w:val="009E29AC"/>
    <w:rsid w:val="009E2AAB"/>
    <w:rsid w:val="009E4E4F"/>
    <w:rsid w:val="009E591C"/>
    <w:rsid w:val="009E5EF5"/>
    <w:rsid w:val="009E700F"/>
    <w:rsid w:val="009E7CB3"/>
    <w:rsid w:val="009F032E"/>
    <w:rsid w:val="009F2341"/>
    <w:rsid w:val="009F2379"/>
    <w:rsid w:val="009F2ABD"/>
    <w:rsid w:val="009F3560"/>
    <w:rsid w:val="009F3E83"/>
    <w:rsid w:val="009F4844"/>
    <w:rsid w:val="009F5F63"/>
    <w:rsid w:val="009F6007"/>
    <w:rsid w:val="00A000B5"/>
    <w:rsid w:val="00A00656"/>
    <w:rsid w:val="00A009F3"/>
    <w:rsid w:val="00A00C85"/>
    <w:rsid w:val="00A03B34"/>
    <w:rsid w:val="00A061BF"/>
    <w:rsid w:val="00A07B9C"/>
    <w:rsid w:val="00A121F6"/>
    <w:rsid w:val="00A12934"/>
    <w:rsid w:val="00A12FCF"/>
    <w:rsid w:val="00A145CC"/>
    <w:rsid w:val="00A1469E"/>
    <w:rsid w:val="00A15861"/>
    <w:rsid w:val="00A15B57"/>
    <w:rsid w:val="00A15D23"/>
    <w:rsid w:val="00A1663A"/>
    <w:rsid w:val="00A1710D"/>
    <w:rsid w:val="00A17701"/>
    <w:rsid w:val="00A17E57"/>
    <w:rsid w:val="00A209C7"/>
    <w:rsid w:val="00A20AE3"/>
    <w:rsid w:val="00A23931"/>
    <w:rsid w:val="00A23E6E"/>
    <w:rsid w:val="00A25D57"/>
    <w:rsid w:val="00A2622C"/>
    <w:rsid w:val="00A262B0"/>
    <w:rsid w:val="00A2670F"/>
    <w:rsid w:val="00A27BF1"/>
    <w:rsid w:val="00A30D5E"/>
    <w:rsid w:val="00A31790"/>
    <w:rsid w:val="00A32868"/>
    <w:rsid w:val="00A32DF2"/>
    <w:rsid w:val="00A3310C"/>
    <w:rsid w:val="00A336F9"/>
    <w:rsid w:val="00A3445C"/>
    <w:rsid w:val="00A3534F"/>
    <w:rsid w:val="00A40DA1"/>
    <w:rsid w:val="00A41E58"/>
    <w:rsid w:val="00A4290F"/>
    <w:rsid w:val="00A42A5D"/>
    <w:rsid w:val="00A432FF"/>
    <w:rsid w:val="00A434D3"/>
    <w:rsid w:val="00A43781"/>
    <w:rsid w:val="00A43BB9"/>
    <w:rsid w:val="00A43DB1"/>
    <w:rsid w:val="00A44436"/>
    <w:rsid w:val="00A44517"/>
    <w:rsid w:val="00A45DDE"/>
    <w:rsid w:val="00A461A6"/>
    <w:rsid w:val="00A4748F"/>
    <w:rsid w:val="00A474B5"/>
    <w:rsid w:val="00A50ED9"/>
    <w:rsid w:val="00A525E3"/>
    <w:rsid w:val="00A52697"/>
    <w:rsid w:val="00A53334"/>
    <w:rsid w:val="00A53A30"/>
    <w:rsid w:val="00A53B71"/>
    <w:rsid w:val="00A53E33"/>
    <w:rsid w:val="00A5417A"/>
    <w:rsid w:val="00A542F2"/>
    <w:rsid w:val="00A55772"/>
    <w:rsid w:val="00A563D5"/>
    <w:rsid w:val="00A56431"/>
    <w:rsid w:val="00A57CB4"/>
    <w:rsid w:val="00A57DC9"/>
    <w:rsid w:val="00A60094"/>
    <w:rsid w:val="00A60784"/>
    <w:rsid w:val="00A608EE"/>
    <w:rsid w:val="00A60C26"/>
    <w:rsid w:val="00A60F7E"/>
    <w:rsid w:val="00A613F6"/>
    <w:rsid w:val="00A61DAB"/>
    <w:rsid w:val="00A627DB"/>
    <w:rsid w:val="00A62A26"/>
    <w:rsid w:val="00A62B34"/>
    <w:rsid w:val="00A62C1A"/>
    <w:rsid w:val="00A6340F"/>
    <w:rsid w:val="00A63B89"/>
    <w:rsid w:val="00A64108"/>
    <w:rsid w:val="00A64C09"/>
    <w:rsid w:val="00A64FBB"/>
    <w:rsid w:val="00A65707"/>
    <w:rsid w:val="00A66DD5"/>
    <w:rsid w:val="00A66EBC"/>
    <w:rsid w:val="00A71222"/>
    <w:rsid w:val="00A7185C"/>
    <w:rsid w:val="00A71F1B"/>
    <w:rsid w:val="00A721ED"/>
    <w:rsid w:val="00A751DF"/>
    <w:rsid w:val="00A75941"/>
    <w:rsid w:val="00A805E5"/>
    <w:rsid w:val="00A82F1E"/>
    <w:rsid w:val="00A8301F"/>
    <w:rsid w:val="00A84876"/>
    <w:rsid w:val="00A84FC5"/>
    <w:rsid w:val="00A86136"/>
    <w:rsid w:val="00A8651B"/>
    <w:rsid w:val="00A866F9"/>
    <w:rsid w:val="00A86D49"/>
    <w:rsid w:val="00A87020"/>
    <w:rsid w:val="00A87134"/>
    <w:rsid w:val="00A87B5A"/>
    <w:rsid w:val="00A90588"/>
    <w:rsid w:val="00A9092B"/>
    <w:rsid w:val="00A91B58"/>
    <w:rsid w:val="00A91FAD"/>
    <w:rsid w:val="00A927D0"/>
    <w:rsid w:val="00A92F3C"/>
    <w:rsid w:val="00A933A0"/>
    <w:rsid w:val="00A93B87"/>
    <w:rsid w:val="00A94E0B"/>
    <w:rsid w:val="00A951BC"/>
    <w:rsid w:val="00A958FF"/>
    <w:rsid w:val="00A96FBE"/>
    <w:rsid w:val="00A971A5"/>
    <w:rsid w:val="00A9758C"/>
    <w:rsid w:val="00A97867"/>
    <w:rsid w:val="00AA2ED8"/>
    <w:rsid w:val="00AA4FF2"/>
    <w:rsid w:val="00AA5701"/>
    <w:rsid w:val="00AA73F2"/>
    <w:rsid w:val="00AA76AD"/>
    <w:rsid w:val="00AA78F9"/>
    <w:rsid w:val="00AA7F8D"/>
    <w:rsid w:val="00AB1266"/>
    <w:rsid w:val="00AB19E5"/>
    <w:rsid w:val="00AB2392"/>
    <w:rsid w:val="00AB25A5"/>
    <w:rsid w:val="00AB358D"/>
    <w:rsid w:val="00AB53DC"/>
    <w:rsid w:val="00AB6E96"/>
    <w:rsid w:val="00AB6F8A"/>
    <w:rsid w:val="00AB76D0"/>
    <w:rsid w:val="00AC0B03"/>
    <w:rsid w:val="00AC18EC"/>
    <w:rsid w:val="00AC27D6"/>
    <w:rsid w:val="00AC40E0"/>
    <w:rsid w:val="00AC48F5"/>
    <w:rsid w:val="00AC5019"/>
    <w:rsid w:val="00AC5412"/>
    <w:rsid w:val="00AC7397"/>
    <w:rsid w:val="00AD051F"/>
    <w:rsid w:val="00AD2138"/>
    <w:rsid w:val="00AD4A44"/>
    <w:rsid w:val="00AD67B7"/>
    <w:rsid w:val="00AD7071"/>
    <w:rsid w:val="00AD7591"/>
    <w:rsid w:val="00AD7754"/>
    <w:rsid w:val="00AE094C"/>
    <w:rsid w:val="00AE0DD5"/>
    <w:rsid w:val="00AE2A91"/>
    <w:rsid w:val="00AE3373"/>
    <w:rsid w:val="00AE4376"/>
    <w:rsid w:val="00AE4993"/>
    <w:rsid w:val="00AE4A7D"/>
    <w:rsid w:val="00AE7969"/>
    <w:rsid w:val="00AF0EA9"/>
    <w:rsid w:val="00AF17DA"/>
    <w:rsid w:val="00AF1C21"/>
    <w:rsid w:val="00AF2266"/>
    <w:rsid w:val="00AF2271"/>
    <w:rsid w:val="00AF2B61"/>
    <w:rsid w:val="00AF2C16"/>
    <w:rsid w:val="00AF3269"/>
    <w:rsid w:val="00AF3BB8"/>
    <w:rsid w:val="00AF4A94"/>
    <w:rsid w:val="00AF583E"/>
    <w:rsid w:val="00AF613D"/>
    <w:rsid w:val="00AF633D"/>
    <w:rsid w:val="00AF6C1D"/>
    <w:rsid w:val="00AF6FF6"/>
    <w:rsid w:val="00B00054"/>
    <w:rsid w:val="00B01E0B"/>
    <w:rsid w:val="00B02500"/>
    <w:rsid w:val="00B03565"/>
    <w:rsid w:val="00B03857"/>
    <w:rsid w:val="00B04033"/>
    <w:rsid w:val="00B04992"/>
    <w:rsid w:val="00B059EE"/>
    <w:rsid w:val="00B07642"/>
    <w:rsid w:val="00B077D0"/>
    <w:rsid w:val="00B07C65"/>
    <w:rsid w:val="00B07F80"/>
    <w:rsid w:val="00B107B8"/>
    <w:rsid w:val="00B11CB1"/>
    <w:rsid w:val="00B11FE0"/>
    <w:rsid w:val="00B121DE"/>
    <w:rsid w:val="00B12701"/>
    <w:rsid w:val="00B139C3"/>
    <w:rsid w:val="00B13B8D"/>
    <w:rsid w:val="00B13EDF"/>
    <w:rsid w:val="00B16048"/>
    <w:rsid w:val="00B17C2F"/>
    <w:rsid w:val="00B20785"/>
    <w:rsid w:val="00B20EBE"/>
    <w:rsid w:val="00B220D8"/>
    <w:rsid w:val="00B226F5"/>
    <w:rsid w:val="00B23137"/>
    <w:rsid w:val="00B2431B"/>
    <w:rsid w:val="00B25555"/>
    <w:rsid w:val="00B261A3"/>
    <w:rsid w:val="00B26761"/>
    <w:rsid w:val="00B2719C"/>
    <w:rsid w:val="00B273EC"/>
    <w:rsid w:val="00B30756"/>
    <w:rsid w:val="00B3090D"/>
    <w:rsid w:val="00B31528"/>
    <w:rsid w:val="00B31BAD"/>
    <w:rsid w:val="00B31F7B"/>
    <w:rsid w:val="00B328C2"/>
    <w:rsid w:val="00B34179"/>
    <w:rsid w:val="00B342D1"/>
    <w:rsid w:val="00B37DAA"/>
    <w:rsid w:val="00B418A2"/>
    <w:rsid w:val="00B42C47"/>
    <w:rsid w:val="00B4369E"/>
    <w:rsid w:val="00B43FE8"/>
    <w:rsid w:val="00B4441E"/>
    <w:rsid w:val="00B44A28"/>
    <w:rsid w:val="00B44DAF"/>
    <w:rsid w:val="00B45160"/>
    <w:rsid w:val="00B4525D"/>
    <w:rsid w:val="00B4540E"/>
    <w:rsid w:val="00B4578E"/>
    <w:rsid w:val="00B467E4"/>
    <w:rsid w:val="00B47A5F"/>
    <w:rsid w:val="00B47ED4"/>
    <w:rsid w:val="00B51075"/>
    <w:rsid w:val="00B53652"/>
    <w:rsid w:val="00B54888"/>
    <w:rsid w:val="00B552FA"/>
    <w:rsid w:val="00B5639F"/>
    <w:rsid w:val="00B56413"/>
    <w:rsid w:val="00B56683"/>
    <w:rsid w:val="00B57B47"/>
    <w:rsid w:val="00B632B2"/>
    <w:rsid w:val="00B63B71"/>
    <w:rsid w:val="00B6540B"/>
    <w:rsid w:val="00B655D9"/>
    <w:rsid w:val="00B664D6"/>
    <w:rsid w:val="00B66A9E"/>
    <w:rsid w:val="00B67772"/>
    <w:rsid w:val="00B679F8"/>
    <w:rsid w:val="00B70CEB"/>
    <w:rsid w:val="00B7148E"/>
    <w:rsid w:val="00B734FE"/>
    <w:rsid w:val="00B73672"/>
    <w:rsid w:val="00B74050"/>
    <w:rsid w:val="00B74B40"/>
    <w:rsid w:val="00B75381"/>
    <w:rsid w:val="00B75682"/>
    <w:rsid w:val="00B75D7E"/>
    <w:rsid w:val="00B7675C"/>
    <w:rsid w:val="00B76FD2"/>
    <w:rsid w:val="00B77E64"/>
    <w:rsid w:val="00B80767"/>
    <w:rsid w:val="00B81BB9"/>
    <w:rsid w:val="00B83193"/>
    <w:rsid w:val="00B84B73"/>
    <w:rsid w:val="00B850E4"/>
    <w:rsid w:val="00B8691B"/>
    <w:rsid w:val="00B87B79"/>
    <w:rsid w:val="00B9133A"/>
    <w:rsid w:val="00B91D2A"/>
    <w:rsid w:val="00B925E7"/>
    <w:rsid w:val="00B92A4B"/>
    <w:rsid w:val="00B9313E"/>
    <w:rsid w:val="00B94452"/>
    <w:rsid w:val="00B94D5D"/>
    <w:rsid w:val="00B96206"/>
    <w:rsid w:val="00B96628"/>
    <w:rsid w:val="00BA2307"/>
    <w:rsid w:val="00BA36C4"/>
    <w:rsid w:val="00BA3EEA"/>
    <w:rsid w:val="00BA454E"/>
    <w:rsid w:val="00BA55B4"/>
    <w:rsid w:val="00BA622E"/>
    <w:rsid w:val="00BA79F5"/>
    <w:rsid w:val="00BA7DE7"/>
    <w:rsid w:val="00BB0414"/>
    <w:rsid w:val="00BB1352"/>
    <w:rsid w:val="00BB2178"/>
    <w:rsid w:val="00BB3950"/>
    <w:rsid w:val="00BB4F10"/>
    <w:rsid w:val="00BB562A"/>
    <w:rsid w:val="00BB5BED"/>
    <w:rsid w:val="00BB5CA3"/>
    <w:rsid w:val="00BB7D22"/>
    <w:rsid w:val="00BC108F"/>
    <w:rsid w:val="00BC1954"/>
    <w:rsid w:val="00BC19E0"/>
    <w:rsid w:val="00BC39BB"/>
    <w:rsid w:val="00BC6125"/>
    <w:rsid w:val="00BC7433"/>
    <w:rsid w:val="00BC7711"/>
    <w:rsid w:val="00BD1445"/>
    <w:rsid w:val="00BD14A1"/>
    <w:rsid w:val="00BD2DA2"/>
    <w:rsid w:val="00BD324B"/>
    <w:rsid w:val="00BD3949"/>
    <w:rsid w:val="00BD3DAF"/>
    <w:rsid w:val="00BD3DCB"/>
    <w:rsid w:val="00BD73C6"/>
    <w:rsid w:val="00BE04DD"/>
    <w:rsid w:val="00BE1798"/>
    <w:rsid w:val="00BE19C9"/>
    <w:rsid w:val="00BE1DCE"/>
    <w:rsid w:val="00BE23BD"/>
    <w:rsid w:val="00BE37DE"/>
    <w:rsid w:val="00BE4FDE"/>
    <w:rsid w:val="00BE5A44"/>
    <w:rsid w:val="00BE5E2D"/>
    <w:rsid w:val="00BE63CC"/>
    <w:rsid w:val="00BE779D"/>
    <w:rsid w:val="00BE793F"/>
    <w:rsid w:val="00BF0157"/>
    <w:rsid w:val="00BF118E"/>
    <w:rsid w:val="00BF1CCA"/>
    <w:rsid w:val="00BF2464"/>
    <w:rsid w:val="00BF2EAD"/>
    <w:rsid w:val="00BF3A2C"/>
    <w:rsid w:val="00BF3A30"/>
    <w:rsid w:val="00BF3E96"/>
    <w:rsid w:val="00BF3EFD"/>
    <w:rsid w:val="00BF46BB"/>
    <w:rsid w:val="00BF4775"/>
    <w:rsid w:val="00BF48B3"/>
    <w:rsid w:val="00BF4C74"/>
    <w:rsid w:val="00BF59B0"/>
    <w:rsid w:val="00BF6C1F"/>
    <w:rsid w:val="00BF7346"/>
    <w:rsid w:val="00BF7DD0"/>
    <w:rsid w:val="00BF7FD4"/>
    <w:rsid w:val="00C0042B"/>
    <w:rsid w:val="00C01431"/>
    <w:rsid w:val="00C02412"/>
    <w:rsid w:val="00C04C0B"/>
    <w:rsid w:val="00C053BE"/>
    <w:rsid w:val="00C05829"/>
    <w:rsid w:val="00C0644A"/>
    <w:rsid w:val="00C068FD"/>
    <w:rsid w:val="00C07BBA"/>
    <w:rsid w:val="00C10398"/>
    <w:rsid w:val="00C105F8"/>
    <w:rsid w:val="00C1069E"/>
    <w:rsid w:val="00C120CA"/>
    <w:rsid w:val="00C12E7F"/>
    <w:rsid w:val="00C13469"/>
    <w:rsid w:val="00C144B2"/>
    <w:rsid w:val="00C150D8"/>
    <w:rsid w:val="00C151AD"/>
    <w:rsid w:val="00C15DBE"/>
    <w:rsid w:val="00C16115"/>
    <w:rsid w:val="00C16C02"/>
    <w:rsid w:val="00C204CE"/>
    <w:rsid w:val="00C20CB1"/>
    <w:rsid w:val="00C2141B"/>
    <w:rsid w:val="00C22500"/>
    <w:rsid w:val="00C22F07"/>
    <w:rsid w:val="00C26421"/>
    <w:rsid w:val="00C26A60"/>
    <w:rsid w:val="00C26FFF"/>
    <w:rsid w:val="00C271B7"/>
    <w:rsid w:val="00C27E12"/>
    <w:rsid w:val="00C31047"/>
    <w:rsid w:val="00C3369D"/>
    <w:rsid w:val="00C33EAE"/>
    <w:rsid w:val="00C350B1"/>
    <w:rsid w:val="00C354FC"/>
    <w:rsid w:val="00C3577C"/>
    <w:rsid w:val="00C3609C"/>
    <w:rsid w:val="00C36389"/>
    <w:rsid w:val="00C36E62"/>
    <w:rsid w:val="00C37F6A"/>
    <w:rsid w:val="00C40C71"/>
    <w:rsid w:val="00C40F30"/>
    <w:rsid w:val="00C411D8"/>
    <w:rsid w:val="00C42313"/>
    <w:rsid w:val="00C43078"/>
    <w:rsid w:val="00C43D79"/>
    <w:rsid w:val="00C44A82"/>
    <w:rsid w:val="00C452A4"/>
    <w:rsid w:val="00C452B1"/>
    <w:rsid w:val="00C455D4"/>
    <w:rsid w:val="00C45B99"/>
    <w:rsid w:val="00C45CEE"/>
    <w:rsid w:val="00C467A5"/>
    <w:rsid w:val="00C508B5"/>
    <w:rsid w:val="00C50ABA"/>
    <w:rsid w:val="00C52624"/>
    <w:rsid w:val="00C52A43"/>
    <w:rsid w:val="00C5304B"/>
    <w:rsid w:val="00C53578"/>
    <w:rsid w:val="00C548B8"/>
    <w:rsid w:val="00C54A77"/>
    <w:rsid w:val="00C54F8C"/>
    <w:rsid w:val="00C5508A"/>
    <w:rsid w:val="00C56B0F"/>
    <w:rsid w:val="00C607D3"/>
    <w:rsid w:val="00C60865"/>
    <w:rsid w:val="00C615B4"/>
    <w:rsid w:val="00C61A41"/>
    <w:rsid w:val="00C624DF"/>
    <w:rsid w:val="00C62745"/>
    <w:rsid w:val="00C63299"/>
    <w:rsid w:val="00C63FDB"/>
    <w:rsid w:val="00C6480A"/>
    <w:rsid w:val="00C65C06"/>
    <w:rsid w:val="00C6665D"/>
    <w:rsid w:val="00C6761A"/>
    <w:rsid w:val="00C67A35"/>
    <w:rsid w:val="00C67D35"/>
    <w:rsid w:val="00C70E74"/>
    <w:rsid w:val="00C71CE6"/>
    <w:rsid w:val="00C7303F"/>
    <w:rsid w:val="00C73045"/>
    <w:rsid w:val="00C73B71"/>
    <w:rsid w:val="00C753EE"/>
    <w:rsid w:val="00C754EB"/>
    <w:rsid w:val="00C75FB5"/>
    <w:rsid w:val="00C771D1"/>
    <w:rsid w:val="00C7726C"/>
    <w:rsid w:val="00C77CBA"/>
    <w:rsid w:val="00C807A6"/>
    <w:rsid w:val="00C8130D"/>
    <w:rsid w:val="00C8238B"/>
    <w:rsid w:val="00C84410"/>
    <w:rsid w:val="00C84CB3"/>
    <w:rsid w:val="00C850F9"/>
    <w:rsid w:val="00C861A7"/>
    <w:rsid w:val="00C87145"/>
    <w:rsid w:val="00C9032C"/>
    <w:rsid w:val="00C90703"/>
    <w:rsid w:val="00C90970"/>
    <w:rsid w:val="00C90B3A"/>
    <w:rsid w:val="00C91369"/>
    <w:rsid w:val="00C9166F"/>
    <w:rsid w:val="00C91EFF"/>
    <w:rsid w:val="00C920D0"/>
    <w:rsid w:val="00C9218E"/>
    <w:rsid w:val="00C922A6"/>
    <w:rsid w:val="00C9256E"/>
    <w:rsid w:val="00C929AF"/>
    <w:rsid w:val="00C92D4C"/>
    <w:rsid w:val="00C92E46"/>
    <w:rsid w:val="00C93357"/>
    <w:rsid w:val="00C9342F"/>
    <w:rsid w:val="00C9372D"/>
    <w:rsid w:val="00C941BB"/>
    <w:rsid w:val="00C94B87"/>
    <w:rsid w:val="00C94C29"/>
    <w:rsid w:val="00C95F8B"/>
    <w:rsid w:val="00C96983"/>
    <w:rsid w:val="00C96A4E"/>
    <w:rsid w:val="00C970A3"/>
    <w:rsid w:val="00C97FD7"/>
    <w:rsid w:val="00CA04AC"/>
    <w:rsid w:val="00CA0CB9"/>
    <w:rsid w:val="00CA0D38"/>
    <w:rsid w:val="00CA100F"/>
    <w:rsid w:val="00CA13F4"/>
    <w:rsid w:val="00CA17FB"/>
    <w:rsid w:val="00CA1A21"/>
    <w:rsid w:val="00CA2839"/>
    <w:rsid w:val="00CA2FB5"/>
    <w:rsid w:val="00CA3206"/>
    <w:rsid w:val="00CA35C1"/>
    <w:rsid w:val="00CA4C8E"/>
    <w:rsid w:val="00CA4D94"/>
    <w:rsid w:val="00CA61FC"/>
    <w:rsid w:val="00CA79F9"/>
    <w:rsid w:val="00CA7ED0"/>
    <w:rsid w:val="00CB0CD2"/>
    <w:rsid w:val="00CB38F3"/>
    <w:rsid w:val="00CB58A6"/>
    <w:rsid w:val="00CB5E2B"/>
    <w:rsid w:val="00CB6530"/>
    <w:rsid w:val="00CB6990"/>
    <w:rsid w:val="00CB712E"/>
    <w:rsid w:val="00CC12AB"/>
    <w:rsid w:val="00CC192F"/>
    <w:rsid w:val="00CC1ABA"/>
    <w:rsid w:val="00CC2870"/>
    <w:rsid w:val="00CC2B64"/>
    <w:rsid w:val="00CC69D5"/>
    <w:rsid w:val="00CC73DA"/>
    <w:rsid w:val="00CC7454"/>
    <w:rsid w:val="00CD0A46"/>
    <w:rsid w:val="00CD0D9B"/>
    <w:rsid w:val="00CD145C"/>
    <w:rsid w:val="00CD1FE8"/>
    <w:rsid w:val="00CD3885"/>
    <w:rsid w:val="00CD38F6"/>
    <w:rsid w:val="00CD4E4E"/>
    <w:rsid w:val="00CD7475"/>
    <w:rsid w:val="00CD7BC0"/>
    <w:rsid w:val="00CD7F1F"/>
    <w:rsid w:val="00CE1682"/>
    <w:rsid w:val="00CE2E21"/>
    <w:rsid w:val="00CE445E"/>
    <w:rsid w:val="00CE5AAD"/>
    <w:rsid w:val="00CE615E"/>
    <w:rsid w:val="00CE722D"/>
    <w:rsid w:val="00CE756A"/>
    <w:rsid w:val="00CF2BE0"/>
    <w:rsid w:val="00CF2F3A"/>
    <w:rsid w:val="00CF4A67"/>
    <w:rsid w:val="00CF59A8"/>
    <w:rsid w:val="00CF68DD"/>
    <w:rsid w:val="00CF6B78"/>
    <w:rsid w:val="00D0227A"/>
    <w:rsid w:val="00D02727"/>
    <w:rsid w:val="00D033C1"/>
    <w:rsid w:val="00D058D1"/>
    <w:rsid w:val="00D05F03"/>
    <w:rsid w:val="00D06DFA"/>
    <w:rsid w:val="00D06EBD"/>
    <w:rsid w:val="00D07CBF"/>
    <w:rsid w:val="00D11650"/>
    <w:rsid w:val="00D11A4A"/>
    <w:rsid w:val="00D11E45"/>
    <w:rsid w:val="00D1220B"/>
    <w:rsid w:val="00D12E9D"/>
    <w:rsid w:val="00D134E7"/>
    <w:rsid w:val="00D13EA7"/>
    <w:rsid w:val="00D142C3"/>
    <w:rsid w:val="00D14A77"/>
    <w:rsid w:val="00D15BCE"/>
    <w:rsid w:val="00D17BD5"/>
    <w:rsid w:val="00D23132"/>
    <w:rsid w:val="00D25355"/>
    <w:rsid w:val="00D26B6E"/>
    <w:rsid w:val="00D305A5"/>
    <w:rsid w:val="00D30874"/>
    <w:rsid w:val="00D30921"/>
    <w:rsid w:val="00D30EFE"/>
    <w:rsid w:val="00D31029"/>
    <w:rsid w:val="00D32690"/>
    <w:rsid w:val="00D32BB2"/>
    <w:rsid w:val="00D32D56"/>
    <w:rsid w:val="00D34744"/>
    <w:rsid w:val="00D34F36"/>
    <w:rsid w:val="00D35134"/>
    <w:rsid w:val="00D3642C"/>
    <w:rsid w:val="00D3650D"/>
    <w:rsid w:val="00D37905"/>
    <w:rsid w:val="00D37B94"/>
    <w:rsid w:val="00D37D7E"/>
    <w:rsid w:val="00D37E01"/>
    <w:rsid w:val="00D40172"/>
    <w:rsid w:val="00D40DC1"/>
    <w:rsid w:val="00D43F5C"/>
    <w:rsid w:val="00D4415B"/>
    <w:rsid w:val="00D461B6"/>
    <w:rsid w:val="00D46CC5"/>
    <w:rsid w:val="00D46D74"/>
    <w:rsid w:val="00D47048"/>
    <w:rsid w:val="00D5036B"/>
    <w:rsid w:val="00D51522"/>
    <w:rsid w:val="00D51565"/>
    <w:rsid w:val="00D51772"/>
    <w:rsid w:val="00D52346"/>
    <w:rsid w:val="00D52710"/>
    <w:rsid w:val="00D52CED"/>
    <w:rsid w:val="00D53E73"/>
    <w:rsid w:val="00D54714"/>
    <w:rsid w:val="00D54FCC"/>
    <w:rsid w:val="00D555EC"/>
    <w:rsid w:val="00D560F0"/>
    <w:rsid w:val="00D561F0"/>
    <w:rsid w:val="00D567BD"/>
    <w:rsid w:val="00D5701E"/>
    <w:rsid w:val="00D576B0"/>
    <w:rsid w:val="00D57BCC"/>
    <w:rsid w:val="00D6058A"/>
    <w:rsid w:val="00D6088C"/>
    <w:rsid w:val="00D6322C"/>
    <w:rsid w:val="00D6327F"/>
    <w:rsid w:val="00D659C4"/>
    <w:rsid w:val="00D659FD"/>
    <w:rsid w:val="00D6755C"/>
    <w:rsid w:val="00D677D0"/>
    <w:rsid w:val="00D703A0"/>
    <w:rsid w:val="00D7058C"/>
    <w:rsid w:val="00D709C3"/>
    <w:rsid w:val="00D71A95"/>
    <w:rsid w:val="00D71CB0"/>
    <w:rsid w:val="00D7212E"/>
    <w:rsid w:val="00D721D2"/>
    <w:rsid w:val="00D74D13"/>
    <w:rsid w:val="00D75A07"/>
    <w:rsid w:val="00D76151"/>
    <w:rsid w:val="00D77E05"/>
    <w:rsid w:val="00D80579"/>
    <w:rsid w:val="00D80B03"/>
    <w:rsid w:val="00D825F8"/>
    <w:rsid w:val="00D83A74"/>
    <w:rsid w:val="00D84670"/>
    <w:rsid w:val="00D84803"/>
    <w:rsid w:val="00D85A00"/>
    <w:rsid w:val="00D85D83"/>
    <w:rsid w:val="00D86919"/>
    <w:rsid w:val="00D87C5B"/>
    <w:rsid w:val="00D90018"/>
    <w:rsid w:val="00D90A7F"/>
    <w:rsid w:val="00D920A8"/>
    <w:rsid w:val="00D92536"/>
    <w:rsid w:val="00D92BF0"/>
    <w:rsid w:val="00D93197"/>
    <w:rsid w:val="00D93DE1"/>
    <w:rsid w:val="00D9421A"/>
    <w:rsid w:val="00D947F5"/>
    <w:rsid w:val="00D94C88"/>
    <w:rsid w:val="00D9532F"/>
    <w:rsid w:val="00D96FB5"/>
    <w:rsid w:val="00D97687"/>
    <w:rsid w:val="00DA1B48"/>
    <w:rsid w:val="00DA1F30"/>
    <w:rsid w:val="00DA2B66"/>
    <w:rsid w:val="00DA2EBE"/>
    <w:rsid w:val="00DA3A28"/>
    <w:rsid w:val="00DA3BDB"/>
    <w:rsid w:val="00DA4E66"/>
    <w:rsid w:val="00DA5089"/>
    <w:rsid w:val="00DA60EA"/>
    <w:rsid w:val="00DA6251"/>
    <w:rsid w:val="00DA7BA8"/>
    <w:rsid w:val="00DB13BE"/>
    <w:rsid w:val="00DB1CC3"/>
    <w:rsid w:val="00DB1DA3"/>
    <w:rsid w:val="00DB2936"/>
    <w:rsid w:val="00DB4866"/>
    <w:rsid w:val="00DB56B7"/>
    <w:rsid w:val="00DB5724"/>
    <w:rsid w:val="00DB5727"/>
    <w:rsid w:val="00DB5CC2"/>
    <w:rsid w:val="00DB623C"/>
    <w:rsid w:val="00DB763A"/>
    <w:rsid w:val="00DC0DEB"/>
    <w:rsid w:val="00DC2B14"/>
    <w:rsid w:val="00DC417A"/>
    <w:rsid w:val="00DC4608"/>
    <w:rsid w:val="00DC5364"/>
    <w:rsid w:val="00DC5CAE"/>
    <w:rsid w:val="00DC6726"/>
    <w:rsid w:val="00DC6C12"/>
    <w:rsid w:val="00DD1224"/>
    <w:rsid w:val="00DD151C"/>
    <w:rsid w:val="00DD2409"/>
    <w:rsid w:val="00DD2EFD"/>
    <w:rsid w:val="00DD3245"/>
    <w:rsid w:val="00DD3CD5"/>
    <w:rsid w:val="00DD46F2"/>
    <w:rsid w:val="00DD4BFA"/>
    <w:rsid w:val="00DD6049"/>
    <w:rsid w:val="00DD6A3C"/>
    <w:rsid w:val="00DD6B35"/>
    <w:rsid w:val="00DD6F46"/>
    <w:rsid w:val="00DD7A79"/>
    <w:rsid w:val="00DD7C27"/>
    <w:rsid w:val="00DE07F1"/>
    <w:rsid w:val="00DE1EE3"/>
    <w:rsid w:val="00DE335F"/>
    <w:rsid w:val="00DE4626"/>
    <w:rsid w:val="00DE54A9"/>
    <w:rsid w:val="00DE7406"/>
    <w:rsid w:val="00DF042B"/>
    <w:rsid w:val="00DF0845"/>
    <w:rsid w:val="00DF0E2C"/>
    <w:rsid w:val="00DF1A6B"/>
    <w:rsid w:val="00DF2117"/>
    <w:rsid w:val="00DF27B8"/>
    <w:rsid w:val="00DF3464"/>
    <w:rsid w:val="00DF38FA"/>
    <w:rsid w:val="00DF3A3F"/>
    <w:rsid w:val="00DF3DC5"/>
    <w:rsid w:val="00DF4704"/>
    <w:rsid w:val="00DF5B03"/>
    <w:rsid w:val="00DF63F7"/>
    <w:rsid w:val="00DF69F3"/>
    <w:rsid w:val="00DF6C73"/>
    <w:rsid w:val="00DF6D13"/>
    <w:rsid w:val="00DF7CC0"/>
    <w:rsid w:val="00E01D67"/>
    <w:rsid w:val="00E036A8"/>
    <w:rsid w:val="00E038A8"/>
    <w:rsid w:val="00E03F63"/>
    <w:rsid w:val="00E0464D"/>
    <w:rsid w:val="00E0509A"/>
    <w:rsid w:val="00E05241"/>
    <w:rsid w:val="00E056B4"/>
    <w:rsid w:val="00E05EB8"/>
    <w:rsid w:val="00E06548"/>
    <w:rsid w:val="00E06C4F"/>
    <w:rsid w:val="00E06E4A"/>
    <w:rsid w:val="00E07EDA"/>
    <w:rsid w:val="00E129ED"/>
    <w:rsid w:val="00E132E0"/>
    <w:rsid w:val="00E13D02"/>
    <w:rsid w:val="00E1404C"/>
    <w:rsid w:val="00E144EB"/>
    <w:rsid w:val="00E14857"/>
    <w:rsid w:val="00E171D0"/>
    <w:rsid w:val="00E1785B"/>
    <w:rsid w:val="00E210A7"/>
    <w:rsid w:val="00E2172A"/>
    <w:rsid w:val="00E21785"/>
    <w:rsid w:val="00E2389D"/>
    <w:rsid w:val="00E24801"/>
    <w:rsid w:val="00E24A94"/>
    <w:rsid w:val="00E25726"/>
    <w:rsid w:val="00E26191"/>
    <w:rsid w:val="00E268A4"/>
    <w:rsid w:val="00E26970"/>
    <w:rsid w:val="00E27E3E"/>
    <w:rsid w:val="00E31F09"/>
    <w:rsid w:val="00E341F5"/>
    <w:rsid w:val="00E346D8"/>
    <w:rsid w:val="00E34799"/>
    <w:rsid w:val="00E369D4"/>
    <w:rsid w:val="00E36AB7"/>
    <w:rsid w:val="00E40247"/>
    <w:rsid w:val="00E40700"/>
    <w:rsid w:val="00E413D0"/>
    <w:rsid w:val="00E415C8"/>
    <w:rsid w:val="00E415E2"/>
    <w:rsid w:val="00E4196F"/>
    <w:rsid w:val="00E425B2"/>
    <w:rsid w:val="00E45108"/>
    <w:rsid w:val="00E4528D"/>
    <w:rsid w:val="00E46F17"/>
    <w:rsid w:val="00E47EE1"/>
    <w:rsid w:val="00E5067A"/>
    <w:rsid w:val="00E51BA9"/>
    <w:rsid w:val="00E52417"/>
    <w:rsid w:val="00E52A22"/>
    <w:rsid w:val="00E53258"/>
    <w:rsid w:val="00E53C87"/>
    <w:rsid w:val="00E5411E"/>
    <w:rsid w:val="00E55ACE"/>
    <w:rsid w:val="00E5700C"/>
    <w:rsid w:val="00E5719F"/>
    <w:rsid w:val="00E5748A"/>
    <w:rsid w:val="00E604A9"/>
    <w:rsid w:val="00E615F0"/>
    <w:rsid w:val="00E61803"/>
    <w:rsid w:val="00E61E06"/>
    <w:rsid w:val="00E62788"/>
    <w:rsid w:val="00E62906"/>
    <w:rsid w:val="00E62E51"/>
    <w:rsid w:val="00E63A14"/>
    <w:rsid w:val="00E65B6D"/>
    <w:rsid w:val="00E66995"/>
    <w:rsid w:val="00E702B5"/>
    <w:rsid w:val="00E70C20"/>
    <w:rsid w:val="00E70EF7"/>
    <w:rsid w:val="00E71126"/>
    <w:rsid w:val="00E714DB"/>
    <w:rsid w:val="00E71811"/>
    <w:rsid w:val="00E71FA7"/>
    <w:rsid w:val="00E72A1F"/>
    <w:rsid w:val="00E7398B"/>
    <w:rsid w:val="00E73DFC"/>
    <w:rsid w:val="00E73EB1"/>
    <w:rsid w:val="00E755EC"/>
    <w:rsid w:val="00E75EB7"/>
    <w:rsid w:val="00E7691F"/>
    <w:rsid w:val="00E76C85"/>
    <w:rsid w:val="00E77056"/>
    <w:rsid w:val="00E8034B"/>
    <w:rsid w:val="00E8068D"/>
    <w:rsid w:val="00E81936"/>
    <w:rsid w:val="00E82685"/>
    <w:rsid w:val="00E82DD7"/>
    <w:rsid w:val="00E834D4"/>
    <w:rsid w:val="00E841B6"/>
    <w:rsid w:val="00E85880"/>
    <w:rsid w:val="00E85A26"/>
    <w:rsid w:val="00E86025"/>
    <w:rsid w:val="00E86350"/>
    <w:rsid w:val="00E87B45"/>
    <w:rsid w:val="00E911AA"/>
    <w:rsid w:val="00E91AD1"/>
    <w:rsid w:val="00E923C2"/>
    <w:rsid w:val="00E953F9"/>
    <w:rsid w:val="00E96898"/>
    <w:rsid w:val="00E96F61"/>
    <w:rsid w:val="00EA04A1"/>
    <w:rsid w:val="00EA0ADB"/>
    <w:rsid w:val="00EA0E61"/>
    <w:rsid w:val="00EA275E"/>
    <w:rsid w:val="00EA2950"/>
    <w:rsid w:val="00EA2E4F"/>
    <w:rsid w:val="00EA5351"/>
    <w:rsid w:val="00EA5394"/>
    <w:rsid w:val="00EA5645"/>
    <w:rsid w:val="00EA7BC3"/>
    <w:rsid w:val="00EA7C2F"/>
    <w:rsid w:val="00EB2A9E"/>
    <w:rsid w:val="00EB42C1"/>
    <w:rsid w:val="00EB473C"/>
    <w:rsid w:val="00EB4B2A"/>
    <w:rsid w:val="00EB5DAB"/>
    <w:rsid w:val="00EB5E70"/>
    <w:rsid w:val="00EB63A5"/>
    <w:rsid w:val="00EB6B7A"/>
    <w:rsid w:val="00EB7F44"/>
    <w:rsid w:val="00EC0558"/>
    <w:rsid w:val="00EC0C23"/>
    <w:rsid w:val="00EC0CC8"/>
    <w:rsid w:val="00EC1534"/>
    <w:rsid w:val="00EC17B4"/>
    <w:rsid w:val="00EC1846"/>
    <w:rsid w:val="00EC1F12"/>
    <w:rsid w:val="00EC3C91"/>
    <w:rsid w:val="00EC4B3D"/>
    <w:rsid w:val="00EC5B70"/>
    <w:rsid w:val="00EC6CAC"/>
    <w:rsid w:val="00EC6D88"/>
    <w:rsid w:val="00EC6DCA"/>
    <w:rsid w:val="00EC7726"/>
    <w:rsid w:val="00EC7A04"/>
    <w:rsid w:val="00ED0138"/>
    <w:rsid w:val="00ED048B"/>
    <w:rsid w:val="00ED0E0A"/>
    <w:rsid w:val="00ED12C4"/>
    <w:rsid w:val="00ED15F1"/>
    <w:rsid w:val="00ED1C46"/>
    <w:rsid w:val="00ED2C88"/>
    <w:rsid w:val="00ED3CED"/>
    <w:rsid w:val="00ED4BE1"/>
    <w:rsid w:val="00ED4BF7"/>
    <w:rsid w:val="00ED5038"/>
    <w:rsid w:val="00ED5219"/>
    <w:rsid w:val="00ED56EA"/>
    <w:rsid w:val="00ED6873"/>
    <w:rsid w:val="00ED718B"/>
    <w:rsid w:val="00ED73BE"/>
    <w:rsid w:val="00ED7564"/>
    <w:rsid w:val="00EE377B"/>
    <w:rsid w:val="00EE3BEB"/>
    <w:rsid w:val="00EE4974"/>
    <w:rsid w:val="00EE59C7"/>
    <w:rsid w:val="00EE5C8F"/>
    <w:rsid w:val="00EF1792"/>
    <w:rsid w:val="00EF2558"/>
    <w:rsid w:val="00EF2838"/>
    <w:rsid w:val="00EF41D5"/>
    <w:rsid w:val="00EF590E"/>
    <w:rsid w:val="00EF5D71"/>
    <w:rsid w:val="00EF6FE3"/>
    <w:rsid w:val="00EF72AC"/>
    <w:rsid w:val="00EF786E"/>
    <w:rsid w:val="00EF7948"/>
    <w:rsid w:val="00F001F5"/>
    <w:rsid w:val="00F01DE5"/>
    <w:rsid w:val="00F02AB5"/>
    <w:rsid w:val="00F03D0D"/>
    <w:rsid w:val="00F06C94"/>
    <w:rsid w:val="00F07474"/>
    <w:rsid w:val="00F10B50"/>
    <w:rsid w:val="00F10FAF"/>
    <w:rsid w:val="00F113FD"/>
    <w:rsid w:val="00F11B18"/>
    <w:rsid w:val="00F12B5A"/>
    <w:rsid w:val="00F1336E"/>
    <w:rsid w:val="00F145D0"/>
    <w:rsid w:val="00F14936"/>
    <w:rsid w:val="00F14980"/>
    <w:rsid w:val="00F14A7A"/>
    <w:rsid w:val="00F14FCE"/>
    <w:rsid w:val="00F15344"/>
    <w:rsid w:val="00F15C68"/>
    <w:rsid w:val="00F1630A"/>
    <w:rsid w:val="00F1692E"/>
    <w:rsid w:val="00F177BB"/>
    <w:rsid w:val="00F17CCE"/>
    <w:rsid w:val="00F17F79"/>
    <w:rsid w:val="00F20561"/>
    <w:rsid w:val="00F20AF7"/>
    <w:rsid w:val="00F21386"/>
    <w:rsid w:val="00F21AF5"/>
    <w:rsid w:val="00F21B04"/>
    <w:rsid w:val="00F2202D"/>
    <w:rsid w:val="00F22168"/>
    <w:rsid w:val="00F23FF5"/>
    <w:rsid w:val="00F25EBD"/>
    <w:rsid w:val="00F25F10"/>
    <w:rsid w:val="00F264DC"/>
    <w:rsid w:val="00F275BB"/>
    <w:rsid w:val="00F30A30"/>
    <w:rsid w:val="00F30A5E"/>
    <w:rsid w:val="00F31083"/>
    <w:rsid w:val="00F33329"/>
    <w:rsid w:val="00F335C5"/>
    <w:rsid w:val="00F34E8A"/>
    <w:rsid w:val="00F35A6A"/>
    <w:rsid w:val="00F3734B"/>
    <w:rsid w:val="00F3784B"/>
    <w:rsid w:val="00F404F8"/>
    <w:rsid w:val="00F4077A"/>
    <w:rsid w:val="00F413E0"/>
    <w:rsid w:val="00F41FA5"/>
    <w:rsid w:val="00F4313C"/>
    <w:rsid w:val="00F4349C"/>
    <w:rsid w:val="00F43E19"/>
    <w:rsid w:val="00F43F6D"/>
    <w:rsid w:val="00F44D16"/>
    <w:rsid w:val="00F44EF5"/>
    <w:rsid w:val="00F45E98"/>
    <w:rsid w:val="00F460A8"/>
    <w:rsid w:val="00F468D7"/>
    <w:rsid w:val="00F51D3E"/>
    <w:rsid w:val="00F532CA"/>
    <w:rsid w:val="00F54492"/>
    <w:rsid w:val="00F54954"/>
    <w:rsid w:val="00F54E60"/>
    <w:rsid w:val="00F5554F"/>
    <w:rsid w:val="00F5563C"/>
    <w:rsid w:val="00F567C1"/>
    <w:rsid w:val="00F5715C"/>
    <w:rsid w:val="00F615D6"/>
    <w:rsid w:val="00F62484"/>
    <w:rsid w:val="00F62905"/>
    <w:rsid w:val="00F638B2"/>
    <w:rsid w:val="00F64E41"/>
    <w:rsid w:val="00F65010"/>
    <w:rsid w:val="00F6572E"/>
    <w:rsid w:val="00F67401"/>
    <w:rsid w:val="00F6792B"/>
    <w:rsid w:val="00F70158"/>
    <w:rsid w:val="00F703FE"/>
    <w:rsid w:val="00F70BBA"/>
    <w:rsid w:val="00F70CA9"/>
    <w:rsid w:val="00F71381"/>
    <w:rsid w:val="00F714D4"/>
    <w:rsid w:val="00F717EA"/>
    <w:rsid w:val="00F72D62"/>
    <w:rsid w:val="00F74ACE"/>
    <w:rsid w:val="00F74AF3"/>
    <w:rsid w:val="00F7547F"/>
    <w:rsid w:val="00F772CD"/>
    <w:rsid w:val="00F774C4"/>
    <w:rsid w:val="00F80267"/>
    <w:rsid w:val="00F8027C"/>
    <w:rsid w:val="00F802BE"/>
    <w:rsid w:val="00F80A13"/>
    <w:rsid w:val="00F82EC1"/>
    <w:rsid w:val="00F837D1"/>
    <w:rsid w:val="00F849CC"/>
    <w:rsid w:val="00F86AD6"/>
    <w:rsid w:val="00F87AB6"/>
    <w:rsid w:val="00F900EA"/>
    <w:rsid w:val="00F90B1A"/>
    <w:rsid w:val="00F90F29"/>
    <w:rsid w:val="00F90F63"/>
    <w:rsid w:val="00F9113E"/>
    <w:rsid w:val="00F91504"/>
    <w:rsid w:val="00F94399"/>
    <w:rsid w:val="00F94E02"/>
    <w:rsid w:val="00F95C94"/>
    <w:rsid w:val="00F9668E"/>
    <w:rsid w:val="00F970DE"/>
    <w:rsid w:val="00F97D40"/>
    <w:rsid w:val="00F97FE1"/>
    <w:rsid w:val="00FA1A4E"/>
    <w:rsid w:val="00FA2E81"/>
    <w:rsid w:val="00FA2FA6"/>
    <w:rsid w:val="00FA48EF"/>
    <w:rsid w:val="00FA6326"/>
    <w:rsid w:val="00FA7C85"/>
    <w:rsid w:val="00FA7FD2"/>
    <w:rsid w:val="00FB0819"/>
    <w:rsid w:val="00FB1481"/>
    <w:rsid w:val="00FB25C3"/>
    <w:rsid w:val="00FB2835"/>
    <w:rsid w:val="00FB467F"/>
    <w:rsid w:val="00FB4AF4"/>
    <w:rsid w:val="00FB5C9A"/>
    <w:rsid w:val="00FB6BDD"/>
    <w:rsid w:val="00FB6DBF"/>
    <w:rsid w:val="00FB6DD5"/>
    <w:rsid w:val="00FB71D0"/>
    <w:rsid w:val="00FB78E4"/>
    <w:rsid w:val="00FC029B"/>
    <w:rsid w:val="00FC0812"/>
    <w:rsid w:val="00FC1051"/>
    <w:rsid w:val="00FC128F"/>
    <w:rsid w:val="00FC1D42"/>
    <w:rsid w:val="00FC2297"/>
    <w:rsid w:val="00FC2661"/>
    <w:rsid w:val="00FC2E25"/>
    <w:rsid w:val="00FC309E"/>
    <w:rsid w:val="00FC4D6C"/>
    <w:rsid w:val="00FC59D5"/>
    <w:rsid w:val="00FC5CAD"/>
    <w:rsid w:val="00FC6D6A"/>
    <w:rsid w:val="00FC7435"/>
    <w:rsid w:val="00FC7830"/>
    <w:rsid w:val="00FC7E4D"/>
    <w:rsid w:val="00FD0434"/>
    <w:rsid w:val="00FD06BA"/>
    <w:rsid w:val="00FD0D90"/>
    <w:rsid w:val="00FD1CFC"/>
    <w:rsid w:val="00FD2846"/>
    <w:rsid w:val="00FD28E3"/>
    <w:rsid w:val="00FD2E7F"/>
    <w:rsid w:val="00FD4443"/>
    <w:rsid w:val="00FD5369"/>
    <w:rsid w:val="00FD53DE"/>
    <w:rsid w:val="00FD5C87"/>
    <w:rsid w:val="00FD6AE6"/>
    <w:rsid w:val="00FD6F7B"/>
    <w:rsid w:val="00FD7992"/>
    <w:rsid w:val="00FD7CC2"/>
    <w:rsid w:val="00FE0D3B"/>
    <w:rsid w:val="00FE1BCC"/>
    <w:rsid w:val="00FE2707"/>
    <w:rsid w:val="00FE39AB"/>
    <w:rsid w:val="00FE3BD4"/>
    <w:rsid w:val="00FE4541"/>
    <w:rsid w:val="00FE5BC1"/>
    <w:rsid w:val="00FE5CD9"/>
    <w:rsid w:val="00FE5F1B"/>
    <w:rsid w:val="00FE6668"/>
    <w:rsid w:val="00FE71A3"/>
    <w:rsid w:val="00FE7753"/>
    <w:rsid w:val="00FF035B"/>
    <w:rsid w:val="00FF05C7"/>
    <w:rsid w:val="00FF05D9"/>
    <w:rsid w:val="00FF09CF"/>
    <w:rsid w:val="00FF0B7A"/>
    <w:rsid w:val="00FF1AAA"/>
    <w:rsid w:val="00FF300B"/>
    <w:rsid w:val="00FF3BB5"/>
    <w:rsid w:val="00FF4B21"/>
    <w:rsid w:val="00FF5401"/>
    <w:rsid w:val="00FF6502"/>
    <w:rsid w:val="00FF6675"/>
    <w:rsid w:val="00FF6A2D"/>
    <w:rsid w:val="00FF6D18"/>
    <w:rsid w:val="00FF7268"/>
    <w:rsid w:val="00FF79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014BEB3"/>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MS Mincho" w:hAnsi="Book Antiqua"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18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3182"/>
    <w:pPr>
      <w:tabs>
        <w:tab w:val="center" w:pos="4153"/>
        <w:tab w:val="right" w:pos="8306"/>
      </w:tabs>
    </w:pPr>
  </w:style>
  <w:style w:type="character" w:customStyle="1" w:styleId="HeaderChar">
    <w:name w:val="Header Char"/>
    <w:link w:val="Header"/>
    <w:rsid w:val="00003182"/>
    <w:rPr>
      <w:rFonts w:ascii="Times New Roman" w:eastAsia="Times New Roman" w:hAnsi="Times New Roman" w:cs="Times New Roman"/>
      <w:lang w:val="en-GB" w:eastAsia="en-GB"/>
    </w:rPr>
  </w:style>
  <w:style w:type="paragraph" w:styleId="Footer">
    <w:name w:val="footer"/>
    <w:basedOn w:val="Normal"/>
    <w:link w:val="FooterChar"/>
    <w:rsid w:val="00003182"/>
    <w:pPr>
      <w:tabs>
        <w:tab w:val="center" w:pos="4153"/>
        <w:tab w:val="right" w:pos="8306"/>
      </w:tabs>
    </w:pPr>
  </w:style>
  <w:style w:type="character" w:customStyle="1" w:styleId="FooterChar">
    <w:name w:val="Footer Char"/>
    <w:link w:val="Footer"/>
    <w:rsid w:val="00003182"/>
    <w:rPr>
      <w:rFonts w:ascii="Times New Roman" w:eastAsia="Times New Roman" w:hAnsi="Times New Roman" w:cs="Times New Roman"/>
      <w:lang w:val="en-GB" w:eastAsia="en-GB"/>
    </w:rPr>
  </w:style>
  <w:style w:type="character" w:styleId="PageNumber">
    <w:name w:val="page number"/>
    <w:basedOn w:val="DefaultParagraphFont"/>
    <w:rsid w:val="00003182"/>
  </w:style>
  <w:style w:type="table" w:styleId="TableGrid">
    <w:name w:val="Table Grid"/>
    <w:basedOn w:val="TableNormal"/>
    <w:rsid w:val="0000318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3182"/>
    <w:rPr>
      <w:rFonts w:ascii="Lucida Grande" w:hAnsi="Lucida Grande"/>
      <w:sz w:val="18"/>
      <w:szCs w:val="18"/>
    </w:rPr>
  </w:style>
  <w:style w:type="character" w:customStyle="1" w:styleId="BalloonTextChar">
    <w:name w:val="Balloon Text Char"/>
    <w:link w:val="BalloonText"/>
    <w:uiPriority w:val="99"/>
    <w:semiHidden/>
    <w:rsid w:val="00003182"/>
    <w:rPr>
      <w:rFonts w:ascii="Lucida Grande" w:eastAsia="Times New Roman" w:hAnsi="Lucida Grande" w:cs="Times New Roman"/>
      <w:sz w:val="18"/>
      <w:szCs w:val="18"/>
      <w:lang w:val="en-GB" w:eastAsia="en-GB"/>
    </w:rPr>
  </w:style>
  <w:style w:type="paragraph" w:styleId="ListParagraph">
    <w:name w:val="List Paragraph"/>
    <w:basedOn w:val="Normal"/>
    <w:uiPriority w:val="34"/>
    <w:qFormat/>
    <w:rsid w:val="00785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446713">
      <w:bodyDiv w:val="1"/>
      <w:marLeft w:val="0"/>
      <w:marRight w:val="0"/>
      <w:marTop w:val="0"/>
      <w:marBottom w:val="0"/>
      <w:divBdr>
        <w:top w:val="none" w:sz="0" w:space="0" w:color="auto"/>
        <w:left w:val="none" w:sz="0" w:space="0" w:color="auto"/>
        <w:bottom w:val="none" w:sz="0" w:space="0" w:color="auto"/>
        <w:right w:val="none" w:sz="0" w:space="0" w:color="auto"/>
      </w:divBdr>
    </w:div>
    <w:div w:id="1224676496">
      <w:bodyDiv w:val="1"/>
      <w:marLeft w:val="0"/>
      <w:marRight w:val="0"/>
      <w:marTop w:val="0"/>
      <w:marBottom w:val="0"/>
      <w:divBdr>
        <w:top w:val="none" w:sz="0" w:space="0" w:color="auto"/>
        <w:left w:val="none" w:sz="0" w:space="0" w:color="auto"/>
        <w:bottom w:val="none" w:sz="0" w:space="0" w:color="auto"/>
        <w:right w:val="none" w:sz="0" w:space="0" w:color="auto"/>
      </w:divBdr>
    </w:div>
    <w:div w:id="1771124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18B7-201C-402D-98E2-E1B41BF7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10650</Words>
  <Characters>60707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2021-02-11T14:56:00Z</dcterms:created>
  <dcterms:modified xsi:type="dcterms:W3CDTF">2021-02-11T14:59:00Z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