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B19C9" w14:textId="77777777" w:rsidR="00E7798C" w:rsidRDefault="00E7798C" w:rsidP="00007419">
      <w:pPr>
        <w:jc w:val="center"/>
        <w:rPr>
          <w:rFonts w:ascii="Book Antiqua" w:hAnsi="Book Antiqua" w:cs="Arial"/>
          <w:caps/>
          <w:color w:val="000000"/>
          <w:sz w:val="16"/>
          <w:szCs w:val="16"/>
        </w:rPr>
      </w:pPr>
      <w:bookmarkStart w:id="0" w:name="_GoBack"/>
      <w:bookmarkEnd w:id="0"/>
    </w:p>
    <w:p w14:paraId="25E9BBC3" w14:textId="58673EA5" w:rsidR="00D94AFC" w:rsidRPr="00007419" w:rsidRDefault="00FF5C2A" w:rsidP="00007419">
      <w:pPr>
        <w:jc w:val="center"/>
        <w:rPr>
          <w:rFonts w:ascii="Book Antiqua" w:hAnsi="Book Antiqua" w:cs="Arial"/>
          <w:caps/>
          <w:color w:val="000000"/>
          <w:sz w:val="16"/>
          <w:szCs w:val="16"/>
        </w:rPr>
      </w:pPr>
      <w:r>
        <w:rPr>
          <w:noProof/>
        </w:rPr>
        <w:drawing>
          <wp:inline distT="0" distB="0" distL="0" distR="0" wp14:anchorId="1A372681" wp14:editId="3C5A183F">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0E77FB5D"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2BF2D808" w14:textId="779EE8EA" w:rsidR="007B0824"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p>
    <w:p w14:paraId="265A57A4" w14:textId="2BA38317" w:rsidR="003A4EE3" w:rsidRDefault="003A4EE3" w:rsidP="00780F86">
      <w:pPr>
        <w:tabs>
          <w:tab w:val="right" w:pos="9720"/>
        </w:tabs>
        <w:ind w:right="-82"/>
        <w:rPr>
          <w:rFonts w:ascii="Book Antiqua" w:hAnsi="Book Antiqua" w:cs="Arial"/>
          <w:color w:val="000000"/>
        </w:rPr>
      </w:pPr>
    </w:p>
    <w:p w14:paraId="3AE8D2F0" w14:textId="4A67E798" w:rsidR="003A4EE3" w:rsidRPr="009B7433" w:rsidRDefault="003A4EE3" w:rsidP="00780F86">
      <w:pPr>
        <w:tabs>
          <w:tab w:val="right" w:pos="9720"/>
        </w:tabs>
        <w:ind w:right="-82"/>
        <w:rPr>
          <w:rFonts w:ascii="Book Antiqua" w:hAnsi="Book Antiqua" w:cs="Arial"/>
          <w:color w:val="000000"/>
        </w:rPr>
      </w:pPr>
      <w:bookmarkStart w:id="1" w:name="_Hlk1467602"/>
      <w:proofErr w:type="spellStart"/>
      <w:r>
        <w:rPr>
          <w:rFonts w:ascii="Book Antiqua" w:hAnsi="Book Antiqua" w:cs="Arial"/>
          <w:color w:val="000000"/>
        </w:rPr>
        <w:t>Kunwar</w:t>
      </w:r>
      <w:proofErr w:type="spellEnd"/>
      <w:r>
        <w:rPr>
          <w:rFonts w:ascii="Book Antiqua" w:hAnsi="Book Antiqua" w:cs="Arial"/>
          <w:color w:val="000000"/>
        </w:rPr>
        <w:t xml:space="preserve"> (EFM – calculating periods of residence) [2019] UKUT </w:t>
      </w:r>
      <w:r w:rsidR="006E794D">
        <w:rPr>
          <w:rFonts w:ascii="Book Antiqua" w:hAnsi="Book Antiqua" w:cs="Arial"/>
          <w:color w:val="000000"/>
        </w:rPr>
        <w:t>00063</w:t>
      </w:r>
      <w:r>
        <w:rPr>
          <w:rFonts w:ascii="Book Antiqua" w:hAnsi="Book Antiqua" w:cs="Arial"/>
          <w:color w:val="000000"/>
        </w:rPr>
        <w:t xml:space="preserve"> (IAC)</w:t>
      </w:r>
    </w:p>
    <w:p w14:paraId="1E567C0E" w14:textId="77777777" w:rsidR="00C345E1" w:rsidRPr="009B7433" w:rsidRDefault="00C345E1" w:rsidP="00C345E1">
      <w:pPr>
        <w:jc w:val="center"/>
        <w:rPr>
          <w:rFonts w:ascii="Book Antiqua" w:hAnsi="Book Antiqua" w:cs="Arial"/>
          <w:color w:val="000000"/>
        </w:rPr>
      </w:pPr>
    </w:p>
    <w:bookmarkEnd w:id="1"/>
    <w:p w14:paraId="555CCE85"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12E0D0B4"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14:paraId="04067E5E" w14:textId="77777777" w:rsidTr="00D949B7">
        <w:tc>
          <w:tcPr>
            <w:tcW w:w="6048" w:type="dxa"/>
          </w:tcPr>
          <w:p w14:paraId="55B33692"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FF5C2A">
              <w:rPr>
                <w:rFonts w:ascii="Book Antiqua" w:hAnsi="Book Antiqua" w:cs="Arial"/>
                <w:b/>
              </w:rPr>
              <w:t xml:space="preserve">Newport </w:t>
            </w:r>
          </w:p>
        </w:tc>
        <w:tc>
          <w:tcPr>
            <w:tcW w:w="3960" w:type="dxa"/>
          </w:tcPr>
          <w:p w14:paraId="57416D2F"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50546263" w14:textId="77777777" w:rsidTr="00D949B7">
        <w:tc>
          <w:tcPr>
            <w:tcW w:w="6048" w:type="dxa"/>
          </w:tcPr>
          <w:p w14:paraId="082A8AE8"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FF5C2A">
              <w:rPr>
                <w:rFonts w:ascii="Book Antiqua" w:hAnsi="Book Antiqua" w:cs="Arial"/>
                <w:b/>
              </w:rPr>
              <w:t>6 November 2018</w:t>
            </w:r>
          </w:p>
        </w:tc>
        <w:tc>
          <w:tcPr>
            <w:tcW w:w="3960" w:type="dxa"/>
          </w:tcPr>
          <w:p w14:paraId="631FA6F1" w14:textId="77777777" w:rsidR="00D22636" w:rsidRPr="009B7433" w:rsidRDefault="00D22636" w:rsidP="004A1848">
            <w:pPr>
              <w:jc w:val="both"/>
              <w:rPr>
                <w:rFonts w:ascii="Book Antiqua" w:hAnsi="Book Antiqua" w:cs="Arial"/>
                <w:b/>
              </w:rPr>
            </w:pPr>
          </w:p>
        </w:tc>
      </w:tr>
      <w:tr w:rsidR="00D22636" w:rsidRPr="009B7433" w14:paraId="1BD1F507" w14:textId="77777777" w:rsidTr="00D949B7">
        <w:tc>
          <w:tcPr>
            <w:tcW w:w="6048" w:type="dxa"/>
          </w:tcPr>
          <w:p w14:paraId="504F4CF3" w14:textId="77777777" w:rsidR="00D22636" w:rsidRPr="009B7433" w:rsidRDefault="00D22636" w:rsidP="004A1848">
            <w:pPr>
              <w:jc w:val="both"/>
              <w:rPr>
                <w:rFonts w:ascii="Book Antiqua" w:hAnsi="Book Antiqua" w:cs="Arial"/>
                <w:b/>
              </w:rPr>
            </w:pPr>
          </w:p>
        </w:tc>
        <w:tc>
          <w:tcPr>
            <w:tcW w:w="3960" w:type="dxa"/>
          </w:tcPr>
          <w:p w14:paraId="0D47F014" w14:textId="77777777" w:rsidR="00D22636" w:rsidRPr="009B7433" w:rsidRDefault="00283659" w:rsidP="004A1848">
            <w:pPr>
              <w:jc w:val="both"/>
              <w:rPr>
                <w:rFonts w:ascii="Book Antiqua" w:hAnsi="Book Antiqua" w:cs="Arial"/>
                <w:b/>
              </w:rPr>
            </w:pPr>
            <w:r w:rsidRPr="009B7433">
              <w:rPr>
                <w:rFonts w:ascii="Book Antiqua" w:hAnsi="Book Antiqua" w:cs="Arial"/>
              </w:rPr>
              <w:t>…………………………………</w:t>
            </w:r>
          </w:p>
        </w:tc>
      </w:tr>
    </w:tbl>
    <w:p w14:paraId="1EE4C761" w14:textId="03EFBE5F" w:rsidR="00A15234" w:rsidRPr="009B7433" w:rsidRDefault="00A15234" w:rsidP="00CD0903">
      <w:pPr>
        <w:rPr>
          <w:rFonts w:ascii="Book Antiqua" w:hAnsi="Book Antiqua" w:cs="Arial"/>
        </w:rPr>
      </w:pPr>
    </w:p>
    <w:p w14:paraId="49C18AC9"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20F623DA" w14:textId="77777777" w:rsidR="00A15234" w:rsidRPr="009B7433" w:rsidRDefault="00A15234" w:rsidP="00A15234">
      <w:pPr>
        <w:jc w:val="center"/>
        <w:rPr>
          <w:rFonts w:ascii="Book Antiqua" w:hAnsi="Book Antiqua" w:cs="Arial"/>
          <w:b/>
        </w:rPr>
      </w:pPr>
    </w:p>
    <w:p w14:paraId="1DCA2C14" w14:textId="77777777" w:rsidR="00C23DFC" w:rsidRPr="001C5703" w:rsidRDefault="00C23DFC" w:rsidP="00C23DFC">
      <w:pPr>
        <w:jc w:val="center"/>
        <w:rPr>
          <w:rFonts w:ascii="Book Antiqua" w:hAnsi="Book Antiqua" w:cs="Arial"/>
          <w:b/>
          <w:color w:val="000000"/>
        </w:rPr>
      </w:pPr>
      <w:r>
        <w:rPr>
          <w:rFonts w:ascii="Book Antiqua" w:hAnsi="Book Antiqua" w:cs="Arial"/>
          <w:b/>
          <w:color w:val="000000"/>
        </w:rPr>
        <w:t xml:space="preserve">UPPER TRIBUNAL JUDGE </w:t>
      </w:r>
      <w:r w:rsidR="009669C6">
        <w:rPr>
          <w:rFonts w:ascii="Book Antiqua" w:hAnsi="Book Antiqua" w:cs="Arial"/>
          <w:b/>
          <w:color w:val="000000"/>
        </w:rPr>
        <w:t>GRUBB</w:t>
      </w:r>
    </w:p>
    <w:p w14:paraId="7009B27C" w14:textId="77777777" w:rsidR="001B186A" w:rsidRPr="009B7433" w:rsidRDefault="001B186A" w:rsidP="00A15234">
      <w:pPr>
        <w:jc w:val="center"/>
        <w:rPr>
          <w:rFonts w:ascii="Book Antiqua" w:hAnsi="Book Antiqua" w:cs="Arial"/>
          <w:b/>
          <w:color w:val="000000"/>
        </w:rPr>
      </w:pPr>
    </w:p>
    <w:p w14:paraId="3F113A3B" w14:textId="77777777" w:rsidR="00D20757" w:rsidRPr="009B7433" w:rsidRDefault="00D20757" w:rsidP="00A15234">
      <w:pPr>
        <w:jc w:val="center"/>
        <w:rPr>
          <w:rFonts w:ascii="Book Antiqua" w:hAnsi="Book Antiqua" w:cs="Arial"/>
          <w:b/>
        </w:rPr>
      </w:pPr>
    </w:p>
    <w:p w14:paraId="12F3B497"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2A63BF73" w14:textId="77777777" w:rsidR="00A845DC" w:rsidRPr="009B7433" w:rsidRDefault="00A845DC" w:rsidP="00A15234">
      <w:pPr>
        <w:jc w:val="center"/>
        <w:rPr>
          <w:rFonts w:ascii="Book Antiqua" w:hAnsi="Book Antiqua" w:cs="Arial"/>
          <w:b/>
        </w:rPr>
      </w:pPr>
    </w:p>
    <w:p w14:paraId="4FB47A44" w14:textId="77777777" w:rsidR="00704B61" w:rsidRPr="00FF5C2A" w:rsidRDefault="00FF5C2A" w:rsidP="00FF5C2A">
      <w:pPr>
        <w:jc w:val="center"/>
        <w:rPr>
          <w:rFonts w:ascii="Book Antiqua" w:hAnsi="Book Antiqua" w:cs="Arial"/>
          <w:b/>
          <w:caps/>
        </w:rPr>
      </w:pPr>
      <w:r>
        <w:rPr>
          <w:rFonts w:ascii="Book Antiqua" w:hAnsi="Book Antiqua" w:cs="Arial"/>
          <w:b/>
          <w:caps/>
        </w:rPr>
        <w:t xml:space="preserve">THE Secretary of State FOR THE Home Department </w:t>
      </w:r>
    </w:p>
    <w:p w14:paraId="59C35439"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35830086"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7DB7EB25" w14:textId="77777777" w:rsidR="00DD5071" w:rsidRPr="009B7433" w:rsidRDefault="00DD5071" w:rsidP="00704B61">
      <w:pPr>
        <w:jc w:val="center"/>
        <w:rPr>
          <w:rFonts w:ascii="Book Antiqua" w:hAnsi="Book Antiqua" w:cs="Arial"/>
          <w:b/>
        </w:rPr>
      </w:pPr>
    </w:p>
    <w:p w14:paraId="13C4DBD0" w14:textId="77777777" w:rsidR="00DD5071" w:rsidRPr="009B7433" w:rsidRDefault="00FF5C2A" w:rsidP="00704B61">
      <w:pPr>
        <w:jc w:val="center"/>
        <w:rPr>
          <w:rFonts w:ascii="Book Antiqua" w:hAnsi="Book Antiqua" w:cs="Arial"/>
          <w:b/>
        </w:rPr>
      </w:pPr>
      <w:r>
        <w:rPr>
          <w:rFonts w:ascii="Book Antiqua" w:hAnsi="Book Antiqua" w:cs="Arial"/>
          <w:b/>
        </w:rPr>
        <w:t>MUHAMMAD ASIF SAEED KUNWAR</w:t>
      </w:r>
    </w:p>
    <w:p w14:paraId="3C5492F2"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13961A92" w14:textId="77777777" w:rsidR="00DD5071" w:rsidRPr="009B7433" w:rsidRDefault="00DD5071" w:rsidP="00DD5071">
      <w:pPr>
        <w:rPr>
          <w:rFonts w:ascii="Book Antiqua" w:hAnsi="Book Antiqua" w:cs="Arial"/>
          <w:u w:val="single"/>
        </w:rPr>
      </w:pPr>
    </w:p>
    <w:p w14:paraId="331BEBF3"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5137A31E" w14:textId="77777777" w:rsidR="00DE7DB7" w:rsidRPr="009B7433" w:rsidRDefault="00DE7DB7" w:rsidP="00DD5071">
      <w:pPr>
        <w:rPr>
          <w:rFonts w:ascii="Book Antiqua" w:hAnsi="Book Antiqua" w:cs="Arial"/>
        </w:rPr>
      </w:pPr>
    </w:p>
    <w:p w14:paraId="5E799312"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FF5C2A">
        <w:rPr>
          <w:rFonts w:ascii="Book Antiqua" w:hAnsi="Book Antiqua" w:cs="Arial"/>
        </w:rPr>
        <w:t xml:space="preserve">Mr C Howells, </w:t>
      </w:r>
      <w:r w:rsidR="00FB36A6">
        <w:rPr>
          <w:rFonts w:ascii="Book Antiqua" w:hAnsi="Book Antiqua" w:cs="Arial"/>
        </w:rPr>
        <w:t xml:space="preserve">Senior </w:t>
      </w:r>
      <w:r w:rsidR="00FF5C2A">
        <w:rPr>
          <w:rFonts w:ascii="Book Antiqua" w:hAnsi="Book Antiqua" w:cs="Arial"/>
        </w:rPr>
        <w:t xml:space="preserve">Home Office Presenting Officer </w:t>
      </w:r>
    </w:p>
    <w:p w14:paraId="790C0189" w14:textId="579A7F6A"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FF5C2A">
        <w:rPr>
          <w:rFonts w:ascii="Book Antiqua" w:hAnsi="Book Antiqua" w:cs="Arial"/>
        </w:rPr>
        <w:t xml:space="preserve">Mr R </w:t>
      </w:r>
      <w:r w:rsidR="00FB36A6">
        <w:rPr>
          <w:rFonts w:ascii="Book Antiqua" w:hAnsi="Book Antiqua" w:cs="Arial"/>
        </w:rPr>
        <w:t xml:space="preserve">H </w:t>
      </w:r>
      <w:r w:rsidR="00FF5C2A">
        <w:rPr>
          <w:rFonts w:ascii="Book Antiqua" w:hAnsi="Book Antiqua" w:cs="Arial"/>
        </w:rPr>
        <w:t xml:space="preserve">Rashid </w:t>
      </w:r>
      <w:r w:rsidR="00FB36A6">
        <w:rPr>
          <w:rFonts w:ascii="Book Antiqua" w:hAnsi="Book Antiqua" w:cs="Arial"/>
        </w:rPr>
        <w:t xml:space="preserve">instructed by Marks &amp; Marks Solicitors </w:t>
      </w:r>
    </w:p>
    <w:p w14:paraId="5CA3E977" w14:textId="77777777" w:rsidR="00DE7DB7" w:rsidRPr="009B7433" w:rsidRDefault="00DE7DB7" w:rsidP="00402B9E">
      <w:pPr>
        <w:tabs>
          <w:tab w:val="left" w:pos="2520"/>
        </w:tabs>
        <w:jc w:val="center"/>
        <w:rPr>
          <w:rFonts w:ascii="Book Antiqua" w:hAnsi="Book Antiqua" w:cs="Arial"/>
        </w:rPr>
      </w:pPr>
    </w:p>
    <w:p w14:paraId="17406E72" w14:textId="77777777" w:rsidR="00DE7DB7" w:rsidRPr="009B7433" w:rsidRDefault="00DE7DB7" w:rsidP="000A0743">
      <w:pPr>
        <w:jc w:val="center"/>
        <w:rPr>
          <w:rFonts w:ascii="Book Antiqua" w:hAnsi="Book Antiqua" w:cs="Arial"/>
        </w:rPr>
      </w:pPr>
    </w:p>
    <w:p w14:paraId="1DD9DAB1" w14:textId="3ABB7523" w:rsidR="00402B9E" w:rsidRDefault="00D949B7" w:rsidP="004D6B45">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4489950F" w14:textId="0DE24A67" w:rsidR="008B2986" w:rsidRDefault="008B2986" w:rsidP="004D6B45">
      <w:pPr>
        <w:tabs>
          <w:tab w:val="left" w:pos="2520"/>
        </w:tabs>
        <w:jc w:val="center"/>
        <w:rPr>
          <w:rFonts w:ascii="Book Antiqua" w:hAnsi="Book Antiqua" w:cs="Arial"/>
          <w:b/>
          <w:u w:val="single"/>
        </w:rPr>
      </w:pPr>
    </w:p>
    <w:p w14:paraId="5E9E968B" w14:textId="77777777" w:rsidR="001527E6" w:rsidRPr="001527E6" w:rsidRDefault="001527E6" w:rsidP="001527E6">
      <w:pPr>
        <w:numPr>
          <w:ilvl w:val="0"/>
          <w:numId w:val="4"/>
        </w:numPr>
        <w:suppressAutoHyphens/>
        <w:autoSpaceDN w:val="0"/>
        <w:spacing w:after="160" w:line="256" w:lineRule="auto"/>
        <w:jc w:val="both"/>
        <w:textAlignment w:val="baseline"/>
        <w:rPr>
          <w:rFonts w:ascii="Book Antiqua" w:hAnsi="Book Antiqua"/>
          <w:i/>
        </w:rPr>
      </w:pPr>
      <w:bookmarkStart w:id="2" w:name="_Hlk1467659"/>
      <w:r w:rsidRPr="001527E6">
        <w:rPr>
          <w:rFonts w:ascii="Book Antiqua" w:hAnsi="Book Antiqua"/>
          <w:i/>
        </w:rPr>
        <w:t xml:space="preserve">An “extended family member” (“EFM”) of an EEA national exercising Treaty rights in the UK (such as a person in a durable relationship) has no right to reside in the UK under the Immigration (EEA) Regulations until he or she is issued with the relevant residence documentation under </w:t>
      </w:r>
      <w:proofErr w:type="spellStart"/>
      <w:r w:rsidRPr="001527E6">
        <w:rPr>
          <w:rFonts w:ascii="Book Antiqua" w:hAnsi="Book Antiqua"/>
          <w:i/>
        </w:rPr>
        <w:t>reg</w:t>
      </w:r>
      <w:proofErr w:type="spellEnd"/>
      <w:r w:rsidRPr="001527E6">
        <w:rPr>
          <w:rFonts w:ascii="Book Antiqua" w:hAnsi="Book Antiqua"/>
          <w:i/>
        </w:rPr>
        <w:t xml:space="preserve"> 17(4) of the 2006 Regulations (now </w:t>
      </w:r>
      <w:proofErr w:type="spellStart"/>
      <w:r w:rsidRPr="001527E6">
        <w:rPr>
          <w:rFonts w:ascii="Book Antiqua" w:hAnsi="Book Antiqua"/>
          <w:i/>
        </w:rPr>
        <w:t>reg</w:t>
      </w:r>
      <w:proofErr w:type="spellEnd"/>
      <w:r w:rsidRPr="001527E6">
        <w:rPr>
          <w:rFonts w:ascii="Book Antiqua" w:hAnsi="Book Antiqua"/>
          <w:i/>
        </w:rPr>
        <w:t xml:space="preserve"> 18(4) of the 2016 Regulations).</w:t>
      </w:r>
    </w:p>
    <w:p w14:paraId="05023687" w14:textId="77777777" w:rsidR="001527E6" w:rsidRPr="001527E6" w:rsidRDefault="001527E6" w:rsidP="001527E6">
      <w:pPr>
        <w:numPr>
          <w:ilvl w:val="0"/>
          <w:numId w:val="4"/>
        </w:numPr>
        <w:suppressAutoHyphens/>
        <w:autoSpaceDN w:val="0"/>
        <w:jc w:val="both"/>
        <w:textAlignment w:val="baseline"/>
      </w:pPr>
      <w:r w:rsidRPr="001527E6">
        <w:rPr>
          <w:rFonts w:ascii="Book Antiqua" w:hAnsi="Book Antiqua"/>
          <w:bCs/>
          <w:i/>
          <w:color w:val="000000"/>
        </w:rPr>
        <w:t xml:space="preserve">Following </w:t>
      </w:r>
      <w:proofErr w:type="spellStart"/>
      <w:r w:rsidRPr="001527E6">
        <w:rPr>
          <w:rFonts w:ascii="Book Antiqua" w:hAnsi="Book Antiqua" w:cs="Arial"/>
          <w:i/>
          <w:u w:val="single"/>
        </w:rPr>
        <w:t>Macastena</w:t>
      </w:r>
      <w:proofErr w:type="spellEnd"/>
      <w:r w:rsidRPr="001527E6">
        <w:rPr>
          <w:rFonts w:ascii="Book Antiqua" w:hAnsi="Book Antiqua" w:cs="Arial"/>
          <w:i/>
          <w:u w:val="single"/>
        </w:rPr>
        <w:t xml:space="preserve"> v SSHD</w:t>
      </w:r>
      <w:r w:rsidRPr="001527E6">
        <w:rPr>
          <w:rFonts w:ascii="Book Antiqua" w:hAnsi="Book Antiqua" w:cs="Arial"/>
          <w:i/>
        </w:rPr>
        <w:t xml:space="preserve"> [2018] EWCA </w:t>
      </w:r>
      <w:proofErr w:type="spellStart"/>
      <w:r w:rsidRPr="001527E6">
        <w:rPr>
          <w:rFonts w:ascii="Book Antiqua" w:hAnsi="Book Antiqua" w:cs="Arial"/>
          <w:i/>
        </w:rPr>
        <w:t>Civ</w:t>
      </w:r>
      <w:proofErr w:type="spellEnd"/>
      <w:r w:rsidRPr="001527E6">
        <w:rPr>
          <w:rFonts w:ascii="Book Antiqua" w:hAnsi="Book Antiqua" w:cs="Arial"/>
          <w:i/>
        </w:rPr>
        <w:t xml:space="preserve"> 1558</w:t>
      </w:r>
      <w:r w:rsidRPr="001527E6">
        <w:rPr>
          <w:rFonts w:ascii="Book Antiqua" w:hAnsi="Book Antiqua"/>
          <w:bCs/>
          <w:i/>
          <w:color w:val="000000"/>
        </w:rPr>
        <w:t xml:space="preserve">, </w:t>
      </w:r>
      <w:proofErr w:type="gramStart"/>
      <w:r w:rsidRPr="001527E6">
        <w:rPr>
          <w:rFonts w:ascii="Book Antiqua" w:hAnsi="Book Antiqua"/>
          <w:bCs/>
          <w:i/>
          <w:color w:val="000000"/>
        </w:rPr>
        <w:t>it is clear that it</w:t>
      </w:r>
      <w:proofErr w:type="gramEnd"/>
      <w:r w:rsidRPr="001527E6">
        <w:rPr>
          <w:rFonts w:ascii="Book Antiqua" w:hAnsi="Book Antiqua"/>
          <w:bCs/>
          <w:i/>
          <w:color w:val="000000"/>
        </w:rPr>
        <w:t xml:space="preserve"> is not possible to aggregate time spent in a durable relationship before the grant of a residence document with time spent after a residence document is issued, for the purpose of the calculating residence in accordance with the Regulations.</w:t>
      </w:r>
    </w:p>
    <w:p w14:paraId="40F29F53" w14:textId="77777777" w:rsidR="001527E6" w:rsidRPr="001527E6" w:rsidRDefault="001527E6" w:rsidP="001527E6">
      <w:pPr>
        <w:suppressAutoHyphens/>
        <w:autoSpaceDN w:val="0"/>
        <w:jc w:val="both"/>
        <w:textAlignment w:val="baseline"/>
        <w:rPr>
          <w:i/>
          <w:color w:val="000000"/>
          <w:sz w:val="28"/>
          <w:szCs w:val="28"/>
        </w:rPr>
      </w:pPr>
    </w:p>
    <w:p w14:paraId="36D71B87" w14:textId="77777777" w:rsidR="001527E6" w:rsidRPr="001527E6" w:rsidRDefault="001527E6" w:rsidP="001527E6">
      <w:pPr>
        <w:numPr>
          <w:ilvl w:val="0"/>
          <w:numId w:val="4"/>
        </w:numPr>
        <w:suppressAutoHyphens/>
        <w:autoSpaceDN w:val="0"/>
        <w:spacing w:after="160" w:line="256" w:lineRule="auto"/>
        <w:jc w:val="both"/>
        <w:textAlignment w:val="baseline"/>
        <w:rPr>
          <w:rFonts w:ascii="Book Antiqua" w:hAnsi="Book Antiqua"/>
          <w:i/>
        </w:rPr>
      </w:pPr>
      <w:r w:rsidRPr="001527E6">
        <w:rPr>
          <w:rFonts w:ascii="Book Antiqua" w:hAnsi="Book Antiqua"/>
          <w:i/>
        </w:rPr>
        <w:lastRenderedPageBreak/>
        <w:t>Once such a document is issued however, then the EFM is “treated as a family member” of the EEA national and may then have a right to reside under the Regulations (</w:t>
      </w:r>
      <w:proofErr w:type="spellStart"/>
      <w:r w:rsidRPr="001527E6">
        <w:rPr>
          <w:rFonts w:ascii="Book Antiqua" w:hAnsi="Book Antiqua"/>
          <w:i/>
        </w:rPr>
        <w:t>reg</w:t>
      </w:r>
      <w:proofErr w:type="spellEnd"/>
      <w:r w:rsidRPr="001527E6">
        <w:rPr>
          <w:rFonts w:ascii="Book Antiqua" w:hAnsi="Book Antiqua"/>
          <w:i/>
        </w:rPr>
        <w:t xml:space="preserve"> 7(3)).</w:t>
      </w:r>
    </w:p>
    <w:p w14:paraId="7547E4DA" w14:textId="77777777" w:rsidR="001527E6" w:rsidRPr="001527E6" w:rsidRDefault="001527E6" w:rsidP="001527E6">
      <w:pPr>
        <w:numPr>
          <w:ilvl w:val="0"/>
          <w:numId w:val="4"/>
        </w:numPr>
        <w:suppressAutoHyphens/>
        <w:autoSpaceDN w:val="0"/>
        <w:spacing w:after="160" w:line="256" w:lineRule="auto"/>
        <w:jc w:val="both"/>
        <w:textAlignment w:val="baseline"/>
        <w:rPr>
          <w:rFonts w:ascii="Book Antiqua" w:hAnsi="Book Antiqua"/>
          <w:i/>
        </w:rPr>
      </w:pPr>
      <w:r w:rsidRPr="001527E6">
        <w:rPr>
          <w:rFonts w:ascii="Book Antiqua" w:hAnsi="Book Antiqua"/>
          <w:i/>
        </w:rPr>
        <w:t xml:space="preserve">Consequently, a person in a “durable relationship” with an EEA national can only be said to be residing in the UK “in accordance with” the Regulations once a residence document is issued.  Only periods of residence following the issue of the documentation can, therefore, count towards establishing a ‘permanent right of residence;’ under </w:t>
      </w:r>
      <w:proofErr w:type="spellStart"/>
      <w:r w:rsidRPr="001527E6">
        <w:rPr>
          <w:rFonts w:ascii="Book Antiqua" w:hAnsi="Book Antiqua"/>
          <w:i/>
        </w:rPr>
        <w:t>reg</w:t>
      </w:r>
      <w:proofErr w:type="spellEnd"/>
      <w:r w:rsidRPr="001527E6">
        <w:rPr>
          <w:rFonts w:ascii="Book Antiqua" w:hAnsi="Book Antiqua"/>
          <w:i/>
        </w:rPr>
        <w:t xml:space="preserve"> 15 based upon 5 years’ continuous residence “in accordance with” the Regulations.</w:t>
      </w:r>
    </w:p>
    <w:p w14:paraId="62238517" w14:textId="77777777" w:rsidR="001527E6" w:rsidRPr="001527E6" w:rsidRDefault="001527E6" w:rsidP="001527E6">
      <w:pPr>
        <w:numPr>
          <w:ilvl w:val="0"/>
          <w:numId w:val="4"/>
        </w:numPr>
        <w:suppressAutoHyphens/>
        <w:autoSpaceDN w:val="0"/>
        <w:spacing w:after="160" w:line="256" w:lineRule="auto"/>
        <w:jc w:val="both"/>
        <w:textAlignment w:val="baseline"/>
      </w:pPr>
      <w:r w:rsidRPr="001527E6">
        <w:rPr>
          <w:rFonts w:ascii="Book Antiqua" w:hAnsi="Book Antiqua"/>
          <w:i/>
        </w:rPr>
        <w:t xml:space="preserve">The scheme of the 2006 and 2016 Regulations in respect of EFMs is consistent with the Citizens’ Directive </w:t>
      </w:r>
      <w:r w:rsidRPr="001527E6">
        <w:rPr>
          <w:rFonts w:ascii="Book Antiqua" w:hAnsi="Book Antiqua" w:cs="Arial"/>
          <w:i/>
        </w:rPr>
        <w:t xml:space="preserve">(Directive 2004/38/EC). The Directive does not confer a right of residence on an individual falling within Art 3.2 including a person in a “durable relationship, duly attested” with an EU national but only imposes an obligation to “facilitate entry and residence” following the undertaking of an “extensive examination of the personal circumstances” of individuals falling within Art 3.2.  </w:t>
      </w:r>
    </w:p>
    <w:bookmarkEnd w:id="2"/>
    <w:p w14:paraId="3D4CFA7B" w14:textId="77777777" w:rsidR="008B2986" w:rsidRPr="009B7433" w:rsidRDefault="008B2986" w:rsidP="004D6B45">
      <w:pPr>
        <w:tabs>
          <w:tab w:val="left" w:pos="2520"/>
        </w:tabs>
        <w:jc w:val="center"/>
        <w:rPr>
          <w:rFonts w:ascii="Book Antiqua" w:hAnsi="Book Antiqua" w:cs="Arial"/>
        </w:rPr>
      </w:pPr>
    </w:p>
    <w:p w14:paraId="49A77285" w14:textId="77777777" w:rsidR="00402B9E" w:rsidRDefault="00402B9E" w:rsidP="000A0743">
      <w:pPr>
        <w:jc w:val="both"/>
        <w:rPr>
          <w:rFonts w:ascii="Book Antiqua" w:hAnsi="Book Antiqua" w:cs="Arial"/>
        </w:rPr>
      </w:pPr>
    </w:p>
    <w:p w14:paraId="37E13754" w14:textId="77777777" w:rsidR="00FB36A6" w:rsidRPr="00FB36A6" w:rsidRDefault="00FB36A6" w:rsidP="000A0743">
      <w:pPr>
        <w:jc w:val="both"/>
        <w:rPr>
          <w:rFonts w:ascii="Book Antiqua" w:hAnsi="Book Antiqua" w:cs="Arial"/>
          <w:b/>
          <w:u w:val="single"/>
        </w:rPr>
      </w:pPr>
      <w:r>
        <w:rPr>
          <w:rFonts w:ascii="Book Antiqua" w:hAnsi="Book Antiqua" w:cs="Arial"/>
          <w:b/>
          <w:u w:val="single"/>
        </w:rPr>
        <w:t xml:space="preserve">Introduction </w:t>
      </w:r>
    </w:p>
    <w:p w14:paraId="56145147" w14:textId="2B1BAF1C" w:rsidR="00EA79AF" w:rsidRDefault="00FB36A6"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respondent (whom I shall refer to as </w:t>
      </w:r>
      <w:r w:rsidR="00E76681">
        <w:rPr>
          <w:rFonts w:ascii="Book Antiqua" w:hAnsi="Book Antiqua" w:cs="Arial"/>
        </w:rPr>
        <w:t>“</w:t>
      </w:r>
      <w:r>
        <w:rPr>
          <w:rFonts w:ascii="Book Antiqua" w:hAnsi="Book Antiqua" w:cs="Arial"/>
        </w:rPr>
        <w:t xml:space="preserve">the claimant”) is a citizen of Pakistan who was born on 4 April 1981.  </w:t>
      </w:r>
    </w:p>
    <w:p w14:paraId="647F00BC" w14:textId="77777777" w:rsidR="00FB36A6" w:rsidRDefault="00FB36A6" w:rsidP="00EA79AF">
      <w:pPr>
        <w:numPr>
          <w:ilvl w:val="0"/>
          <w:numId w:val="1"/>
        </w:numPr>
        <w:tabs>
          <w:tab w:val="clear" w:pos="567"/>
        </w:tabs>
        <w:spacing w:before="240"/>
        <w:jc w:val="both"/>
        <w:rPr>
          <w:rFonts w:ascii="Book Antiqua" w:hAnsi="Book Antiqua" w:cs="Arial"/>
        </w:rPr>
      </w:pPr>
      <w:r>
        <w:rPr>
          <w:rFonts w:ascii="Book Antiqua" w:hAnsi="Book Antiqua" w:cs="Arial"/>
        </w:rPr>
        <w:t>On 21 September 2015, he applied for a permanent residence card under the Immigration (EEA) Regulations 2006 (SI</w:t>
      </w:r>
      <w:r w:rsidR="004B027B">
        <w:rPr>
          <w:rFonts w:ascii="Book Antiqua" w:hAnsi="Book Antiqua" w:cs="Arial"/>
        </w:rPr>
        <w:t xml:space="preserve"> </w:t>
      </w:r>
      <w:r>
        <w:rPr>
          <w:rFonts w:ascii="Book Antiqua" w:hAnsi="Book Antiqua" w:cs="Arial"/>
        </w:rPr>
        <w:t xml:space="preserve">2006/1003 as amended) (“the 2006 Regulations”).  That application was refused by the Secretary of State on 4 March 2016.  </w:t>
      </w:r>
    </w:p>
    <w:p w14:paraId="774C145F" w14:textId="77777777" w:rsidR="00FB36A6" w:rsidRDefault="00FB36A6"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claimant appealed to the First-tier Tribunal.  In a determination promulgated on 7 March 2018, Judge R E Barrowclough allowed the claimant’s appeal.  </w:t>
      </w:r>
    </w:p>
    <w:p w14:paraId="3CB665D1" w14:textId="2959AD23" w:rsidR="00FB36A6" w:rsidRDefault="00FB36A6"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Secretary of State sought, and was granted, permission </w:t>
      </w:r>
      <w:r w:rsidR="00E652E9">
        <w:rPr>
          <w:rFonts w:ascii="Book Antiqua" w:hAnsi="Book Antiqua" w:cs="Arial"/>
        </w:rPr>
        <w:t>to appeal to the</w:t>
      </w:r>
      <w:r>
        <w:rPr>
          <w:rFonts w:ascii="Book Antiqua" w:hAnsi="Book Antiqua" w:cs="Arial"/>
        </w:rPr>
        <w:t xml:space="preserve"> Upper Tribunal by the First-tier Tribunal (Judge Simpson) on 26 April 2018.  </w:t>
      </w:r>
    </w:p>
    <w:p w14:paraId="3C6CCC95" w14:textId="40167609" w:rsidR="00FB36A6" w:rsidRPr="00FB36A6" w:rsidRDefault="00FB36A6" w:rsidP="00FB36A6">
      <w:pPr>
        <w:spacing w:before="240"/>
        <w:jc w:val="both"/>
        <w:rPr>
          <w:rFonts w:ascii="Book Antiqua" w:hAnsi="Book Antiqua" w:cs="Arial"/>
          <w:b/>
          <w:u w:val="single"/>
        </w:rPr>
      </w:pPr>
      <w:r>
        <w:rPr>
          <w:rFonts w:ascii="Book Antiqua" w:hAnsi="Book Antiqua" w:cs="Arial"/>
          <w:b/>
          <w:u w:val="single"/>
        </w:rPr>
        <w:t>The Background</w:t>
      </w:r>
    </w:p>
    <w:p w14:paraId="34F138CF" w14:textId="08A74E52" w:rsidR="00FB36A6" w:rsidRDefault="00FB36A6"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claimant relied upon his </w:t>
      </w:r>
      <w:r w:rsidR="00036A19">
        <w:rPr>
          <w:rFonts w:ascii="Book Antiqua" w:hAnsi="Book Antiqua" w:cs="Arial"/>
        </w:rPr>
        <w:t xml:space="preserve">durable </w:t>
      </w:r>
      <w:r>
        <w:rPr>
          <w:rFonts w:ascii="Book Antiqua" w:hAnsi="Book Antiqua" w:cs="Arial"/>
        </w:rPr>
        <w:t xml:space="preserve">relationship with an EEA national, Ms Marlena </w:t>
      </w:r>
      <w:proofErr w:type="spellStart"/>
      <w:r>
        <w:rPr>
          <w:rFonts w:ascii="Book Antiqua" w:hAnsi="Book Antiqua" w:cs="Arial"/>
        </w:rPr>
        <w:t>Opara</w:t>
      </w:r>
      <w:proofErr w:type="spellEnd"/>
      <w:r>
        <w:rPr>
          <w:rFonts w:ascii="Book Antiqua" w:hAnsi="Book Antiqua" w:cs="Arial"/>
        </w:rPr>
        <w:t xml:space="preserve"> who is a Polish national.  The uncontested evidence, which was accepted </w:t>
      </w:r>
      <w:r w:rsidR="004E4A6C">
        <w:rPr>
          <w:rFonts w:ascii="Book Antiqua" w:hAnsi="Book Antiqua" w:cs="Arial"/>
        </w:rPr>
        <w:t>by</w:t>
      </w:r>
      <w:r>
        <w:rPr>
          <w:rFonts w:ascii="Book Antiqua" w:hAnsi="Book Antiqua" w:cs="Arial"/>
        </w:rPr>
        <w:t xml:space="preserve"> the judge, was that the claimant and Ms </w:t>
      </w:r>
      <w:proofErr w:type="spellStart"/>
      <w:r>
        <w:rPr>
          <w:rFonts w:ascii="Book Antiqua" w:hAnsi="Book Antiqua" w:cs="Arial"/>
        </w:rPr>
        <w:t>Opara</w:t>
      </w:r>
      <w:proofErr w:type="spellEnd"/>
      <w:r>
        <w:rPr>
          <w:rFonts w:ascii="Book Antiqua" w:hAnsi="Book Antiqua" w:cs="Arial"/>
        </w:rPr>
        <w:t xml:space="preserve"> began their relationship in September 2006 and started living together in January 2007.  They lived together until March 2014 when their relationship broke down and Ms </w:t>
      </w:r>
      <w:proofErr w:type="spellStart"/>
      <w:r>
        <w:rPr>
          <w:rFonts w:ascii="Book Antiqua" w:hAnsi="Book Antiqua" w:cs="Arial"/>
        </w:rPr>
        <w:t>Opara</w:t>
      </w:r>
      <w:proofErr w:type="spellEnd"/>
      <w:r>
        <w:rPr>
          <w:rFonts w:ascii="Book Antiqua" w:hAnsi="Book Antiqua" w:cs="Arial"/>
        </w:rPr>
        <w:t xml:space="preserve"> returned to Poland.</w:t>
      </w:r>
    </w:p>
    <w:p w14:paraId="251D3E62" w14:textId="157453CB" w:rsidR="00FB36A6" w:rsidRDefault="00FB36A6"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claimant contended that he had resided in the UK in accordance with the 2006 Regulations for a continuous period of five years, in a durable relationship with Ms </w:t>
      </w:r>
      <w:proofErr w:type="spellStart"/>
      <w:r>
        <w:rPr>
          <w:rFonts w:ascii="Book Antiqua" w:hAnsi="Book Antiqua" w:cs="Arial"/>
        </w:rPr>
        <w:t>Opara</w:t>
      </w:r>
      <w:proofErr w:type="spellEnd"/>
      <w:r>
        <w:rPr>
          <w:rFonts w:ascii="Book Antiqua" w:hAnsi="Book Antiqua" w:cs="Arial"/>
        </w:rPr>
        <w:t xml:space="preserve">, between March 2009 and March 2014.  The claimant relied on the fact that he had been granted a residence card as an “extended family member” in September 2009 and that prior to that, and at least back to March 2009, he had been in a durable relationship with Ms </w:t>
      </w:r>
      <w:proofErr w:type="spellStart"/>
      <w:r>
        <w:rPr>
          <w:rFonts w:ascii="Book Antiqua" w:hAnsi="Book Antiqua" w:cs="Arial"/>
        </w:rPr>
        <w:t>Opara</w:t>
      </w:r>
      <w:proofErr w:type="spellEnd"/>
      <w:r>
        <w:rPr>
          <w:rFonts w:ascii="Book Antiqua" w:hAnsi="Book Antiqua" w:cs="Arial"/>
        </w:rPr>
        <w:t xml:space="preserve">.  Those two periods, when added together, amounted to five years’ continuous lawful residence in accordance with the 2006 Regulations.  </w:t>
      </w:r>
    </w:p>
    <w:p w14:paraId="6DEEFFA1" w14:textId="4C2ABBD4" w:rsidR="00FB36A6" w:rsidRDefault="00FB36A6"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Judge Barrowclough accepted that Ms </w:t>
      </w:r>
      <w:proofErr w:type="spellStart"/>
      <w:r>
        <w:rPr>
          <w:rFonts w:ascii="Book Antiqua" w:hAnsi="Book Antiqua" w:cs="Arial"/>
        </w:rPr>
        <w:t>Opara</w:t>
      </w:r>
      <w:proofErr w:type="spellEnd"/>
      <w:r>
        <w:rPr>
          <w:rFonts w:ascii="Book Antiqua" w:hAnsi="Book Antiqua" w:cs="Arial"/>
        </w:rPr>
        <w:t xml:space="preserve"> had been exercising </w:t>
      </w:r>
      <w:r w:rsidR="00A147DA">
        <w:rPr>
          <w:rFonts w:ascii="Book Antiqua" w:hAnsi="Book Antiqua" w:cs="Arial"/>
        </w:rPr>
        <w:t>T</w:t>
      </w:r>
      <w:r>
        <w:rPr>
          <w:rFonts w:ascii="Book Antiqua" w:hAnsi="Book Antiqua" w:cs="Arial"/>
        </w:rPr>
        <w:t>reaty rights during that period.  That is no longer in issue and I need say no more about it.</w:t>
      </w:r>
    </w:p>
    <w:p w14:paraId="04D1AF04" w14:textId="77777777" w:rsidR="00FB36A6" w:rsidRDefault="00FB36A6" w:rsidP="00EA79AF">
      <w:pPr>
        <w:numPr>
          <w:ilvl w:val="0"/>
          <w:numId w:val="1"/>
        </w:numPr>
        <w:tabs>
          <w:tab w:val="clear" w:pos="567"/>
        </w:tabs>
        <w:spacing w:before="240"/>
        <w:jc w:val="both"/>
        <w:rPr>
          <w:rFonts w:ascii="Book Antiqua" w:hAnsi="Book Antiqua" w:cs="Arial"/>
        </w:rPr>
      </w:pPr>
      <w:r>
        <w:rPr>
          <w:rFonts w:ascii="Book Antiqua" w:hAnsi="Book Antiqua" w:cs="Arial"/>
        </w:rPr>
        <w:lastRenderedPageBreak/>
        <w:t>Further, Judge Barrowclough accepted the basis upon which the claimant’s case was put as giving rise to a permanent right of residence based upon the claimant’s relationship, as a durable one, between March 2009 and March 2014.  The judge’s reasons are succinctly set out in paragraph 7 of the determination as follows:</w:t>
      </w:r>
    </w:p>
    <w:p w14:paraId="7B33D2BD" w14:textId="77777777" w:rsidR="00FB36A6" w:rsidRPr="00E652E9" w:rsidRDefault="00FB36A6" w:rsidP="004B027B">
      <w:pPr>
        <w:spacing w:before="240"/>
        <w:ind w:left="1701" w:right="567" w:hanging="567"/>
        <w:jc w:val="both"/>
        <w:rPr>
          <w:rFonts w:ascii="Book Antiqua" w:hAnsi="Book Antiqua" w:cs="Arial"/>
          <w:sz w:val="22"/>
          <w:szCs w:val="22"/>
        </w:rPr>
      </w:pPr>
      <w:r w:rsidRPr="00E652E9">
        <w:rPr>
          <w:rFonts w:ascii="Book Antiqua" w:hAnsi="Book Antiqua" w:cs="Arial"/>
          <w:sz w:val="22"/>
          <w:szCs w:val="22"/>
        </w:rPr>
        <w:t>“7.</w:t>
      </w:r>
      <w:r w:rsidRPr="00E652E9">
        <w:rPr>
          <w:rFonts w:ascii="Book Antiqua" w:hAnsi="Book Antiqua" w:cs="Arial"/>
          <w:sz w:val="22"/>
          <w:szCs w:val="22"/>
        </w:rPr>
        <w:tab/>
        <w:t xml:space="preserve">Put shortly, I accept and agree with Mr Rashid’s submissions on the appellant’s behalf.  On the basis of the uncontested evidence before me that the appellant and his EEA sponsor Ms </w:t>
      </w:r>
      <w:proofErr w:type="spellStart"/>
      <w:r w:rsidRPr="00E652E9">
        <w:rPr>
          <w:rFonts w:ascii="Book Antiqua" w:hAnsi="Book Antiqua" w:cs="Arial"/>
          <w:sz w:val="22"/>
          <w:szCs w:val="22"/>
        </w:rPr>
        <w:t>Opara</w:t>
      </w:r>
      <w:proofErr w:type="spellEnd"/>
      <w:r w:rsidRPr="00E652E9">
        <w:rPr>
          <w:rFonts w:ascii="Book Antiqua" w:hAnsi="Book Antiqua" w:cs="Arial"/>
          <w:sz w:val="22"/>
          <w:szCs w:val="22"/>
        </w:rPr>
        <w:t xml:space="preserve"> were cohabiting from January 2007 until their relationship ended in March 2014, and in the light of the respondent’s concession that Ms </w:t>
      </w:r>
      <w:proofErr w:type="spellStart"/>
      <w:r w:rsidRPr="00E652E9">
        <w:rPr>
          <w:rFonts w:ascii="Book Antiqua" w:hAnsi="Book Antiqua" w:cs="Arial"/>
          <w:sz w:val="22"/>
          <w:szCs w:val="22"/>
        </w:rPr>
        <w:t>Opara</w:t>
      </w:r>
      <w:proofErr w:type="spellEnd"/>
      <w:r w:rsidRPr="00E652E9">
        <w:rPr>
          <w:rFonts w:ascii="Book Antiqua" w:hAnsi="Book Antiqua" w:cs="Arial"/>
          <w:sz w:val="22"/>
          <w:szCs w:val="22"/>
        </w:rPr>
        <w:t xml:space="preserve"> was exercising Treaty rights in the UK for a continuous period of five years before leaving the UK and returning to Poland, I find that the appellant acquired the right to reside in the UK permanently as a family member of an EEA national with whom he resided in the UK in accordance with the 2006 Regulations for a continuous period of five years, pursuant to Regulation 15(1)(b).  Accordingly, and for these reasons, his appeal succeeds and is allowed.  In my judgment the appellant is entitled to a permanent residence card as confirmation of a right to reside in the UK, pursuant to the 2006 Regulations”.</w:t>
      </w:r>
    </w:p>
    <w:p w14:paraId="46449C6F" w14:textId="77777777" w:rsidR="00AB6A55" w:rsidRDefault="00AB6A55" w:rsidP="00407357">
      <w:pPr>
        <w:spacing w:before="240"/>
        <w:jc w:val="both"/>
        <w:rPr>
          <w:rFonts w:ascii="Book Antiqua" w:hAnsi="Book Antiqua" w:cs="Arial"/>
          <w:b/>
          <w:u w:val="single"/>
        </w:rPr>
      </w:pPr>
    </w:p>
    <w:p w14:paraId="39DB274E" w14:textId="76737461" w:rsidR="00407357" w:rsidRPr="00407357" w:rsidRDefault="00407357" w:rsidP="00407357">
      <w:pPr>
        <w:spacing w:before="240"/>
        <w:jc w:val="both"/>
        <w:rPr>
          <w:rFonts w:ascii="Book Antiqua" w:hAnsi="Book Antiqua" w:cs="Arial"/>
          <w:b/>
          <w:u w:val="single"/>
        </w:rPr>
      </w:pPr>
      <w:r>
        <w:rPr>
          <w:rFonts w:ascii="Book Antiqua" w:hAnsi="Book Antiqua" w:cs="Arial"/>
          <w:b/>
          <w:u w:val="single"/>
        </w:rPr>
        <w:t>The Issue</w:t>
      </w:r>
    </w:p>
    <w:p w14:paraId="277FA4D8" w14:textId="69A43B5F" w:rsidR="00407357" w:rsidRDefault="00407357" w:rsidP="00EA79AF">
      <w:pPr>
        <w:numPr>
          <w:ilvl w:val="0"/>
          <w:numId w:val="1"/>
        </w:numPr>
        <w:tabs>
          <w:tab w:val="clear" w:pos="567"/>
        </w:tabs>
        <w:spacing w:before="240"/>
        <w:jc w:val="both"/>
        <w:rPr>
          <w:rFonts w:ascii="Book Antiqua" w:hAnsi="Book Antiqua" w:cs="Arial"/>
        </w:rPr>
      </w:pPr>
      <w:r>
        <w:rPr>
          <w:rFonts w:ascii="Book Antiqua" w:hAnsi="Book Antiqua" w:cs="Arial"/>
        </w:rPr>
        <w:t>It was accepted by Mr Howells, who represented the Secretary of State, that the claimant was resident in the UK in accordance with the Regulations from the date he was issued with a residence card as an extended family member in September 2009 until his relationship broke down in March 2014.  That is a period of four years and six months.  However, Mr Howells did not accept that the claimant could rely upon his durable relationship prior to the issu</w:t>
      </w:r>
      <w:r w:rsidR="00726959">
        <w:rPr>
          <w:rFonts w:ascii="Book Antiqua" w:hAnsi="Book Antiqua" w:cs="Arial"/>
        </w:rPr>
        <w:t>e</w:t>
      </w:r>
      <w:r>
        <w:rPr>
          <w:rFonts w:ascii="Book Antiqua" w:hAnsi="Book Antiqua" w:cs="Arial"/>
        </w:rPr>
        <w:t xml:space="preserve"> of that card </w:t>
      </w:r>
      <w:proofErr w:type="gramStart"/>
      <w:r>
        <w:rPr>
          <w:rFonts w:ascii="Book Antiqua" w:hAnsi="Book Antiqua" w:cs="Arial"/>
        </w:rPr>
        <w:t>so as to</w:t>
      </w:r>
      <w:proofErr w:type="gramEnd"/>
      <w:r>
        <w:rPr>
          <w:rFonts w:ascii="Book Antiqua" w:hAnsi="Book Antiqua" w:cs="Arial"/>
        </w:rPr>
        <w:t xml:space="preserve"> ‘bolt on’ a further period between March 2009 and September 2009 </w:t>
      </w:r>
      <w:r w:rsidR="00147339">
        <w:rPr>
          <w:rFonts w:ascii="Book Antiqua" w:hAnsi="Book Antiqua" w:cs="Arial"/>
        </w:rPr>
        <w:t>in order</w:t>
      </w:r>
      <w:r>
        <w:rPr>
          <w:rFonts w:ascii="Book Antiqua" w:hAnsi="Book Antiqua" w:cs="Arial"/>
        </w:rPr>
        <w:t xml:space="preserve"> to establish a period of five years’ continuous residence in accordance with the 2006 Regulatio</w:t>
      </w:r>
      <w:r w:rsidR="00E652E9">
        <w:rPr>
          <w:rFonts w:ascii="Book Antiqua" w:hAnsi="Book Antiqua" w:cs="Arial"/>
        </w:rPr>
        <w:t>ns.  Mr Howells submitted that,</w:t>
      </w:r>
      <w:r>
        <w:rPr>
          <w:rFonts w:ascii="Book Antiqua" w:hAnsi="Book Antiqua" w:cs="Arial"/>
        </w:rPr>
        <w:t xml:space="preserve"> until the Secretary of State exercised his discretion to issue a residence card under </w:t>
      </w:r>
      <w:proofErr w:type="spellStart"/>
      <w:r w:rsidR="00147339">
        <w:rPr>
          <w:rFonts w:ascii="Book Antiqua" w:hAnsi="Book Antiqua" w:cs="Arial"/>
        </w:rPr>
        <w:t>r</w:t>
      </w:r>
      <w:r>
        <w:rPr>
          <w:rFonts w:ascii="Book Antiqua" w:hAnsi="Book Antiqua" w:cs="Arial"/>
        </w:rPr>
        <w:t>eg</w:t>
      </w:r>
      <w:proofErr w:type="spellEnd"/>
      <w:r>
        <w:rPr>
          <w:rFonts w:ascii="Book Antiqua" w:hAnsi="Book Antiqua" w:cs="Arial"/>
        </w:rPr>
        <w:t xml:space="preserve"> 17(4), the claimant was not a “family member” as defined in </w:t>
      </w:r>
      <w:proofErr w:type="spellStart"/>
      <w:r w:rsidR="00147339">
        <w:rPr>
          <w:rFonts w:ascii="Book Antiqua" w:hAnsi="Book Antiqua" w:cs="Arial"/>
        </w:rPr>
        <w:t>r</w:t>
      </w:r>
      <w:r>
        <w:rPr>
          <w:rFonts w:ascii="Book Antiqua" w:hAnsi="Book Antiqua" w:cs="Arial"/>
        </w:rPr>
        <w:t>eg</w:t>
      </w:r>
      <w:proofErr w:type="spellEnd"/>
      <w:r>
        <w:rPr>
          <w:rFonts w:ascii="Book Antiqua" w:hAnsi="Book Antiqua" w:cs="Arial"/>
        </w:rPr>
        <w:t xml:space="preserve"> 7(3) read with </w:t>
      </w:r>
      <w:proofErr w:type="spellStart"/>
      <w:r w:rsidR="00147339">
        <w:rPr>
          <w:rFonts w:ascii="Book Antiqua" w:hAnsi="Book Antiqua" w:cs="Arial"/>
        </w:rPr>
        <w:t>r</w:t>
      </w:r>
      <w:r>
        <w:rPr>
          <w:rFonts w:ascii="Book Antiqua" w:hAnsi="Book Antiqua" w:cs="Arial"/>
        </w:rPr>
        <w:t>eg</w:t>
      </w:r>
      <w:proofErr w:type="spellEnd"/>
      <w:r>
        <w:rPr>
          <w:rFonts w:ascii="Book Antiqua" w:hAnsi="Book Antiqua" w:cs="Arial"/>
        </w:rPr>
        <w:t xml:space="preserve"> 8(5).  He could not, therefore, establish for the purposes of </w:t>
      </w:r>
      <w:proofErr w:type="spellStart"/>
      <w:r w:rsidR="00A7409F">
        <w:rPr>
          <w:rFonts w:ascii="Book Antiqua" w:hAnsi="Book Antiqua" w:cs="Arial"/>
        </w:rPr>
        <w:t>r</w:t>
      </w:r>
      <w:r>
        <w:rPr>
          <w:rFonts w:ascii="Book Antiqua" w:hAnsi="Book Antiqua" w:cs="Arial"/>
        </w:rPr>
        <w:t>eg</w:t>
      </w:r>
      <w:proofErr w:type="spellEnd"/>
      <w:r>
        <w:rPr>
          <w:rFonts w:ascii="Book Antiqua" w:hAnsi="Book Antiqua" w:cs="Arial"/>
        </w:rPr>
        <w:t xml:space="preserve"> 15(1)(b) that he was a “family member” of an EEA national residing in the UK in accordance with the 2006 Regulations for a continuous period of five years.</w:t>
      </w:r>
    </w:p>
    <w:p w14:paraId="66E3AD36" w14:textId="6BA2CAC6" w:rsidR="00407357" w:rsidRDefault="00407357"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Mr Rashid, who represented the claimant, relied upon the Court of Appeal’s decision in </w:t>
      </w:r>
      <w:proofErr w:type="spellStart"/>
      <w:r w:rsidRPr="00407357">
        <w:rPr>
          <w:rFonts w:ascii="Book Antiqua" w:hAnsi="Book Antiqua" w:cs="Arial"/>
          <w:u w:val="single"/>
        </w:rPr>
        <w:t>Macas</w:t>
      </w:r>
      <w:r>
        <w:rPr>
          <w:rFonts w:ascii="Book Antiqua" w:hAnsi="Book Antiqua" w:cs="Arial"/>
          <w:u w:val="single"/>
        </w:rPr>
        <w:t>t</w:t>
      </w:r>
      <w:r w:rsidRPr="00407357">
        <w:rPr>
          <w:rFonts w:ascii="Book Antiqua" w:hAnsi="Book Antiqua" w:cs="Arial"/>
          <w:u w:val="single"/>
        </w:rPr>
        <w:t>ena</w:t>
      </w:r>
      <w:proofErr w:type="spellEnd"/>
      <w:r w:rsidRPr="00407357">
        <w:rPr>
          <w:rFonts w:ascii="Book Antiqua" w:hAnsi="Book Antiqua" w:cs="Arial"/>
          <w:u w:val="single"/>
        </w:rPr>
        <w:t xml:space="preserve"> v SSHD</w:t>
      </w:r>
      <w:r>
        <w:rPr>
          <w:rFonts w:ascii="Book Antiqua" w:hAnsi="Book Antiqua" w:cs="Arial"/>
        </w:rPr>
        <w:t xml:space="preserve"> [2018] EWCA </w:t>
      </w:r>
      <w:proofErr w:type="spellStart"/>
      <w:r>
        <w:rPr>
          <w:rFonts w:ascii="Book Antiqua" w:hAnsi="Book Antiqua" w:cs="Arial"/>
        </w:rPr>
        <w:t>Civ</w:t>
      </w:r>
      <w:proofErr w:type="spellEnd"/>
      <w:r>
        <w:rPr>
          <w:rFonts w:ascii="Book Antiqua" w:hAnsi="Book Antiqua" w:cs="Arial"/>
        </w:rPr>
        <w:t xml:space="preserve"> 1558.  He submitted that, in that case, the court had accepted that an individual could rely upon the period of his durable relationship even prior to the issu</w:t>
      </w:r>
      <w:r w:rsidR="00A7409F">
        <w:rPr>
          <w:rFonts w:ascii="Book Antiqua" w:hAnsi="Book Antiqua" w:cs="Arial"/>
        </w:rPr>
        <w:t>e</w:t>
      </w:r>
      <w:r>
        <w:rPr>
          <w:rFonts w:ascii="Book Antiqua" w:hAnsi="Book Antiqua" w:cs="Arial"/>
        </w:rPr>
        <w:t xml:space="preserve"> of a residence card once a card had been issued.  He submitted that the outcome in </w:t>
      </w:r>
      <w:proofErr w:type="spellStart"/>
      <w:r w:rsidRPr="00407357">
        <w:rPr>
          <w:rFonts w:ascii="Book Antiqua" w:hAnsi="Book Antiqua" w:cs="Arial"/>
          <w:u w:val="single"/>
        </w:rPr>
        <w:t>Macastena</w:t>
      </w:r>
      <w:proofErr w:type="spellEnd"/>
      <w:r>
        <w:rPr>
          <w:rFonts w:ascii="Book Antiqua" w:hAnsi="Book Antiqua" w:cs="Arial"/>
        </w:rPr>
        <w:t>, where the individual had not been entitled to rely upon his durable relationship</w:t>
      </w:r>
      <w:r w:rsidR="00863AA8">
        <w:rPr>
          <w:rFonts w:ascii="Book Antiqua" w:hAnsi="Book Antiqua" w:cs="Arial"/>
        </w:rPr>
        <w:t>,</w:t>
      </w:r>
      <w:r>
        <w:rPr>
          <w:rFonts w:ascii="Book Antiqua" w:hAnsi="Book Antiqua" w:cs="Arial"/>
        </w:rPr>
        <w:t xml:space="preserve"> was dependent upon the fact that in that case no card had ever been issued.  Here, the Secretary of State had exercised his discretion to issue a residence card in September 2009.  Mr Rashid submitted that, given that the application was made in May 2009, the Secretary of State must have been satisfied that the claimant was in a durable relationship with his partner at least from March 2009.  Indeed, the judge had found that as a fact in his decision.  </w:t>
      </w:r>
    </w:p>
    <w:p w14:paraId="5F8E8139" w14:textId="77777777" w:rsidR="007F6779" w:rsidRDefault="007F6779" w:rsidP="00407357">
      <w:pPr>
        <w:spacing w:before="240"/>
        <w:jc w:val="both"/>
        <w:rPr>
          <w:rFonts w:ascii="Book Antiqua" w:hAnsi="Book Antiqua" w:cs="Arial"/>
          <w:b/>
          <w:u w:val="single"/>
        </w:rPr>
      </w:pPr>
    </w:p>
    <w:p w14:paraId="39B57725" w14:textId="77777777" w:rsidR="007F6779" w:rsidRDefault="007F6779" w:rsidP="00407357">
      <w:pPr>
        <w:spacing w:before="240"/>
        <w:jc w:val="both"/>
        <w:rPr>
          <w:rFonts w:ascii="Book Antiqua" w:hAnsi="Book Antiqua" w:cs="Arial"/>
          <w:b/>
          <w:u w:val="single"/>
        </w:rPr>
      </w:pPr>
    </w:p>
    <w:p w14:paraId="4778DA0B" w14:textId="6FEB8761" w:rsidR="00407357" w:rsidRPr="00407357" w:rsidRDefault="00407357" w:rsidP="00407357">
      <w:pPr>
        <w:spacing w:before="240"/>
        <w:jc w:val="both"/>
        <w:rPr>
          <w:rFonts w:ascii="Book Antiqua" w:hAnsi="Book Antiqua" w:cs="Arial"/>
          <w:b/>
          <w:u w:val="single"/>
        </w:rPr>
      </w:pPr>
      <w:r>
        <w:rPr>
          <w:rFonts w:ascii="Book Antiqua" w:hAnsi="Book Antiqua" w:cs="Arial"/>
          <w:b/>
          <w:u w:val="single"/>
        </w:rPr>
        <w:t>The Law</w:t>
      </w:r>
    </w:p>
    <w:p w14:paraId="0251A148" w14:textId="77777777" w:rsidR="004B027B" w:rsidRDefault="00407357" w:rsidP="00EA79AF">
      <w:pPr>
        <w:numPr>
          <w:ilvl w:val="0"/>
          <w:numId w:val="1"/>
        </w:numPr>
        <w:tabs>
          <w:tab w:val="clear" w:pos="567"/>
        </w:tabs>
        <w:spacing w:before="240"/>
        <w:jc w:val="both"/>
        <w:rPr>
          <w:rFonts w:ascii="Book Antiqua" w:hAnsi="Book Antiqua" w:cs="Arial"/>
        </w:rPr>
      </w:pPr>
      <w:r>
        <w:rPr>
          <w:rFonts w:ascii="Book Antiqua" w:hAnsi="Book Antiqua" w:cs="Arial"/>
        </w:rPr>
        <w:t>The relevant domestic provisions are found in the 2006 Regulations.  These have subsequently been superseded by the Immigration (EEA) Regulations 2016 (SI 2016/1052)</w:t>
      </w:r>
      <w:r w:rsidR="004B027B">
        <w:rPr>
          <w:rFonts w:ascii="Book Antiqua" w:hAnsi="Book Antiqua" w:cs="Arial"/>
        </w:rPr>
        <w:t xml:space="preserve"> which are materially the same as those applicable to this appeal.</w:t>
      </w:r>
    </w:p>
    <w:p w14:paraId="10A4ED00" w14:textId="4AEDC18E" w:rsidR="00FB36A6" w:rsidRDefault="004B027B"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claimant relies upon </w:t>
      </w:r>
      <w:proofErr w:type="spellStart"/>
      <w:r w:rsidR="00863AA8">
        <w:rPr>
          <w:rFonts w:ascii="Book Antiqua" w:hAnsi="Book Antiqua" w:cs="Arial"/>
        </w:rPr>
        <w:t>r</w:t>
      </w:r>
      <w:r>
        <w:rPr>
          <w:rFonts w:ascii="Book Antiqua" w:hAnsi="Book Antiqua" w:cs="Arial"/>
        </w:rPr>
        <w:t>eg</w:t>
      </w:r>
      <w:proofErr w:type="spellEnd"/>
      <w:r>
        <w:rPr>
          <w:rFonts w:ascii="Book Antiqua" w:hAnsi="Book Antiqua" w:cs="Arial"/>
        </w:rPr>
        <w:t xml:space="preserve"> 15(1)(b) as the basis for his permanent right of residence.  That provides as follows:</w:t>
      </w:r>
      <w:r w:rsidR="00407357">
        <w:rPr>
          <w:rFonts w:ascii="Book Antiqua" w:hAnsi="Book Antiqua" w:cs="Arial"/>
        </w:rPr>
        <w:t xml:space="preserve"> </w:t>
      </w:r>
      <w:r w:rsidR="00FB36A6">
        <w:rPr>
          <w:rFonts w:ascii="Book Antiqua" w:hAnsi="Book Antiqua" w:cs="Arial"/>
        </w:rPr>
        <w:t xml:space="preserve"> </w:t>
      </w:r>
    </w:p>
    <w:p w14:paraId="2224C211" w14:textId="3986A05C" w:rsidR="004B027B" w:rsidRPr="00E652E9" w:rsidRDefault="00CD0903" w:rsidP="004B027B">
      <w:pPr>
        <w:tabs>
          <w:tab w:val="left" w:pos="1701"/>
        </w:tabs>
        <w:spacing w:before="240"/>
        <w:ind w:left="2268" w:right="567" w:hanging="1134"/>
        <w:jc w:val="both"/>
        <w:rPr>
          <w:rFonts w:ascii="Book Antiqua" w:hAnsi="Book Antiqua" w:cs="Arial"/>
          <w:sz w:val="22"/>
          <w:szCs w:val="22"/>
        </w:rPr>
      </w:pPr>
      <w:r w:rsidRPr="00E652E9">
        <w:rPr>
          <w:rFonts w:ascii="Book Antiqua" w:hAnsi="Book Antiqua" w:cs="Arial"/>
          <w:sz w:val="22"/>
          <w:szCs w:val="22"/>
        </w:rPr>
        <w:t>“</w:t>
      </w:r>
      <w:r w:rsidR="004B027B" w:rsidRPr="00E652E9">
        <w:rPr>
          <w:rFonts w:ascii="Book Antiqua" w:hAnsi="Book Antiqua" w:cs="Arial"/>
          <w:sz w:val="22"/>
          <w:szCs w:val="22"/>
        </w:rPr>
        <w:t>15.</w:t>
      </w:r>
      <w:r w:rsidR="004B027B" w:rsidRPr="00E652E9">
        <w:rPr>
          <w:rFonts w:ascii="Book Antiqua" w:hAnsi="Book Antiqua" w:cs="Arial"/>
          <w:sz w:val="22"/>
          <w:szCs w:val="22"/>
        </w:rPr>
        <w:tab/>
        <w:t xml:space="preserve">(1) </w:t>
      </w:r>
      <w:r w:rsidR="004B027B" w:rsidRPr="00E652E9">
        <w:rPr>
          <w:rFonts w:ascii="Book Antiqua" w:hAnsi="Book Antiqua" w:cs="Arial"/>
          <w:sz w:val="22"/>
          <w:szCs w:val="22"/>
        </w:rPr>
        <w:tab/>
        <w:t>The following persons acquire the right to reside</w:t>
      </w:r>
      <w:r w:rsidRPr="00E652E9">
        <w:rPr>
          <w:rFonts w:ascii="Book Antiqua" w:hAnsi="Book Antiqua" w:cs="Arial"/>
          <w:sz w:val="22"/>
          <w:szCs w:val="22"/>
        </w:rPr>
        <w:t>nce</w:t>
      </w:r>
      <w:r w:rsidR="004B027B" w:rsidRPr="00E652E9">
        <w:rPr>
          <w:rFonts w:ascii="Book Antiqua" w:hAnsi="Book Antiqua" w:cs="Arial"/>
          <w:sz w:val="22"/>
          <w:szCs w:val="22"/>
        </w:rPr>
        <w:t xml:space="preserve"> in the United Kingdom permanently –</w:t>
      </w:r>
    </w:p>
    <w:p w14:paraId="7735BEF8" w14:textId="77777777" w:rsidR="004B027B" w:rsidRPr="00E652E9" w:rsidRDefault="004B027B" w:rsidP="004B027B">
      <w:pPr>
        <w:tabs>
          <w:tab w:val="left" w:pos="1701"/>
        </w:tabs>
        <w:spacing w:before="240"/>
        <w:ind w:left="3402" w:hanging="1134"/>
        <w:jc w:val="both"/>
        <w:rPr>
          <w:rFonts w:ascii="Book Antiqua" w:hAnsi="Book Antiqua" w:cs="Arial"/>
          <w:sz w:val="22"/>
          <w:szCs w:val="22"/>
        </w:rPr>
      </w:pPr>
      <w:r w:rsidRPr="00E652E9">
        <w:rPr>
          <w:rFonts w:ascii="Book Antiqua" w:hAnsi="Book Antiqua" w:cs="Arial"/>
          <w:sz w:val="22"/>
          <w:szCs w:val="22"/>
        </w:rPr>
        <w:t>...</w:t>
      </w:r>
    </w:p>
    <w:p w14:paraId="7533FA4E" w14:textId="49CEE358" w:rsidR="004B027B" w:rsidRPr="00E652E9" w:rsidRDefault="004B027B" w:rsidP="004B027B">
      <w:pPr>
        <w:spacing w:before="240"/>
        <w:ind w:left="2835" w:right="567" w:hanging="567"/>
        <w:jc w:val="both"/>
        <w:rPr>
          <w:rFonts w:ascii="Book Antiqua" w:hAnsi="Book Antiqua" w:cs="Arial"/>
          <w:sz w:val="22"/>
          <w:szCs w:val="22"/>
        </w:rPr>
      </w:pPr>
      <w:r w:rsidRPr="00E652E9">
        <w:rPr>
          <w:rFonts w:ascii="Book Antiqua" w:hAnsi="Book Antiqua" w:cs="Arial"/>
          <w:sz w:val="22"/>
          <w:szCs w:val="22"/>
        </w:rPr>
        <w:t>(b)</w:t>
      </w:r>
      <w:r w:rsidRPr="00E652E9">
        <w:rPr>
          <w:rFonts w:ascii="Book Antiqua" w:hAnsi="Book Antiqua" w:cs="Arial"/>
          <w:sz w:val="22"/>
          <w:szCs w:val="22"/>
        </w:rPr>
        <w:tab/>
        <w:t xml:space="preserve">a family member of an EEA national who is not an EEA national but who has resided in the United Kingdom with the EEA national in accordance with these Regulations for a continuous period of five </w:t>
      </w:r>
      <w:proofErr w:type="gramStart"/>
      <w:r w:rsidRPr="00E652E9">
        <w:rPr>
          <w:rFonts w:ascii="Book Antiqua" w:hAnsi="Book Antiqua" w:cs="Arial"/>
          <w:sz w:val="22"/>
          <w:szCs w:val="22"/>
        </w:rPr>
        <w:t>years;...</w:t>
      </w:r>
      <w:proofErr w:type="gramEnd"/>
      <w:r w:rsidRPr="00E652E9">
        <w:rPr>
          <w:rFonts w:ascii="Book Antiqua" w:hAnsi="Book Antiqua" w:cs="Arial"/>
          <w:sz w:val="22"/>
          <w:szCs w:val="22"/>
        </w:rPr>
        <w:t>”</w:t>
      </w:r>
    </w:p>
    <w:p w14:paraId="66167220" w14:textId="1523242F" w:rsidR="004B027B" w:rsidRDefault="004B027B"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A “family member” of an EEA national is defined in </w:t>
      </w:r>
      <w:proofErr w:type="spellStart"/>
      <w:r w:rsidR="00863AA8">
        <w:rPr>
          <w:rFonts w:ascii="Book Antiqua" w:hAnsi="Book Antiqua" w:cs="Arial"/>
        </w:rPr>
        <w:t>r</w:t>
      </w:r>
      <w:r>
        <w:rPr>
          <w:rFonts w:ascii="Book Antiqua" w:hAnsi="Book Antiqua" w:cs="Arial"/>
        </w:rPr>
        <w:t>eg</w:t>
      </w:r>
      <w:proofErr w:type="spellEnd"/>
      <w:r>
        <w:rPr>
          <w:rFonts w:ascii="Book Antiqua" w:hAnsi="Book Antiqua" w:cs="Arial"/>
        </w:rPr>
        <w:t xml:space="preserve"> 7 of the 2006 Regulations.  Reg</w:t>
      </w:r>
      <w:r w:rsidR="00863AA8">
        <w:rPr>
          <w:rFonts w:ascii="Book Antiqua" w:hAnsi="Book Antiqua" w:cs="Arial"/>
        </w:rPr>
        <w:t>ulation</w:t>
      </w:r>
      <w:r>
        <w:rPr>
          <w:rFonts w:ascii="Book Antiqua" w:hAnsi="Book Antiqua" w:cs="Arial"/>
        </w:rPr>
        <w:t xml:space="preserve"> 7(</w:t>
      </w:r>
      <w:r w:rsidR="000909F5">
        <w:rPr>
          <w:rFonts w:ascii="Book Antiqua" w:hAnsi="Book Antiqua" w:cs="Arial"/>
        </w:rPr>
        <w:t>1</w:t>
      </w:r>
      <w:r>
        <w:rPr>
          <w:rFonts w:ascii="Book Antiqua" w:hAnsi="Book Antiqua" w:cs="Arial"/>
        </w:rPr>
        <w:t xml:space="preserve">) sets out </w:t>
      </w:r>
      <w:proofErr w:type="gramStart"/>
      <w:r>
        <w:rPr>
          <w:rFonts w:ascii="Book Antiqua" w:hAnsi="Book Antiqua" w:cs="Arial"/>
        </w:rPr>
        <w:t>a number of</w:t>
      </w:r>
      <w:proofErr w:type="gramEnd"/>
      <w:r>
        <w:rPr>
          <w:rFonts w:ascii="Book Antiqua" w:hAnsi="Book Antiqua" w:cs="Arial"/>
        </w:rPr>
        <w:t xml:space="preserve"> individuals who will be “treated as the family members” of another person.  These include a spouse or civil partner; the direct descendants of an individual or of his spouse or civil partner who are under 21 or who are dependent upon that individual, his spouse or civil partner; and dependent direct relatives in the ascending line of that individual, his spouse or civil partner.  </w:t>
      </w:r>
    </w:p>
    <w:p w14:paraId="06253622" w14:textId="3972D79B" w:rsidR="004B027B" w:rsidRDefault="004B027B" w:rsidP="00EA79AF">
      <w:pPr>
        <w:numPr>
          <w:ilvl w:val="0"/>
          <w:numId w:val="1"/>
        </w:numPr>
        <w:tabs>
          <w:tab w:val="clear" w:pos="567"/>
        </w:tabs>
        <w:spacing w:before="240"/>
        <w:jc w:val="both"/>
        <w:rPr>
          <w:rFonts w:ascii="Book Antiqua" w:hAnsi="Book Antiqua" w:cs="Arial"/>
        </w:rPr>
      </w:pPr>
      <w:r>
        <w:rPr>
          <w:rFonts w:ascii="Book Antiqua" w:hAnsi="Book Antiqua" w:cs="Arial"/>
        </w:rPr>
        <w:t>Reg</w:t>
      </w:r>
      <w:r w:rsidR="007A0BD8">
        <w:rPr>
          <w:rFonts w:ascii="Book Antiqua" w:hAnsi="Book Antiqua" w:cs="Arial"/>
        </w:rPr>
        <w:t>ulation</w:t>
      </w:r>
      <w:r>
        <w:rPr>
          <w:rFonts w:ascii="Book Antiqua" w:hAnsi="Book Antiqua" w:cs="Arial"/>
        </w:rPr>
        <w:t xml:space="preserve"> 7(1)(d) goes on to state a further situation where: “a person who is to be treated as the family member of that other person under paragraph (3)”.</w:t>
      </w:r>
    </w:p>
    <w:p w14:paraId="5C9A572B" w14:textId="386088B7" w:rsidR="004B027B" w:rsidRDefault="004B027B" w:rsidP="00EA79AF">
      <w:pPr>
        <w:numPr>
          <w:ilvl w:val="0"/>
          <w:numId w:val="1"/>
        </w:numPr>
        <w:tabs>
          <w:tab w:val="clear" w:pos="567"/>
        </w:tabs>
        <w:spacing w:before="240"/>
        <w:jc w:val="both"/>
        <w:rPr>
          <w:rFonts w:ascii="Book Antiqua" w:hAnsi="Book Antiqua" w:cs="Arial"/>
        </w:rPr>
      </w:pPr>
      <w:r>
        <w:rPr>
          <w:rFonts w:ascii="Book Antiqua" w:hAnsi="Book Antiqua" w:cs="Arial"/>
        </w:rPr>
        <w:t>Reg</w:t>
      </w:r>
      <w:r w:rsidR="00C3757A">
        <w:rPr>
          <w:rFonts w:ascii="Book Antiqua" w:hAnsi="Book Antiqua" w:cs="Arial"/>
        </w:rPr>
        <w:t>ulation</w:t>
      </w:r>
      <w:r>
        <w:rPr>
          <w:rFonts w:ascii="Book Antiqua" w:hAnsi="Book Antiqua" w:cs="Arial"/>
        </w:rPr>
        <w:t xml:space="preserve"> 7(3) provides as follows:</w:t>
      </w:r>
    </w:p>
    <w:p w14:paraId="280EFBE4" w14:textId="77777777" w:rsidR="004B027B" w:rsidRPr="00E652E9" w:rsidRDefault="004B027B" w:rsidP="004B027B">
      <w:pPr>
        <w:spacing w:before="240"/>
        <w:ind w:left="1134" w:right="567"/>
        <w:jc w:val="both"/>
        <w:rPr>
          <w:rFonts w:ascii="Book Antiqua" w:hAnsi="Book Antiqua" w:cs="Arial"/>
          <w:sz w:val="22"/>
          <w:szCs w:val="22"/>
        </w:rPr>
      </w:pPr>
      <w:r w:rsidRPr="00E652E9">
        <w:rPr>
          <w:rFonts w:ascii="Book Antiqua" w:hAnsi="Book Antiqua" w:cs="Arial"/>
          <w:sz w:val="22"/>
          <w:szCs w:val="22"/>
        </w:rPr>
        <w:t>“Subject to paragraph (4), a person who is an extended family member and has been issued with an EEA family permit, a registration certificate or a residence card shall be treated as the family member of the relevant EEA national for as long as he continues to satisfy the conditions in Regulation 8(2), (3), (4) or (5) in relation to that EEA national and the permit, certificate or card has not ceased to be valid or been revoked”.</w:t>
      </w:r>
    </w:p>
    <w:p w14:paraId="61E2298D" w14:textId="4C1992A4" w:rsidR="004B027B" w:rsidRDefault="004B027B"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claimant does not fall, and this is not contentious, within any of the categories in </w:t>
      </w:r>
      <w:proofErr w:type="spellStart"/>
      <w:r w:rsidR="00C3757A">
        <w:rPr>
          <w:rFonts w:ascii="Book Antiqua" w:hAnsi="Book Antiqua" w:cs="Arial"/>
        </w:rPr>
        <w:t>reg</w:t>
      </w:r>
      <w:proofErr w:type="spellEnd"/>
      <w:r>
        <w:rPr>
          <w:rFonts w:ascii="Book Antiqua" w:hAnsi="Book Antiqua" w:cs="Arial"/>
        </w:rPr>
        <w:t xml:space="preserve"> 7(1)(a)–(c) </w:t>
      </w:r>
      <w:proofErr w:type="gramStart"/>
      <w:r w:rsidR="004F0505">
        <w:rPr>
          <w:rFonts w:ascii="Book Antiqua" w:hAnsi="Book Antiqua" w:cs="Arial"/>
        </w:rPr>
        <w:t xml:space="preserve">so as </w:t>
      </w:r>
      <w:r>
        <w:rPr>
          <w:rFonts w:ascii="Book Antiqua" w:hAnsi="Book Antiqua" w:cs="Arial"/>
        </w:rPr>
        <w:t>to</w:t>
      </w:r>
      <w:proofErr w:type="gramEnd"/>
      <w:r>
        <w:rPr>
          <w:rFonts w:ascii="Book Antiqua" w:hAnsi="Book Antiqua" w:cs="Arial"/>
        </w:rPr>
        <w:t xml:space="preserve"> be treated as a “family member” of his partner.  His entitlement</w:t>
      </w:r>
      <w:r w:rsidR="000909F5">
        <w:rPr>
          <w:rFonts w:ascii="Book Antiqua" w:hAnsi="Book Antiqua" w:cs="Arial"/>
        </w:rPr>
        <w:t xml:space="preserve"> is said to flow from the fact that he is an “extended family member” as defined in </w:t>
      </w:r>
      <w:proofErr w:type="spellStart"/>
      <w:r w:rsidR="004F0505">
        <w:rPr>
          <w:rFonts w:ascii="Book Antiqua" w:hAnsi="Book Antiqua" w:cs="Arial"/>
        </w:rPr>
        <w:t>r</w:t>
      </w:r>
      <w:r w:rsidR="000909F5">
        <w:rPr>
          <w:rFonts w:ascii="Book Antiqua" w:hAnsi="Book Antiqua" w:cs="Arial"/>
        </w:rPr>
        <w:t>eg</w:t>
      </w:r>
      <w:proofErr w:type="spellEnd"/>
      <w:r w:rsidR="000909F5">
        <w:rPr>
          <w:rFonts w:ascii="Book Antiqua" w:hAnsi="Book Antiqua" w:cs="Arial"/>
        </w:rPr>
        <w:t xml:space="preserve"> 8(5) of the 2006 Regulations which provides as follows:</w:t>
      </w:r>
    </w:p>
    <w:p w14:paraId="3C60EA41" w14:textId="7B9474BD" w:rsidR="000909F5" w:rsidRPr="00E652E9" w:rsidRDefault="000909F5" w:rsidP="000909F5">
      <w:pPr>
        <w:spacing w:before="240"/>
        <w:ind w:left="1134" w:right="567"/>
        <w:jc w:val="both"/>
        <w:rPr>
          <w:rFonts w:ascii="Book Antiqua" w:hAnsi="Book Antiqua" w:cs="Arial"/>
          <w:sz w:val="22"/>
          <w:szCs w:val="22"/>
        </w:rPr>
      </w:pPr>
      <w:r w:rsidRPr="00E652E9">
        <w:rPr>
          <w:rFonts w:ascii="Book Antiqua" w:hAnsi="Book Antiqua" w:cs="Arial"/>
          <w:sz w:val="22"/>
          <w:szCs w:val="22"/>
        </w:rPr>
        <w:t xml:space="preserve">“A person satisfies the condition in this paragraph </w:t>
      </w:r>
      <w:r w:rsidR="00E836BC" w:rsidRPr="00E652E9">
        <w:rPr>
          <w:rFonts w:ascii="Book Antiqua" w:hAnsi="Book Antiqua" w:cs="Arial"/>
          <w:sz w:val="22"/>
          <w:szCs w:val="22"/>
        </w:rPr>
        <w:t>[</w:t>
      </w:r>
      <w:r w:rsidR="004F0505" w:rsidRPr="00E652E9">
        <w:rPr>
          <w:rFonts w:ascii="Book Antiqua" w:hAnsi="Book Antiqua" w:cs="Arial"/>
          <w:sz w:val="22"/>
          <w:szCs w:val="22"/>
        </w:rPr>
        <w:t xml:space="preserve">and </w:t>
      </w:r>
      <w:r w:rsidRPr="00E652E9">
        <w:rPr>
          <w:rFonts w:ascii="Book Antiqua" w:hAnsi="Book Antiqua" w:cs="Arial"/>
          <w:sz w:val="22"/>
          <w:szCs w:val="22"/>
        </w:rPr>
        <w:t>is therefore an ‘extended family member’</w:t>
      </w:r>
      <w:r w:rsidR="00E836BC" w:rsidRPr="00E652E9">
        <w:rPr>
          <w:rFonts w:ascii="Book Antiqua" w:hAnsi="Book Antiqua" w:cs="Arial"/>
          <w:sz w:val="22"/>
          <w:szCs w:val="22"/>
        </w:rPr>
        <w:t>]</w:t>
      </w:r>
      <w:r w:rsidRPr="00E652E9">
        <w:rPr>
          <w:rFonts w:ascii="Book Antiqua" w:hAnsi="Book Antiqua" w:cs="Arial"/>
          <w:sz w:val="22"/>
          <w:szCs w:val="22"/>
        </w:rPr>
        <w:t xml:space="preserve"> if the person is the partner of an EEA national (other than a civil partner) and can prove to the decision maker that he is in a durable relationship with the EEA national”.</w:t>
      </w:r>
    </w:p>
    <w:p w14:paraId="6D0785E5" w14:textId="332A6CD9" w:rsidR="000909F5" w:rsidRDefault="00BF353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of course, accepted that the claimant and his partner were in a durable relationship and, therefore, the claimant falls within </w:t>
      </w:r>
      <w:proofErr w:type="spellStart"/>
      <w:r w:rsidR="00E836BC">
        <w:rPr>
          <w:rFonts w:ascii="Book Antiqua" w:hAnsi="Book Antiqua" w:cs="Arial"/>
        </w:rPr>
        <w:t>r</w:t>
      </w:r>
      <w:r>
        <w:rPr>
          <w:rFonts w:ascii="Book Antiqua" w:hAnsi="Book Antiqua" w:cs="Arial"/>
        </w:rPr>
        <w:t>eg</w:t>
      </w:r>
      <w:proofErr w:type="spellEnd"/>
      <w:r>
        <w:rPr>
          <w:rFonts w:ascii="Book Antiqua" w:hAnsi="Book Antiqua" w:cs="Arial"/>
        </w:rPr>
        <w:t xml:space="preserve"> 8(5).  However, unless and </w:t>
      </w:r>
      <w:r>
        <w:rPr>
          <w:rFonts w:ascii="Book Antiqua" w:hAnsi="Book Antiqua" w:cs="Arial"/>
        </w:rPr>
        <w:lastRenderedPageBreak/>
        <w:t xml:space="preserve">until he is issued with a residence card under </w:t>
      </w:r>
      <w:proofErr w:type="spellStart"/>
      <w:r w:rsidR="00E836BC">
        <w:rPr>
          <w:rFonts w:ascii="Book Antiqua" w:hAnsi="Book Antiqua" w:cs="Arial"/>
        </w:rPr>
        <w:t>r</w:t>
      </w:r>
      <w:r>
        <w:rPr>
          <w:rFonts w:ascii="Book Antiqua" w:hAnsi="Book Antiqua" w:cs="Arial"/>
        </w:rPr>
        <w:t>eg</w:t>
      </w:r>
      <w:proofErr w:type="spellEnd"/>
      <w:r>
        <w:rPr>
          <w:rFonts w:ascii="Book Antiqua" w:hAnsi="Book Antiqua" w:cs="Arial"/>
        </w:rPr>
        <w:t xml:space="preserve"> 17(4) of the 2006 Regulations, </w:t>
      </w:r>
      <w:r w:rsidR="00E836BC">
        <w:rPr>
          <w:rFonts w:ascii="Book Antiqua" w:hAnsi="Book Antiqua" w:cs="Arial"/>
        </w:rPr>
        <w:t>the claimant</w:t>
      </w:r>
      <w:r>
        <w:rPr>
          <w:rFonts w:ascii="Book Antiqua" w:hAnsi="Book Antiqua" w:cs="Arial"/>
        </w:rPr>
        <w:t xml:space="preserve"> is not a “family member” of his partner </w:t>
      </w:r>
      <w:proofErr w:type="gramStart"/>
      <w:r>
        <w:rPr>
          <w:rFonts w:ascii="Book Antiqua" w:hAnsi="Book Antiqua" w:cs="Arial"/>
        </w:rPr>
        <w:t>by virtue of</w:t>
      </w:r>
      <w:proofErr w:type="gramEnd"/>
      <w:r>
        <w:rPr>
          <w:rFonts w:ascii="Book Antiqua" w:hAnsi="Book Antiqua" w:cs="Arial"/>
        </w:rPr>
        <w:t xml:space="preserve"> </w:t>
      </w:r>
      <w:proofErr w:type="spellStart"/>
      <w:r w:rsidR="00E836BC">
        <w:rPr>
          <w:rFonts w:ascii="Book Antiqua" w:hAnsi="Book Antiqua" w:cs="Arial"/>
        </w:rPr>
        <w:t>r</w:t>
      </w:r>
      <w:r>
        <w:rPr>
          <w:rFonts w:ascii="Book Antiqua" w:hAnsi="Book Antiqua" w:cs="Arial"/>
        </w:rPr>
        <w:t>eg</w:t>
      </w:r>
      <w:proofErr w:type="spellEnd"/>
      <w:r>
        <w:rPr>
          <w:rFonts w:ascii="Book Antiqua" w:hAnsi="Book Antiqua" w:cs="Arial"/>
        </w:rPr>
        <w:t xml:space="preserve"> 7(3).</w:t>
      </w:r>
    </w:p>
    <w:p w14:paraId="54A88A91" w14:textId="7CCA26FB" w:rsidR="00BF3533" w:rsidRDefault="00BF353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This distinction is important for two reasons.  First, the 2006 Regulations only </w:t>
      </w:r>
      <w:r w:rsidR="00954DF2">
        <w:rPr>
          <w:rFonts w:ascii="Book Antiqua" w:hAnsi="Book Antiqua" w:cs="Arial"/>
        </w:rPr>
        <w:t>confer</w:t>
      </w:r>
      <w:r>
        <w:rPr>
          <w:rFonts w:ascii="Book Antiqua" w:hAnsi="Book Antiqua" w:cs="Arial"/>
        </w:rPr>
        <w:t xml:space="preserve"> a </w:t>
      </w:r>
      <w:r w:rsidR="00954DF2">
        <w:rPr>
          <w:rFonts w:ascii="Book Antiqua" w:hAnsi="Book Antiqua" w:cs="Arial"/>
        </w:rPr>
        <w:t>r</w:t>
      </w:r>
      <w:r>
        <w:rPr>
          <w:rFonts w:ascii="Book Antiqua" w:hAnsi="Book Antiqua" w:cs="Arial"/>
        </w:rPr>
        <w:t xml:space="preserve">ight of residence </w:t>
      </w:r>
      <w:r w:rsidR="00954DF2">
        <w:rPr>
          <w:rFonts w:ascii="Book Antiqua" w:hAnsi="Book Antiqua" w:cs="Arial"/>
        </w:rPr>
        <w:t>on</w:t>
      </w:r>
      <w:r>
        <w:rPr>
          <w:rFonts w:ascii="Book Antiqua" w:hAnsi="Book Antiqua" w:cs="Arial"/>
        </w:rPr>
        <w:t xml:space="preserve"> a “family member” of an EEA national exercising </w:t>
      </w:r>
      <w:r w:rsidR="0064552C">
        <w:rPr>
          <w:rFonts w:ascii="Book Antiqua" w:hAnsi="Book Antiqua" w:cs="Arial"/>
        </w:rPr>
        <w:t>T</w:t>
      </w:r>
      <w:r>
        <w:rPr>
          <w:rFonts w:ascii="Book Antiqua" w:hAnsi="Book Antiqua" w:cs="Arial"/>
        </w:rPr>
        <w:t xml:space="preserve">reaty rights.  That is the case in relation to the ‘initial right of residence’ under </w:t>
      </w:r>
      <w:proofErr w:type="spellStart"/>
      <w:r w:rsidR="0064552C">
        <w:rPr>
          <w:rFonts w:ascii="Book Antiqua" w:hAnsi="Book Antiqua" w:cs="Arial"/>
        </w:rPr>
        <w:t>r</w:t>
      </w:r>
      <w:r>
        <w:rPr>
          <w:rFonts w:ascii="Book Antiqua" w:hAnsi="Book Antiqua" w:cs="Arial"/>
        </w:rPr>
        <w:t>eg</w:t>
      </w:r>
      <w:proofErr w:type="spellEnd"/>
      <w:r>
        <w:rPr>
          <w:rFonts w:ascii="Book Antiqua" w:hAnsi="Book Antiqua" w:cs="Arial"/>
        </w:rPr>
        <w:t xml:space="preserve"> 13(2) and in respect of the ‘extended right of residence’ after three months under </w:t>
      </w:r>
      <w:proofErr w:type="spellStart"/>
      <w:r w:rsidR="0064552C">
        <w:rPr>
          <w:rFonts w:ascii="Book Antiqua" w:hAnsi="Book Antiqua" w:cs="Arial"/>
        </w:rPr>
        <w:t>r</w:t>
      </w:r>
      <w:r>
        <w:rPr>
          <w:rFonts w:ascii="Book Antiqua" w:hAnsi="Book Antiqua" w:cs="Arial"/>
        </w:rPr>
        <w:t>eg</w:t>
      </w:r>
      <w:proofErr w:type="spellEnd"/>
      <w:r>
        <w:rPr>
          <w:rFonts w:ascii="Book Antiqua" w:hAnsi="Book Antiqua" w:cs="Arial"/>
        </w:rPr>
        <w:t xml:space="preserve"> 14(2).  </w:t>
      </w:r>
    </w:p>
    <w:p w14:paraId="60D8B790" w14:textId="08F740F0" w:rsidR="000909F5" w:rsidRDefault="00BF353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Secondly, a ‘permanent right of residence’ under </w:t>
      </w:r>
      <w:proofErr w:type="spellStart"/>
      <w:r w:rsidR="0064552C">
        <w:rPr>
          <w:rFonts w:ascii="Book Antiqua" w:hAnsi="Book Antiqua" w:cs="Arial"/>
        </w:rPr>
        <w:t>r</w:t>
      </w:r>
      <w:r>
        <w:rPr>
          <w:rFonts w:ascii="Book Antiqua" w:hAnsi="Book Antiqua" w:cs="Arial"/>
        </w:rPr>
        <w:t>eg</w:t>
      </w:r>
      <w:proofErr w:type="spellEnd"/>
      <w:r>
        <w:rPr>
          <w:rFonts w:ascii="Book Antiqua" w:hAnsi="Book Antiqua" w:cs="Arial"/>
        </w:rPr>
        <w:t xml:space="preserve"> 15(1)(b) is only acquired by a “family member” of an EEA national who has been residing in the UK in accordance with the 2006 Regulations for a continuous period of five years.  Reg</w:t>
      </w:r>
      <w:r w:rsidR="00C11957">
        <w:rPr>
          <w:rFonts w:ascii="Book Antiqua" w:hAnsi="Book Antiqua" w:cs="Arial"/>
        </w:rPr>
        <w:t>ulation</w:t>
      </w:r>
      <w:r>
        <w:rPr>
          <w:rFonts w:ascii="Book Antiqua" w:hAnsi="Book Antiqua" w:cs="Arial"/>
        </w:rPr>
        <w:t xml:space="preserve"> 15(1)(b) provides as follows:</w:t>
      </w:r>
    </w:p>
    <w:p w14:paraId="7506F5D0" w14:textId="2644EF04" w:rsidR="00BF3533" w:rsidRPr="00E652E9" w:rsidRDefault="00BF3533" w:rsidP="00BF3533">
      <w:pPr>
        <w:spacing w:before="240"/>
        <w:ind w:left="1134" w:right="567"/>
        <w:jc w:val="both"/>
        <w:rPr>
          <w:rFonts w:ascii="Book Antiqua" w:hAnsi="Book Antiqua" w:cs="Arial"/>
          <w:sz w:val="22"/>
          <w:szCs w:val="22"/>
        </w:rPr>
      </w:pPr>
      <w:r w:rsidRPr="00E652E9">
        <w:rPr>
          <w:rFonts w:ascii="Book Antiqua" w:hAnsi="Book Antiqua" w:cs="Arial"/>
          <w:sz w:val="22"/>
          <w:szCs w:val="22"/>
        </w:rPr>
        <w:t>“The following persons shall acquire the right to reside</w:t>
      </w:r>
      <w:r w:rsidR="00CD0903" w:rsidRPr="00E652E9">
        <w:rPr>
          <w:rFonts w:ascii="Book Antiqua" w:hAnsi="Book Antiqua" w:cs="Arial"/>
          <w:sz w:val="22"/>
          <w:szCs w:val="22"/>
        </w:rPr>
        <w:t>nce</w:t>
      </w:r>
      <w:r w:rsidRPr="00E652E9">
        <w:rPr>
          <w:rFonts w:ascii="Book Antiqua" w:hAnsi="Book Antiqua" w:cs="Arial"/>
          <w:sz w:val="22"/>
          <w:szCs w:val="22"/>
        </w:rPr>
        <w:t xml:space="preserve"> in the United Kingdom permanently –</w:t>
      </w:r>
    </w:p>
    <w:p w14:paraId="271118FC" w14:textId="77777777" w:rsidR="00BF3533" w:rsidRPr="00E652E9" w:rsidRDefault="00BF3533" w:rsidP="00BF3533">
      <w:pPr>
        <w:spacing w:before="240"/>
        <w:ind w:left="1134" w:right="567"/>
        <w:jc w:val="both"/>
        <w:rPr>
          <w:rFonts w:ascii="Book Antiqua" w:hAnsi="Book Antiqua" w:cs="Arial"/>
          <w:sz w:val="22"/>
          <w:szCs w:val="22"/>
        </w:rPr>
      </w:pPr>
      <w:r w:rsidRPr="00E652E9">
        <w:rPr>
          <w:rFonts w:ascii="Book Antiqua" w:hAnsi="Book Antiqua" w:cs="Arial"/>
          <w:sz w:val="22"/>
          <w:szCs w:val="22"/>
        </w:rPr>
        <w:t>...</w:t>
      </w:r>
    </w:p>
    <w:p w14:paraId="31FF1380" w14:textId="31BF37FD" w:rsidR="00BF3533" w:rsidRPr="00E652E9" w:rsidRDefault="00BF3533" w:rsidP="00BF3533">
      <w:pPr>
        <w:spacing w:before="240"/>
        <w:ind w:left="1701" w:right="567" w:hanging="567"/>
        <w:jc w:val="both"/>
        <w:rPr>
          <w:rFonts w:ascii="Book Antiqua" w:hAnsi="Book Antiqua" w:cs="Arial"/>
          <w:sz w:val="22"/>
          <w:szCs w:val="22"/>
        </w:rPr>
      </w:pPr>
      <w:r w:rsidRPr="00E652E9">
        <w:rPr>
          <w:rFonts w:ascii="Book Antiqua" w:hAnsi="Book Antiqua" w:cs="Arial"/>
          <w:sz w:val="22"/>
          <w:szCs w:val="22"/>
        </w:rPr>
        <w:t>(b)</w:t>
      </w:r>
      <w:r w:rsidRPr="00E652E9">
        <w:rPr>
          <w:rFonts w:ascii="Book Antiqua" w:hAnsi="Book Antiqua" w:cs="Arial"/>
          <w:sz w:val="22"/>
          <w:szCs w:val="22"/>
        </w:rPr>
        <w:tab/>
      </w:r>
      <w:r w:rsidRPr="00E652E9">
        <w:rPr>
          <w:rFonts w:ascii="Book Antiqua" w:hAnsi="Book Antiqua" w:cs="Arial"/>
          <w:i/>
          <w:sz w:val="22"/>
          <w:szCs w:val="22"/>
        </w:rPr>
        <w:t>a family member of an EEA national</w:t>
      </w:r>
      <w:r w:rsidRPr="00E652E9">
        <w:rPr>
          <w:rFonts w:ascii="Book Antiqua" w:hAnsi="Book Antiqua" w:cs="Arial"/>
          <w:sz w:val="22"/>
          <w:szCs w:val="22"/>
        </w:rPr>
        <w:t xml:space="preserve"> who is not himself an EEA national but who has resided in the United Kingdom with the EEA national in accordance with these Regulations for a continuous period of five </w:t>
      </w:r>
      <w:proofErr w:type="gramStart"/>
      <w:r w:rsidRPr="00E652E9">
        <w:rPr>
          <w:rFonts w:ascii="Book Antiqua" w:hAnsi="Book Antiqua" w:cs="Arial"/>
          <w:sz w:val="22"/>
          <w:szCs w:val="22"/>
        </w:rPr>
        <w:t>years;...</w:t>
      </w:r>
      <w:proofErr w:type="gramEnd"/>
      <w:r w:rsidRPr="00E652E9">
        <w:rPr>
          <w:rFonts w:ascii="Book Antiqua" w:hAnsi="Book Antiqua" w:cs="Arial"/>
          <w:sz w:val="22"/>
          <w:szCs w:val="22"/>
        </w:rPr>
        <w:t>”</w:t>
      </w:r>
      <w:r w:rsidR="00C11957" w:rsidRPr="00E652E9">
        <w:rPr>
          <w:rFonts w:ascii="Book Antiqua" w:hAnsi="Book Antiqua" w:cs="Arial"/>
          <w:sz w:val="22"/>
          <w:szCs w:val="22"/>
        </w:rPr>
        <w:t xml:space="preserve"> (my emphasis)</w:t>
      </w:r>
    </w:p>
    <w:p w14:paraId="219BEFCA" w14:textId="76925A93" w:rsidR="000909F5" w:rsidRDefault="00BF353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scheme of the 2006 Regulations is, therefore, clear.  Only “family members” as defined in </w:t>
      </w:r>
      <w:proofErr w:type="spellStart"/>
      <w:r w:rsidR="00E876AF">
        <w:rPr>
          <w:rFonts w:ascii="Book Antiqua" w:hAnsi="Book Antiqua" w:cs="Arial"/>
        </w:rPr>
        <w:t>r</w:t>
      </w:r>
      <w:r>
        <w:rPr>
          <w:rFonts w:ascii="Book Antiqua" w:hAnsi="Book Antiqua" w:cs="Arial"/>
        </w:rPr>
        <w:t>eg</w:t>
      </w:r>
      <w:proofErr w:type="spellEnd"/>
      <w:r>
        <w:rPr>
          <w:rFonts w:ascii="Book Antiqua" w:hAnsi="Book Antiqua" w:cs="Arial"/>
        </w:rPr>
        <w:t xml:space="preserve"> 8 have a right of residence and can, therefore, ‘clock up’ a period of five years’ continuous residence under the 2006 Regulations </w:t>
      </w:r>
      <w:proofErr w:type="gramStart"/>
      <w:r>
        <w:rPr>
          <w:rFonts w:ascii="Book Antiqua" w:hAnsi="Book Antiqua" w:cs="Arial"/>
        </w:rPr>
        <w:t>in order to</w:t>
      </w:r>
      <w:proofErr w:type="gramEnd"/>
      <w:r>
        <w:rPr>
          <w:rFonts w:ascii="Book Antiqua" w:hAnsi="Book Antiqua" w:cs="Arial"/>
        </w:rPr>
        <w:t xml:space="preserve"> acquire a permanent right of residence under </w:t>
      </w:r>
      <w:proofErr w:type="spellStart"/>
      <w:r w:rsidR="0095252E">
        <w:rPr>
          <w:rFonts w:ascii="Book Antiqua" w:hAnsi="Book Antiqua" w:cs="Arial"/>
        </w:rPr>
        <w:t>r</w:t>
      </w:r>
      <w:r>
        <w:rPr>
          <w:rFonts w:ascii="Book Antiqua" w:hAnsi="Book Antiqua" w:cs="Arial"/>
        </w:rPr>
        <w:t>eg</w:t>
      </w:r>
      <w:proofErr w:type="spellEnd"/>
      <w:r>
        <w:rPr>
          <w:rFonts w:ascii="Book Antiqua" w:hAnsi="Book Antiqua" w:cs="Arial"/>
        </w:rPr>
        <w:t xml:space="preserve"> 15(1)(b) of the 2006 Regulations.</w:t>
      </w:r>
    </w:p>
    <w:p w14:paraId="764AED80" w14:textId="2650E097" w:rsidR="00BF3533" w:rsidRDefault="00BF353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By contrast, a person who does not fall within the definition of a “family member” in </w:t>
      </w:r>
      <w:proofErr w:type="spellStart"/>
      <w:r w:rsidR="0095252E">
        <w:rPr>
          <w:rFonts w:ascii="Book Antiqua" w:hAnsi="Book Antiqua" w:cs="Arial"/>
        </w:rPr>
        <w:t>r</w:t>
      </w:r>
      <w:r>
        <w:rPr>
          <w:rFonts w:ascii="Book Antiqua" w:hAnsi="Book Antiqua" w:cs="Arial"/>
        </w:rPr>
        <w:t>eg</w:t>
      </w:r>
      <w:proofErr w:type="spellEnd"/>
      <w:r>
        <w:rPr>
          <w:rFonts w:ascii="Book Antiqua" w:hAnsi="Book Antiqua" w:cs="Arial"/>
        </w:rPr>
        <w:t xml:space="preserve"> 7(1)(a)–(c) but, instead</w:t>
      </w:r>
      <w:r w:rsidR="0095252E">
        <w:rPr>
          <w:rFonts w:ascii="Book Antiqua" w:hAnsi="Book Antiqua" w:cs="Arial"/>
        </w:rPr>
        <w:t>,</w:t>
      </w:r>
      <w:r>
        <w:rPr>
          <w:rFonts w:ascii="Book Antiqua" w:hAnsi="Book Antiqua" w:cs="Arial"/>
        </w:rPr>
        <w:t xml:space="preserve"> is an</w:t>
      </w:r>
      <w:r w:rsidR="007D599E">
        <w:rPr>
          <w:rFonts w:ascii="Book Antiqua" w:hAnsi="Book Antiqua" w:cs="Arial"/>
        </w:rPr>
        <w:t xml:space="preserve"> </w:t>
      </w:r>
      <w:r w:rsidR="00042EEF">
        <w:rPr>
          <w:rFonts w:ascii="Book Antiqua" w:hAnsi="Book Antiqua" w:cs="Arial"/>
        </w:rPr>
        <w:t>“extended family member”</w:t>
      </w:r>
      <w:r w:rsidR="007D599E">
        <w:rPr>
          <w:rFonts w:ascii="Book Antiqua" w:hAnsi="Book Antiqua" w:cs="Arial"/>
        </w:rPr>
        <w:t xml:space="preserve"> falling within </w:t>
      </w:r>
      <w:proofErr w:type="spellStart"/>
      <w:r w:rsidR="0095252E">
        <w:rPr>
          <w:rFonts w:ascii="Book Antiqua" w:hAnsi="Book Antiqua" w:cs="Arial"/>
        </w:rPr>
        <w:t>r</w:t>
      </w:r>
      <w:r w:rsidR="007D599E">
        <w:rPr>
          <w:rFonts w:ascii="Book Antiqua" w:hAnsi="Book Antiqua" w:cs="Arial"/>
        </w:rPr>
        <w:t>eg</w:t>
      </w:r>
      <w:proofErr w:type="spellEnd"/>
      <w:r w:rsidR="007D599E">
        <w:rPr>
          <w:rFonts w:ascii="Book Antiqua" w:hAnsi="Book Antiqua" w:cs="Arial"/>
        </w:rPr>
        <w:t xml:space="preserve"> 8</w:t>
      </w:r>
      <w:r w:rsidR="0095252E">
        <w:rPr>
          <w:rFonts w:ascii="Book Antiqua" w:hAnsi="Book Antiqua" w:cs="Arial"/>
        </w:rPr>
        <w:t>,</w:t>
      </w:r>
      <w:r w:rsidR="007D599E">
        <w:rPr>
          <w:rFonts w:ascii="Book Antiqua" w:hAnsi="Book Antiqua" w:cs="Arial"/>
        </w:rPr>
        <w:t xml:space="preserve"> and</w:t>
      </w:r>
      <w:r w:rsidR="0095252E">
        <w:rPr>
          <w:rFonts w:ascii="Book Antiqua" w:hAnsi="Book Antiqua" w:cs="Arial"/>
        </w:rPr>
        <w:t xml:space="preserve"> </w:t>
      </w:r>
      <w:r w:rsidR="007D599E">
        <w:rPr>
          <w:rFonts w:ascii="Book Antiqua" w:hAnsi="Book Antiqua" w:cs="Arial"/>
        </w:rPr>
        <w:t xml:space="preserve">for the purposes of this appeal </w:t>
      </w:r>
      <w:proofErr w:type="gramStart"/>
      <w:r w:rsidR="007D599E">
        <w:rPr>
          <w:rFonts w:ascii="Book Antiqua" w:hAnsi="Book Antiqua" w:cs="Arial"/>
        </w:rPr>
        <w:t xml:space="preserve">in particular </w:t>
      </w:r>
      <w:proofErr w:type="spellStart"/>
      <w:r w:rsidR="0095252E">
        <w:rPr>
          <w:rFonts w:ascii="Book Antiqua" w:hAnsi="Book Antiqua" w:cs="Arial"/>
        </w:rPr>
        <w:t>r</w:t>
      </w:r>
      <w:r w:rsidR="007D599E">
        <w:rPr>
          <w:rFonts w:ascii="Book Antiqua" w:hAnsi="Book Antiqua" w:cs="Arial"/>
        </w:rPr>
        <w:t>eg</w:t>
      </w:r>
      <w:proofErr w:type="spellEnd"/>
      <w:proofErr w:type="gramEnd"/>
      <w:r w:rsidR="007D599E">
        <w:rPr>
          <w:rFonts w:ascii="Book Antiqua" w:hAnsi="Book Antiqua" w:cs="Arial"/>
        </w:rPr>
        <w:t xml:space="preserve"> 8(5) because he or she is the partner of an EEA national in a durable relationship</w:t>
      </w:r>
      <w:r w:rsidR="0095252E">
        <w:rPr>
          <w:rFonts w:ascii="Book Antiqua" w:hAnsi="Book Antiqua" w:cs="Arial"/>
        </w:rPr>
        <w:t>,</w:t>
      </w:r>
      <w:r w:rsidR="007D599E">
        <w:rPr>
          <w:rFonts w:ascii="Book Antiqua" w:hAnsi="Book Antiqua" w:cs="Arial"/>
        </w:rPr>
        <w:t xml:space="preserve"> has no right of residence in the UK until issued with a residence card under </w:t>
      </w:r>
      <w:proofErr w:type="spellStart"/>
      <w:r w:rsidR="0095252E">
        <w:rPr>
          <w:rFonts w:ascii="Book Antiqua" w:hAnsi="Book Antiqua" w:cs="Arial"/>
        </w:rPr>
        <w:t>r</w:t>
      </w:r>
      <w:r w:rsidR="007D599E">
        <w:rPr>
          <w:rFonts w:ascii="Book Antiqua" w:hAnsi="Book Antiqua" w:cs="Arial"/>
        </w:rPr>
        <w:t>eg</w:t>
      </w:r>
      <w:proofErr w:type="spellEnd"/>
      <w:r w:rsidR="007D599E">
        <w:rPr>
          <w:rFonts w:ascii="Book Antiqua" w:hAnsi="Book Antiqua" w:cs="Arial"/>
        </w:rPr>
        <w:t xml:space="preserve"> 17(4) which is in the following terms:</w:t>
      </w:r>
    </w:p>
    <w:p w14:paraId="33862E87" w14:textId="77777777" w:rsidR="007D599E" w:rsidRPr="00E652E9" w:rsidRDefault="007D599E" w:rsidP="007D599E">
      <w:pPr>
        <w:tabs>
          <w:tab w:val="left" w:pos="1701"/>
        </w:tabs>
        <w:spacing w:before="240"/>
        <w:ind w:left="2268" w:right="567" w:hanging="1134"/>
        <w:jc w:val="both"/>
        <w:rPr>
          <w:rFonts w:ascii="Book Antiqua" w:hAnsi="Book Antiqua" w:cs="Arial"/>
          <w:sz w:val="22"/>
          <w:szCs w:val="22"/>
        </w:rPr>
      </w:pPr>
      <w:r w:rsidRPr="00E652E9">
        <w:rPr>
          <w:rFonts w:ascii="Book Antiqua" w:hAnsi="Book Antiqua" w:cs="Arial"/>
          <w:sz w:val="22"/>
          <w:szCs w:val="22"/>
        </w:rPr>
        <w:t>“17.</w:t>
      </w:r>
      <w:r w:rsidRPr="00E652E9">
        <w:rPr>
          <w:rFonts w:ascii="Book Antiqua" w:hAnsi="Book Antiqua" w:cs="Arial"/>
          <w:sz w:val="22"/>
          <w:szCs w:val="22"/>
        </w:rPr>
        <w:tab/>
        <w:t>(4)</w:t>
      </w:r>
      <w:r w:rsidRPr="00E652E9">
        <w:rPr>
          <w:rFonts w:ascii="Book Antiqua" w:hAnsi="Book Antiqua" w:cs="Arial"/>
          <w:sz w:val="22"/>
          <w:szCs w:val="22"/>
        </w:rPr>
        <w:tab/>
        <w:t>The Secretary of State may issue a residence card to an extended family member not falling within Regulation 7(3) who is not an EEA national on application if –</w:t>
      </w:r>
    </w:p>
    <w:p w14:paraId="3DB3C197" w14:textId="77777777" w:rsidR="007D599E" w:rsidRPr="00E652E9" w:rsidRDefault="007D599E" w:rsidP="007D599E">
      <w:pPr>
        <w:spacing w:before="240"/>
        <w:ind w:left="2835" w:right="567" w:hanging="567"/>
        <w:jc w:val="both"/>
        <w:rPr>
          <w:rFonts w:ascii="Book Antiqua" w:hAnsi="Book Antiqua" w:cs="Arial"/>
          <w:sz w:val="22"/>
          <w:szCs w:val="22"/>
        </w:rPr>
      </w:pPr>
      <w:r w:rsidRPr="00E652E9">
        <w:rPr>
          <w:rFonts w:ascii="Book Antiqua" w:hAnsi="Book Antiqua" w:cs="Arial"/>
          <w:sz w:val="22"/>
          <w:szCs w:val="22"/>
        </w:rPr>
        <w:t>(a)</w:t>
      </w:r>
      <w:r w:rsidRPr="00E652E9">
        <w:rPr>
          <w:rFonts w:ascii="Book Antiqua" w:hAnsi="Book Antiqua" w:cs="Arial"/>
          <w:sz w:val="22"/>
          <w:szCs w:val="22"/>
        </w:rPr>
        <w:tab/>
        <w:t>the relevant EEA national in relation to the extended family member is a qualified person or an EEA national with a permanent right of residence under Regulation 15; and</w:t>
      </w:r>
    </w:p>
    <w:p w14:paraId="3416A1D0" w14:textId="77777777" w:rsidR="007D599E" w:rsidRPr="00E652E9" w:rsidRDefault="007D599E" w:rsidP="007D599E">
      <w:pPr>
        <w:spacing w:before="240"/>
        <w:ind w:left="2835" w:right="567" w:hanging="567"/>
        <w:jc w:val="both"/>
        <w:rPr>
          <w:rFonts w:ascii="Book Antiqua" w:hAnsi="Book Antiqua" w:cs="Arial"/>
          <w:sz w:val="22"/>
          <w:szCs w:val="22"/>
        </w:rPr>
      </w:pPr>
      <w:r w:rsidRPr="00E652E9">
        <w:rPr>
          <w:rFonts w:ascii="Book Antiqua" w:hAnsi="Book Antiqua" w:cs="Arial"/>
          <w:sz w:val="22"/>
          <w:szCs w:val="22"/>
        </w:rPr>
        <w:t>(b)</w:t>
      </w:r>
      <w:r w:rsidRPr="00E652E9">
        <w:rPr>
          <w:rFonts w:ascii="Book Antiqua" w:hAnsi="Book Antiqua" w:cs="Arial"/>
          <w:sz w:val="22"/>
          <w:szCs w:val="22"/>
        </w:rPr>
        <w:tab/>
        <w:t>in all the circumstances it appears to the Secretary of State appropriate to issue the residence card”.</w:t>
      </w:r>
    </w:p>
    <w:p w14:paraId="634A67E0" w14:textId="310A2403" w:rsidR="007D599E" w:rsidRDefault="007D599E" w:rsidP="00EA79AF">
      <w:pPr>
        <w:numPr>
          <w:ilvl w:val="0"/>
          <w:numId w:val="1"/>
        </w:numPr>
        <w:tabs>
          <w:tab w:val="clear" w:pos="567"/>
        </w:tabs>
        <w:spacing w:before="240"/>
        <w:jc w:val="both"/>
        <w:rPr>
          <w:rFonts w:ascii="Book Antiqua" w:hAnsi="Book Antiqua" w:cs="Arial"/>
        </w:rPr>
      </w:pPr>
      <w:r>
        <w:rPr>
          <w:rFonts w:ascii="Book Antiqua" w:hAnsi="Book Antiqua" w:cs="Arial"/>
        </w:rPr>
        <w:t>Reg</w:t>
      </w:r>
      <w:r w:rsidR="0095252E">
        <w:rPr>
          <w:rFonts w:ascii="Book Antiqua" w:hAnsi="Book Antiqua" w:cs="Arial"/>
        </w:rPr>
        <w:t>ulation</w:t>
      </w:r>
      <w:r>
        <w:rPr>
          <w:rFonts w:ascii="Book Antiqua" w:hAnsi="Book Antiqua" w:cs="Arial"/>
        </w:rPr>
        <w:t xml:space="preserve"> 17(5) goes on to state:</w:t>
      </w:r>
    </w:p>
    <w:p w14:paraId="387FE8DF" w14:textId="77777777" w:rsidR="007D599E" w:rsidRPr="00E652E9" w:rsidRDefault="007D599E" w:rsidP="007D599E">
      <w:pPr>
        <w:tabs>
          <w:tab w:val="left" w:pos="1701"/>
        </w:tabs>
        <w:spacing w:before="240"/>
        <w:ind w:left="2268" w:right="567" w:hanging="1134"/>
        <w:jc w:val="both"/>
        <w:rPr>
          <w:rFonts w:ascii="Book Antiqua" w:hAnsi="Book Antiqua" w:cs="Arial"/>
          <w:sz w:val="22"/>
          <w:szCs w:val="22"/>
        </w:rPr>
      </w:pPr>
      <w:r w:rsidRPr="00E652E9">
        <w:rPr>
          <w:rFonts w:ascii="Book Antiqua" w:hAnsi="Book Antiqua" w:cs="Arial"/>
          <w:sz w:val="22"/>
          <w:szCs w:val="22"/>
        </w:rPr>
        <w:t>“17.</w:t>
      </w:r>
      <w:r w:rsidRPr="00E652E9">
        <w:rPr>
          <w:rFonts w:ascii="Book Antiqua" w:hAnsi="Book Antiqua" w:cs="Arial"/>
          <w:sz w:val="22"/>
          <w:szCs w:val="22"/>
        </w:rPr>
        <w:tab/>
        <w:t xml:space="preserve">(5) </w:t>
      </w:r>
      <w:r w:rsidRPr="00E652E9">
        <w:rPr>
          <w:rFonts w:ascii="Book Antiqua" w:hAnsi="Book Antiqua" w:cs="Arial"/>
          <w:sz w:val="22"/>
          <w:szCs w:val="22"/>
        </w:rPr>
        <w:tab/>
        <w:t>Where the Secretary of State receives an application under paragraph (4) he shall undertake an extensive examination of the personal circumstances of the applicant and if he refuses the application shall give reasons justifying the refusal unless this is contrary to the interests of national security”.</w:t>
      </w:r>
    </w:p>
    <w:p w14:paraId="1E158D74" w14:textId="2E7DA621" w:rsidR="007D599E" w:rsidRDefault="007D599E" w:rsidP="00EA79AF">
      <w:pPr>
        <w:numPr>
          <w:ilvl w:val="0"/>
          <w:numId w:val="1"/>
        </w:numPr>
        <w:tabs>
          <w:tab w:val="clear" w:pos="567"/>
        </w:tabs>
        <w:spacing w:before="240"/>
        <w:jc w:val="both"/>
        <w:rPr>
          <w:rFonts w:ascii="Book Antiqua" w:hAnsi="Book Antiqua" w:cs="Arial"/>
        </w:rPr>
      </w:pPr>
      <w:r>
        <w:rPr>
          <w:rFonts w:ascii="Book Antiqua" w:hAnsi="Book Antiqua" w:cs="Arial"/>
        </w:rPr>
        <w:lastRenderedPageBreak/>
        <w:t>Once th</w:t>
      </w:r>
      <w:r w:rsidR="0095252E">
        <w:rPr>
          <w:rFonts w:ascii="Book Antiqua" w:hAnsi="Book Antiqua" w:cs="Arial"/>
        </w:rPr>
        <w:t>e</w:t>
      </w:r>
      <w:r>
        <w:rPr>
          <w:rFonts w:ascii="Book Antiqua" w:hAnsi="Book Antiqua" w:cs="Arial"/>
        </w:rPr>
        <w:t xml:space="preserve"> </w:t>
      </w:r>
      <w:r w:rsidR="0095252E">
        <w:rPr>
          <w:rFonts w:ascii="Book Antiqua" w:hAnsi="Book Antiqua" w:cs="Arial"/>
        </w:rPr>
        <w:t>document</w:t>
      </w:r>
      <w:r>
        <w:rPr>
          <w:rFonts w:ascii="Book Antiqua" w:hAnsi="Book Antiqua" w:cs="Arial"/>
        </w:rPr>
        <w:t xml:space="preserve"> is issued, and it is a discretionary decision, </w:t>
      </w:r>
      <w:proofErr w:type="gramStart"/>
      <w:r>
        <w:rPr>
          <w:rFonts w:ascii="Book Antiqua" w:hAnsi="Book Antiqua" w:cs="Arial"/>
        </w:rPr>
        <w:t>by virtue of</w:t>
      </w:r>
      <w:proofErr w:type="gramEnd"/>
      <w:r>
        <w:rPr>
          <w:rFonts w:ascii="Book Antiqua" w:hAnsi="Book Antiqua" w:cs="Arial"/>
        </w:rPr>
        <w:t xml:space="preserve"> </w:t>
      </w:r>
      <w:proofErr w:type="spellStart"/>
      <w:r w:rsidR="0095252E">
        <w:rPr>
          <w:rFonts w:ascii="Book Antiqua" w:hAnsi="Book Antiqua" w:cs="Arial"/>
        </w:rPr>
        <w:t>r</w:t>
      </w:r>
      <w:r>
        <w:rPr>
          <w:rFonts w:ascii="Book Antiqua" w:hAnsi="Book Antiqua" w:cs="Arial"/>
        </w:rPr>
        <w:t>eg</w:t>
      </w:r>
      <w:proofErr w:type="spellEnd"/>
      <w:r>
        <w:rPr>
          <w:rFonts w:ascii="Book Antiqua" w:hAnsi="Book Antiqua" w:cs="Arial"/>
        </w:rPr>
        <w:t xml:space="preserve"> 7(3) the </w:t>
      </w:r>
      <w:r w:rsidR="00042EEF">
        <w:rPr>
          <w:rFonts w:ascii="Book Antiqua" w:hAnsi="Book Antiqua" w:cs="Arial"/>
        </w:rPr>
        <w:t>“extended family member”</w:t>
      </w:r>
      <w:r>
        <w:rPr>
          <w:rFonts w:ascii="Book Antiqua" w:hAnsi="Book Antiqua" w:cs="Arial"/>
        </w:rPr>
        <w:t xml:space="preserve"> is “treated as the family member of the relevant EEA national” for so long as he or she satisfies the condition that makes him or her an </w:t>
      </w:r>
      <w:r w:rsidR="00042EEF">
        <w:rPr>
          <w:rFonts w:ascii="Book Antiqua" w:hAnsi="Book Antiqua" w:cs="Arial"/>
        </w:rPr>
        <w:t>“extended family member”</w:t>
      </w:r>
      <w:r>
        <w:rPr>
          <w:rFonts w:ascii="Book Antiqua" w:hAnsi="Book Antiqua" w:cs="Arial"/>
        </w:rPr>
        <w:t xml:space="preserve"> under </w:t>
      </w:r>
      <w:proofErr w:type="spellStart"/>
      <w:r w:rsidR="0095252E">
        <w:rPr>
          <w:rFonts w:ascii="Book Antiqua" w:hAnsi="Book Antiqua" w:cs="Arial"/>
        </w:rPr>
        <w:t>r</w:t>
      </w:r>
      <w:r>
        <w:rPr>
          <w:rFonts w:ascii="Book Antiqua" w:hAnsi="Book Antiqua" w:cs="Arial"/>
        </w:rPr>
        <w:t>eg</w:t>
      </w:r>
      <w:proofErr w:type="spellEnd"/>
      <w:r>
        <w:rPr>
          <w:rFonts w:ascii="Book Antiqua" w:hAnsi="Book Antiqua" w:cs="Arial"/>
        </w:rPr>
        <w:t xml:space="preserve"> 8 – in this case, </w:t>
      </w:r>
      <w:r w:rsidR="0095252E">
        <w:rPr>
          <w:rFonts w:ascii="Book Antiqua" w:hAnsi="Book Antiqua" w:cs="Arial"/>
        </w:rPr>
        <w:t xml:space="preserve">he </w:t>
      </w:r>
      <w:r>
        <w:rPr>
          <w:rFonts w:ascii="Book Antiqua" w:hAnsi="Book Antiqua" w:cs="Arial"/>
        </w:rPr>
        <w:t>remains in a</w:t>
      </w:r>
      <w:r w:rsidR="00954DF2">
        <w:rPr>
          <w:rFonts w:ascii="Book Antiqua" w:hAnsi="Book Antiqua" w:cs="Arial"/>
        </w:rPr>
        <w:t xml:space="preserve"> </w:t>
      </w:r>
      <w:r>
        <w:rPr>
          <w:rFonts w:ascii="Book Antiqua" w:hAnsi="Book Antiqua" w:cs="Arial"/>
        </w:rPr>
        <w:t xml:space="preserve">durable relationship with their partner.  </w:t>
      </w:r>
    </w:p>
    <w:p w14:paraId="3BE057D5" w14:textId="3CE1CF01" w:rsidR="007D599E" w:rsidRDefault="007D599E" w:rsidP="00EA79AF">
      <w:pPr>
        <w:numPr>
          <w:ilvl w:val="0"/>
          <w:numId w:val="1"/>
        </w:numPr>
        <w:tabs>
          <w:tab w:val="clear" w:pos="567"/>
        </w:tabs>
        <w:spacing w:before="240"/>
        <w:jc w:val="both"/>
        <w:rPr>
          <w:rFonts w:ascii="Book Antiqua" w:hAnsi="Book Antiqua" w:cs="Arial"/>
        </w:rPr>
      </w:pPr>
      <w:r>
        <w:rPr>
          <w:rFonts w:ascii="Book Antiqua" w:hAnsi="Book Antiqua" w:cs="Arial"/>
        </w:rPr>
        <w:t>Although I was not taken directly to the Citizens</w:t>
      </w:r>
      <w:r w:rsidR="00170CFC">
        <w:rPr>
          <w:rFonts w:ascii="Book Antiqua" w:hAnsi="Book Antiqua" w:cs="Arial"/>
        </w:rPr>
        <w:t>’</w:t>
      </w:r>
      <w:r>
        <w:rPr>
          <w:rFonts w:ascii="Book Antiqua" w:hAnsi="Book Antiqua" w:cs="Arial"/>
        </w:rPr>
        <w:t xml:space="preserve"> Directive </w:t>
      </w:r>
      <w:bookmarkStart w:id="3" w:name="_Hlk532544029"/>
      <w:r>
        <w:rPr>
          <w:rFonts w:ascii="Book Antiqua" w:hAnsi="Book Antiqua" w:cs="Arial"/>
        </w:rPr>
        <w:t xml:space="preserve">(Directive 2004/38/EC) </w:t>
      </w:r>
      <w:bookmarkEnd w:id="3"/>
      <w:r w:rsidR="000A7042">
        <w:rPr>
          <w:rFonts w:ascii="Book Antiqua" w:hAnsi="Book Antiqua" w:cs="Arial"/>
        </w:rPr>
        <w:t xml:space="preserve">(“the Directive”) </w:t>
      </w:r>
      <w:r>
        <w:rPr>
          <w:rFonts w:ascii="Book Antiqua" w:hAnsi="Book Antiqua" w:cs="Arial"/>
        </w:rPr>
        <w:t xml:space="preserve">which the 2006 Regulations seek to give effect to, the distinction between </w:t>
      </w:r>
      <w:r w:rsidR="00CD0903">
        <w:rPr>
          <w:rFonts w:ascii="Book Antiqua" w:hAnsi="Book Antiqua" w:cs="Arial"/>
        </w:rPr>
        <w:t>“</w:t>
      </w:r>
      <w:r>
        <w:rPr>
          <w:rFonts w:ascii="Book Antiqua" w:hAnsi="Book Antiqua" w:cs="Arial"/>
        </w:rPr>
        <w:t>family members</w:t>
      </w:r>
      <w:r w:rsidR="00CD0903">
        <w:rPr>
          <w:rFonts w:ascii="Book Antiqua" w:hAnsi="Book Antiqua" w:cs="Arial"/>
        </w:rPr>
        <w:t>”</w:t>
      </w:r>
      <w:r>
        <w:rPr>
          <w:rFonts w:ascii="Book Antiqua" w:hAnsi="Book Antiqua" w:cs="Arial"/>
        </w:rPr>
        <w:t xml:space="preserve"> and </w:t>
      </w:r>
      <w:r w:rsidR="00CD0903">
        <w:rPr>
          <w:rFonts w:ascii="Book Antiqua" w:hAnsi="Book Antiqua" w:cs="Arial"/>
        </w:rPr>
        <w:t>“</w:t>
      </w:r>
      <w:r>
        <w:rPr>
          <w:rFonts w:ascii="Book Antiqua" w:hAnsi="Book Antiqua" w:cs="Arial"/>
        </w:rPr>
        <w:t>extended family members</w:t>
      </w:r>
      <w:r w:rsidR="00CD0903">
        <w:rPr>
          <w:rFonts w:ascii="Book Antiqua" w:hAnsi="Book Antiqua" w:cs="Arial"/>
        </w:rPr>
        <w:t>”</w:t>
      </w:r>
      <w:r>
        <w:rPr>
          <w:rFonts w:ascii="Book Antiqua" w:hAnsi="Book Antiqua" w:cs="Arial"/>
        </w:rPr>
        <w:t xml:space="preserve"> is replicated, and derived from, the Directive.  The definition of a </w:t>
      </w:r>
      <w:r w:rsidR="00CD0903">
        <w:rPr>
          <w:rFonts w:ascii="Book Antiqua" w:hAnsi="Book Antiqua" w:cs="Arial"/>
        </w:rPr>
        <w:t>“</w:t>
      </w:r>
      <w:r>
        <w:rPr>
          <w:rFonts w:ascii="Book Antiqua" w:hAnsi="Book Antiqua" w:cs="Arial"/>
        </w:rPr>
        <w:t>family member</w:t>
      </w:r>
      <w:r w:rsidR="00CD0903">
        <w:rPr>
          <w:rFonts w:ascii="Book Antiqua" w:hAnsi="Book Antiqua" w:cs="Arial"/>
        </w:rPr>
        <w:t>”</w:t>
      </w:r>
      <w:r>
        <w:rPr>
          <w:rFonts w:ascii="Book Antiqua" w:hAnsi="Book Antiqua" w:cs="Arial"/>
        </w:rPr>
        <w:t xml:space="preserve"> found in </w:t>
      </w:r>
      <w:proofErr w:type="spellStart"/>
      <w:r w:rsidR="0095252E">
        <w:rPr>
          <w:rFonts w:ascii="Book Antiqua" w:hAnsi="Book Antiqua" w:cs="Arial"/>
        </w:rPr>
        <w:t>r</w:t>
      </w:r>
      <w:r>
        <w:rPr>
          <w:rFonts w:ascii="Book Antiqua" w:hAnsi="Book Antiqua" w:cs="Arial"/>
        </w:rPr>
        <w:t>eg</w:t>
      </w:r>
      <w:proofErr w:type="spellEnd"/>
      <w:r>
        <w:rPr>
          <w:rFonts w:ascii="Book Antiqua" w:hAnsi="Book Antiqua" w:cs="Arial"/>
        </w:rPr>
        <w:t xml:space="preserve"> 7 is derived from the definition of ‘family member’ in Art 2</w:t>
      </w:r>
      <w:r w:rsidR="00B34D38">
        <w:rPr>
          <w:rFonts w:ascii="Book Antiqua" w:hAnsi="Book Antiqua" w:cs="Arial"/>
        </w:rPr>
        <w:t>.</w:t>
      </w:r>
      <w:r>
        <w:rPr>
          <w:rFonts w:ascii="Book Antiqua" w:hAnsi="Book Antiqua" w:cs="Arial"/>
        </w:rPr>
        <w:t xml:space="preserve">2 of the Directive.  The Directive is stated to apply to all Union citizens who move to or reside in a Member State other than that of which they are a national and to their ‘family members’ as defined in Art 2.2 when those </w:t>
      </w:r>
      <w:r w:rsidR="00CD0903">
        <w:rPr>
          <w:rFonts w:ascii="Book Antiqua" w:hAnsi="Book Antiqua" w:cs="Arial"/>
        </w:rPr>
        <w:t>“</w:t>
      </w:r>
      <w:r>
        <w:rPr>
          <w:rFonts w:ascii="Book Antiqua" w:hAnsi="Book Antiqua" w:cs="Arial"/>
        </w:rPr>
        <w:t>family members</w:t>
      </w:r>
      <w:r w:rsidR="00CD0903">
        <w:rPr>
          <w:rFonts w:ascii="Book Antiqua" w:hAnsi="Book Antiqua" w:cs="Arial"/>
        </w:rPr>
        <w:t>”</w:t>
      </w:r>
      <w:r>
        <w:rPr>
          <w:rFonts w:ascii="Book Antiqua" w:hAnsi="Book Antiqua" w:cs="Arial"/>
        </w:rPr>
        <w:t xml:space="preserve"> accompany or join them (see Art 3.1).  Likewise, the initial right of residence, the right of residence after three months and the acquisition of a permanent right of residence </w:t>
      </w:r>
      <w:r w:rsidR="0095252E">
        <w:rPr>
          <w:rFonts w:ascii="Book Antiqua" w:hAnsi="Book Antiqua" w:cs="Arial"/>
        </w:rPr>
        <w:t>are</w:t>
      </w:r>
      <w:r>
        <w:rPr>
          <w:rFonts w:ascii="Book Antiqua" w:hAnsi="Book Antiqua" w:cs="Arial"/>
        </w:rPr>
        <w:t xml:space="preserve"> applicable </w:t>
      </w:r>
      <w:r w:rsidR="0095252E">
        <w:rPr>
          <w:rFonts w:ascii="Book Antiqua" w:hAnsi="Book Antiqua" w:cs="Arial"/>
        </w:rPr>
        <w:t xml:space="preserve">only </w:t>
      </w:r>
      <w:r>
        <w:rPr>
          <w:rFonts w:ascii="Book Antiqua" w:hAnsi="Book Antiqua" w:cs="Arial"/>
        </w:rPr>
        <w:t xml:space="preserve">to </w:t>
      </w:r>
      <w:r w:rsidR="00CD0903">
        <w:rPr>
          <w:rFonts w:ascii="Book Antiqua" w:hAnsi="Book Antiqua" w:cs="Arial"/>
        </w:rPr>
        <w:t>“</w:t>
      </w:r>
      <w:r>
        <w:rPr>
          <w:rFonts w:ascii="Book Antiqua" w:hAnsi="Book Antiqua" w:cs="Arial"/>
        </w:rPr>
        <w:t>family members</w:t>
      </w:r>
      <w:r w:rsidR="00CD0903">
        <w:rPr>
          <w:rFonts w:ascii="Book Antiqua" w:hAnsi="Book Antiqua" w:cs="Arial"/>
        </w:rPr>
        <w:t>”</w:t>
      </w:r>
      <w:r>
        <w:rPr>
          <w:rFonts w:ascii="Book Antiqua" w:hAnsi="Book Antiqua" w:cs="Arial"/>
        </w:rPr>
        <w:t xml:space="preserve"> of EU nationals (see Arts 6.2, 7.2 and 16.2 respectively).</w:t>
      </w:r>
    </w:p>
    <w:p w14:paraId="2896652A" w14:textId="419A5AE8" w:rsidR="009C6C0F" w:rsidRDefault="009C6C0F"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What are termed </w:t>
      </w:r>
      <w:r w:rsidR="00CD0903">
        <w:rPr>
          <w:rFonts w:ascii="Book Antiqua" w:hAnsi="Book Antiqua" w:cs="Arial"/>
        </w:rPr>
        <w:t>“</w:t>
      </w:r>
      <w:r>
        <w:rPr>
          <w:rFonts w:ascii="Book Antiqua" w:hAnsi="Book Antiqua" w:cs="Arial"/>
        </w:rPr>
        <w:t>extended family members</w:t>
      </w:r>
      <w:r w:rsidR="00CD0903">
        <w:rPr>
          <w:rFonts w:ascii="Book Antiqua" w:hAnsi="Book Antiqua" w:cs="Arial"/>
        </w:rPr>
        <w:t>”</w:t>
      </w:r>
      <w:r>
        <w:rPr>
          <w:rFonts w:ascii="Book Antiqua" w:hAnsi="Book Antiqua" w:cs="Arial"/>
        </w:rPr>
        <w:t xml:space="preserve"> in the 2006 Regulations are dealt with in the Directive in Art 3.2 which provides as follows:</w:t>
      </w:r>
    </w:p>
    <w:p w14:paraId="2CB3CD7B" w14:textId="72ADAAFC" w:rsidR="009C6C0F" w:rsidRPr="00E652E9" w:rsidRDefault="009C6C0F" w:rsidP="009C6C0F">
      <w:pPr>
        <w:spacing w:before="240"/>
        <w:ind w:left="1134" w:right="567"/>
        <w:jc w:val="both"/>
        <w:rPr>
          <w:rFonts w:ascii="Book Antiqua" w:hAnsi="Book Antiqua" w:cs="Arial"/>
          <w:sz w:val="22"/>
          <w:szCs w:val="22"/>
        </w:rPr>
      </w:pPr>
      <w:r w:rsidRPr="00E652E9">
        <w:rPr>
          <w:rFonts w:ascii="Book Antiqua" w:hAnsi="Book Antiqua" w:cs="Arial"/>
          <w:sz w:val="22"/>
          <w:szCs w:val="22"/>
        </w:rPr>
        <w:t xml:space="preserve">“Without prejudice to any right to free movement and residence the persons concerned may have </w:t>
      </w:r>
      <w:proofErr w:type="gramStart"/>
      <w:r w:rsidRPr="00E652E9">
        <w:rPr>
          <w:rFonts w:ascii="Book Antiqua" w:hAnsi="Book Antiqua" w:cs="Arial"/>
          <w:sz w:val="22"/>
          <w:szCs w:val="22"/>
        </w:rPr>
        <w:t>in their own right, the</w:t>
      </w:r>
      <w:proofErr w:type="gramEnd"/>
      <w:r w:rsidRPr="00E652E9">
        <w:rPr>
          <w:rFonts w:ascii="Book Antiqua" w:hAnsi="Book Antiqua" w:cs="Arial"/>
          <w:sz w:val="22"/>
          <w:szCs w:val="22"/>
        </w:rPr>
        <w:t xml:space="preserve"> host Member State shall, in accordance with </w:t>
      </w:r>
      <w:r w:rsidR="00CD0903" w:rsidRPr="00E652E9">
        <w:rPr>
          <w:rFonts w:ascii="Book Antiqua" w:hAnsi="Book Antiqua" w:cs="Arial"/>
          <w:sz w:val="22"/>
          <w:szCs w:val="22"/>
        </w:rPr>
        <w:t>its</w:t>
      </w:r>
      <w:r w:rsidRPr="00E652E9">
        <w:rPr>
          <w:rFonts w:ascii="Book Antiqua" w:hAnsi="Book Antiqua" w:cs="Arial"/>
          <w:sz w:val="22"/>
          <w:szCs w:val="22"/>
        </w:rPr>
        <w:t xml:space="preserve"> national legislation, facilitate entry and residence for the following persons:</w:t>
      </w:r>
    </w:p>
    <w:p w14:paraId="08DEBDA1" w14:textId="44CCFF41" w:rsidR="009C6C0F" w:rsidRPr="00E652E9" w:rsidRDefault="009C6C0F" w:rsidP="009C6C0F">
      <w:pPr>
        <w:spacing w:before="240"/>
        <w:ind w:left="1701" w:right="567" w:hanging="567"/>
        <w:jc w:val="both"/>
        <w:rPr>
          <w:rFonts w:ascii="Book Antiqua" w:hAnsi="Book Antiqua" w:cs="Arial"/>
          <w:sz w:val="22"/>
          <w:szCs w:val="22"/>
        </w:rPr>
      </w:pPr>
      <w:r w:rsidRPr="00E652E9">
        <w:rPr>
          <w:rFonts w:ascii="Book Antiqua" w:hAnsi="Book Antiqua" w:cs="Arial"/>
          <w:sz w:val="22"/>
          <w:szCs w:val="22"/>
        </w:rPr>
        <w:t>(a)</w:t>
      </w:r>
      <w:r w:rsidRPr="00E652E9">
        <w:rPr>
          <w:rFonts w:ascii="Book Antiqua" w:hAnsi="Book Antiqua" w:cs="Arial"/>
          <w:sz w:val="22"/>
          <w:szCs w:val="22"/>
        </w:rPr>
        <w:tab/>
        <w:t>any other family members, irrespective of their nationality, not falling under the definition in point 2 of Article 2 who, in the country from which they have come, are dependants o</w:t>
      </w:r>
      <w:r w:rsidR="00CD0903" w:rsidRPr="00E652E9">
        <w:rPr>
          <w:rFonts w:ascii="Book Antiqua" w:hAnsi="Book Antiqua" w:cs="Arial"/>
          <w:sz w:val="22"/>
          <w:szCs w:val="22"/>
        </w:rPr>
        <w:t>r</w:t>
      </w:r>
      <w:r w:rsidRPr="00E652E9">
        <w:rPr>
          <w:rFonts w:ascii="Book Antiqua" w:hAnsi="Book Antiqua" w:cs="Arial"/>
          <w:sz w:val="22"/>
          <w:szCs w:val="22"/>
        </w:rPr>
        <w:t xml:space="preserve"> members of the household of the Union citizen having the primary right of residence, or where serious health grounds strictly require the personal care of the family member by the Union citizen;</w:t>
      </w:r>
    </w:p>
    <w:p w14:paraId="641D8A13" w14:textId="77777777" w:rsidR="009C6C0F" w:rsidRPr="00E652E9" w:rsidRDefault="009C6C0F" w:rsidP="009C6C0F">
      <w:pPr>
        <w:spacing w:before="240"/>
        <w:ind w:left="1701" w:right="567" w:hanging="567"/>
        <w:jc w:val="both"/>
        <w:rPr>
          <w:rFonts w:ascii="Book Antiqua" w:hAnsi="Book Antiqua" w:cs="Arial"/>
          <w:sz w:val="22"/>
          <w:szCs w:val="22"/>
        </w:rPr>
      </w:pPr>
      <w:r w:rsidRPr="00E652E9">
        <w:rPr>
          <w:rFonts w:ascii="Book Antiqua" w:hAnsi="Book Antiqua" w:cs="Arial"/>
          <w:sz w:val="22"/>
          <w:szCs w:val="22"/>
        </w:rPr>
        <w:t>(b)</w:t>
      </w:r>
      <w:r w:rsidRPr="00E652E9">
        <w:rPr>
          <w:rFonts w:ascii="Book Antiqua" w:hAnsi="Book Antiqua" w:cs="Arial"/>
          <w:sz w:val="22"/>
          <w:szCs w:val="22"/>
        </w:rPr>
        <w:tab/>
        <w:t>the partner with whom the Union citizen has a durable relationship, duly attested.</w:t>
      </w:r>
    </w:p>
    <w:p w14:paraId="5C46EAC5" w14:textId="77777777" w:rsidR="007D599E" w:rsidRPr="00E652E9" w:rsidRDefault="009C6C0F" w:rsidP="009C6C0F">
      <w:pPr>
        <w:spacing w:before="240"/>
        <w:ind w:left="1134" w:right="567"/>
        <w:jc w:val="both"/>
        <w:rPr>
          <w:rFonts w:ascii="Book Antiqua" w:hAnsi="Book Antiqua" w:cs="Arial"/>
          <w:sz w:val="22"/>
          <w:szCs w:val="22"/>
        </w:rPr>
      </w:pPr>
      <w:r w:rsidRPr="00E652E9">
        <w:rPr>
          <w:rFonts w:ascii="Book Antiqua" w:hAnsi="Book Antiqua" w:cs="Arial"/>
          <w:sz w:val="22"/>
          <w:szCs w:val="22"/>
        </w:rPr>
        <w:t>The host Member State shall undertake an extensive examination of the personal circumstances and shall justify any denial of entry or residence to these people”.</w:t>
      </w:r>
      <w:r w:rsidR="007D599E" w:rsidRPr="00E652E9">
        <w:rPr>
          <w:rFonts w:ascii="Book Antiqua" w:hAnsi="Book Antiqua" w:cs="Arial"/>
          <w:sz w:val="22"/>
          <w:szCs w:val="22"/>
        </w:rPr>
        <w:t xml:space="preserve"> </w:t>
      </w:r>
    </w:p>
    <w:p w14:paraId="27A968AD" w14:textId="3A464380" w:rsidR="007D599E" w:rsidRDefault="009C6C0F"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As will be clear, Art 3.2 covers those “extended family members” as defined in </w:t>
      </w:r>
      <w:proofErr w:type="spellStart"/>
      <w:r w:rsidR="0095252E">
        <w:rPr>
          <w:rFonts w:ascii="Book Antiqua" w:hAnsi="Book Antiqua" w:cs="Arial"/>
        </w:rPr>
        <w:t>r</w:t>
      </w:r>
      <w:r>
        <w:rPr>
          <w:rFonts w:ascii="Book Antiqua" w:hAnsi="Book Antiqua" w:cs="Arial"/>
        </w:rPr>
        <w:t>eg</w:t>
      </w:r>
      <w:proofErr w:type="spellEnd"/>
      <w:r>
        <w:rPr>
          <w:rFonts w:ascii="Book Antiqua" w:hAnsi="Book Antiqua" w:cs="Arial"/>
        </w:rPr>
        <w:t xml:space="preserve"> 8 of the 2006 Regulations referring to them as “other family members” or, and importantly for the purposes of this appeal, the partner of a Union citizen who has a “durable relationship, duly attested”.  </w:t>
      </w:r>
    </w:p>
    <w:p w14:paraId="292177E9" w14:textId="6A183592" w:rsidR="009C6C0F" w:rsidRDefault="009C6C0F"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It is clear from the jurisprudence of the Court of Justice that only “family members” as defined in Art 2 of the Directive have a right of residence derived from the EU national.  Those “other family members” or individuals in a “durable relationship, duly attested” with the EU national do not, </w:t>
      </w:r>
      <w:proofErr w:type="gramStart"/>
      <w:r>
        <w:rPr>
          <w:rFonts w:ascii="Book Antiqua" w:hAnsi="Book Antiqua" w:cs="Arial"/>
        </w:rPr>
        <w:t>by virtue of</w:t>
      </w:r>
      <w:proofErr w:type="gramEnd"/>
      <w:r>
        <w:rPr>
          <w:rFonts w:ascii="Book Antiqua" w:hAnsi="Book Antiqua" w:cs="Arial"/>
        </w:rPr>
        <w:t xml:space="preserve"> the Directive, have a right of residence.  In </w:t>
      </w:r>
      <w:r w:rsidRPr="009C6C0F">
        <w:rPr>
          <w:rFonts w:ascii="Book Antiqua" w:hAnsi="Book Antiqua" w:cs="Arial"/>
          <w:u w:val="single"/>
        </w:rPr>
        <w:t>SSHD v Rahman and Others</w:t>
      </w:r>
      <w:r>
        <w:rPr>
          <w:rFonts w:ascii="Book Antiqua" w:hAnsi="Book Antiqua" w:cs="Arial"/>
        </w:rPr>
        <w:t xml:space="preserve"> (Case C-83/11) [2013] </w:t>
      </w:r>
      <w:proofErr w:type="spellStart"/>
      <w:r>
        <w:rPr>
          <w:rFonts w:ascii="Book Antiqua" w:hAnsi="Book Antiqua" w:cs="Arial"/>
        </w:rPr>
        <w:t>Imm</w:t>
      </w:r>
      <w:proofErr w:type="spellEnd"/>
      <w:r>
        <w:rPr>
          <w:rFonts w:ascii="Book Antiqua" w:hAnsi="Book Antiqua" w:cs="Arial"/>
        </w:rPr>
        <w:t xml:space="preserve"> AR 1, the CJEU concluded that Art 3.2 did not oblige Member States to accord a right of entry or residence to those “other family members” or those in a “durable relationship” with the EU national.  Rather, the CJEU recognised that </w:t>
      </w:r>
      <w:bookmarkStart w:id="4" w:name="_Hlk532544066"/>
      <w:r>
        <w:rPr>
          <w:rFonts w:ascii="Book Antiqua" w:hAnsi="Book Antiqua" w:cs="Arial"/>
        </w:rPr>
        <w:t>the Directive impose</w:t>
      </w:r>
      <w:r w:rsidR="008C65BC">
        <w:rPr>
          <w:rFonts w:ascii="Book Antiqua" w:hAnsi="Book Antiqua" w:cs="Arial"/>
        </w:rPr>
        <w:t>s</w:t>
      </w:r>
      <w:r>
        <w:rPr>
          <w:rFonts w:ascii="Book Antiqua" w:hAnsi="Book Antiqua" w:cs="Arial"/>
        </w:rPr>
        <w:t xml:space="preserve"> an obligation </w:t>
      </w:r>
      <w:r>
        <w:rPr>
          <w:rFonts w:ascii="Book Antiqua" w:hAnsi="Book Antiqua" w:cs="Arial"/>
        </w:rPr>
        <w:lastRenderedPageBreak/>
        <w:t>to “facilitate entry and residence” following the undertaking of an “extensive examination of the personal circumstances” of the individuals</w:t>
      </w:r>
      <w:r w:rsidR="00170CFC" w:rsidRPr="00170CFC">
        <w:rPr>
          <w:rFonts w:ascii="Book Antiqua" w:hAnsi="Book Antiqua" w:cs="Arial"/>
        </w:rPr>
        <w:t xml:space="preserve"> </w:t>
      </w:r>
      <w:r w:rsidR="00170CFC">
        <w:rPr>
          <w:rFonts w:ascii="Book Antiqua" w:hAnsi="Book Antiqua" w:cs="Arial"/>
        </w:rPr>
        <w:t xml:space="preserve">(see also </w:t>
      </w:r>
      <w:r w:rsidR="00170CFC" w:rsidRPr="00170CFC">
        <w:rPr>
          <w:rFonts w:ascii="Book Antiqua" w:hAnsi="Book Antiqua" w:cs="Arial"/>
          <w:u w:val="single"/>
        </w:rPr>
        <w:t>SSHD v Banger</w:t>
      </w:r>
      <w:r w:rsidR="00170CFC">
        <w:rPr>
          <w:rFonts w:ascii="Book Antiqua" w:hAnsi="Book Antiqua" w:cs="Arial"/>
        </w:rPr>
        <w:t xml:space="preserve"> [2018] EUECJ C-89/17 (12 July 2018) at [31])</w:t>
      </w:r>
      <w:r>
        <w:rPr>
          <w:rFonts w:ascii="Book Antiqua" w:hAnsi="Book Antiqua" w:cs="Arial"/>
        </w:rPr>
        <w:t xml:space="preserve">.  That </w:t>
      </w:r>
      <w:r w:rsidR="008C65BC">
        <w:rPr>
          <w:rFonts w:ascii="Book Antiqua" w:hAnsi="Book Antiqua" w:cs="Arial"/>
        </w:rPr>
        <w:t>i</w:t>
      </w:r>
      <w:r>
        <w:rPr>
          <w:rFonts w:ascii="Book Antiqua" w:hAnsi="Book Antiqua" w:cs="Arial"/>
        </w:rPr>
        <w:t>s to be effected by national legislation, which confer</w:t>
      </w:r>
      <w:r w:rsidR="008C65BC">
        <w:rPr>
          <w:rFonts w:ascii="Book Antiqua" w:hAnsi="Book Antiqua" w:cs="Arial"/>
        </w:rPr>
        <w:t>s</w:t>
      </w:r>
      <w:r>
        <w:rPr>
          <w:rFonts w:ascii="Book Antiqua" w:hAnsi="Book Antiqua" w:cs="Arial"/>
        </w:rPr>
        <w:t xml:space="preserve"> a wide discretion upon the Member States when selecting the criteria but that those criteria must be consistent with the normal meaning of the terms “facilitate”</w:t>
      </w:r>
      <w:r w:rsidR="00170CFC">
        <w:rPr>
          <w:rFonts w:ascii="Book Antiqua" w:hAnsi="Book Antiqua" w:cs="Arial"/>
        </w:rPr>
        <w:t xml:space="preserve"> (also </w:t>
      </w:r>
      <w:r w:rsidR="00170CFC" w:rsidRPr="00170CFC">
        <w:rPr>
          <w:rFonts w:ascii="Book Antiqua" w:hAnsi="Book Antiqua" w:cs="Arial"/>
          <w:u w:val="single"/>
        </w:rPr>
        <w:t>Banger</w:t>
      </w:r>
      <w:r w:rsidR="00170CFC">
        <w:rPr>
          <w:rFonts w:ascii="Book Antiqua" w:hAnsi="Book Antiqua" w:cs="Arial"/>
        </w:rPr>
        <w:t>, at [38]</w:t>
      </w:r>
      <w:proofErr w:type="gramStart"/>
      <w:r w:rsidR="00170CFC">
        <w:rPr>
          <w:rFonts w:ascii="Book Antiqua" w:hAnsi="Book Antiqua" w:cs="Arial"/>
        </w:rPr>
        <w:t>-[</w:t>
      </w:r>
      <w:proofErr w:type="gramEnd"/>
      <w:r w:rsidR="00170CFC">
        <w:rPr>
          <w:rFonts w:ascii="Book Antiqua" w:hAnsi="Book Antiqua" w:cs="Arial"/>
        </w:rPr>
        <w:t>40]).</w:t>
      </w:r>
    </w:p>
    <w:bookmarkEnd w:id="4"/>
    <w:p w14:paraId="2CDE40B8" w14:textId="42449229" w:rsidR="0095252E" w:rsidRPr="0095252E" w:rsidRDefault="009C6C0F" w:rsidP="00EA79AF">
      <w:pPr>
        <w:numPr>
          <w:ilvl w:val="0"/>
          <w:numId w:val="1"/>
        </w:numPr>
        <w:tabs>
          <w:tab w:val="clear" w:pos="567"/>
        </w:tabs>
        <w:spacing w:before="240"/>
        <w:jc w:val="both"/>
        <w:rPr>
          <w:rFonts w:ascii="Book Antiqua" w:hAnsi="Book Antiqua" w:cs="Arial"/>
        </w:rPr>
      </w:pPr>
      <w:r w:rsidRPr="0095252E">
        <w:rPr>
          <w:rFonts w:ascii="Book Antiqua" w:hAnsi="Book Antiqua" w:cs="Arial"/>
        </w:rPr>
        <w:t xml:space="preserve">That </w:t>
      </w:r>
      <w:r w:rsidR="0095252E" w:rsidRPr="0095252E">
        <w:rPr>
          <w:rFonts w:ascii="Book Antiqua" w:hAnsi="Book Antiqua" w:cs="Arial"/>
        </w:rPr>
        <w:t>scheme</w:t>
      </w:r>
      <w:r w:rsidRPr="0095252E">
        <w:rPr>
          <w:rFonts w:ascii="Book Antiqua" w:hAnsi="Book Antiqua" w:cs="Arial"/>
        </w:rPr>
        <w:t xml:space="preserve"> precisely </w:t>
      </w:r>
      <w:r w:rsidR="0061625F">
        <w:rPr>
          <w:rFonts w:ascii="Book Antiqua" w:hAnsi="Book Antiqua" w:cs="Arial"/>
        </w:rPr>
        <w:t xml:space="preserve">mirrors </w:t>
      </w:r>
      <w:r w:rsidRPr="0095252E">
        <w:rPr>
          <w:rFonts w:ascii="Book Antiqua" w:hAnsi="Book Antiqua" w:cs="Arial"/>
        </w:rPr>
        <w:t xml:space="preserve">what is contained in the 2006 Regulations.  Those Regulations require, when an individual who claims to be an “extended family member” such as the claimant makes an application, that there be “an extensive examination of the personal circumstances” of that individual (see </w:t>
      </w:r>
      <w:proofErr w:type="spellStart"/>
      <w:r w:rsidR="0095252E" w:rsidRPr="0095252E">
        <w:rPr>
          <w:rFonts w:ascii="Book Antiqua" w:hAnsi="Book Antiqua" w:cs="Arial"/>
        </w:rPr>
        <w:t>r</w:t>
      </w:r>
      <w:r w:rsidRPr="0095252E">
        <w:rPr>
          <w:rFonts w:ascii="Book Antiqua" w:hAnsi="Book Antiqua" w:cs="Arial"/>
        </w:rPr>
        <w:t>eg</w:t>
      </w:r>
      <w:proofErr w:type="spellEnd"/>
      <w:r w:rsidRPr="0095252E">
        <w:rPr>
          <w:rFonts w:ascii="Book Antiqua" w:hAnsi="Book Antiqua" w:cs="Arial"/>
        </w:rPr>
        <w:t xml:space="preserve"> 17(5)) </w:t>
      </w:r>
      <w:proofErr w:type="gramStart"/>
      <w:r w:rsidRPr="0095252E">
        <w:rPr>
          <w:rFonts w:ascii="Book Antiqua" w:hAnsi="Book Antiqua" w:cs="Arial"/>
        </w:rPr>
        <w:t>in order to</w:t>
      </w:r>
      <w:proofErr w:type="gramEnd"/>
      <w:r w:rsidRPr="0095252E">
        <w:rPr>
          <w:rFonts w:ascii="Book Antiqua" w:hAnsi="Book Antiqua" w:cs="Arial"/>
        </w:rPr>
        <w:t xml:space="preserve"> determine whether the individual has established they are a </w:t>
      </w:r>
      <w:r w:rsidR="00042EEF">
        <w:rPr>
          <w:rFonts w:ascii="Book Antiqua" w:hAnsi="Book Antiqua" w:cs="Arial"/>
        </w:rPr>
        <w:t>“extended family member”</w:t>
      </w:r>
      <w:r w:rsidRPr="0095252E">
        <w:rPr>
          <w:rFonts w:ascii="Book Antiqua" w:hAnsi="Book Antiqua" w:cs="Arial"/>
        </w:rPr>
        <w:t xml:space="preserve"> and whether it is appropriate to issue a residence card (see </w:t>
      </w:r>
      <w:proofErr w:type="spellStart"/>
      <w:r w:rsidR="0095252E" w:rsidRPr="0095252E">
        <w:rPr>
          <w:rFonts w:ascii="Book Antiqua" w:hAnsi="Book Antiqua" w:cs="Arial"/>
        </w:rPr>
        <w:t>r</w:t>
      </w:r>
      <w:r w:rsidRPr="0095252E">
        <w:rPr>
          <w:rFonts w:ascii="Book Antiqua" w:hAnsi="Book Antiqua" w:cs="Arial"/>
        </w:rPr>
        <w:t>eg</w:t>
      </w:r>
      <w:proofErr w:type="spellEnd"/>
      <w:r w:rsidRPr="0095252E">
        <w:rPr>
          <w:rFonts w:ascii="Book Antiqua" w:hAnsi="Book Antiqua" w:cs="Arial"/>
        </w:rPr>
        <w:t xml:space="preserve"> 17(4)).  It is only once the residence card is issued that the 2006 Regulations recognise that an individual who has established that they are an </w:t>
      </w:r>
      <w:r w:rsidR="00CD0903" w:rsidRPr="0095252E">
        <w:rPr>
          <w:rFonts w:ascii="Book Antiqua" w:hAnsi="Book Antiqua" w:cs="Arial"/>
        </w:rPr>
        <w:t>“</w:t>
      </w:r>
      <w:r w:rsidRPr="0095252E">
        <w:rPr>
          <w:rFonts w:ascii="Book Antiqua" w:hAnsi="Book Antiqua" w:cs="Arial"/>
        </w:rPr>
        <w:t>extended</w:t>
      </w:r>
      <w:r w:rsidR="00103C23" w:rsidRPr="0095252E">
        <w:rPr>
          <w:rFonts w:ascii="Book Antiqua" w:hAnsi="Book Antiqua" w:cs="Arial"/>
        </w:rPr>
        <w:t xml:space="preserve"> family member</w:t>
      </w:r>
      <w:r w:rsidR="00CD0903" w:rsidRPr="0095252E">
        <w:rPr>
          <w:rFonts w:ascii="Book Antiqua" w:hAnsi="Book Antiqua" w:cs="Arial"/>
        </w:rPr>
        <w:t>”</w:t>
      </w:r>
      <w:r w:rsidR="00103C23" w:rsidRPr="0095252E">
        <w:rPr>
          <w:rFonts w:ascii="Book Antiqua" w:hAnsi="Book Antiqua" w:cs="Arial"/>
        </w:rPr>
        <w:t xml:space="preserve"> has a right of residence because they are then (but only then) treated as a “family member”.  There is nothing, in my judgment, in that scheme which is contrary to the Directive.  The Directive does not confer any right of residence upon an </w:t>
      </w:r>
      <w:r w:rsidR="00042EEF">
        <w:rPr>
          <w:rFonts w:ascii="Book Antiqua" w:hAnsi="Book Antiqua" w:cs="Arial"/>
        </w:rPr>
        <w:t>“extended family member”</w:t>
      </w:r>
      <w:r w:rsidR="00103C23" w:rsidRPr="0095252E">
        <w:rPr>
          <w:rFonts w:ascii="Book Antiqua" w:hAnsi="Book Antiqua" w:cs="Arial"/>
        </w:rPr>
        <w:t xml:space="preserve"> but recognises that their right of residence must be facilitated after an “extensive examination” of their personal circumstances.  That is </w:t>
      </w:r>
      <w:r w:rsidR="0061625F" w:rsidRPr="0095252E">
        <w:rPr>
          <w:rFonts w:ascii="Book Antiqua" w:hAnsi="Book Antiqua" w:cs="Arial"/>
        </w:rPr>
        <w:t>exactly</w:t>
      </w:r>
      <w:r w:rsidR="00103C23" w:rsidRPr="0095252E">
        <w:rPr>
          <w:rFonts w:ascii="Book Antiqua" w:hAnsi="Book Antiqua" w:cs="Arial"/>
        </w:rPr>
        <w:t xml:space="preserve"> what occurred in this case following the application for a residence card relying upon </w:t>
      </w:r>
      <w:proofErr w:type="spellStart"/>
      <w:r w:rsidR="0095252E" w:rsidRPr="0095252E">
        <w:rPr>
          <w:rFonts w:ascii="Book Antiqua" w:hAnsi="Book Antiqua" w:cs="Arial"/>
        </w:rPr>
        <w:t>r</w:t>
      </w:r>
      <w:r w:rsidR="00103C23" w:rsidRPr="0095252E">
        <w:rPr>
          <w:rFonts w:ascii="Book Antiqua" w:hAnsi="Book Antiqua" w:cs="Arial"/>
        </w:rPr>
        <w:t>eg</w:t>
      </w:r>
      <w:proofErr w:type="spellEnd"/>
      <w:r w:rsidR="00103C23" w:rsidRPr="0095252E">
        <w:rPr>
          <w:rFonts w:ascii="Book Antiqua" w:hAnsi="Book Antiqua" w:cs="Arial"/>
        </w:rPr>
        <w:t xml:space="preserve"> 8 of the 2006 Regulations.  There is nothing in the Directive which requires a Member State, following that process, to confer </w:t>
      </w:r>
      <w:r w:rsidR="00103C23" w:rsidRPr="0095252E">
        <w:rPr>
          <w:rFonts w:ascii="Book Antiqua" w:hAnsi="Book Antiqua" w:cs="Arial"/>
          <w:u w:val="single"/>
        </w:rPr>
        <w:t>retrospectively</w:t>
      </w:r>
      <w:r w:rsidR="00103C23" w:rsidRPr="0095252E">
        <w:rPr>
          <w:rFonts w:ascii="Book Antiqua" w:hAnsi="Book Antiqua" w:cs="Arial"/>
        </w:rPr>
        <w:t xml:space="preserve"> a right of residence upon the </w:t>
      </w:r>
      <w:r w:rsidR="00CD0903" w:rsidRPr="0095252E">
        <w:rPr>
          <w:rFonts w:ascii="Book Antiqua" w:hAnsi="Book Antiqua" w:cs="Arial"/>
        </w:rPr>
        <w:t>“</w:t>
      </w:r>
      <w:r w:rsidR="00103C23" w:rsidRPr="0095252E">
        <w:rPr>
          <w:rFonts w:ascii="Book Antiqua" w:hAnsi="Book Antiqua" w:cs="Arial"/>
        </w:rPr>
        <w:t>extended family member</w:t>
      </w:r>
      <w:r w:rsidR="00CD0903" w:rsidRPr="0095252E">
        <w:rPr>
          <w:rFonts w:ascii="Book Antiqua" w:hAnsi="Book Antiqua" w:cs="Arial"/>
        </w:rPr>
        <w:t>”</w:t>
      </w:r>
      <w:r w:rsidR="00103C23" w:rsidRPr="0095252E">
        <w:rPr>
          <w:rFonts w:ascii="Book Antiqua" w:hAnsi="Book Antiqua" w:cs="Arial"/>
        </w:rPr>
        <w:t xml:space="preserve">.  </w:t>
      </w:r>
    </w:p>
    <w:p w14:paraId="03A289DF" w14:textId="71561DEB" w:rsidR="0095252E" w:rsidRDefault="00103C2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position is, of course, otherwise for an individual who asserts a right of residence as a </w:t>
      </w:r>
      <w:r w:rsidR="00CD0903">
        <w:rPr>
          <w:rFonts w:ascii="Book Antiqua" w:hAnsi="Book Antiqua" w:cs="Arial"/>
        </w:rPr>
        <w:t>“</w:t>
      </w:r>
      <w:r>
        <w:rPr>
          <w:rFonts w:ascii="Book Antiqua" w:hAnsi="Book Antiqua" w:cs="Arial"/>
        </w:rPr>
        <w:t>family member</w:t>
      </w:r>
      <w:r w:rsidR="00CD0903">
        <w:rPr>
          <w:rFonts w:ascii="Book Antiqua" w:hAnsi="Book Antiqua" w:cs="Arial"/>
        </w:rPr>
        <w:t>”</w:t>
      </w:r>
      <w:r w:rsidR="0061625F">
        <w:rPr>
          <w:rFonts w:ascii="Book Antiqua" w:hAnsi="Book Antiqua" w:cs="Arial"/>
        </w:rPr>
        <w:t>, e.g. as the spouse of an EEA national</w:t>
      </w:r>
      <w:r>
        <w:rPr>
          <w:rFonts w:ascii="Book Antiqua" w:hAnsi="Book Antiqua" w:cs="Arial"/>
        </w:rPr>
        <w:t xml:space="preserve">.  Both the 2006 Regulations and the Directive confer a right of residence upon a family member of an EEA/EU national who is exercising </w:t>
      </w:r>
      <w:r w:rsidR="0095252E">
        <w:rPr>
          <w:rFonts w:ascii="Book Antiqua" w:hAnsi="Book Antiqua" w:cs="Arial"/>
        </w:rPr>
        <w:t>T</w:t>
      </w:r>
      <w:r>
        <w:rPr>
          <w:rFonts w:ascii="Book Antiqua" w:hAnsi="Book Antiqua" w:cs="Arial"/>
        </w:rPr>
        <w:t xml:space="preserve">reaty rights.  That right exists irrespective of whether the “family member” is issued with a residence card.  Any residence card is merely evidence of the right of residence already conferred by the 2006 Regulations and Directive.  </w:t>
      </w:r>
    </w:p>
    <w:p w14:paraId="19E204A7" w14:textId="7A8C7682" w:rsidR="0095252E" w:rsidRDefault="00103C23" w:rsidP="00EA79AF">
      <w:pPr>
        <w:numPr>
          <w:ilvl w:val="0"/>
          <w:numId w:val="1"/>
        </w:numPr>
        <w:tabs>
          <w:tab w:val="clear" w:pos="567"/>
        </w:tabs>
        <w:spacing w:before="240"/>
        <w:jc w:val="both"/>
        <w:rPr>
          <w:rFonts w:ascii="Book Antiqua" w:hAnsi="Book Antiqua" w:cs="Arial"/>
        </w:rPr>
      </w:pPr>
      <w:r>
        <w:rPr>
          <w:rFonts w:ascii="Book Antiqua" w:hAnsi="Book Antiqua" w:cs="Arial"/>
        </w:rPr>
        <w:t>However, the Directive confers no right of residence upon “other family members” or those in a “durable relationship, duly attested” falling within Art 3.2</w:t>
      </w:r>
      <w:r w:rsidR="0095252E">
        <w:rPr>
          <w:rFonts w:ascii="Book Antiqua" w:hAnsi="Book Antiqua" w:cs="Arial"/>
        </w:rPr>
        <w:t>.  U</w:t>
      </w:r>
      <w:r>
        <w:rPr>
          <w:rFonts w:ascii="Book Antiqua" w:hAnsi="Book Antiqua" w:cs="Arial"/>
        </w:rPr>
        <w:t xml:space="preserve">nder the 2006 Regulations a right of residence is conditional upon the issue of a residence card under </w:t>
      </w:r>
      <w:proofErr w:type="spellStart"/>
      <w:r w:rsidR="0095252E">
        <w:rPr>
          <w:rFonts w:ascii="Book Antiqua" w:hAnsi="Book Antiqua" w:cs="Arial"/>
        </w:rPr>
        <w:t>r</w:t>
      </w:r>
      <w:r>
        <w:rPr>
          <w:rFonts w:ascii="Book Antiqua" w:hAnsi="Book Antiqua" w:cs="Arial"/>
        </w:rPr>
        <w:t>eg</w:t>
      </w:r>
      <w:proofErr w:type="spellEnd"/>
      <w:r>
        <w:rPr>
          <w:rFonts w:ascii="Book Antiqua" w:hAnsi="Book Antiqua" w:cs="Arial"/>
        </w:rPr>
        <w:t xml:space="preserve"> 17(4).  Consequently, a person in a </w:t>
      </w:r>
      <w:r w:rsidR="00954DF2">
        <w:rPr>
          <w:rFonts w:ascii="Book Antiqua" w:hAnsi="Book Antiqua" w:cs="Arial"/>
        </w:rPr>
        <w:t>durable relationship</w:t>
      </w:r>
      <w:r>
        <w:rPr>
          <w:rFonts w:ascii="Book Antiqua" w:hAnsi="Book Antiqua" w:cs="Arial"/>
        </w:rPr>
        <w:t xml:space="preserve"> with an EU national will not have a right of residence in the UK until issued with a residence card.  </w:t>
      </w:r>
    </w:p>
    <w:p w14:paraId="5FF851F3" w14:textId="77777777" w:rsidR="0095252E" w:rsidRDefault="00103C2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the case of the claimant, his right of residence, therefore, only arose in September 2009 when he was issued with a residence card.  That residence card did not purport to, nor did it, retrospectively grant the claimant a right of residence backdated, on the claimant’s case, at least </w:t>
      </w:r>
      <w:r w:rsidR="0095252E">
        <w:rPr>
          <w:rFonts w:ascii="Book Antiqua" w:hAnsi="Book Antiqua" w:cs="Arial"/>
        </w:rPr>
        <w:t>to</w:t>
      </w:r>
      <w:r>
        <w:rPr>
          <w:rFonts w:ascii="Book Antiqua" w:hAnsi="Book Antiqua" w:cs="Arial"/>
        </w:rPr>
        <w:t xml:space="preserve"> March 2009.  He could not, therefore, establish that he had resided in the UK in accordance with the 2006 Regulations for a continuous period of five years as a “family member” (which he did not become until September 2009 when the residence card was issued) in order to establish a permanent right of residence under </w:t>
      </w:r>
      <w:proofErr w:type="spellStart"/>
      <w:r w:rsidR="0095252E">
        <w:rPr>
          <w:rFonts w:ascii="Book Antiqua" w:hAnsi="Book Antiqua" w:cs="Arial"/>
        </w:rPr>
        <w:t>r</w:t>
      </w:r>
      <w:r>
        <w:rPr>
          <w:rFonts w:ascii="Book Antiqua" w:hAnsi="Book Antiqua" w:cs="Arial"/>
        </w:rPr>
        <w:t>eg</w:t>
      </w:r>
      <w:proofErr w:type="spellEnd"/>
      <w:r>
        <w:rPr>
          <w:rFonts w:ascii="Book Antiqua" w:hAnsi="Book Antiqua" w:cs="Arial"/>
        </w:rPr>
        <w:t xml:space="preserve"> (</w:t>
      </w:r>
      <w:proofErr w:type="gramStart"/>
      <w:r>
        <w:rPr>
          <w:rFonts w:ascii="Book Antiqua" w:hAnsi="Book Antiqua" w:cs="Arial"/>
        </w:rPr>
        <w:t>15)(</w:t>
      </w:r>
      <w:proofErr w:type="gramEnd"/>
      <w:r>
        <w:rPr>
          <w:rFonts w:ascii="Book Antiqua" w:hAnsi="Book Antiqua" w:cs="Arial"/>
        </w:rPr>
        <w:t xml:space="preserve">1)(b).  </w:t>
      </w:r>
    </w:p>
    <w:p w14:paraId="0401EEEE" w14:textId="0A23A0DB" w:rsidR="00103C23" w:rsidRDefault="00103C23" w:rsidP="00EA79AF">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That conclusion is, in my judgment, entirely consistent with the scheme of the Directive.  </w:t>
      </w:r>
      <w:proofErr w:type="gramStart"/>
      <w:r>
        <w:rPr>
          <w:rFonts w:ascii="Book Antiqua" w:hAnsi="Book Antiqua" w:cs="Arial"/>
        </w:rPr>
        <w:t>In particular, Art</w:t>
      </w:r>
      <w:proofErr w:type="gramEnd"/>
      <w:r>
        <w:rPr>
          <w:rFonts w:ascii="Book Antiqua" w:hAnsi="Book Antiqua" w:cs="Arial"/>
        </w:rPr>
        <w:t xml:space="preserve"> 16.2, using language reflected in </w:t>
      </w:r>
      <w:proofErr w:type="spellStart"/>
      <w:r w:rsidR="0095252E">
        <w:rPr>
          <w:rFonts w:ascii="Book Antiqua" w:hAnsi="Book Antiqua" w:cs="Arial"/>
        </w:rPr>
        <w:t>r</w:t>
      </w:r>
      <w:r>
        <w:rPr>
          <w:rFonts w:ascii="Book Antiqua" w:hAnsi="Book Antiqua" w:cs="Arial"/>
        </w:rPr>
        <w:t>eg</w:t>
      </w:r>
      <w:proofErr w:type="spellEnd"/>
      <w:r>
        <w:rPr>
          <w:rFonts w:ascii="Book Antiqua" w:hAnsi="Book Antiqua" w:cs="Arial"/>
        </w:rPr>
        <w:t xml:space="preserve"> 15(1)(b) of the 2006 Regulations, only confers a permanent right of residence upon “family members” who have legally resided with the Union citizen </w:t>
      </w:r>
      <w:r w:rsidR="00FA431F">
        <w:rPr>
          <w:rFonts w:ascii="Book Antiqua" w:hAnsi="Book Antiqua" w:cs="Arial"/>
        </w:rPr>
        <w:t xml:space="preserve">in the Member State </w:t>
      </w:r>
      <w:r>
        <w:rPr>
          <w:rFonts w:ascii="Book Antiqua" w:hAnsi="Book Antiqua" w:cs="Arial"/>
        </w:rPr>
        <w:t>for a continuous period of five years</w:t>
      </w:r>
      <w:r w:rsidR="00FA431F">
        <w:rPr>
          <w:rFonts w:ascii="Book Antiqua" w:hAnsi="Book Antiqua" w:cs="Arial"/>
        </w:rPr>
        <w:t xml:space="preserve"> (although it is not necessary that they actually </w:t>
      </w:r>
      <w:r w:rsidR="00042EEF">
        <w:rPr>
          <w:rFonts w:ascii="Book Antiqua" w:hAnsi="Book Antiqua" w:cs="Arial"/>
        </w:rPr>
        <w:t>reside</w:t>
      </w:r>
      <w:r w:rsidR="00FA431F">
        <w:rPr>
          <w:rFonts w:ascii="Book Antiqua" w:hAnsi="Book Antiqua" w:cs="Arial"/>
        </w:rPr>
        <w:t xml:space="preserve"> together: </w:t>
      </w:r>
      <w:r w:rsidR="00FA431F" w:rsidRPr="00FA431F">
        <w:rPr>
          <w:rFonts w:ascii="Book Antiqua" w:hAnsi="Book Antiqua"/>
          <w:color w:val="000000"/>
          <w:u w:val="single"/>
        </w:rPr>
        <w:t>PM</w:t>
      </w:r>
      <w:r w:rsidR="00FA431F">
        <w:rPr>
          <w:rFonts w:ascii="Book Antiqua" w:hAnsi="Book Antiqua"/>
          <w:color w:val="000000"/>
        </w:rPr>
        <w:t xml:space="preserve"> (EEA – spouse –</w:t>
      </w:r>
      <w:r w:rsidR="00E652E9">
        <w:rPr>
          <w:rFonts w:ascii="Book Antiqua" w:hAnsi="Book Antiqua"/>
          <w:color w:val="000000"/>
        </w:rPr>
        <w:t xml:space="preserve"> </w:t>
      </w:r>
      <w:r w:rsidR="00FA431F">
        <w:rPr>
          <w:rFonts w:ascii="Book Antiqua" w:hAnsi="Book Antiqua"/>
          <w:color w:val="000000"/>
        </w:rPr>
        <w:t>“residing with”) Turkey [2011] UKUT 89 (IAC))</w:t>
      </w:r>
      <w:r>
        <w:rPr>
          <w:rFonts w:ascii="Book Antiqua" w:hAnsi="Book Antiqua" w:cs="Arial"/>
        </w:rPr>
        <w:t xml:space="preserve">.  Of course, a “family member” is defined in Art 2.2 of the Directive and does not include an individual, such as the claimant, who is in a </w:t>
      </w:r>
      <w:r w:rsidR="00954DF2">
        <w:rPr>
          <w:rFonts w:ascii="Book Antiqua" w:hAnsi="Book Antiqua" w:cs="Arial"/>
        </w:rPr>
        <w:t>durable relationship</w:t>
      </w:r>
      <w:r>
        <w:rPr>
          <w:rFonts w:ascii="Book Antiqua" w:hAnsi="Book Antiqua" w:cs="Arial"/>
        </w:rPr>
        <w:t xml:space="preserve">.  </w:t>
      </w:r>
    </w:p>
    <w:p w14:paraId="6CA195F6" w14:textId="472B8E04" w:rsidR="00E76681" w:rsidRDefault="00103C2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Mr Rashid, however, sought to counter that interpretation of the 2006 Regulations and the Directive by reliance upon the Court of Appeal’s decision in </w:t>
      </w:r>
      <w:proofErr w:type="spellStart"/>
      <w:r w:rsidRPr="00CD0903">
        <w:rPr>
          <w:rFonts w:ascii="Book Antiqua" w:hAnsi="Book Antiqua" w:cs="Arial"/>
          <w:u w:val="single"/>
        </w:rPr>
        <w:t>Macastena</w:t>
      </w:r>
      <w:proofErr w:type="spellEnd"/>
      <w:r>
        <w:rPr>
          <w:rFonts w:ascii="Book Antiqua" w:hAnsi="Book Antiqua" w:cs="Arial"/>
        </w:rPr>
        <w:t>.  In that case, the claimant sought to assert a “permanent right of residence”</w:t>
      </w:r>
      <w:r w:rsidR="00E76681" w:rsidRPr="00E76681">
        <w:rPr>
          <w:rFonts w:ascii="Book Antiqua" w:hAnsi="Book Antiqua" w:cs="Arial"/>
        </w:rPr>
        <w:t xml:space="preserve"> </w:t>
      </w:r>
      <w:r w:rsidR="00E76681">
        <w:rPr>
          <w:rFonts w:ascii="Book Antiqua" w:hAnsi="Book Antiqua" w:cs="Arial"/>
        </w:rPr>
        <w:t>based upon, what he claimed was, a period of five years lawful residence in accordance with the Regulations, some of which time he was a spouse of an EEA national and some of which time he had been in a durable relationship with the EEA national</w:t>
      </w:r>
      <w:r>
        <w:rPr>
          <w:rFonts w:ascii="Book Antiqua" w:hAnsi="Book Antiqua" w:cs="Arial"/>
        </w:rPr>
        <w:t xml:space="preserve">.  He </w:t>
      </w:r>
      <w:r w:rsidR="00E76681">
        <w:rPr>
          <w:rFonts w:ascii="Book Antiqua" w:hAnsi="Book Antiqua" w:cs="Arial"/>
        </w:rPr>
        <w:t>claimed that</w:t>
      </w:r>
      <w:r>
        <w:rPr>
          <w:rFonts w:ascii="Book Antiqua" w:hAnsi="Book Antiqua" w:cs="Arial"/>
        </w:rPr>
        <w:t xml:space="preserve"> he had a</w:t>
      </w:r>
      <w:r w:rsidR="002D7482">
        <w:rPr>
          <w:rFonts w:ascii="Book Antiqua" w:hAnsi="Book Antiqua" w:cs="Arial"/>
        </w:rPr>
        <w:t xml:space="preserve"> </w:t>
      </w:r>
      <w:r>
        <w:rPr>
          <w:rFonts w:ascii="Book Antiqua" w:hAnsi="Book Antiqua" w:cs="Arial"/>
        </w:rPr>
        <w:t xml:space="preserve">permanent right of residence </w:t>
      </w:r>
      <w:proofErr w:type="gramStart"/>
      <w:r>
        <w:rPr>
          <w:rFonts w:ascii="Book Antiqua" w:hAnsi="Book Antiqua" w:cs="Arial"/>
        </w:rPr>
        <w:t>in order to</w:t>
      </w:r>
      <w:proofErr w:type="gramEnd"/>
      <w:r>
        <w:rPr>
          <w:rFonts w:ascii="Book Antiqua" w:hAnsi="Book Antiqua" w:cs="Arial"/>
        </w:rPr>
        <w:t xml:space="preserve"> contend that he could only be deported on “serious grounds of public policy or security” (rather than merely on the grounds of public policy, security or public health) </w:t>
      </w:r>
      <w:r w:rsidR="00CD0903">
        <w:rPr>
          <w:rFonts w:ascii="Book Antiqua" w:hAnsi="Book Antiqua" w:cs="Arial"/>
        </w:rPr>
        <w:t>under</w:t>
      </w:r>
      <w:r>
        <w:rPr>
          <w:rFonts w:ascii="Book Antiqua" w:hAnsi="Book Antiqua" w:cs="Arial"/>
        </w:rPr>
        <w:t xml:space="preserve"> </w:t>
      </w:r>
      <w:proofErr w:type="spellStart"/>
      <w:r w:rsidR="0095252E">
        <w:rPr>
          <w:rFonts w:ascii="Book Antiqua" w:hAnsi="Book Antiqua" w:cs="Arial"/>
        </w:rPr>
        <w:t>r</w:t>
      </w:r>
      <w:r>
        <w:rPr>
          <w:rFonts w:ascii="Book Antiqua" w:hAnsi="Book Antiqua" w:cs="Arial"/>
        </w:rPr>
        <w:t>eg</w:t>
      </w:r>
      <w:proofErr w:type="spellEnd"/>
      <w:r>
        <w:rPr>
          <w:rFonts w:ascii="Book Antiqua" w:hAnsi="Book Antiqua" w:cs="Arial"/>
        </w:rPr>
        <w:t xml:space="preserve"> 21(3) of the 2006 Regulations.  </w:t>
      </w:r>
    </w:p>
    <w:p w14:paraId="5937C64C" w14:textId="5F41FD5B" w:rsidR="00103C23" w:rsidRDefault="00103C2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w:t>
      </w:r>
      <w:proofErr w:type="spellStart"/>
      <w:r w:rsidR="00E76681" w:rsidRPr="00E76681">
        <w:rPr>
          <w:rFonts w:ascii="Book Antiqua" w:hAnsi="Book Antiqua" w:cs="Arial"/>
          <w:u w:val="single"/>
        </w:rPr>
        <w:t>Macastena</w:t>
      </w:r>
      <w:proofErr w:type="spellEnd"/>
      <w:r>
        <w:rPr>
          <w:rFonts w:ascii="Book Antiqua" w:hAnsi="Book Antiqua" w:cs="Arial"/>
        </w:rPr>
        <w:t xml:space="preserve">, the claimant had not applied for, nor been issued with, a residence card under </w:t>
      </w:r>
      <w:proofErr w:type="spellStart"/>
      <w:r w:rsidR="0095252E">
        <w:rPr>
          <w:rFonts w:ascii="Book Antiqua" w:hAnsi="Book Antiqua" w:cs="Arial"/>
        </w:rPr>
        <w:t>r</w:t>
      </w:r>
      <w:r>
        <w:rPr>
          <w:rFonts w:ascii="Book Antiqua" w:hAnsi="Book Antiqua" w:cs="Arial"/>
        </w:rPr>
        <w:t>eg</w:t>
      </w:r>
      <w:proofErr w:type="spellEnd"/>
      <w:r>
        <w:rPr>
          <w:rFonts w:ascii="Book Antiqua" w:hAnsi="Book Antiqua" w:cs="Arial"/>
        </w:rPr>
        <w:t xml:space="preserve"> 17(4) of the 2006 Regulations.  He had, however, married the EU national and sought to rely upon a period prior to his marriage, when it was accepted he was in a </w:t>
      </w:r>
      <w:r w:rsidR="00954DF2">
        <w:rPr>
          <w:rFonts w:ascii="Book Antiqua" w:hAnsi="Book Antiqua" w:cs="Arial"/>
        </w:rPr>
        <w:t>durable relationship</w:t>
      </w:r>
      <w:r>
        <w:rPr>
          <w:rFonts w:ascii="Book Antiqua" w:hAnsi="Book Antiqua" w:cs="Arial"/>
        </w:rPr>
        <w:t xml:space="preserve">, which, when added to the relevant period of his marriage, amounted to a period of five years’ residence in the UK.  </w:t>
      </w:r>
      <w:r w:rsidR="00E76681">
        <w:rPr>
          <w:rFonts w:ascii="Book Antiqua" w:hAnsi="Book Antiqua" w:cs="Arial"/>
        </w:rPr>
        <w:t xml:space="preserve">The </w:t>
      </w:r>
      <w:proofErr w:type="gramStart"/>
      <w:r w:rsidR="00E76681">
        <w:rPr>
          <w:rFonts w:ascii="Book Antiqua" w:hAnsi="Book Antiqua" w:cs="Arial"/>
        </w:rPr>
        <w:t>period of time</w:t>
      </w:r>
      <w:proofErr w:type="gramEnd"/>
      <w:r w:rsidR="00E76681">
        <w:rPr>
          <w:rFonts w:ascii="Book Antiqua" w:hAnsi="Book Antiqua" w:cs="Arial"/>
        </w:rPr>
        <w:t xml:space="preserve"> in a durable relationship which he needed to ‘add on’ in order to succeed was only 5 days.</w:t>
      </w:r>
    </w:p>
    <w:p w14:paraId="4BBF4765" w14:textId="2AB498DD" w:rsidR="00103C23" w:rsidRDefault="00103C23" w:rsidP="00EA79AF">
      <w:pPr>
        <w:numPr>
          <w:ilvl w:val="0"/>
          <w:numId w:val="1"/>
        </w:numPr>
        <w:tabs>
          <w:tab w:val="clear" w:pos="567"/>
        </w:tabs>
        <w:spacing w:before="240"/>
        <w:jc w:val="both"/>
        <w:rPr>
          <w:rFonts w:ascii="Book Antiqua" w:hAnsi="Book Antiqua" w:cs="Arial"/>
        </w:rPr>
      </w:pPr>
      <w:r>
        <w:rPr>
          <w:rFonts w:ascii="Book Antiqua" w:hAnsi="Book Antiqua" w:cs="Arial"/>
        </w:rPr>
        <w:t>The Court of Appeal rejected the claimant’s reliance upon a</w:t>
      </w:r>
      <w:r w:rsidR="00524B16">
        <w:rPr>
          <w:rFonts w:ascii="Book Antiqua" w:hAnsi="Book Antiqua" w:cs="Arial"/>
        </w:rPr>
        <w:t>ny</w:t>
      </w:r>
      <w:r>
        <w:rPr>
          <w:rFonts w:ascii="Book Antiqua" w:hAnsi="Book Antiqua" w:cs="Arial"/>
        </w:rPr>
        <w:t xml:space="preserve"> period of residence in the UK prior to his marriage when he was in a </w:t>
      </w:r>
      <w:r w:rsidR="00954DF2">
        <w:rPr>
          <w:rFonts w:ascii="Book Antiqua" w:hAnsi="Book Antiqua" w:cs="Arial"/>
        </w:rPr>
        <w:t>durable relationship</w:t>
      </w:r>
      <w:r>
        <w:rPr>
          <w:rFonts w:ascii="Book Antiqua" w:hAnsi="Book Antiqua" w:cs="Arial"/>
        </w:rPr>
        <w:t xml:space="preserve">.  Longmore LJ (with whom King and </w:t>
      </w:r>
      <w:r w:rsidR="00CD0903">
        <w:rPr>
          <w:rFonts w:ascii="Book Antiqua" w:hAnsi="Book Antiqua" w:cs="Arial"/>
        </w:rPr>
        <w:t>C</w:t>
      </w:r>
      <w:r>
        <w:rPr>
          <w:rFonts w:ascii="Book Antiqua" w:hAnsi="Book Antiqua" w:cs="Arial"/>
        </w:rPr>
        <w:t>oulson LJJ agreed) rejected the claimant’s contention at [15]</w:t>
      </w:r>
      <w:proofErr w:type="gramStart"/>
      <w:r>
        <w:rPr>
          <w:rFonts w:ascii="Book Antiqua" w:hAnsi="Book Antiqua" w:cs="Arial"/>
        </w:rPr>
        <w:t>–[</w:t>
      </w:r>
      <w:proofErr w:type="gramEnd"/>
      <w:r>
        <w:rPr>
          <w:rFonts w:ascii="Book Antiqua" w:hAnsi="Book Antiqua" w:cs="Arial"/>
        </w:rPr>
        <w:t>20] as follows:</w:t>
      </w:r>
    </w:p>
    <w:p w14:paraId="0422DC37" w14:textId="5F33D852" w:rsidR="001912C5" w:rsidRPr="00E652E9" w:rsidRDefault="001912C5" w:rsidP="00CA09F9">
      <w:pPr>
        <w:spacing w:before="240"/>
        <w:ind w:left="1701" w:right="567" w:hanging="567"/>
        <w:jc w:val="both"/>
        <w:rPr>
          <w:rFonts w:ascii="Book Antiqua" w:hAnsi="Book Antiqua" w:cs="Arial"/>
          <w:sz w:val="22"/>
          <w:szCs w:val="22"/>
        </w:rPr>
      </w:pPr>
      <w:r w:rsidRPr="00E652E9">
        <w:rPr>
          <w:rFonts w:ascii="Book Antiqua" w:hAnsi="Book Antiqua" w:cs="Arial"/>
          <w:sz w:val="22"/>
          <w:szCs w:val="22"/>
        </w:rPr>
        <w:t>“15.</w:t>
      </w:r>
      <w:r w:rsidRPr="00E652E9">
        <w:rPr>
          <w:rFonts w:ascii="Book Antiqua" w:hAnsi="Book Antiqua" w:cs="Arial"/>
          <w:sz w:val="22"/>
          <w:szCs w:val="22"/>
        </w:rPr>
        <w:tab/>
        <w:t xml:space="preserve">It may well be that, if Mr </w:t>
      </w:r>
      <w:proofErr w:type="spellStart"/>
      <w:r w:rsidRPr="00E652E9">
        <w:rPr>
          <w:rFonts w:ascii="Book Antiqua" w:hAnsi="Book Antiqua" w:cs="Arial"/>
          <w:sz w:val="22"/>
          <w:szCs w:val="22"/>
        </w:rPr>
        <w:t>Macastena</w:t>
      </w:r>
      <w:proofErr w:type="spellEnd"/>
      <w:r w:rsidRPr="00E652E9">
        <w:rPr>
          <w:rFonts w:ascii="Book Antiqua" w:hAnsi="Book Antiqua" w:cs="Arial"/>
          <w:sz w:val="22"/>
          <w:szCs w:val="22"/>
        </w:rPr>
        <w:t xml:space="preserve"> had applied for (and received) a residence card as an extended family member pursuant to regulations 17(4) and (5) of the 2006 regulations </w:t>
      </w:r>
      <w:proofErr w:type="gramStart"/>
      <w:r w:rsidRPr="00E652E9">
        <w:rPr>
          <w:rFonts w:ascii="Book Antiqua" w:hAnsi="Book Antiqua" w:cs="Arial"/>
          <w:sz w:val="22"/>
          <w:szCs w:val="22"/>
        </w:rPr>
        <w:t>on the basis of</w:t>
      </w:r>
      <w:proofErr w:type="gramEnd"/>
      <w:r w:rsidRPr="00E652E9">
        <w:rPr>
          <w:rFonts w:ascii="Book Antiqua" w:hAnsi="Book Antiqua" w:cs="Arial"/>
          <w:sz w:val="22"/>
          <w:szCs w:val="22"/>
        </w:rPr>
        <w:t xml:space="preserve"> his durable relationship with Ms L, the time of that durable relationship could count towards an acquisition of permanent right of residence, just as time spent with a retained right of residence after his divorce did so count.  But Mr </w:t>
      </w:r>
      <w:proofErr w:type="spellStart"/>
      <w:r w:rsidRPr="00E652E9">
        <w:rPr>
          <w:rFonts w:ascii="Book Antiqua" w:hAnsi="Book Antiqua" w:cs="Arial"/>
          <w:sz w:val="22"/>
          <w:szCs w:val="22"/>
        </w:rPr>
        <w:t>Macastena</w:t>
      </w:r>
      <w:proofErr w:type="spellEnd"/>
      <w:r w:rsidRPr="00E652E9">
        <w:rPr>
          <w:rFonts w:ascii="Book Antiqua" w:hAnsi="Book Antiqua" w:cs="Arial"/>
          <w:sz w:val="22"/>
          <w:szCs w:val="22"/>
        </w:rPr>
        <w:t xml:space="preserve"> never made such an application.  All that had happened before he left for Kosovo to get married to Ms L was that he had entered the United Kingdom unlawfully on 3</w:t>
      </w:r>
      <w:r w:rsidRPr="00E652E9">
        <w:rPr>
          <w:rFonts w:ascii="Book Antiqua" w:hAnsi="Book Antiqua" w:cs="Arial"/>
          <w:sz w:val="22"/>
          <w:szCs w:val="22"/>
          <w:vertAlign w:val="superscript"/>
        </w:rPr>
        <w:t>rd</w:t>
      </w:r>
      <w:r w:rsidRPr="00E652E9">
        <w:rPr>
          <w:rFonts w:ascii="Book Antiqua" w:hAnsi="Book Antiqua" w:cs="Arial"/>
          <w:sz w:val="22"/>
          <w:szCs w:val="22"/>
        </w:rPr>
        <w:t xml:space="preserve"> July 2005 and he had unlawfully remained here.  It is true that Mr </w:t>
      </w:r>
      <w:proofErr w:type="spellStart"/>
      <w:r w:rsidRPr="00E652E9">
        <w:rPr>
          <w:rFonts w:ascii="Book Antiqua" w:hAnsi="Book Antiqua" w:cs="Arial"/>
          <w:sz w:val="22"/>
          <w:szCs w:val="22"/>
        </w:rPr>
        <w:t>Macastena’s</w:t>
      </w:r>
      <w:proofErr w:type="spellEnd"/>
      <w:r w:rsidRPr="00E652E9">
        <w:rPr>
          <w:rFonts w:ascii="Book Antiqua" w:hAnsi="Book Antiqua" w:cs="Arial"/>
          <w:sz w:val="22"/>
          <w:szCs w:val="22"/>
        </w:rPr>
        <w:t xml:space="preserve"> solicitors, in the light of his wish to marry Ms L in August 2008, on 29</w:t>
      </w:r>
      <w:r w:rsidRPr="00E652E9">
        <w:rPr>
          <w:rFonts w:ascii="Book Antiqua" w:hAnsi="Book Antiqua" w:cs="Arial"/>
          <w:sz w:val="22"/>
          <w:szCs w:val="22"/>
          <w:vertAlign w:val="superscript"/>
        </w:rPr>
        <w:t>th</w:t>
      </w:r>
      <w:r w:rsidRPr="00E652E9">
        <w:rPr>
          <w:rFonts w:ascii="Book Antiqua" w:hAnsi="Book Antiqua" w:cs="Arial"/>
          <w:sz w:val="22"/>
          <w:szCs w:val="22"/>
        </w:rPr>
        <w:t xml:space="preserve"> July 200</w:t>
      </w:r>
      <w:r w:rsidR="00CD0903" w:rsidRPr="00E652E9">
        <w:rPr>
          <w:rFonts w:ascii="Book Antiqua" w:hAnsi="Book Antiqua" w:cs="Arial"/>
          <w:sz w:val="22"/>
          <w:szCs w:val="22"/>
        </w:rPr>
        <w:t>8</w:t>
      </w:r>
      <w:r w:rsidRPr="00E652E9">
        <w:rPr>
          <w:rFonts w:ascii="Book Antiqua" w:hAnsi="Book Antiqua" w:cs="Arial"/>
          <w:sz w:val="22"/>
          <w:szCs w:val="22"/>
        </w:rPr>
        <w:t xml:space="preserve"> notified the Secretary of State of his unlawful presence in the United Kingdom and informed her that he had been living with Ms L since September 2007.  They did not, however, ask for a residence card on that basis; they asked and were granted a Visa Disclaimer form so that Mr </w:t>
      </w:r>
      <w:proofErr w:type="spellStart"/>
      <w:r w:rsidRPr="00E652E9">
        <w:rPr>
          <w:rFonts w:ascii="Book Antiqua" w:hAnsi="Book Antiqua" w:cs="Arial"/>
          <w:sz w:val="22"/>
          <w:szCs w:val="22"/>
        </w:rPr>
        <w:t>Macastena</w:t>
      </w:r>
      <w:proofErr w:type="spellEnd"/>
      <w:r w:rsidRPr="00E652E9">
        <w:rPr>
          <w:rFonts w:ascii="Book Antiqua" w:hAnsi="Book Antiqua" w:cs="Arial"/>
          <w:sz w:val="22"/>
          <w:szCs w:val="22"/>
        </w:rPr>
        <w:t xml:space="preserve"> (with Ms L) could return to Kosovo and get married there.  It was only after the marriage that Mr </w:t>
      </w:r>
      <w:proofErr w:type="spellStart"/>
      <w:r w:rsidRPr="00E652E9">
        <w:rPr>
          <w:rFonts w:ascii="Book Antiqua" w:hAnsi="Book Antiqua" w:cs="Arial"/>
          <w:sz w:val="22"/>
          <w:szCs w:val="22"/>
        </w:rPr>
        <w:t>Macastena</w:t>
      </w:r>
      <w:proofErr w:type="spellEnd"/>
      <w:r w:rsidRPr="00E652E9">
        <w:rPr>
          <w:rFonts w:ascii="Book Antiqua" w:hAnsi="Book Antiqua" w:cs="Arial"/>
          <w:sz w:val="22"/>
          <w:szCs w:val="22"/>
        </w:rPr>
        <w:t xml:space="preserve"> was issued first with an EEA Family Permit as Ms L’s spouse (enabling him to re-enter on 5</w:t>
      </w:r>
      <w:r w:rsidRPr="00E652E9">
        <w:rPr>
          <w:rFonts w:ascii="Book Antiqua" w:hAnsi="Book Antiqua" w:cs="Arial"/>
          <w:sz w:val="22"/>
          <w:szCs w:val="22"/>
          <w:vertAlign w:val="superscript"/>
        </w:rPr>
        <w:t>th</w:t>
      </w:r>
      <w:r w:rsidRPr="00E652E9">
        <w:rPr>
          <w:rFonts w:ascii="Book Antiqua" w:hAnsi="Book Antiqua" w:cs="Arial"/>
          <w:sz w:val="22"/>
          <w:szCs w:val="22"/>
        </w:rPr>
        <w:t xml:space="preserve"> September 2008) and in due course with a residence card as the spouse </w:t>
      </w:r>
      <w:r w:rsidRPr="00E652E9">
        <w:rPr>
          <w:rFonts w:ascii="Book Antiqua" w:hAnsi="Book Antiqua" w:cs="Arial"/>
          <w:sz w:val="22"/>
          <w:szCs w:val="22"/>
        </w:rPr>
        <w:lastRenderedPageBreak/>
        <w:t>(family member as per the 2006 regulations) of an EEA national working in the United Kingdom.</w:t>
      </w:r>
    </w:p>
    <w:p w14:paraId="4866DA62" w14:textId="77777777" w:rsidR="001912C5" w:rsidRPr="00E652E9" w:rsidRDefault="001912C5" w:rsidP="00CA09F9">
      <w:pPr>
        <w:spacing w:before="240"/>
        <w:ind w:left="1701" w:right="567" w:hanging="567"/>
        <w:jc w:val="both"/>
        <w:rPr>
          <w:rFonts w:ascii="Book Antiqua" w:hAnsi="Book Antiqua" w:cs="Arial"/>
          <w:sz w:val="22"/>
          <w:szCs w:val="22"/>
        </w:rPr>
      </w:pPr>
      <w:r w:rsidRPr="00E652E9">
        <w:rPr>
          <w:rFonts w:ascii="Book Antiqua" w:hAnsi="Book Antiqua" w:cs="Arial"/>
          <w:sz w:val="22"/>
          <w:szCs w:val="22"/>
        </w:rPr>
        <w:t>16.</w:t>
      </w:r>
      <w:r w:rsidRPr="00E652E9">
        <w:rPr>
          <w:rFonts w:ascii="Book Antiqua" w:hAnsi="Book Antiqua" w:cs="Arial"/>
          <w:sz w:val="22"/>
          <w:szCs w:val="22"/>
        </w:rPr>
        <w:tab/>
        <w:t xml:space="preserve">Mr </w:t>
      </w:r>
      <w:proofErr w:type="spellStart"/>
      <w:r w:rsidRPr="00E652E9">
        <w:rPr>
          <w:rFonts w:ascii="Book Antiqua" w:hAnsi="Book Antiqua" w:cs="Arial"/>
          <w:sz w:val="22"/>
          <w:szCs w:val="22"/>
        </w:rPr>
        <w:t>Macastena</w:t>
      </w:r>
      <w:proofErr w:type="spellEnd"/>
      <w:r w:rsidRPr="00E652E9">
        <w:rPr>
          <w:rFonts w:ascii="Book Antiqua" w:hAnsi="Book Antiqua" w:cs="Arial"/>
          <w:sz w:val="22"/>
          <w:szCs w:val="22"/>
        </w:rPr>
        <w:t xml:space="preserve"> now argues that the Secretary of State knew of his durable relationship with Ms L and has never contested that it existed for some time before his marriage.  That, it is said, is enough for that durable relationship to be added to his time as a spouse </w:t>
      </w:r>
      <w:proofErr w:type="gramStart"/>
      <w:r w:rsidRPr="00E652E9">
        <w:rPr>
          <w:rFonts w:ascii="Book Antiqua" w:hAnsi="Book Antiqua" w:cs="Arial"/>
          <w:sz w:val="22"/>
          <w:szCs w:val="22"/>
        </w:rPr>
        <w:t>for the purpose of</w:t>
      </w:r>
      <w:proofErr w:type="gramEnd"/>
      <w:r w:rsidRPr="00E652E9">
        <w:rPr>
          <w:rFonts w:ascii="Book Antiqua" w:hAnsi="Book Antiqua" w:cs="Arial"/>
          <w:sz w:val="22"/>
          <w:szCs w:val="22"/>
        </w:rPr>
        <w:t xml:space="preserve"> acquiring a permanent right of residence.</w:t>
      </w:r>
    </w:p>
    <w:p w14:paraId="2CD4C87B" w14:textId="77777777" w:rsidR="00BE67D4" w:rsidRPr="00E652E9" w:rsidRDefault="001912C5" w:rsidP="00CA09F9">
      <w:pPr>
        <w:spacing w:before="240"/>
        <w:ind w:left="1701" w:right="567" w:hanging="567"/>
        <w:jc w:val="both"/>
        <w:rPr>
          <w:rFonts w:ascii="Book Antiqua" w:hAnsi="Book Antiqua" w:cs="Arial"/>
          <w:sz w:val="22"/>
          <w:szCs w:val="22"/>
        </w:rPr>
      </w:pPr>
      <w:r w:rsidRPr="00E652E9">
        <w:rPr>
          <w:rFonts w:ascii="Book Antiqua" w:hAnsi="Book Antiqua" w:cs="Arial"/>
          <w:sz w:val="22"/>
          <w:szCs w:val="22"/>
        </w:rPr>
        <w:t>17.</w:t>
      </w:r>
      <w:r w:rsidRPr="00E652E9">
        <w:rPr>
          <w:rFonts w:ascii="Book Antiqua" w:hAnsi="Book Antiqua" w:cs="Arial"/>
          <w:sz w:val="22"/>
          <w:szCs w:val="22"/>
        </w:rPr>
        <w:tab/>
      </w:r>
      <w:r w:rsidR="00BE67D4" w:rsidRPr="00E652E9">
        <w:rPr>
          <w:rFonts w:ascii="Book Antiqua" w:hAnsi="Book Antiqua" w:cs="Arial"/>
          <w:sz w:val="22"/>
          <w:szCs w:val="22"/>
        </w:rPr>
        <w:t xml:space="preserve">That cannot be right.  An extended family member can only be issued with a residence card </w:t>
      </w:r>
      <w:proofErr w:type="gramStart"/>
      <w:r w:rsidR="00BE67D4" w:rsidRPr="00E652E9">
        <w:rPr>
          <w:rFonts w:ascii="Book Antiqua" w:hAnsi="Book Antiqua" w:cs="Arial"/>
          <w:sz w:val="22"/>
          <w:szCs w:val="22"/>
        </w:rPr>
        <w:t>on the basis of</w:t>
      </w:r>
      <w:proofErr w:type="gramEnd"/>
      <w:r w:rsidR="00BE67D4" w:rsidRPr="00E652E9">
        <w:rPr>
          <w:rFonts w:ascii="Book Antiqua" w:hAnsi="Book Antiqua" w:cs="Arial"/>
          <w:sz w:val="22"/>
          <w:szCs w:val="22"/>
        </w:rPr>
        <w:t xml:space="preserve"> his durable relationship with an EEA national if the Secretary of State has undertaken ‘an extensive examination of the personal circumstances of the applicant’.  That has never happened and can only happen after an application for a residence card is made.  Merely notifying the Secretary of State that one is in a durable relationship is nowhere near enough either to constitute such extensive examination or to require such examination to be undertaken.  FTT Judge Clark was with respect wrong to think that time spent in a durable relationship with Ms L could just be added to time spent as her spouse, provided that the First Tier Tribunal itself was satisfied that there had been a durable relationship before the marriage.</w:t>
      </w:r>
    </w:p>
    <w:p w14:paraId="7A1BD937" w14:textId="0F2923B1" w:rsidR="00CA09F9" w:rsidRPr="00E652E9" w:rsidRDefault="00BE67D4" w:rsidP="00CA09F9">
      <w:pPr>
        <w:spacing w:before="240"/>
        <w:ind w:left="1701" w:right="567" w:hanging="567"/>
        <w:jc w:val="both"/>
        <w:rPr>
          <w:rFonts w:ascii="Book Antiqua" w:hAnsi="Book Antiqua" w:cs="Arial"/>
          <w:sz w:val="22"/>
          <w:szCs w:val="22"/>
        </w:rPr>
      </w:pPr>
      <w:r w:rsidRPr="00E652E9">
        <w:rPr>
          <w:rFonts w:ascii="Book Antiqua" w:hAnsi="Book Antiqua" w:cs="Arial"/>
          <w:sz w:val="22"/>
          <w:szCs w:val="22"/>
        </w:rPr>
        <w:t>18.</w:t>
      </w:r>
      <w:r w:rsidRPr="00E652E9">
        <w:rPr>
          <w:rFonts w:ascii="Book Antiqua" w:hAnsi="Book Antiqua" w:cs="Arial"/>
          <w:sz w:val="22"/>
          <w:szCs w:val="22"/>
        </w:rPr>
        <w:tab/>
      </w:r>
      <w:r w:rsidR="00C079D8" w:rsidRPr="00E652E9">
        <w:rPr>
          <w:rFonts w:ascii="Book Antiqua" w:hAnsi="Book Antiqua" w:cs="Arial"/>
          <w:sz w:val="22"/>
          <w:szCs w:val="22"/>
        </w:rPr>
        <w:t xml:space="preserve">This is confirmed (if confirmation is needed) by the analogous case of </w:t>
      </w:r>
      <w:r w:rsidR="00C079D8" w:rsidRPr="00E652E9">
        <w:rPr>
          <w:rFonts w:ascii="Book Antiqua" w:hAnsi="Book Antiqua" w:cs="Arial"/>
          <w:sz w:val="22"/>
          <w:szCs w:val="22"/>
          <w:u w:val="single"/>
        </w:rPr>
        <w:t>CS (Brazil) v SSHD</w:t>
      </w:r>
      <w:r w:rsidR="00C079D8" w:rsidRPr="00E652E9">
        <w:rPr>
          <w:rFonts w:ascii="Book Antiqua" w:hAnsi="Book Antiqua" w:cs="Arial"/>
          <w:sz w:val="22"/>
          <w:szCs w:val="22"/>
        </w:rPr>
        <w:t xml:space="preserve"> [2009] EWCA </w:t>
      </w:r>
      <w:proofErr w:type="spellStart"/>
      <w:r w:rsidR="00C079D8" w:rsidRPr="00E652E9">
        <w:rPr>
          <w:rFonts w:ascii="Book Antiqua" w:hAnsi="Book Antiqua" w:cs="Arial"/>
          <w:sz w:val="22"/>
          <w:szCs w:val="22"/>
        </w:rPr>
        <w:t>Civ</w:t>
      </w:r>
      <w:proofErr w:type="spellEnd"/>
      <w:r w:rsidR="00C079D8" w:rsidRPr="00E652E9">
        <w:rPr>
          <w:rFonts w:ascii="Book Antiqua" w:hAnsi="Book Antiqua" w:cs="Arial"/>
          <w:sz w:val="22"/>
          <w:szCs w:val="22"/>
        </w:rPr>
        <w:t xml:space="preserve"> 480; [2010] INLR 146 which considered regulations 8(5) and 17(4) of the 2006 regulations, along with the relevant provisions of the Citizens Directive, Directive 2004/38/EC pursuant to which the regulations were enacted.  The applicant in that case was not a foreign criminal asserting a right of permanent residence but a Brazilian homosexual who had a durable relationship with an Italian man which had come to an end at the same time as CS’s own three </w:t>
      </w:r>
      <w:proofErr w:type="gramStart"/>
      <w:r w:rsidR="00C079D8" w:rsidRPr="00E652E9">
        <w:rPr>
          <w:rFonts w:ascii="Book Antiqua" w:hAnsi="Book Antiqua" w:cs="Arial"/>
          <w:sz w:val="22"/>
          <w:szCs w:val="22"/>
        </w:rPr>
        <w:t>year</w:t>
      </w:r>
      <w:proofErr w:type="gramEnd"/>
      <w:r w:rsidR="00C079D8" w:rsidRPr="00E652E9">
        <w:rPr>
          <w:rFonts w:ascii="Book Antiqua" w:hAnsi="Book Antiqua" w:cs="Arial"/>
          <w:sz w:val="22"/>
          <w:szCs w:val="22"/>
        </w:rPr>
        <w:t xml:space="preserve"> leave to remain expired on 17</w:t>
      </w:r>
      <w:r w:rsidR="00C079D8" w:rsidRPr="00E652E9">
        <w:rPr>
          <w:rFonts w:ascii="Book Antiqua" w:hAnsi="Book Antiqua" w:cs="Arial"/>
          <w:sz w:val="22"/>
          <w:szCs w:val="22"/>
          <w:vertAlign w:val="superscript"/>
        </w:rPr>
        <w:t>th</w:t>
      </w:r>
      <w:r w:rsidR="00C079D8" w:rsidRPr="00E652E9">
        <w:rPr>
          <w:rFonts w:ascii="Book Antiqua" w:hAnsi="Book Antiqua" w:cs="Arial"/>
          <w:sz w:val="22"/>
          <w:szCs w:val="22"/>
        </w:rPr>
        <w:t xml:space="preserve"> January 2007.  He then applied for further leave to remain </w:t>
      </w:r>
      <w:proofErr w:type="gramStart"/>
      <w:r w:rsidR="00C079D8" w:rsidRPr="00E652E9">
        <w:rPr>
          <w:rFonts w:ascii="Book Antiqua" w:hAnsi="Book Antiqua" w:cs="Arial"/>
          <w:sz w:val="22"/>
          <w:szCs w:val="22"/>
        </w:rPr>
        <w:t>on the ground that</w:t>
      </w:r>
      <w:proofErr w:type="gramEnd"/>
      <w:r w:rsidR="00C079D8" w:rsidRPr="00E652E9">
        <w:rPr>
          <w:rFonts w:ascii="Book Antiqua" w:hAnsi="Book Antiqua" w:cs="Arial"/>
          <w:sz w:val="22"/>
          <w:szCs w:val="22"/>
        </w:rPr>
        <w:t>, if he had applied for a residence card while the durable relationship existed, he would have obtained one which would have been valid for 5 years pursuant to regulation 17(6)</w:t>
      </w:r>
      <w:r w:rsidR="00CA09F9" w:rsidRPr="00E652E9">
        <w:rPr>
          <w:rFonts w:ascii="Book Antiqua" w:hAnsi="Book Antiqua" w:cs="Arial"/>
          <w:sz w:val="22"/>
          <w:szCs w:val="22"/>
        </w:rPr>
        <w:t xml:space="preserve">.  His application was refused in July 2007.  He submitted that, since he had had an available putative right before the end of his relationship, that right should have been a powerful factor for the Secretary of State to </w:t>
      </w:r>
      <w:proofErr w:type="gramStart"/>
      <w:r w:rsidR="00CA09F9" w:rsidRPr="00E652E9">
        <w:rPr>
          <w:rFonts w:ascii="Book Antiqua" w:hAnsi="Book Antiqua" w:cs="Arial"/>
          <w:sz w:val="22"/>
          <w:szCs w:val="22"/>
        </w:rPr>
        <w:t>take into account</w:t>
      </w:r>
      <w:proofErr w:type="gramEnd"/>
      <w:r w:rsidR="00CA09F9" w:rsidRPr="00E652E9">
        <w:rPr>
          <w:rFonts w:ascii="Book Antiqua" w:hAnsi="Book Antiqua" w:cs="Arial"/>
          <w:sz w:val="22"/>
          <w:szCs w:val="22"/>
        </w:rPr>
        <w:t xml:space="preserve"> when deciding in July 2007 whether to extend his leave to remain.</w:t>
      </w:r>
      <w:r w:rsidR="00103C23" w:rsidRPr="00E652E9">
        <w:rPr>
          <w:rFonts w:ascii="Book Antiqua" w:hAnsi="Book Antiqua" w:cs="Arial"/>
          <w:sz w:val="22"/>
          <w:szCs w:val="22"/>
        </w:rPr>
        <w:t xml:space="preserve">  </w:t>
      </w:r>
    </w:p>
    <w:p w14:paraId="19691E93" w14:textId="77777777" w:rsidR="00CA09F9" w:rsidRPr="00E652E9" w:rsidRDefault="00CA09F9" w:rsidP="00CA09F9">
      <w:pPr>
        <w:spacing w:before="240"/>
        <w:ind w:left="1701" w:right="567" w:hanging="567"/>
        <w:jc w:val="both"/>
        <w:rPr>
          <w:rFonts w:ascii="Book Antiqua" w:hAnsi="Book Antiqua" w:cs="Arial"/>
          <w:sz w:val="22"/>
          <w:szCs w:val="22"/>
        </w:rPr>
      </w:pPr>
      <w:r w:rsidRPr="00E652E9">
        <w:rPr>
          <w:rFonts w:ascii="Book Antiqua" w:hAnsi="Book Antiqua" w:cs="Arial"/>
          <w:sz w:val="22"/>
          <w:szCs w:val="22"/>
        </w:rPr>
        <w:t>19.</w:t>
      </w:r>
      <w:r w:rsidRPr="00E652E9">
        <w:rPr>
          <w:rFonts w:ascii="Book Antiqua" w:hAnsi="Book Antiqua" w:cs="Arial"/>
          <w:sz w:val="22"/>
          <w:szCs w:val="22"/>
        </w:rPr>
        <w:tab/>
        <w:t>Laws LJ (with whom Hooper and Toulson LJJ agreed) held that CS’s argument failed, saying (para 13</w:t>
      </w:r>
      <w:proofErr w:type="gramStart"/>
      <w:r w:rsidRPr="00E652E9">
        <w:rPr>
          <w:rFonts w:ascii="Book Antiqua" w:hAnsi="Book Antiqua" w:cs="Arial"/>
          <w:sz w:val="22"/>
          <w:szCs w:val="22"/>
        </w:rPr>
        <w:t>):-</w:t>
      </w:r>
      <w:proofErr w:type="gramEnd"/>
    </w:p>
    <w:p w14:paraId="70C6B029" w14:textId="5AB2C834" w:rsidR="00103C23" w:rsidRPr="00E652E9" w:rsidRDefault="00CA09F9" w:rsidP="00CA09F9">
      <w:pPr>
        <w:spacing w:before="240"/>
        <w:ind w:left="2268" w:right="1134"/>
        <w:jc w:val="both"/>
        <w:rPr>
          <w:rFonts w:ascii="Book Antiqua" w:hAnsi="Book Antiqua" w:cs="Arial"/>
          <w:sz w:val="22"/>
          <w:szCs w:val="22"/>
        </w:rPr>
      </w:pPr>
      <w:r w:rsidRPr="00E652E9">
        <w:rPr>
          <w:rFonts w:ascii="Book Antiqua" w:hAnsi="Book Antiqua" w:cs="Arial"/>
          <w:sz w:val="22"/>
          <w:szCs w:val="22"/>
        </w:rPr>
        <w:t xml:space="preserve">‘In July 2008 the appellant had no rights under the Directive nor under the Regulations.  It is obvious, but important, that article 3(2)(b) [of the Directive] and </w:t>
      </w:r>
      <w:proofErr w:type="spellStart"/>
      <w:r w:rsidRPr="00E652E9">
        <w:rPr>
          <w:rFonts w:ascii="Book Antiqua" w:hAnsi="Book Antiqua" w:cs="Arial"/>
          <w:sz w:val="22"/>
          <w:szCs w:val="22"/>
        </w:rPr>
        <w:t>reg</w:t>
      </w:r>
      <w:proofErr w:type="spellEnd"/>
      <w:r w:rsidRPr="00E652E9">
        <w:rPr>
          <w:rFonts w:ascii="Book Antiqua" w:hAnsi="Book Antiqua" w:cs="Arial"/>
          <w:sz w:val="22"/>
          <w:szCs w:val="22"/>
        </w:rPr>
        <w:t xml:space="preserve"> 8(5) are both expressed in the present tense.  By July 2007 the appellant clearly had no entitlement to be considered for residence as an extended family member as such, for at that time he did not possess that status.  In my judgment, the Secretary of State was simply not required in July of that year to undertake the art 3(b) exercise ... I do not accept that the appellant’s potential or putative rights, that could have been made good during the durable relationship, give rise as a matter of law to a duty after that relationship was over upon </w:t>
      </w:r>
      <w:r w:rsidRPr="00E652E9">
        <w:rPr>
          <w:rFonts w:ascii="Book Antiqua" w:hAnsi="Book Antiqua" w:cs="Arial"/>
          <w:sz w:val="22"/>
          <w:szCs w:val="22"/>
        </w:rPr>
        <w:lastRenderedPageBreak/>
        <w:t>the shoulders of the Secretary of State to address the historic fact of those putative rights in making her discretionary decision in July 2007 ...’</w:t>
      </w:r>
    </w:p>
    <w:p w14:paraId="11610F08" w14:textId="0C0288AA" w:rsidR="00CA09F9" w:rsidRPr="00E652E9" w:rsidRDefault="00CA09F9" w:rsidP="00CD0903">
      <w:pPr>
        <w:spacing w:before="240"/>
        <w:ind w:left="1701" w:right="567" w:hanging="567"/>
        <w:jc w:val="both"/>
        <w:rPr>
          <w:rFonts w:ascii="Book Antiqua" w:hAnsi="Book Antiqua" w:cs="Arial"/>
          <w:sz w:val="22"/>
          <w:szCs w:val="22"/>
        </w:rPr>
      </w:pPr>
      <w:r w:rsidRPr="00E652E9">
        <w:rPr>
          <w:rFonts w:ascii="Book Antiqua" w:hAnsi="Book Antiqua" w:cs="Arial"/>
          <w:sz w:val="22"/>
          <w:szCs w:val="22"/>
        </w:rPr>
        <w:t>20.</w:t>
      </w:r>
      <w:r w:rsidRPr="00E652E9">
        <w:rPr>
          <w:rFonts w:ascii="Book Antiqua" w:hAnsi="Book Antiqua" w:cs="Arial"/>
          <w:sz w:val="22"/>
          <w:szCs w:val="22"/>
        </w:rPr>
        <w:tab/>
        <w:t xml:space="preserve">Likewise, </w:t>
      </w:r>
      <w:r w:rsidR="005A72D4" w:rsidRPr="00E652E9">
        <w:rPr>
          <w:rFonts w:ascii="Book Antiqua" w:hAnsi="Book Antiqua" w:cs="Arial"/>
          <w:sz w:val="22"/>
          <w:szCs w:val="22"/>
        </w:rPr>
        <w:t xml:space="preserve">in the present case there was, in my judgment, no duty on the Secretary of State to </w:t>
      </w:r>
      <w:proofErr w:type="gramStart"/>
      <w:r w:rsidR="005A72D4" w:rsidRPr="00E652E9">
        <w:rPr>
          <w:rFonts w:ascii="Book Antiqua" w:hAnsi="Book Antiqua" w:cs="Arial"/>
          <w:sz w:val="22"/>
          <w:szCs w:val="22"/>
        </w:rPr>
        <w:t>take into account</w:t>
      </w:r>
      <w:proofErr w:type="gramEnd"/>
      <w:r w:rsidR="005A72D4" w:rsidRPr="00E652E9">
        <w:rPr>
          <w:rFonts w:ascii="Book Antiqua" w:hAnsi="Book Antiqua" w:cs="Arial"/>
          <w:sz w:val="22"/>
          <w:szCs w:val="22"/>
        </w:rPr>
        <w:t xml:space="preserve">, when considering whether Mr </w:t>
      </w:r>
      <w:proofErr w:type="spellStart"/>
      <w:r w:rsidR="005A72D4" w:rsidRPr="00E652E9">
        <w:rPr>
          <w:rFonts w:ascii="Book Antiqua" w:hAnsi="Book Antiqua" w:cs="Arial"/>
          <w:sz w:val="22"/>
          <w:szCs w:val="22"/>
        </w:rPr>
        <w:t>Macastena</w:t>
      </w:r>
      <w:proofErr w:type="spellEnd"/>
      <w:r w:rsidR="005A72D4" w:rsidRPr="00E652E9">
        <w:rPr>
          <w:rFonts w:ascii="Book Antiqua" w:hAnsi="Book Antiqua" w:cs="Arial"/>
          <w:sz w:val="22"/>
          <w:szCs w:val="22"/>
        </w:rPr>
        <w:t xml:space="preserve"> should be deported, the fact that he could have applied for a residence card pursuant to regulation 17(4) during his durable relationship with Ms L and would have been entitled to an extensive examination of his personal circumstances which might well have resulted in the issue of a residence card to him.  Not only is the definition of extended family member in regulation 8(5) expressed in the present tense, so also is regulation 17(4)”.</w:t>
      </w:r>
    </w:p>
    <w:p w14:paraId="538A5C61" w14:textId="4811B592" w:rsidR="009C6C0F" w:rsidRDefault="005A72D4" w:rsidP="00EA79AF">
      <w:pPr>
        <w:numPr>
          <w:ilvl w:val="0"/>
          <w:numId w:val="1"/>
        </w:numPr>
        <w:tabs>
          <w:tab w:val="clear" w:pos="567"/>
        </w:tabs>
        <w:spacing w:before="240"/>
        <w:jc w:val="both"/>
        <w:rPr>
          <w:rFonts w:ascii="Book Antiqua" w:hAnsi="Book Antiqua" w:cs="Arial"/>
        </w:rPr>
      </w:pPr>
      <w:r>
        <w:rPr>
          <w:rFonts w:ascii="Book Antiqua" w:hAnsi="Book Antiqua" w:cs="Arial"/>
        </w:rPr>
        <w:t>At [22]</w:t>
      </w:r>
      <w:proofErr w:type="gramStart"/>
      <w:r>
        <w:rPr>
          <w:rFonts w:ascii="Book Antiqua" w:hAnsi="Book Antiqua" w:cs="Arial"/>
        </w:rPr>
        <w:t>–[</w:t>
      </w:r>
      <w:proofErr w:type="gramEnd"/>
      <w:r>
        <w:rPr>
          <w:rFonts w:ascii="Book Antiqua" w:hAnsi="Book Antiqua" w:cs="Arial"/>
        </w:rPr>
        <w:t xml:space="preserve">24], Longmore LJ dealt with the position under the Citizens Directive and the case of </w:t>
      </w:r>
      <w:r w:rsidRPr="005A72D4">
        <w:rPr>
          <w:rFonts w:ascii="Book Antiqua" w:hAnsi="Book Antiqua" w:cs="Arial"/>
          <w:u w:val="single"/>
        </w:rPr>
        <w:t>Rahman</w:t>
      </w:r>
      <w:r>
        <w:rPr>
          <w:rFonts w:ascii="Book Antiqua" w:hAnsi="Book Antiqua" w:cs="Arial"/>
        </w:rPr>
        <w:t xml:space="preserve"> to which I have already referred as follows:</w:t>
      </w:r>
      <w:r w:rsidR="00103C23">
        <w:rPr>
          <w:rFonts w:ascii="Book Antiqua" w:hAnsi="Book Antiqua" w:cs="Arial"/>
        </w:rPr>
        <w:t xml:space="preserve">   </w:t>
      </w:r>
      <w:r w:rsidR="009C6C0F">
        <w:rPr>
          <w:rFonts w:ascii="Book Antiqua" w:hAnsi="Book Antiqua" w:cs="Arial"/>
        </w:rPr>
        <w:t xml:space="preserve"> </w:t>
      </w:r>
    </w:p>
    <w:p w14:paraId="6A6F89D0" w14:textId="1F2B00BC" w:rsidR="005A72D4" w:rsidRPr="00E652E9" w:rsidRDefault="005A72D4" w:rsidP="005A72D4">
      <w:pPr>
        <w:spacing w:before="240"/>
        <w:ind w:left="1701" w:right="567" w:hanging="567"/>
        <w:jc w:val="both"/>
        <w:rPr>
          <w:rFonts w:ascii="Book Antiqua" w:hAnsi="Book Antiqua" w:cs="Arial"/>
          <w:sz w:val="22"/>
          <w:szCs w:val="22"/>
        </w:rPr>
      </w:pPr>
      <w:r w:rsidRPr="00E652E9">
        <w:rPr>
          <w:rFonts w:ascii="Book Antiqua" w:hAnsi="Book Antiqua" w:cs="Arial"/>
          <w:sz w:val="22"/>
          <w:szCs w:val="22"/>
        </w:rPr>
        <w:t>“22.</w:t>
      </w:r>
      <w:r w:rsidRPr="00E652E9">
        <w:rPr>
          <w:rFonts w:ascii="Book Antiqua" w:hAnsi="Book Antiqua" w:cs="Arial"/>
          <w:sz w:val="22"/>
          <w:szCs w:val="22"/>
        </w:rPr>
        <w:tab/>
        <w:t xml:space="preserve">Mr Gill’s argument was that Article 3(2) of the Citizens </w:t>
      </w:r>
      <w:r w:rsidR="001E305E" w:rsidRPr="00E652E9">
        <w:rPr>
          <w:rFonts w:ascii="Book Antiqua" w:hAnsi="Book Antiqua" w:cs="Arial"/>
          <w:sz w:val="22"/>
          <w:szCs w:val="22"/>
        </w:rPr>
        <w:t xml:space="preserve">Directive </w:t>
      </w:r>
      <w:r w:rsidRPr="00E652E9">
        <w:rPr>
          <w:rFonts w:ascii="Book Antiqua" w:hAnsi="Book Antiqua" w:cs="Arial"/>
          <w:sz w:val="22"/>
          <w:szCs w:val="22"/>
        </w:rPr>
        <w:t xml:space="preserve">requires the host Member State, in accordance with its national legislation, to ‘facilitate entry and residence’ for </w:t>
      </w:r>
    </w:p>
    <w:p w14:paraId="4B6E64F7" w14:textId="10EDD95F" w:rsidR="005A72D4" w:rsidRPr="00E652E9" w:rsidRDefault="005A72D4" w:rsidP="005A72D4">
      <w:pPr>
        <w:spacing w:before="240"/>
        <w:ind w:left="2268" w:right="1134"/>
        <w:jc w:val="both"/>
        <w:rPr>
          <w:rFonts w:ascii="Book Antiqua" w:hAnsi="Book Antiqua" w:cs="Arial"/>
          <w:sz w:val="22"/>
          <w:szCs w:val="22"/>
        </w:rPr>
      </w:pPr>
      <w:r w:rsidRPr="00E652E9">
        <w:rPr>
          <w:rFonts w:ascii="Book Antiqua" w:hAnsi="Book Antiqua" w:cs="Arial"/>
          <w:sz w:val="22"/>
          <w:szCs w:val="22"/>
        </w:rPr>
        <w:t>‘a partner with whom the Union citizen has a durable relation, duly attested’</w:t>
      </w:r>
    </w:p>
    <w:p w14:paraId="5E431045" w14:textId="77777777" w:rsidR="00BE2F52" w:rsidRPr="00E652E9" w:rsidRDefault="00BE2F52" w:rsidP="00BE2F52">
      <w:pPr>
        <w:spacing w:before="240"/>
        <w:ind w:left="1701" w:right="567"/>
        <w:jc w:val="both"/>
        <w:rPr>
          <w:rFonts w:ascii="Book Antiqua" w:hAnsi="Book Antiqua" w:cs="Arial"/>
          <w:sz w:val="22"/>
          <w:szCs w:val="22"/>
        </w:rPr>
      </w:pPr>
      <w:r w:rsidRPr="00E652E9">
        <w:rPr>
          <w:rFonts w:ascii="Book Antiqua" w:hAnsi="Book Antiqua" w:cs="Arial"/>
          <w:sz w:val="22"/>
          <w:szCs w:val="22"/>
        </w:rPr>
        <w:t xml:space="preserve">and that the Secretary of State did not facilitate such residence if he ignored the durable relationship which Mr </w:t>
      </w:r>
      <w:proofErr w:type="spellStart"/>
      <w:r w:rsidRPr="00E652E9">
        <w:rPr>
          <w:rFonts w:ascii="Book Antiqua" w:hAnsi="Book Antiqua" w:cs="Arial"/>
          <w:sz w:val="22"/>
          <w:szCs w:val="22"/>
        </w:rPr>
        <w:t>Macastena</w:t>
      </w:r>
      <w:proofErr w:type="spellEnd"/>
      <w:r w:rsidRPr="00E652E9">
        <w:rPr>
          <w:rFonts w:ascii="Book Antiqua" w:hAnsi="Book Antiqua" w:cs="Arial"/>
          <w:sz w:val="22"/>
          <w:szCs w:val="22"/>
        </w:rPr>
        <w:t xml:space="preserve"> had with Ms L.</w:t>
      </w:r>
    </w:p>
    <w:p w14:paraId="25F6FFB7" w14:textId="0979C082" w:rsidR="00BE2F52" w:rsidRPr="00E652E9" w:rsidRDefault="00BE2F52" w:rsidP="00BE2F52">
      <w:pPr>
        <w:spacing w:before="240"/>
        <w:ind w:left="1701" w:right="567" w:hanging="567"/>
        <w:jc w:val="both"/>
        <w:rPr>
          <w:rFonts w:ascii="Book Antiqua" w:hAnsi="Book Antiqua" w:cs="Arial"/>
          <w:sz w:val="22"/>
          <w:szCs w:val="22"/>
        </w:rPr>
      </w:pPr>
      <w:r w:rsidRPr="00E652E9">
        <w:rPr>
          <w:rFonts w:ascii="Book Antiqua" w:hAnsi="Book Antiqua" w:cs="Arial"/>
          <w:sz w:val="22"/>
          <w:szCs w:val="22"/>
        </w:rPr>
        <w:t>23.</w:t>
      </w:r>
      <w:r w:rsidRPr="00E652E9">
        <w:rPr>
          <w:rFonts w:ascii="Book Antiqua" w:hAnsi="Book Antiqua" w:cs="Arial"/>
          <w:sz w:val="22"/>
          <w:szCs w:val="22"/>
        </w:rPr>
        <w:tab/>
        <w:t>Such facilitation, however, is a matter for national legislation; moreover, the host Member State is mandated by Article 3(2) itself to ‘undertake an extensive examination of [the applicant’s] personal circumstances’.  Mr Gill did not contend that the UK’s national legislation was incompatible or inconsistent with the Citizens Directive and, for that reason, I have referred only to the 200</w:t>
      </w:r>
      <w:r w:rsidR="00CD0903" w:rsidRPr="00E652E9">
        <w:rPr>
          <w:rFonts w:ascii="Book Antiqua" w:hAnsi="Book Antiqua" w:cs="Arial"/>
          <w:sz w:val="22"/>
          <w:szCs w:val="22"/>
        </w:rPr>
        <w:t>6</w:t>
      </w:r>
      <w:r w:rsidRPr="00E652E9">
        <w:rPr>
          <w:rFonts w:ascii="Book Antiqua" w:hAnsi="Book Antiqua" w:cs="Arial"/>
          <w:sz w:val="22"/>
          <w:szCs w:val="22"/>
        </w:rPr>
        <w:t xml:space="preserve"> regulations.</w:t>
      </w:r>
    </w:p>
    <w:p w14:paraId="0FB8CF7B" w14:textId="2E3DD7AB" w:rsidR="005A72D4" w:rsidRPr="00E652E9" w:rsidRDefault="00BE2F52" w:rsidP="00BE2F52">
      <w:pPr>
        <w:spacing w:before="240"/>
        <w:ind w:left="1701" w:right="567" w:hanging="567"/>
        <w:jc w:val="both"/>
        <w:rPr>
          <w:rFonts w:ascii="Book Antiqua" w:hAnsi="Book Antiqua" w:cs="Arial"/>
          <w:sz w:val="22"/>
          <w:szCs w:val="22"/>
        </w:rPr>
      </w:pPr>
      <w:r w:rsidRPr="00E652E9">
        <w:rPr>
          <w:rFonts w:ascii="Book Antiqua" w:hAnsi="Book Antiqua" w:cs="Arial"/>
          <w:sz w:val="22"/>
          <w:szCs w:val="22"/>
        </w:rPr>
        <w:t>24.</w:t>
      </w:r>
      <w:r w:rsidRPr="00E652E9">
        <w:rPr>
          <w:rFonts w:ascii="Book Antiqua" w:hAnsi="Book Antiqua" w:cs="Arial"/>
          <w:sz w:val="22"/>
          <w:szCs w:val="22"/>
        </w:rPr>
        <w:tab/>
        <w:t xml:space="preserve">Mr Gill also relied on the decision of the Court of Justice of the European </w:t>
      </w:r>
      <w:r w:rsidR="00CD0903" w:rsidRPr="00E652E9">
        <w:rPr>
          <w:rFonts w:ascii="Book Antiqua" w:hAnsi="Book Antiqua" w:cs="Arial"/>
          <w:sz w:val="22"/>
          <w:szCs w:val="22"/>
        </w:rPr>
        <w:t xml:space="preserve">Union </w:t>
      </w:r>
      <w:r w:rsidRPr="00E652E9">
        <w:rPr>
          <w:rFonts w:ascii="Book Antiqua" w:hAnsi="Book Antiqua" w:cs="Arial"/>
          <w:sz w:val="22"/>
          <w:szCs w:val="22"/>
        </w:rPr>
        <w:t xml:space="preserve">in </w:t>
      </w:r>
      <w:r w:rsidRPr="00E652E9">
        <w:rPr>
          <w:rFonts w:ascii="Book Antiqua" w:hAnsi="Book Antiqua" w:cs="Arial"/>
          <w:sz w:val="22"/>
          <w:szCs w:val="22"/>
          <w:u w:val="single"/>
        </w:rPr>
        <w:t>Rahman v SSHD</w:t>
      </w:r>
      <w:r w:rsidRPr="00E652E9">
        <w:rPr>
          <w:rFonts w:ascii="Book Antiqua" w:hAnsi="Book Antiqua" w:cs="Arial"/>
          <w:sz w:val="22"/>
          <w:szCs w:val="22"/>
        </w:rPr>
        <w:t xml:space="preserve"> [2013] QB 249 for the propositions (1) that (as per para 22) the Member States must make it possible for persons in a durable relationship to obtain a decision on their application that is founded on an extensive examination of their personal circumstances and, in the event of refusal, is justified by reasons and (2) that (as per para 24) the Member State had to ensure that its legislation contained criteria which are consistent with the normal meaning of the word ‘facilitate’ and which do not deprive Article 3(2) of its effectiveness.  But Mr Gill could not point to criteria contained in the legislation which are inconsistent with the word ‘facilitate’ or which deprived Article 3(2) of its effectiveness.  In para 22 of its decision, the CJEU itself envisaged that an application had to be made if Article 3(2) was to be invoked.  That is confirmed as a matter of English and European law by </w:t>
      </w:r>
      <w:proofErr w:type="spellStart"/>
      <w:r w:rsidRPr="00E652E9">
        <w:rPr>
          <w:rFonts w:ascii="Book Antiqua" w:hAnsi="Book Antiqua" w:cs="Arial"/>
          <w:sz w:val="22"/>
          <w:szCs w:val="22"/>
          <w:u w:val="single"/>
        </w:rPr>
        <w:t>Aladeselu</w:t>
      </w:r>
      <w:proofErr w:type="spellEnd"/>
      <w:r w:rsidRPr="00E652E9">
        <w:rPr>
          <w:rFonts w:ascii="Book Antiqua" w:hAnsi="Book Antiqua" w:cs="Arial"/>
          <w:sz w:val="22"/>
          <w:szCs w:val="22"/>
          <w:u w:val="single"/>
        </w:rPr>
        <w:t xml:space="preserve"> v SSHD</w:t>
      </w:r>
      <w:r w:rsidRPr="00E652E9">
        <w:rPr>
          <w:rFonts w:ascii="Book Antiqua" w:hAnsi="Book Antiqua" w:cs="Arial"/>
          <w:sz w:val="22"/>
          <w:szCs w:val="22"/>
        </w:rPr>
        <w:t xml:space="preserve"> [2013] EWCA </w:t>
      </w:r>
      <w:proofErr w:type="spellStart"/>
      <w:r w:rsidRPr="00E652E9">
        <w:rPr>
          <w:rFonts w:ascii="Book Antiqua" w:hAnsi="Book Antiqua" w:cs="Arial"/>
          <w:sz w:val="22"/>
          <w:szCs w:val="22"/>
        </w:rPr>
        <w:t>Civ</w:t>
      </w:r>
      <w:proofErr w:type="spellEnd"/>
      <w:r w:rsidRPr="00E652E9">
        <w:rPr>
          <w:rFonts w:ascii="Book Antiqua" w:hAnsi="Book Antiqua" w:cs="Arial"/>
          <w:sz w:val="22"/>
          <w:szCs w:val="22"/>
        </w:rPr>
        <w:t xml:space="preserve"> 144; [2014] INLR 85 in which Richards LJ said (para 65</w:t>
      </w:r>
      <w:proofErr w:type="gramStart"/>
      <w:r w:rsidRPr="00E652E9">
        <w:rPr>
          <w:rFonts w:ascii="Book Antiqua" w:hAnsi="Book Antiqua" w:cs="Arial"/>
          <w:sz w:val="22"/>
          <w:szCs w:val="22"/>
        </w:rPr>
        <w:t>):-</w:t>
      </w:r>
      <w:proofErr w:type="gramEnd"/>
      <w:r w:rsidRPr="00E652E9">
        <w:rPr>
          <w:rFonts w:ascii="Book Antiqua" w:hAnsi="Book Antiqua" w:cs="Arial"/>
          <w:sz w:val="22"/>
          <w:szCs w:val="22"/>
        </w:rPr>
        <w:t xml:space="preserve">  </w:t>
      </w:r>
    </w:p>
    <w:p w14:paraId="10B42BE1" w14:textId="4A2F9BFA" w:rsidR="00BE2F52" w:rsidRPr="00E652E9" w:rsidRDefault="007D2759" w:rsidP="007D2759">
      <w:pPr>
        <w:spacing w:before="240"/>
        <w:ind w:left="2268" w:right="1134"/>
        <w:jc w:val="both"/>
        <w:rPr>
          <w:rFonts w:ascii="Book Antiqua" w:hAnsi="Book Antiqua" w:cs="Arial"/>
          <w:sz w:val="22"/>
          <w:szCs w:val="22"/>
        </w:rPr>
      </w:pPr>
      <w:r w:rsidRPr="00E652E9">
        <w:rPr>
          <w:rFonts w:ascii="Book Antiqua" w:hAnsi="Book Antiqua" w:cs="Arial"/>
          <w:sz w:val="22"/>
          <w:szCs w:val="22"/>
        </w:rPr>
        <w:t xml:space="preserve">‘It should be emphasised that a finding that an applicant comes within </w:t>
      </w:r>
      <w:proofErr w:type="spellStart"/>
      <w:r w:rsidRPr="00E652E9">
        <w:rPr>
          <w:rFonts w:ascii="Book Antiqua" w:hAnsi="Book Antiqua" w:cs="Arial"/>
          <w:sz w:val="22"/>
          <w:szCs w:val="22"/>
        </w:rPr>
        <w:t>reg</w:t>
      </w:r>
      <w:proofErr w:type="spellEnd"/>
      <w:r w:rsidRPr="00E652E9">
        <w:rPr>
          <w:rFonts w:ascii="Book Antiqua" w:hAnsi="Book Antiqua" w:cs="Arial"/>
          <w:sz w:val="22"/>
          <w:szCs w:val="22"/>
        </w:rPr>
        <w:t xml:space="preserve"> 8 does not confer on him any substantive right to residence in the UK.  Whether to grant a residence card is a matter for decision by the Secretary of State in the exercise of a </w:t>
      </w:r>
      <w:r w:rsidRPr="00E652E9">
        <w:rPr>
          <w:rFonts w:ascii="Book Antiqua" w:hAnsi="Book Antiqua" w:cs="Arial"/>
          <w:sz w:val="22"/>
          <w:szCs w:val="22"/>
        </w:rPr>
        <w:lastRenderedPageBreak/>
        <w:t xml:space="preserve">broad discretion under </w:t>
      </w:r>
      <w:proofErr w:type="spellStart"/>
      <w:r w:rsidRPr="00E652E9">
        <w:rPr>
          <w:rFonts w:ascii="Book Antiqua" w:hAnsi="Book Antiqua" w:cs="Arial"/>
          <w:sz w:val="22"/>
          <w:szCs w:val="22"/>
        </w:rPr>
        <w:t>reg</w:t>
      </w:r>
      <w:proofErr w:type="spellEnd"/>
      <w:r w:rsidRPr="00E652E9">
        <w:rPr>
          <w:rFonts w:ascii="Book Antiqua" w:hAnsi="Book Antiqua" w:cs="Arial"/>
          <w:sz w:val="22"/>
          <w:szCs w:val="22"/>
        </w:rPr>
        <w:t xml:space="preserve"> 17(4), subject to the procedural requirements in </w:t>
      </w:r>
      <w:proofErr w:type="spellStart"/>
      <w:r w:rsidRPr="00E652E9">
        <w:rPr>
          <w:rFonts w:ascii="Book Antiqua" w:hAnsi="Book Antiqua" w:cs="Arial"/>
          <w:sz w:val="22"/>
          <w:szCs w:val="22"/>
        </w:rPr>
        <w:t>reg</w:t>
      </w:r>
      <w:proofErr w:type="spellEnd"/>
      <w:r w:rsidRPr="00E652E9">
        <w:rPr>
          <w:rFonts w:ascii="Book Antiqua" w:hAnsi="Book Antiqua" w:cs="Arial"/>
          <w:sz w:val="22"/>
          <w:szCs w:val="22"/>
        </w:rPr>
        <w:t xml:space="preserve"> 17(5).  All this is underlined by the observations of the court in </w:t>
      </w:r>
      <w:r w:rsidRPr="00E652E9">
        <w:rPr>
          <w:rFonts w:ascii="Book Antiqua" w:hAnsi="Book Antiqua" w:cs="Arial"/>
          <w:sz w:val="22"/>
          <w:szCs w:val="22"/>
          <w:u w:val="single"/>
        </w:rPr>
        <w:t>Rahman</w:t>
      </w:r>
      <w:r w:rsidRPr="00E652E9">
        <w:rPr>
          <w:rFonts w:ascii="Book Antiqua" w:hAnsi="Book Antiqua" w:cs="Arial"/>
          <w:sz w:val="22"/>
          <w:szCs w:val="22"/>
        </w:rPr>
        <w:t xml:space="preserve"> as to the nature of the host Member State’s obligations under Art 3(2) of the Directive (see para [29] above).  In the present case, as the Upper Tribunal noted, the Secretary of State has yet to consider the applicants’ cases pursuant to </w:t>
      </w:r>
      <w:proofErr w:type="spellStart"/>
      <w:r w:rsidRPr="00E652E9">
        <w:rPr>
          <w:rFonts w:ascii="Book Antiqua" w:hAnsi="Book Antiqua" w:cs="Arial"/>
          <w:sz w:val="22"/>
          <w:szCs w:val="22"/>
        </w:rPr>
        <w:t>reg</w:t>
      </w:r>
      <w:proofErr w:type="spellEnd"/>
      <w:r w:rsidRPr="00E652E9">
        <w:rPr>
          <w:rFonts w:ascii="Book Antiqua" w:hAnsi="Book Antiqua" w:cs="Arial"/>
          <w:sz w:val="22"/>
          <w:szCs w:val="22"/>
        </w:rPr>
        <w:t xml:space="preserve"> 17(4) and (5)”.</w:t>
      </w:r>
    </w:p>
    <w:p w14:paraId="4E3A3B0D" w14:textId="0D6AC8E9" w:rsidR="005A72D4" w:rsidRDefault="000A7042" w:rsidP="00EA79AF">
      <w:pPr>
        <w:numPr>
          <w:ilvl w:val="0"/>
          <w:numId w:val="1"/>
        </w:numPr>
        <w:tabs>
          <w:tab w:val="clear" w:pos="567"/>
        </w:tabs>
        <w:spacing w:before="240"/>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59264" behindDoc="0" locked="0" layoutInCell="1" allowOverlap="1" wp14:anchorId="38108330" wp14:editId="2DAD7B8F">
                <wp:simplePos x="0" y="0"/>
                <wp:positionH relativeFrom="column">
                  <wp:posOffset>10638675</wp:posOffset>
                </wp:positionH>
                <wp:positionV relativeFrom="paragraph">
                  <wp:posOffset>893805</wp:posOffset>
                </wp:positionV>
                <wp:extent cx="6840" cy="53280"/>
                <wp:effectExtent l="57150" t="57150" r="50800" b="42545"/>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6840" cy="53280"/>
                      </w14:xfrm>
                    </w14:contentPart>
                  </a:graphicData>
                </a:graphic>
              </wp:anchor>
            </w:drawing>
          </mc:Choice>
          <mc:Fallback>
            <w:pict>
              <v:shapetype w14:anchorId="72D937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837pt;margin-top:69.7pt;width:2pt;height:5.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">
                <v:imagedata r:id="rId9" o:title=""/>
              </v:shape>
            </w:pict>
          </mc:Fallback>
        </mc:AlternateContent>
      </w:r>
      <w:r w:rsidR="001F0053">
        <w:rPr>
          <w:rFonts w:ascii="Book Antiqua" w:hAnsi="Book Antiqua" w:cs="Arial"/>
        </w:rPr>
        <w:t xml:space="preserve">Mr Rashid relied upon, in effect, the first sentence of Longmore LJ’s judgment at [15] which, he submitted, indicated that, although Mr </w:t>
      </w:r>
      <w:proofErr w:type="spellStart"/>
      <w:r w:rsidR="001F0053">
        <w:rPr>
          <w:rFonts w:ascii="Book Antiqua" w:hAnsi="Book Antiqua" w:cs="Arial"/>
        </w:rPr>
        <w:t>Macastena</w:t>
      </w:r>
      <w:proofErr w:type="spellEnd"/>
      <w:r w:rsidR="001F0053">
        <w:rPr>
          <w:rFonts w:ascii="Book Antiqua" w:hAnsi="Book Antiqua" w:cs="Arial"/>
        </w:rPr>
        <w:t xml:space="preserve"> could not rely </w:t>
      </w:r>
      <w:r w:rsidR="00BB7298">
        <w:rPr>
          <w:rFonts w:ascii="Book Antiqua" w:hAnsi="Book Antiqua" w:cs="Arial"/>
        </w:rPr>
        <w:t>up</w:t>
      </w:r>
      <w:r w:rsidR="001F0053">
        <w:rPr>
          <w:rFonts w:ascii="Book Antiqua" w:hAnsi="Book Antiqua" w:cs="Arial"/>
        </w:rPr>
        <w:t xml:space="preserve">on his period of residence in a </w:t>
      </w:r>
      <w:r w:rsidR="00954DF2">
        <w:rPr>
          <w:rFonts w:ascii="Book Antiqua" w:hAnsi="Book Antiqua" w:cs="Arial"/>
        </w:rPr>
        <w:t>durable relationship</w:t>
      </w:r>
      <w:r w:rsidR="001F0053">
        <w:rPr>
          <w:rFonts w:ascii="Book Antiqua" w:hAnsi="Book Antiqua" w:cs="Arial"/>
        </w:rPr>
        <w:t xml:space="preserve"> prior to his marriage, the position would have been different if he had applied for and received a residence card.  He submitted that Longmore LJ accepted that in those circumstances “the time of that durable relationship could count towards an acquisition of a permanent right of residence”.  </w:t>
      </w:r>
      <w:r w:rsidR="0087168C">
        <w:rPr>
          <w:rFonts w:ascii="Book Antiqua" w:hAnsi="Book Antiqua" w:cs="Arial"/>
        </w:rPr>
        <w:t>In this case</w:t>
      </w:r>
      <w:r w:rsidR="001F0053">
        <w:rPr>
          <w:rFonts w:ascii="Book Antiqua" w:hAnsi="Book Antiqua" w:cs="Arial"/>
        </w:rPr>
        <w:t>, Mr Rashid submitted that the claimant had been issued with a residence card in September 2009 and, therefore in accordance with the judge’s factual finding that the durable relationship existed at least from March 2009, the claimant had established the necessary five years’ continuous residence.</w:t>
      </w:r>
    </w:p>
    <w:p w14:paraId="2B49201A" w14:textId="6282D41A" w:rsidR="00955067" w:rsidRDefault="001F005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 do not accept that argument.  First, there is nothing in the passage relied upon in Longmore LJ’s judgment to suggest that he was accepting that even a period </w:t>
      </w:r>
      <w:r>
        <w:rPr>
          <w:rFonts w:ascii="Book Antiqua" w:hAnsi="Book Antiqua" w:cs="Arial"/>
          <w:u w:val="single"/>
        </w:rPr>
        <w:t>before</w:t>
      </w:r>
      <w:r>
        <w:rPr>
          <w:rFonts w:ascii="Book Antiqua" w:hAnsi="Book Antiqua" w:cs="Arial"/>
        </w:rPr>
        <w:t xml:space="preserve"> the residence card was issued could be </w:t>
      </w:r>
      <w:proofErr w:type="gramStart"/>
      <w:r>
        <w:rPr>
          <w:rFonts w:ascii="Book Antiqua" w:hAnsi="Book Antiqua" w:cs="Arial"/>
        </w:rPr>
        <w:t>taken into account</w:t>
      </w:r>
      <w:proofErr w:type="gramEnd"/>
      <w:r>
        <w:rPr>
          <w:rFonts w:ascii="Book Antiqua" w:hAnsi="Book Antiqua" w:cs="Arial"/>
        </w:rPr>
        <w:t xml:space="preserve"> towards the acquisition of a permanent right of residence.  Secondly, the substance of Longmore LJ’s reasoning runs counter to Mr Rashid’s submission.  The </w:t>
      </w:r>
      <w:r w:rsidR="00FA6576">
        <w:rPr>
          <w:rFonts w:ascii="Book Antiqua" w:hAnsi="Book Antiqua" w:cs="Arial"/>
        </w:rPr>
        <w:t xml:space="preserve">Court of Appeal repeatedly emphasised the </w:t>
      </w:r>
      <w:r>
        <w:rPr>
          <w:rFonts w:ascii="Book Antiqua" w:hAnsi="Book Antiqua" w:cs="Arial"/>
        </w:rPr>
        <w:t xml:space="preserve">distinction drawn in the Directive between the rights of residence conferred upon “family members” and the (lesser) right to </w:t>
      </w:r>
      <w:r w:rsidR="00BB7298">
        <w:rPr>
          <w:rFonts w:ascii="Book Antiqua" w:hAnsi="Book Antiqua" w:cs="Arial"/>
        </w:rPr>
        <w:t>‘</w:t>
      </w:r>
      <w:r>
        <w:rPr>
          <w:rFonts w:ascii="Book Antiqua" w:hAnsi="Book Antiqua" w:cs="Arial"/>
        </w:rPr>
        <w:t>facilitate entry and residence’ for, inter alia, those in a durable relationship</w:t>
      </w:r>
      <w:r w:rsidR="00FA6576">
        <w:rPr>
          <w:rFonts w:ascii="Book Antiqua" w:hAnsi="Book Antiqua" w:cs="Arial"/>
        </w:rPr>
        <w:t xml:space="preserve"> (at</w:t>
      </w:r>
      <w:r>
        <w:rPr>
          <w:rFonts w:ascii="Book Antiqua" w:hAnsi="Book Antiqua" w:cs="Arial"/>
        </w:rPr>
        <w:t xml:space="preserve"> [22]</w:t>
      </w:r>
      <w:proofErr w:type="gramStart"/>
      <w:r>
        <w:rPr>
          <w:rFonts w:ascii="Book Antiqua" w:hAnsi="Book Antiqua" w:cs="Arial"/>
        </w:rPr>
        <w:t>–[</w:t>
      </w:r>
      <w:proofErr w:type="gramEnd"/>
      <w:r>
        <w:rPr>
          <w:rFonts w:ascii="Book Antiqua" w:hAnsi="Book Antiqua" w:cs="Arial"/>
        </w:rPr>
        <w:t>23]</w:t>
      </w:r>
      <w:r w:rsidR="00FA6576">
        <w:rPr>
          <w:rFonts w:ascii="Book Antiqua" w:hAnsi="Book Antiqua" w:cs="Arial"/>
        </w:rPr>
        <w:t>)</w:t>
      </w:r>
      <w:r>
        <w:rPr>
          <w:rFonts w:ascii="Book Antiqua" w:hAnsi="Book Antiqua" w:cs="Arial"/>
        </w:rPr>
        <w:t xml:space="preserve"> together with the reinforcement of that distinction by the CJEU in </w:t>
      </w:r>
      <w:r>
        <w:rPr>
          <w:rFonts w:ascii="Book Antiqua" w:hAnsi="Book Antiqua" w:cs="Arial"/>
          <w:u w:val="single"/>
        </w:rPr>
        <w:t>Rahman</w:t>
      </w:r>
      <w:r>
        <w:rPr>
          <w:rFonts w:ascii="Book Antiqua" w:hAnsi="Book Antiqua" w:cs="Arial"/>
        </w:rPr>
        <w:t xml:space="preserve"> </w:t>
      </w:r>
      <w:r w:rsidR="00FA6576">
        <w:rPr>
          <w:rFonts w:ascii="Book Antiqua" w:hAnsi="Book Antiqua" w:cs="Arial"/>
        </w:rPr>
        <w:t>(</w:t>
      </w:r>
      <w:r>
        <w:rPr>
          <w:rFonts w:ascii="Book Antiqua" w:hAnsi="Book Antiqua" w:cs="Arial"/>
        </w:rPr>
        <w:t>at [24]</w:t>
      </w:r>
      <w:r w:rsidR="00FA6576">
        <w:rPr>
          <w:rFonts w:ascii="Book Antiqua" w:hAnsi="Book Antiqua" w:cs="Arial"/>
        </w:rPr>
        <w:t>)</w:t>
      </w:r>
      <w:r>
        <w:rPr>
          <w:rFonts w:ascii="Book Antiqua" w:hAnsi="Book Antiqua" w:cs="Arial"/>
        </w:rPr>
        <w:t>.  Further, Longmore LJ cited with approval at [24] what was said by Richards LJ in th</w:t>
      </w:r>
      <w:r w:rsidR="00955067">
        <w:rPr>
          <w:rFonts w:ascii="Book Antiqua" w:hAnsi="Book Antiqua" w:cs="Arial"/>
        </w:rPr>
        <w:t>e case</w:t>
      </w:r>
      <w:r>
        <w:rPr>
          <w:rFonts w:ascii="Book Antiqua" w:hAnsi="Book Antiqua" w:cs="Arial"/>
        </w:rPr>
        <w:t xml:space="preserve"> of </w:t>
      </w:r>
      <w:proofErr w:type="spellStart"/>
      <w:r>
        <w:rPr>
          <w:rFonts w:ascii="Book Antiqua" w:hAnsi="Book Antiqua" w:cs="Arial"/>
          <w:u w:val="single"/>
        </w:rPr>
        <w:t>Aladeselu</w:t>
      </w:r>
      <w:proofErr w:type="spellEnd"/>
      <w:r>
        <w:rPr>
          <w:rFonts w:ascii="Book Antiqua" w:hAnsi="Book Antiqua" w:cs="Arial"/>
        </w:rPr>
        <w:t xml:space="preserve"> (at [65]) that: </w:t>
      </w:r>
    </w:p>
    <w:p w14:paraId="3CD5F9B7" w14:textId="142AEE84" w:rsidR="001F0053" w:rsidRPr="00E652E9" w:rsidRDefault="001F0053" w:rsidP="00955067">
      <w:pPr>
        <w:spacing w:before="240"/>
        <w:ind w:left="1134" w:right="567"/>
        <w:jc w:val="both"/>
        <w:rPr>
          <w:rFonts w:ascii="Book Antiqua" w:hAnsi="Book Antiqua" w:cs="Arial"/>
          <w:sz w:val="22"/>
          <w:szCs w:val="22"/>
        </w:rPr>
      </w:pPr>
      <w:r w:rsidRPr="00E652E9">
        <w:rPr>
          <w:rFonts w:ascii="Book Antiqua" w:hAnsi="Book Antiqua" w:cs="Arial"/>
          <w:sz w:val="22"/>
          <w:szCs w:val="22"/>
        </w:rPr>
        <w:t xml:space="preserve">“It should be emphasised that a finding </w:t>
      </w:r>
      <w:bookmarkStart w:id="5" w:name="para52"/>
      <w:r w:rsidRPr="00E652E9">
        <w:rPr>
          <w:rFonts w:ascii="Book Antiqua" w:hAnsi="Book Antiqua"/>
          <w:sz w:val="22"/>
          <w:szCs w:val="22"/>
        </w:rPr>
        <w:t xml:space="preserve">that an applicant comes within </w:t>
      </w:r>
      <w:r w:rsidR="00955067" w:rsidRPr="00E652E9">
        <w:rPr>
          <w:rFonts w:ascii="Book Antiqua" w:hAnsi="Book Antiqua"/>
          <w:sz w:val="22"/>
          <w:szCs w:val="22"/>
        </w:rPr>
        <w:t xml:space="preserve">Reg </w:t>
      </w:r>
      <w:r w:rsidRPr="00E652E9">
        <w:rPr>
          <w:rFonts w:ascii="Book Antiqua" w:hAnsi="Book Antiqua"/>
          <w:sz w:val="22"/>
          <w:szCs w:val="22"/>
        </w:rPr>
        <w:t xml:space="preserve">8 does not confer on him any substantive right to residence in the </w:t>
      </w:r>
      <w:r w:rsidR="00955067" w:rsidRPr="00E652E9">
        <w:rPr>
          <w:rFonts w:ascii="Book Antiqua" w:hAnsi="Book Antiqua"/>
          <w:sz w:val="22"/>
          <w:szCs w:val="22"/>
        </w:rPr>
        <w:t>UK</w:t>
      </w:r>
      <w:bookmarkEnd w:id="5"/>
      <w:r w:rsidR="00955067" w:rsidRPr="00E652E9">
        <w:rPr>
          <w:rFonts w:ascii="Book Antiqua" w:hAnsi="Book Antiqua"/>
          <w:sz w:val="22"/>
          <w:szCs w:val="22"/>
        </w:rPr>
        <w:t>”.</w:t>
      </w:r>
      <w:r w:rsidRPr="00E652E9">
        <w:rPr>
          <w:rFonts w:ascii="Book Antiqua" w:hAnsi="Book Antiqua" w:cs="Arial"/>
          <w:sz w:val="22"/>
          <w:szCs w:val="22"/>
        </w:rPr>
        <w:t xml:space="preserve"> </w:t>
      </w:r>
    </w:p>
    <w:p w14:paraId="2FF81FBF" w14:textId="2C57D238" w:rsidR="00955067" w:rsidRDefault="00955067"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my judgment, the Court of Appeal’s decision in </w:t>
      </w:r>
      <w:proofErr w:type="spellStart"/>
      <w:r>
        <w:rPr>
          <w:rFonts w:ascii="Book Antiqua" w:hAnsi="Book Antiqua" w:cs="Arial"/>
          <w:u w:val="single"/>
        </w:rPr>
        <w:t>Macastena</w:t>
      </w:r>
      <w:proofErr w:type="spellEnd"/>
      <w:r>
        <w:rPr>
          <w:rFonts w:ascii="Book Antiqua" w:hAnsi="Book Antiqua" w:cs="Arial"/>
        </w:rPr>
        <w:t xml:space="preserve"> confirms, and applies, the scheme of the 2006 Regulations and Directive which I have set out above, drawing the distinction between the right of residence of a “family member” and the absence of any right of residence for an “extended family member” until a residence card is issued by the Secretary of State under </w:t>
      </w:r>
      <w:proofErr w:type="spellStart"/>
      <w:r w:rsidR="00FA6576">
        <w:rPr>
          <w:rFonts w:ascii="Book Antiqua" w:hAnsi="Book Antiqua" w:cs="Arial"/>
        </w:rPr>
        <w:t>r</w:t>
      </w:r>
      <w:r>
        <w:rPr>
          <w:rFonts w:ascii="Book Antiqua" w:hAnsi="Book Antiqua" w:cs="Arial"/>
        </w:rPr>
        <w:t>eg</w:t>
      </w:r>
      <w:proofErr w:type="spellEnd"/>
      <w:r>
        <w:rPr>
          <w:rFonts w:ascii="Book Antiqua" w:hAnsi="Book Antiqua" w:cs="Arial"/>
        </w:rPr>
        <w:t xml:space="preserve"> 17(4) of the 2006 Regulations.  Only from that point in time do the 2006 Regulations confer upon the “extended family member”, a right of residence </w:t>
      </w:r>
      <w:r w:rsidR="00D328AB">
        <w:rPr>
          <w:rFonts w:ascii="Book Antiqua" w:hAnsi="Book Antiqua" w:cs="Arial"/>
        </w:rPr>
        <w:t>because</w:t>
      </w:r>
      <w:r>
        <w:rPr>
          <w:rFonts w:ascii="Book Antiqua" w:hAnsi="Book Antiqua" w:cs="Arial"/>
        </w:rPr>
        <w:t xml:space="preserve"> from that point in time they are treated as a “family member” and may, if appropriate, rely upon the rights of residence recognised in </w:t>
      </w:r>
      <w:proofErr w:type="spellStart"/>
      <w:r w:rsidR="00D328AB">
        <w:rPr>
          <w:rFonts w:ascii="Book Antiqua" w:hAnsi="Book Antiqua" w:cs="Arial"/>
        </w:rPr>
        <w:t>r</w:t>
      </w:r>
      <w:r>
        <w:rPr>
          <w:rFonts w:ascii="Book Antiqua" w:hAnsi="Book Antiqua" w:cs="Arial"/>
        </w:rPr>
        <w:t>eg</w:t>
      </w:r>
      <w:proofErr w:type="spellEnd"/>
      <w:r>
        <w:rPr>
          <w:rFonts w:ascii="Book Antiqua" w:hAnsi="Book Antiqua" w:cs="Arial"/>
        </w:rPr>
        <w:t xml:space="preserve"> 13(2) and 14(2)</w:t>
      </w:r>
      <w:r w:rsidR="004F1835">
        <w:rPr>
          <w:rFonts w:ascii="Book Antiqua" w:hAnsi="Book Antiqua" w:cs="Arial"/>
        </w:rPr>
        <w:t>.  T</w:t>
      </w:r>
      <w:r>
        <w:rPr>
          <w:rFonts w:ascii="Book Antiqua" w:hAnsi="Book Antiqua" w:cs="Arial"/>
        </w:rPr>
        <w:t xml:space="preserve">hen, </w:t>
      </w:r>
      <w:r w:rsidR="004F1835">
        <w:rPr>
          <w:rFonts w:ascii="Book Antiqua" w:hAnsi="Book Antiqua" w:cs="Arial"/>
        </w:rPr>
        <w:t xml:space="preserve">and only then, does the individual </w:t>
      </w:r>
      <w:r>
        <w:rPr>
          <w:rFonts w:ascii="Book Antiqua" w:hAnsi="Book Antiqua" w:cs="Arial"/>
        </w:rPr>
        <w:t xml:space="preserve">begin to acquire a period of lawful residence under the 2006 Regulations which can count towards establishing a “permanent right of residence” on the basis of residing in the UK in accordance with the 2006 Regulations for a continuous period of five years under </w:t>
      </w:r>
      <w:proofErr w:type="spellStart"/>
      <w:r w:rsidR="00D328AB">
        <w:rPr>
          <w:rFonts w:ascii="Book Antiqua" w:hAnsi="Book Antiqua" w:cs="Arial"/>
        </w:rPr>
        <w:t>r</w:t>
      </w:r>
      <w:r>
        <w:rPr>
          <w:rFonts w:ascii="Book Antiqua" w:hAnsi="Book Antiqua" w:cs="Arial"/>
        </w:rPr>
        <w:t>eg</w:t>
      </w:r>
      <w:proofErr w:type="spellEnd"/>
      <w:r>
        <w:rPr>
          <w:rFonts w:ascii="Book Antiqua" w:hAnsi="Book Antiqua" w:cs="Arial"/>
        </w:rPr>
        <w:t xml:space="preserve"> 15(1)(b).  </w:t>
      </w:r>
    </w:p>
    <w:p w14:paraId="0C1B96FD" w14:textId="3345B6FB" w:rsidR="00955067" w:rsidRPr="009B7433" w:rsidRDefault="00955067"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For these reasons, therefore, Judge Barrowclough erred in law in finding that the claimant had established the required period of residence under </w:t>
      </w:r>
      <w:proofErr w:type="spellStart"/>
      <w:r w:rsidR="00D328AB">
        <w:rPr>
          <w:rFonts w:ascii="Book Antiqua" w:hAnsi="Book Antiqua" w:cs="Arial"/>
        </w:rPr>
        <w:t>r</w:t>
      </w:r>
      <w:r>
        <w:rPr>
          <w:rFonts w:ascii="Book Antiqua" w:hAnsi="Book Antiqua" w:cs="Arial"/>
        </w:rPr>
        <w:t>eg</w:t>
      </w:r>
      <w:proofErr w:type="spellEnd"/>
      <w:r>
        <w:rPr>
          <w:rFonts w:ascii="Book Antiqua" w:hAnsi="Book Antiqua" w:cs="Arial"/>
        </w:rPr>
        <w:t xml:space="preserve"> 15(1)(b) of the 2006 Regulations and so was entitled to a permanent residence card.  </w:t>
      </w:r>
    </w:p>
    <w:p w14:paraId="6690A072" w14:textId="006715CC" w:rsidR="00D949B7" w:rsidRPr="00955067" w:rsidRDefault="00D949B7" w:rsidP="00955067">
      <w:pPr>
        <w:spacing w:before="240"/>
        <w:jc w:val="both"/>
        <w:rPr>
          <w:rFonts w:ascii="Book Antiqua" w:hAnsi="Book Antiqua" w:cs="Arial"/>
          <w:b/>
          <w:u w:val="single"/>
        </w:rPr>
      </w:pPr>
      <w:r w:rsidRPr="00D949B7">
        <w:rPr>
          <w:rFonts w:ascii="Book Antiqua" w:hAnsi="Book Antiqua" w:cs="Arial"/>
          <w:b/>
          <w:u w:val="single"/>
        </w:rPr>
        <w:lastRenderedPageBreak/>
        <w:t>Decision</w:t>
      </w:r>
    </w:p>
    <w:p w14:paraId="0AEFFF00" w14:textId="77777777" w:rsidR="00955067" w:rsidRDefault="00955067" w:rsidP="00955067">
      <w:pPr>
        <w:numPr>
          <w:ilvl w:val="0"/>
          <w:numId w:val="1"/>
        </w:numPr>
        <w:tabs>
          <w:tab w:val="clear" w:pos="567"/>
        </w:tabs>
        <w:spacing w:before="240"/>
        <w:jc w:val="both"/>
        <w:rPr>
          <w:rFonts w:ascii="Book Antiqua" w:hAnsi="Book Antiqua" w:cs="Arial"/>
        </w:rPr>
      </w:pPr>
      <w:r>
        <w:rPr>
          <w:rFonts w:ascii="Book Antiqua" w:hAnsi="Book Antiqua" w:cs="Arial"/>
        </w:rPr>
        <w:t>Consequently, the decision of the First-tier Tribunal to allow the claimant’s appeal involved the making of an error of law.  That decision is set aside.</w:t>
      </w:r>
    </w:p>
    <w:p w14:paraId="3057D4F9" w14:textId="77777777" w:rsidR="00955067" w:rsidRDefault="00955067" w:rsidP="00955067">
      <w:pPr>
        <w:numPr>
          <w:ilvl w:val="0"/>
          <w:numId w:val="1"/>
        </w:numPr>
        <w:tabs>
          <w:tab w:val="clear" w:pos="567"/>
        </w:tabs>
        <w:spacing w:before="240"/>
        <w:jc w:val="both"/>
        <w:rPr>
          <w:rFonts w:ascii="Book Antiqua" w:hAnsi="Book Antiqua" w:cs="Arial"/>
        </w:rPr>
      </w:pPr>
      <w:r>
        <w:rPr>
          <w:rFonts w:ascii="Book Antiqua" w:hAnsi="Book Antiqua" w:cs="Arial"/>
        </w:rPr>
        <w:t>I re-make the decision dismissing t</w:t>
      </w:r>
      <w:r w:rsidR="00D949B7" w:rsidRPr="00D949B7">
        <w:rPr>
          <w:rFonts w:ascii="Book Antiqua" w:hAnsi="Book Antiqua" w:cs="Arial"/>
        </w:rPr>
        <w:t>he</w:t>
      </w:r>
      <w:r>
        <w:rPr>
          <w:rFonts w:ascii="Book Antiqua" w:hAnsi="Book Antiqua" w:cs="Arial"/>
        </w:rPr>
        <w:t xml:space="preserve"> claimant’s </w:t>
      </w:r>
      <w:r w:rsidR="00D949B7" w:rsidRPr="00D949B7">
        <w:rPr>
          <w:rFonts w:ascii="Book Antiqua" w:hAnsi="Book Antiqua" w:cs="Arial"/>
        </w:rPr>
        <w:t xml:space="preserve">appeal </w:t>
      </w:r>
      <w:r>
        <w:rPr>
          <w:rFonts w:ascii="Book Antiqua" w:hAnsi="Book Antiqua" w:cs="Arial"/>
        </w:rPr>
        <w:t xml:space="preserve">under the 2006 Regulations.  </w:t>
      </w:r>
    </w:p>
    <w:p w14:paraId="0369B933" w14:textId="77777777" w:rsidR="00D949B7" w:rsidRPr="00D949B7" w:rsidRDefault="00D949B7" w:rsidP="00D949B7">
      <w:pPr>
        <w:jc w:val="both"/>
        <w:rPr>
          <w:rFonts w:ascii="Book Antiqua" w:hAnsi="Book Antiqua" w:cs="Arial"/>
        </w:rPr>
      </w:pPr>
    </w:p>
    <w:p w14:paraId="13B530D1" w14:textId="77777777" w:rsidR="009669C6" w:rsidRDefault="009669C6" w:rsidP="000A0743">
      <w:pPr>
        <w:jc w:val="both"/>
        <w:rPr>
          <w:rFonts w:ascii="Book Antiqua" w:hAnsi="Book Antiqua" w:cs="Arial"/>
        </w:rPr>
      </w:pPr>
    </w:p>
    <w:p w14:paraId="291E6F2F" w14:textId="77777777" w:rsidR="009669C6" w:rsidRPr="002B02F3" w:rsidRDefault="009669C6" w:rsidP="009669C6">
      <w:pPr>
        <w:ind w:left="540" w:hanging="540"/>
        <w:jc w:val="right"/>
        <w:rPr>
          <w:rFonts w:ascii="Book Antiqua" w:hAnsi="Book Antiqua" w:cs="Arial"/>
        </w:rPr>
      </w:pPr>
      <w:r>
        <w:rPr>
          <w:rFonts w:ascii="Book Antiqua" w:hAnsi="Book Antiqua" w:cs="Arial"/>
        </w:rPr>
        <w:t>Signed</w:t>
      </w:r>
    </w:p>
    <w:p w14:paraId="3AF401BF" w14:textId="3B52CAC2" w:rsidR="00B65CCB" w:rsidRPr="002B02F3" w:rsidRDefault="006C1DEA" w:rsidP="009669C6">
      <w:pPr>
        <w:tabs>
          <w:tab w:val="left" w:pos="2520"/>
        </w:tabs>
        <w:ind w:left="540" w:hanging="540"/>
        <w:jc w:val="right"/>
        <w:rPr>
          <w:rFonts w:ascii="Book Antiqua" w:hAnsi="Book Antiqua" w:cs="Arial"/>
        </w:rPr>
      </w:pPr>
      <w:r>
        <w:rPr>
          <w:noProof/>
        </w:rPr>
        <w:drawing>
          <wp:inline distT="0" distB="0" distL="0" distR="0" wp14:anchorId="3E90BA5A" wp14:editId="145C7DCD">
            <wp:extent cx="1943100" cy="459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3100" cy="459105"/>
                    </a:xfrm>
                    <a:prstGeom prst="rect">
                      <a:avLst/>
                    </a:prstGeom>
                    <a:noFill/>
                    <a:ln>
                      <a:noFill/>
                    </a:ln>
                  </pic:spPr>
                </pic:pic>
              </a:graphicData>
            </a:graphic>
          </wp:inline>
        </w:drawing>
      </w:r>
    </w:p>
    <w:p w14:paraId="75A4FDC8" w14:textId="77777777" w:rsidR="009669C6" w:rsidRDefault="009669C6" w:rsidP="009669C6">
      <w:pPr>
        <w:tabs>
          <w:tab w:val="left" w:pos="2520"/>
        </w:tabs>
        <w:ind w:left="540" w:hanging="540"/>
        <w:jc w:val="right"/>
        <w:rPr>
          <w:rFonts w:ascii="Book Antiqua" w:hAnsi="Book Antiqua" w:cs="Arial"/>
          <w:color w:val="000000"/>
        </w:rPr>
      </w:pPr>
      <w:r>
        <w:rPr>
          <w:rFonts w:ascii="Book Antiqua" w:hAnsi="Book Antiqua" w:cs="Arial"/>
          <w:color w:val="000000"/>
        </w:rPr>
        <w:t>A Grubb</w:t>
      </w:r>
    </w:p>
    <w:p w14:paraId="55A8C53C" w14:textId="3DF3BDA6" w:rsidR="00D949B7" w:rsidRDefault="009669C6" w:rsidP="009669C6">
      <w:pPr>
        <w:jc w:val="right"/>
        <w:rPr>
          <w:rFonts w:ascii="Book Antiqua" w:hAnsi="Book Antiqua" w:cs="Arial"/>
          <w:color w:val="000000"/>
        </w:rPr>
      </w:pPr>
      <w:r>
        <w:rPr>
          <w:rFonts w:ascii="Book Antiqua" w:hAnsi="Book Antiqua" w:cs="Arial"/>
          <w:color w:val="000000"/>
        </w:rPr>
        <w:t>Judge of the Upper Tribunal</w:t>
      </w:r>
    </w:p>
    <w:p w14:paraId="4ABF6B29" w14:textId="2C7EE647" w:rsidR="00B65CCB" w:rsidRDefault="00B65CCB" w:rsidP="009669C6">
      <w:pPr>
        <w:jc w:val="right"/>
        <w:rPr>
          <w:rFonts w:ascii="Book Antiqua" w:hAnsi="Book Antiqua" w:cs="Arial"/>
          <w:color w:val="000000"/>
        </w:rPr>
      </w:pPr>
    </w:p>
    <w:p w14:paraId="1B54F83A" w14:textId="47839CD9" w:rsidR="00B65CCB" w:rsidRDefault="0089771E" w:rsidP="009669C6">
      <w:pPr>
        <w:jc w:val="right"/>
        <w:rPr>
          <w:rFonts w:ascii="Book Antiqua" w:hAnsi="Book Antiqua" w:cs="Arial"/>
          <w:color w:val="000000"/>
        </w:rPr>
      </w:pPr>
      <w:r>
        <w:rPr>
          <w:rFonts w:ascii="Book Antiqua" w:hAnsi="Book Antiqua" w:cs="Arial"/>
          <w:color w:val="000000"/>
        </w:rPr>
        <w:t>14</w:t>
      </w:r>
      <w:r w:rsidR="00B65CCB">
        <w:rPr>
          <w:rFonts w:ascii="Book Antiqua" w:hAnsi="Book Antiqua" w:cs="Arial"/>
          <w:color w:val="000000"/>
        </w:rPr>
        <w:t xml:space="preserve"> December 2018</w:t>
      </w:r>
    </w:p>
    <w:p w14:paraId="0DA975F4" w14:textId="3CB146D8" w:rsidR="00BB7298" w:rsidRDefault="00BB7298" w:rsidP="009669C6">
      <w:pPr>
        <w:jc w:val="right"/>
        <w:rPr>
          <w:rFonts w:ascii="Book Antiqua" w:hAnsi="Book Antiqua" w:cs="Arial"/>
          <w:color w:val="000000"/>
        </w:rPr>
      </w:pPr>
    </w:p>
    <w:p w14:paraId="77F7B165" w14:textId="274BC917" w:rsidR="00BB7298" w:rsidRDefault="00BB7298" w:rsidP="009669C6">
      <w:pPr>
        <w:jc w:val="right"/>
        <w:rPr>
          <w:rFonts w:ascii="Book Antiqua" w:hAnsi="Book Antiqua" w:cs="Arial"/>
          <w:color w:val="000000"/>
        </w:rPr>
      </w:pPr>
    </w:p>
    <w:p w14:paraId="7B7D0D55" w14:textId="77777777" w:rsidR="00BB7298" w:rsidRPr="00D949B7" w:rsidRDefault="00BB7298" w:rsidP="00BB7298">
      <w:pPr>
        <w:jc w:val="both"/>
        <w:rPr>
          <w:rFonts w:ascii="Book Antiqua" w:hAnsi="Book Antiqua" w:cs="Arial"/>
          <w:b/>
          <w:u w:val="single"/>
        </w:rPr>
      </w:pPr>
      <w:r w:rsidRPr="00D949B7">
        <w:rPr>
          <w:rFonts w:ascii="Book Antiqua" w:hAnsi="Book Antiqua" w:cs="Arial"/>
          <w:b/>
          <w:u w:val="single"/>
        </w:rPr>
        <w:t>TO THE RESPONDENT</w:t>
      </w:r>
    </w:p>
    <w:p w14:paraId="07758166" w14:textId="77777777" w:rsidR="00BB7298" w:rsidRPr="00D949B7" w:rsidRDefault="00BB7298" w:rsidP="00BB7298">
      <w:pPr>
        <w:jc w:val="both"/>
        <w:rPr>
          <w:rFonts w:ascii="Book Antiqua" w:hAnsi="Book Antiqua" w:cs="Arial"/>
        </w:rPr>
      </w:pPr>
      <w:r w:rsidRPr="00D949B7">
        <w:rPr>
          <w:rFonts w:ascii="Book Antiqua" w:hAnsi="Book Antiqua" w:cs="Arial"/>
          <w:b/>
          <w:u w:val="single"/>
        </w:rPr>
        <w:t>FEE AWARD</w:t>
      </w:r>
    </w:p>
    <w:p w14:paraId="41F1E1EC" w14:textId="77777777" w:rsidR="00BB7298" w:rsidRPr="00D949B7" w:rsidRDefault="00BB7298" w:rsidP="00BB7298">
      <w:pPr>
        <w:jc w:val="both"/>
        <w:rPr>
          <w:rFonts w:ascii="Book Antiqua" w:hAnsi="Book Antiqua" w:cs="Arial"/>
        </w:rPr>
      </w:pPr>
    </w:p>
    <w:p w14:paraId="07447BF9" w14:textId="655B7601" w:rsidR="00B65CCB" w:rsidRDefault="00B65CCB" w:rsidP="00B65CCB">
      <w:pPr>
        <w:jc w:val="both"/>
        <w:rPr>
          <w:rFonts w:ascii="Book Antiqua" w:hAnsi="Book Antiqua" w:cs="Arial"/>
        </w:rPr>
      </w:pPr>
      <w:r>
        <w:rPr>
          <w:rFonts w:ascii="Book Antiqua" w:hAnsi="Book Antiqua" w:cs="Arial"/>
        </w:rPr>
        <w:t xml:space="preserve">As </w:t>
      </w:r>
      <w:r w:rsidRPr="00D949B7">
        <w:rPr>
          <w:rFonts w:ascii="Book Antiqua" w:hAnsi="Book Antiqua" w:cs="Arial"/>
        </w:rPr>
        <w:t>I have dismissed the appeal</w:t>
      </w:r>
      <w:r>
        <w:rPr>
          <w:rFonts w:ascii="Book Antiqua" w:hAnsi="Book Antiqua" w:cs="Arial"/>
        </w:rPr>
        <w:t xml:space="preserve">. </w:t>
      </w:r>
      <w:r w:rsidRPr="00D949B7">
        <w:rPr>
          <w:rFonts w:ascii="Book Antiqua" w:hAnsi="Book Antiqua" w:cs="Arial"/>
        </w:rPr>
        <w:t>there can be no fee award.</w:t>
      </w:r>
    </w:p>
    <w:p w14:paraId="5D981468" w14:textId="77777777" w:rsidR="00BB7298" w:rsidRPr="00D949B7" w:rsidRDefault="00BB7298" w:rsidP="00BB7298">
      <w:pPr>
        <w:jc w:val="both"/>
        <w:rPr>
          <w:rFonts w:ascii="Book Antiqua" w:hAnsi="Book Antiqua" w:cs="Arial"/>
        </w:rPr>
      </w:pPr>
    </w:p>
    <w:p w14:paraId="1867978E" w14:textId="77777777" w:rsidR="00BB7298" w:rsidRPr="002B02F3" w:rsidRDefault="00BB7298" w:rsidP="00BB7298">
      <w:pPr>
        <w:ind w:left="540" w:hanging="540"/>
        <w:jc w:val="right"/>
        <w:rPr>
          <w:rFonts w:ascii="Book Antiqua" w:hAnsi="Book Antiqua" w:cs="Arial"/>
        </w:rPr>
      </w:pPr>
      <w:r>
        <w:rPr>
          <w:rFonts w:ascii="Book Antiqua" w:hAnsi="Book Antiqua" w:cs="Arial"/>
        </w:rPr>
        <w:t>Signed</w:t>
      </w:r>
    </w:p>
    <w:p w14:paraId="2993A41F" w14:textId="6ECFAFAA" w:rsidR="00B65CCB" w:rsidRDefault="006C1DEA" w:rsidP="00BB7298">
      <w:pPr>
        <w:tabs>
          <w:tab w:val="left" w:pos="2520"/>
        </w:tabs>
        <w:ind w:left="540" w:hanging="540"/>
        <w:jc w:val="right"/>
        <w:rPr>
          <w:rFonts w:ascii="Book Antiqua" w:hAnsi="Book Antiqua" w:cs="Arial"/>
        </w:rPr>
      </w:pPr>
      <w:r>
        <w:rPr>
          <w:noProof/>
        </w:rPr>
        <w:drawing>
          <wp:inline distT="0" distB="0" distL="0" distR="0" wp14:anchorId="72395189" wp14:editId="3A01B6D4">
            <wp:extent cx="1943100" cy="459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3100" cy="459105"/>
                    </a:xfrm>
                    <a:prstGeom prst="rect">
                      <a:avLst/>
                    </a:prstGeom>
                    <a:noFill/>
                    <a:ln>
                      <a:noFill/>
                    </a:ln>
                  </pic:spPr>
                </pic:pic>
              </a:graphicData>
            </a:graphic>
          </wp:inline>
        </w:drawing>
      </w:r>
    </w:p>
    <w:p w14:paraId="0C403E8A" w14:textId="77777777" w:rsidR="00BB7298" w:rsidRDefault="00BB7298" w:rsidP="00BB7298">
      <w:pPr>
        <w:tabs>
          <w:tab w:val="left" w:pos="2520"/>
        </w:tabs>
        <w:ind w:left="540" w:hanging="540"/>
        <w:jc w:val="right"/>
        <w:rPr>
          <w:rFonts w:ascii="Book Antiqua" w:hAnsi="Book Antiqua" w:cs="Arial"/>
          <w:color w:val="000000"/>
        </w:rPr>
      </w:pPr>
      <w:r>
        <w:rPr>
          <w:rFonts w:ascii="Book Antiqua" w:hAnsi="Book Antiqua" w:cs="Arial"/>
          <w:color w:val="000000"/>
        </w:rPr>
        <w:t>A Grubb</w:t>
      </w:r>
    </w:p>
    <w:p w14:paraId="7BB2B843" w14:textId="77777777" w:rsidR="00B65CCB" w:rsidRDefault="00BB7298" w:rsidP="00B65CCB">
      <w:pPr>
        <w:jc w:val="right"/>
        <w:rPr>
          <w:rFonts w:ascii="Book Antiqua" w:hAnsi="Book Antiqua" w:cs="Arial"/>
        </w:rPr>
      </w:pPr>
      <w:r>
        <w:rPr>
          <w:rFonts w:ascii="Book Antiqua" w:hAnsi="Book Antiqua" w:cs="Arial"/>
          <w:color w:val="000000"/>
        </w:rPr>
        <w:t>Judge of the Upper Tribunal</w:t>
      </w:r>
    </w:p>
    <w:p w14:paraId="379C9ADE" w14:textId="77777777" w:rsidR="00B65CCB" w:rsidRDefault="00B65CCB" w:rsidP="00B65CCB">
      <w:pPr>
        <w:jc w:val="right"/>
        <w:rPr>
          <w:rFonts w:ascii="Book Antiqua" w:hAnsi="Book Antiqua" w:cs="Arial"/>
        </w:rPr>
      </w:pPr>
    </w:p>
    <w:p w14:paraId="3FC8621F" w14:textId="7B7FFBE6" w:rsidR="00B65CCB" w:rsidRDefault="0089771E" w:rsidP="00B65CCB">
      <w:pPr>
        <w:jc w:val="right"/>
        <w:rPr>
          <w:rFonts w:ascii="Book Antiqua" w:hAnsi="Book Antiqua" w:cs="Arial"/>
        </w:rPr>
      </w:pPr>
      <w:r>
        <w:rPr>
          <w:rFonts w:ascii="Book Antiqua" w:hAnsi="Book Antiqua" w:cs="Arial"/>
        </w:rPr>
        <w:t>14</w:t>
      </w:r>
      <w:r w:rsidR="00E652E9">
        <w:rPr>
          <w:rFonts w:ascii="Book Antiqua" w:hAnsi="Book Antiqua" w:cs="Arial"/>
        </w:rPr>
        <w:t xml:space="preserve"> December 2018</w:t>
      </w:r>
    </w:p>
    <w:p w14:paraId="77EF973E" w14:textId="19E4FEB7" w:rsidR="00E7798C" w:rsidRDefault="00E7798C" w:rsidP="00B65CCB">
      <w:pPr>
        <w:jc w:val="right"/>
        <w:rPr>
          <w:rFonts w:ascii="Book Antiqua" w:hAnsi="Book Antiqua" w:cs="Arial"/>
        </w:rPr>
      </w:pPr>
    </w:p>
    <w:p w14:paraId="27FC6EE6" w14:textId="77777777" w:rsidR="00B95326" w:rsidRPr="009B7433" w:rsidRDefault="00B95326" w:rsidP="00E652E9">
      <w:pPr>
        <w:rPr>
          <w:rFonts w:ascii="Book Antiqua" w:hAnsi="Book Antiqua" w:cs="Arial"/>
        </w:rPr>
      </w:pPr>
    </w:p>
    <w:sectPr w:rsidR="00B95326" w:rsidRPr="009B7433" w:rsidSect="00323013">
      <w:headerReference w:type="default" r:id="rId11"/>
      <w:footerReference w:type="default" r:id="rId12"/>
      <w:footerReference w:type="first" r:id="rId13"/>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E5EAC" w14:textId="77777777" w:rsidR="003834D7" w:rsidRDefault="003834D7">
      <w:r>
        <w:separator/>
      </w:r>
    </w:p>
  </w:endnote>
  <w:endnote w:type="continuationSeparator" w:id="0">
    <w:p w14:paraId="1A72098C" w14:textId="77777777" w:rsidR="003834D7" w:rsidRDefault="00383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A8644" w14:textId="17B7084A" w:rsidR="003834D7" w:rsidRPr="00E7798C" w:rsidRDefault="003834D7" w:rsidP="00593795">
    <w:pPr>
      <w:pStyle w:val="Footer"/>
      <w:jc w:val="center"/>
      <w:rPr>
        <w:rFonts w:ascii="Book Antiqua" w:hAnsi="Book Antiqua" w:cs="Arial"/>
      </w:rPr>
    </w:pPr>
    <w:r w:rsidRPr="00E7798C">
      <w:rPr>
        <w:rStyle w:val="PageNumber"/>
        <w:rFonts w:ascii="Book Antiqua" w:hAnsi="Book Antiqua" w:cs="Arial"/>
      </w:rPr>
      <w:fldChar w:fldCharType="begin"/>
    </w:r>
    <w:r w:rsidRPr="00E7798C">
      <w:rPr>
        <w:rStyle w:val="PageNumber"/>
        <w:rFonts w:ascii="Book Antiqua" w:hAnsi="Book Antiqua" w:cs="Arial"/>
      </w:rPr>
      <w:instrText xml:space="preserve"> PAGE </w:instrText>
    </w:r>
    <w:r w:rsidRPr="00E7798C">
      <w:rPr>
        <w:rStyle w:val="PageNumber"/>
        <w:rFonts w:ascii="Book Antiqua" w:hAnsi="Book Antiqua" w:cs="Arial"/>
      </w:rPr>
      <w:fldChar w:fldCharType="separate"/>
    </w:r>
    <w:r w:rsidR="00263586">
      <w:rPr>
        <w:rStyle w:val="PageNumber"/>
        <w:rFonts w:ascii="Book Antiqua" w:hAnsi="Book Antiqua" w:cs="Arial"/>
        <w:noProof/>
      </w:rPr>
      <w:t>12</w:t>
    </w:r>
    <w:r w:rsidRPr="00E7798C">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21536" w14:textId="06068CF4" w:rsidR="003834D7" w:rsidRPr="009B7433" w:rsidRDefault="003834D7" w:rsidP="004B70D7">
    <w:pPr>
      <w:jc w:val="center"/>
      <w:rPr>
        <w:rFonts w:ascii="Book Antiqua" w:hAnsi="Book Antiqua"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DF841" w14:textId="77777777" w:rsidR="003834D7" w:rsidRDefault="003834D7">
      <w:r>
        <w:separator/>
      </w:r>
    </w:p>
  </w:footnote>
  <w:footnote w:type="continuationSeparator" w:id="0">
    <w:p w14:paraId="0303CBEF" w14:textId="77777777" w:rsidR="003834D7" w:rsidRDefault="003834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2808E" w14:textId="6D877746" w:rsidR="003834D7" w:rsidRPr="009B7433" w:rsidRDefault="003834D7"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61625"/>
    <w:multiLevelType w:val="hybridMultilevel"/>
    <w:tmpl w:val="9856C312"/>
    <w:lvl w:ilvl="0" w:tplc="52BA0A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7D0830"/>
    <w:multiLevelType w:val="multilevel"/>
    <w:tmpl w:val="7CD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C2A"/>
    <w:rsid w:val="00000621"/>
    <w:rsid w:val="000036C2"/>
    <w:rsid w:val="00007419"/>
    <w:rsid w:val="00016C1A"/>
    <w:rsid w:val="00033588"/>
    <w:rsid w:val="00033D3D"/>
    <w:rsid w:val="00036A19"/>
    <w:rsid w:val="00042EEF"/>
    <w:rsid w:val="0004776F"/>
    <w:rsid w:val="00052895"/>
    <w:rsid w:val="00062F02"/>
    <w:rsid w:val="00071A7E"/>
    <w:rsid w:val="000746C0"/>
    <w:rsid w:val="00074D1D"/>
    <w:rsid w:val="000909F5"/>
    <w:rsid w:val="00092580"/>
    <w:rsid w:val="00093D4D"/>
    <w:rsid w:val="000A0743"/>
    <w:rsid w:val="000A7042"/>
    <w:rsid w:val="000C27A8"/>
    <w:rsid w:val="000D5D94"/>
    <w:rsid w:val="000F1A0E"/>
    <w:rsid w:val="00103C23"/>
    <w:rsid w:val="001165A7"/>
    <w:rsid w:val="00136829"/>
    <w:rsid w:val="00147339"/>
    <w:rsid w:val="001527E6"/>
    <w:rsid w:val="0016508E"/>
    <w:rsid w:val="00167D3A"/>
    <w:rsid w:val="00170CFC"/>
    <w:rsid w:val="00173F50"/>
    <w:rsid w:val="00185986"/>
    <w:rsid w:val="001912C5"/>
    <w:rsid w:val="001A3082"/>
    <w:rsid w:val="001A53AD"/>
    <w:rsid w:val="001B186A"/>
    <w:rsid w:val="001B18F5"/>
    <w:rsid w:val="001B2F75"/>
    <w:rsid w:val="001C6F5F"/>
    <w:rsid w:val="001D6167"/>
    <w:rsid w:val="001E305E"/>
    <w:rsid w:val="001F0053"/>
    <w:rsid w:val="001F2716"/>
    <w:rsid w:val="001F3AC0"/>
    <w:rsid w:val="00207617"/>
    <w:rsid w:val="0023134B"/>
    <w:rsid w:val="00263586"/>
    <w:rsid w:val="00283659"/>
    <w:rsid w:val="002C6BD4"/>
    <w:rsid w:val="002D68BF"/>
    <w:rsid w:val="002D7482"/>
    <w:rsid w:val="002E4541"/>
    <w:rsid w:val="002F6B98"/>
    <w:rsid w:val="0031410B"/>
    <w:rsid w:val="00323013"/>
    <w:rsid w:val="00336CBF"/>
    <w:rsid w:val="00343FE3"/>
    <w:rsid w:val="003546C8"/>
    <w:rsid w:val="003704A6"/>
    <w:rsid w:val="003825D4"/>
    <w:rsid w:val="003834D7"/>
    <w:rsid w:val="003A4EE3"/>
    <w:rsid w:val="003A7CF2"/>
    <w:rsid w:val="003B7D6D"/>
    <w:rsid w:val="003C5CE5"/>
    <w:rsid w:val="003D6FAD"/>
    <w:rsid w:val="003E267B"/>
    <w:rsid w:val="003E7CD1"/>
    <w:rsid w:val="00402B9E"/>
    <w:rsid w:val="00407357"/>
    <w:rsid w:val="004249CB"/>
    <w:rsid w:val="0044127D"/>
    <w:rsid w:val="004448DB"/>
    <w:rsid w:val="00446C9A"/>
    <w:rsid w:val="00450CAF"/>
    <w:rsid w:val="00452F2B"/>
    <w:rsid w:val="00477193"/>
    <w:rsid w:val="00492E0F"/>
    <w:rsid w:val="004A1848"/>
    <w:rsid w:val="004A2D15"/>
    <w:rsid w:val="004A534C"/>
    <w:rsid w:val="004A6A28"/>
    <w:rsid w:val="004A6F4A"/>
    <w:rsid w:val="004B027B"/>
    <w:rsid w:val="004B70D7"/>
    <w:rsid w:val="004D6B45"/>
    <w:rsid w:val="004E4717"/>
    <w:rsid w:val="004E4A6C"/>
    <w:rsid w:val="004F0505"/>
    <w:rsid w:val="004F1835"/>
    <w:rsid w:val="00504524"/>
    <w:rsid w:val="00507FEC"/>
    <w:rsid w:val="00510F0E"/>
    <w:rsid w:val="0052028C"/>
    <w:rsid w:val="00524B16"/>
    <w:rsid w:val="005479E1"/>
    <w:rsid w:val="00553028"/>
    <w:rsid w:val="00553E0A"/>
    <w:rsid w:val="005570FD"/>
    <w:rsid w:val="005575EA"/>
    <w:rsid w:val="0057790C"/>
    <w:rsid w:val="00593795"/>
    <w:rsid w:val="005A72D4"/>
    <w:rsid w:val="005A75FF"/>
    <w:rsid w:val="005D10AB"/>
    <w:rsid w:val="00601D8F"/>
    <w:rsid w:val="00605582"/>
    <w:rsid w:val="00606A60"/>
    <w:rsid w:val="00611F34"/>
    <w:rsid w:val="0061625F"/>
    <w:rsid w:val="00621FE8"/>
    <w:rsid w:val="006434B6"/>
    <w:rsid w:val="0064552C"/>
    <w:rsid w:val="00653E97"/>
    <w:rsid w:val="006667DB"/>
    <w:rsid w:val="00684A74"/>
    <w:rsid w:val="00684FE7"/>
    <w:rsid w:val="0068620A"/>
    <w:rsid w:val="00690B8A"/>
    <w:rsid w:val="006C1DEA"/>
    <w:rsid w:val="006E794D"/>
    <w:rsid w:val="006F2CF1"/>
    <w:rsid w:val="007038ED"/>
    <w:rsid w:val="00703BC3"/>
    <w:rsid w:val="00704B61"/>
    <w:rsid w:val="00715A64"/>
    <w:rsid w:val="00726959"/>
    <w:rsid w:val="00740C1F"/>
    <w:rsid w:val="007552A9"/>
    <w:rsid w:val="0075658A"/>
    <w:rsid w:val="00761858"/>
    <w:rsid w:val="00767D59"/>
    <w:rsid w:val="00776E97"/>
    <w:rsid w:val="00780F86"/>
    <w:rsid w:val="007912AD"/>
    <w:rsid w:val="007A0BD8"/>
    <w:rsid w:val="007B0824"/>
    <w:rsid w:val="007B5D3C"/>
    <w:rsid w:val="007D2759"/>
    <w:rsid w:val="007D599E"/>
    <w:rsid w:val="007F6779"/>
    <w:rsid w:val="00815011"/>
    <w:rsid w:val="00821B72"/>
    <w:rsid w:val="00823EF2"/>
    <w:rsid w:val="008303B8"/>
    <w:rsid w:val="00833DCE"/>
    <w:rsid w:val="00833E86"/>
    <w:rsid w:val="00863AA8"/>
    <w:rsid w:val="0087168C"/>
    <w:rsid w:val="00871D34"/>
    <w:rsid w:val="0089771E"/>
    <w:rsid w:val="008A25EC"/>
    <w:rsid w:val="008A6059"/>
    <w:rsid w:val="008A70EC"/>
    <w:rsid w:val="008B270C"/>
    <w:rsid w:val="008B2986"/>
    <w:rsid w:val="008B5078"/>
    <w:rsid w:val="008C3D3D"/>
    <w:rsid w:val="008C65BC"/>
    <w:rsid w:val="008D4131"/>
    <w:rsid w:val="008F1932"/>
    <w:rsid w:val="0090151B"/>
    <w:rsid w:val="009042A9"/>
    <w:rsid w:val="00921062"/>
    <w:rsid w:val="0095252E"/>
    <w:rsid w:val="00954DF2"/>
    <w:rsid w:val="00955067"/>
    <w:rsid w:val="0095574F"/>
    <w:rsid w:val="009669C6"/>
    <w:rsid w:val="009722BC"/>
    <w:rsid w:val="009727A3"/>
    <w:rsid w:val="00987774"/>
    <w:rsid w:val="009A11E8"/>
    <w:rsid w:val="009B7433"/>
    <w:rsid w:val="009C57C8"/>
    <w:rsid w:val="009C6C0F"/>
    <w:rsid w:val="009F5220"/>
    <w:rsid w:val="00A07919"/>
    <w:rsid w:val="00A147DA"/>
    <w:rsid w:val="00A15234"/>
    <w:rsid w:val="00A172F5"/>
    <w:rsid w:val="00A201AB"/>
    <w:rsid w:val="00A31C8B"/>
    <w:rsid w:val="00A509FA"/>
    <w:rsid w:val="00A7409F"/>
    <w:rsid w:val="00A845DC"/>
    <w:rsid w:val="00AB6A55"/>
    <w:rsid w:val="00AE6FC5"/>
    <w:rsid w:val="00B26AA2"/>
    <w:rsid w:val="00B34BD2"/>
    <w:rsid w:val="00B34D38"/>
    <w:rsid w:val="00B3524D"/>
    <w:rsid w:val="00B40F69"/>
    <w:rsid w:val="00B46616"/>
    <w:rsid w:val="00B47B0C"/>
    <w:rsid w:val="00B528BB"/>
    <w:rsid w:val="00B65CCB"/>
    <w:rsid w:val="00B7040A"/>
    <w:rsid w:val="00B83391"/>
    <w:rsid w:val="00B95326"/>
    <w:rsid w:val="00BB7298"/>
    <w:rsid w:val="00BD4196"/>
    <w:rsid w:val="00BE2F52"/>
    <w:rsid w:val="00BE67D4"/>
    <w:rsid w:val="00BF22CA"/>
    <w:rsid w:val="00BF23BB"/>
    <w:rsid w:val="00BF3533"/>
    <w:rsid w:val="00C01738"/>
    <w:rsid w:val="00C079D8"/>
    <w:rsid w:val="00C11957"/>
    <w:rsid w:val="00C23DFC"/>
    <w:rsid w:val="00C26032"/>
    <w:rsid w:val="00C345E1"/>
    <w:rsid w:val="00C3757A"/>
    <w:rsid w:val="00C43BFD"/>
    <w:rsid w:val="00C6048A"/>
    <w:rsid w:val="00C649D0"/>
    <w:rsid w:val="00CA09F9"/>
    <w:rsid w:val="00CB6E35"/>
    <w:rsid w:val="00CD0903"/>
    <w:rsid w:val="00CE09B1"/>
    <w:rsid w:val="00CE1A46"/>
    <w:rsid w:val="00D05EA6"/>
    <w:rsid w:val="00D15920"/>
    <w:rsid w:val="00D20757"/>
    <w:rsid w:val="00D21802"/>
    <w:rsid w:val="00D22636"/>
    <w:rsid w:val="00D328AB"/>
    <w:rsid w:val="00D40FD9"/>
    <w:rsid w:val="00D53769"/>
    <w:rsid w:val="00D606FA"/>
    <w:rsid w:val="00D6602D"/>
    <w:rsid w:val="00D73A36"/>
    <w:rsid w:val="00D85C13"/>
    <w:rsid w:val="00D9111A"/>
    <w:rsid w:val="00D91BE3"/>
    <w:rsid w:val="00D949B7"/>
    <w:rsid w:val="00D94AFC"/>
    <w:rsid w:val="00DB70AE"/>
    <w:rsid w:val="00DD5071"/>
    <w:rsid w:val="00DD5C39"/>
    <w:rsid w:val="00DE5CD4"/>
    <w:rsid w:val="00DE7DB7"/>
    <w:rsid w:val="00E00A0A"/>
    <w:rsid w:val="00E066DE"/>
    <w:rsid w:val="00E07F57"/>
    <w:rsid w:val="00E30683"/>
    <w:rsid w:val="00E403E4"/>
    <w:rsid w:val="00E42107"/>
    <w:rsid w:val="00E453D8"/>
    <w:rsid w:val="00E50BCE"/>
    <w:rsid w:val="00E574BF"/>
    <w:rsid w:val="00E61292"/>
    <w:rsid w:val="00E652E9"/>
    <w:rsid w:val="00E76681"/>
    <w:rsid w:val="00E7798C"/>
    <w:rsid w:val="00E77C4D"/>
    <w:rsid w:val="00E81D01"/>
    <w:rsid w:val="00E836BC"/>
    <w:rsid w:val="00E876AF"/>
    <w:rsid w:val="00EA20DA"/>
    <w:rsid w:val="00EA79AF"/>
    <w:rsid w:val="00EB485A"/>
    <w:rsid w:val="00EE45D8"/>
    <w:rsid w:val="00F22EDA"/>
    <w:rsid w:val="00F470D6"/>
    <w:rsid w:val="00F5589A"/>
    <w:rsid w:val="00FA431F"/>
    <w:rsid w:val="00FA6576"/>
    <w:rsid w:val="00FB36A6"/>
    <w:rsid w:val="00FC40FA"/>
    <w:rsid w:val="00FF17BA"/>
    <w:rsid w:val="00FF5C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7869BF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2-07T10:19:58.604"/>
    </inkml:context>
    <inkml:brush xml:id="br0">
      <inkml:brushProperty name="width" value="0.05" units="cm"/>
      <inkml:brushProperty name="height" value="0.05" units="cm"/>
    </inkml:brush>
  </inkml:definitions>
  <inkml:trace contextRef="#ctx0" brushRef="#br0">19 148 32767,'-18'-147'0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5626</Words>
  <Characters>27454</Characters>
  <Application>Microsoft Office Word</Application>
  <DocSecurity>0</DocSecurity>
  <Lines>228</Lines>
  <Paragraphs>66</Paragraphs>
  <ScaleCrop>false</ScaleCrop>
  <Company/>
  <LinksUpToDate>false</LinksUpToDate>
  <CharactersWithSpaces>33014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2019-02-19T12:04:00Z</dcterms:created>
  <dcterms:modified xsi:type="dcterms:W3CDTF">2019-02-19T12:04:00Z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