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EE4B2C" w14:textId="0D02D6E9" w:rsidR="00C63923" w:rsidRDefault="00C63923" w:rsidP="00C63923">
      <w:pPr>
        <w:jc w:val="center"/>
        <w:rPr>
          <w:rFonts w:ascii="Book Antiqua" w:hAnsi="Book Antiqua" w:cs="Courier New"/>
        </w:rPr>
      </w:pPr>
      <w:bookmarkStart w:id="0" w:name="_Hlk534988770"/>
      <w:bookmarkEnd w:id="0"/>
      <w:r>
        <w:rPr>
          <w:noProof/>
        </w:rPr>
        <w:drawing>
          <wp:inline distT="0" distB="0" distL="0" distR="0" wp14:anchorId="40FB669C" wp14:editId="079C50D5">
            <wp:extent cx="1429200" cy="1080000"/>
            <wp:effectExtent l="0" t="0" r="0" b="0"/>
            <wp:docPr id="2" name="Picture 2" descr="Asylum and Immigration tribunal-b&amp;w-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ylum and Immigration tribunal-b&amp;w-tiff"/>
                    <pic:cNvPicPr>
                      <a:picLocks noChangeAspect="1" noChangeArrowheads="1"/>
                    </pic:cNvPicPr>
                  </pic:nvPicPr>
                  <pic:blipFill>
                    <a:blip r:embed="rId7" cstate="print">
                      <a:extLst>
                        <a:ext uri="{28A0092B-C50C-407E-A947-70E740481C1C}">
                          <a14:useLocalDpi xmlns:a14="http://schemas.microsoft.com/office/drawing/2010/main" val="0"/>
                        </a:ext>
                      </a:extLst>
                    </a:blip>
                    <a:srcRect r="81482" b="-7655"/>
                    <a:stretch>
                      <a:fillRect/>
                    </a:stretch>
                  </pic:blipFill>
                  <pic:spPr bwMode="auto">
                    <a:xfrm>
                      <a:off x="0" y="0"/>
                      <a:ext cx="1429200" cy="1080000"/>
                    </a:xfrm>
                    <a:prstGeom prst="rect">
                      <a:avLst/>
                    </a:prstGeom>
                    <a:noFill/>
                    <a:ln>
                      <a:noFill/>
                    </a:ln>
                  </pic:spPr>
                </pic:pic>
              </a:graphicData>
            </a:graphic>
          </wp:inline>
        </w:drawing>
      </w:r>
    </w:p>
    <w:p w14:paraId="724C0415" w14:textId="77777777" w:rsidR="00C63923" w:rsidRDefault="00C63923" w:rsidP="00C63923">
      <w:pPr>
        <w:pStyle w:val="BodyA"/>
        <w:spacing w:after="0" w:line="240" w:lineRule="auto"/>
        <w:rPr>
          <w:rFonts w:ascii="Book Antiqua" w:hAnsi="Book Antiqua" w:cs="Times"/>
          <w:b/>
          <w:sz w:val="24"/>
          <w:szCs w:val="24"/>
        </w:rPr>
      </w:pPr>
    </w:p>
    <w:p w14:paraId="121576E2" w14:textId="77777777" w:rsidR="00C63923" w:rsidRDefault="00C63923" w:rsidP="00E6589E">
      <w:pPr>
        <w:jc w:val="both"/>
        <w:rPr>
          <w:rFonts w:ascii="Book Antiqua" w:hAnsi="Book Antiqua" w:cs="Courier New"/>
        </w:rPr>
      </w:pPr>
    </w:p>
    <w:p w14:paraId="35D97808" w14:textId="5EDE52A5" w:rsidR="007B6525" w:rsidRPr="00E6589E" w:rsidRDefault="000926B4" w:rsidP="00E6589E">
      <w:pPr>
        <w:jc w:val="both"/>
        <w:rPr>
          <w:rFonts w:ascii="Book Antiqua" w:hAnsi="Book Antiqua" w:cs="Courier New"/>
        </w:rPr>
      </w:pPr>
      <w:bookmarkStart w:id="1" w:name="_Hlk1475414"/>
      <w:r w:rsidRPr="00E6589E">
        <w:rPr>
          <w:rFonts w:ascii="Book Antiqua" w:hAnsi="Book Antiqua" w:cs="Courier New"/>
        </w:rPr>
        <w:t>R (o</w:t>
      </w:r>
      <w:r w:rsidR="00E6589E" w:rsidRPr="00E6589E">
        <w:rPr>
          <w:rFonts w:ascii="Book Antiqua" w:hAnsi="Book Antiqua" w:cs="Courier New"/>
        </w:rPr>
        <w:t xml:space="preserve">n </w:t>
      </w:r>
      <w:r w:rsidRPr="00E6589E">
        <w:rPr>
          <w:rFonts w:ascii="Book Antiqua" w:hAnsi="Book Antiqua" w:cs="Courier New"/>
        </w:rPr>
        <w:t>t</w:t>
      </w:r>
      <w:r w:rsidR="00E6589E" w:rsidRPr="00E6589E">
        <w:rPr>
          <w:rFonts w:ascii="Book Antiqua" w:hAnsi="Book Antiqua" w:cs="Courier New"/>
        </w:rPr>
        <w:t xml:space="preserve">he </w:t>
      </w:r>
      <w:r w:rsidRPr="00E6589E">
        <w:rPr>
          <w:rFonts w:ascii="Book Antiqua" w:hAnsi="Book Antiqua" w:cs="Courier New"/>
        </w:rPr>
        <w:t>a</w:t>
      </w:r>
      <w:r w:rsidR="00E6589E" w:rsidRPr="00E6589E">
        <w:rPr>
          <w:rFonts w:ascii="Book Antiqua" w:hAnsi="Book Antiqua" w:cs="Courier New"/>
        </w:rPr>
        <w:t>pplication of</w:t>
      </w:r>
      <w:r w:rsidR="00CC0E31" w:rsidRPr="00E6589E">
        <w:rPr>
          <w:rFonts w:ascii="Book Antiqua" w:hAnsi="Book Antiqua" w:cs="Courier New"/>
        </w:rPr>
        <w:t xml:space="preserve"> BJ &amp; </w:t>
      </w:r>
      <w:proofErr w:type="spellStart"/>
      <w:r w:rsidR="00CC0E31" w:rsidRPr="00E6589E">
        <w:rPr>
          <w:rFonts w:ascii="Book Antiqua" w:hAnsi="Book Antiqua" w:cs="Courier New"/>
        </w:rPr>
        <w:t>Ors</w:t>
      </w:r>
      <w:proofErr w:type="spellEnd"/>
      <w:r w:rsidR="00CC0E31" w:rsidRPr="00E6589E">
        <w:rPr>
          <w:rFonts w:ascii="Book Antiqua" w:hAnsi="Book Antiqua" w:cs="Courier New"/>
        </w:rPr>
        <w:t>) v S</w:t>
      </w:r>
      <w:r w:rsidR="00E6589E" w:rsidRPr="00E6589E">
        <w:rPr>
          <w:rFonts w:ascii="Book Antiqua" w:hAnsi="Book Antiqua" w:cs="Courier New"/>
        </w:rPr>
        <w:t xml:space="preserve">ecretary of </w:t>
      </w:r>
      <w:r w:rsidR="00CC0E31" w:rsidRPr="00E6589E">
        <w:rPr>
          <w:rFonts w:ascii="Book Antiqua" w:hAnsi="Book Antiqua" w:cs="Courier New"/>
        </w:rPr>
        <w:t>S</w:t>
      </w:r>
      <w:r w:rsidR="00E6589E" w:rsidRPr="00E6589E">
        <w:rPr>
          <w:rFonts w:ascii="Book Antiqua" w:hAnsi="Book Antiqua" w:cs="Courier New"/>
        </w:rPr>
        <w:t xml:space="preserve">tate for the </w:t>
      </w:r>
      <w:r w:rsidR="00CC0E31" w:rsidRPr="00E6589E">
        <w:rPr>
          <w:rFonts w:ascii="Book Antiqua" w:hAnsi="Book Antiqua" w:cs="Courier New"/>
        </w:rPr>
        <w:t>H</w:t>
      </w:r>
      <w:r w:rsidR="00E6589E" w:rsidRPr="00E6589E">
        <w:rPr>
          <w:rFonts w:ascii="Book Antiqua" w:hAnsi="Book Antiqua" w:cs="Courier New"/>
        </w:rPr>
        <w:t xml:space="preserve">ome </w:t>
      </w:r>
      <w:r w:rsidR="00CC0E31" w:rsidRPr="00E6589E">
        <w:rPr>
          <w:rFonts w:ascii="Book Antiqua" w:hAnsi="Book Antiqua" w:cs="Courier New"/>
        </w:rPr>
        <w:t>D</w:t>
      </w:r>
      <w:r w:rsidR="00E6589E" w:rsidRPr="00E6589E">
        <w:rPr>
          <w:rFonts w:ascii="Book Antiqua" w:hAnsi="Book Antiqua" w:cs="Courier New"/>
        </w:rPr>
        <w:t>epartment</w:t>
      </w:r>
      <w:r w:rsidR="00C703F1" w:rsidRPr="00E6589E">
        <w:rPr>
          <w:rFonts w:ascii="Book Antiqua" w:hAnsi="Book Antiqua" w:cs="Courier New"/>
        </w:rPr>
        <w:t xml:space="preserve"> </w:t>
      </w:r>
      <w:r w:rsidR="00CC0E31" w:rsidRPr="00E6589E">
        <w:rPr>
          <w:rFonts w:ascii="Book Antiqua" w:hAnsi="Book Antiqua" w:cs="Courier New"/>
        </w:rPr>
        <w:t>(</w:t>
      </w:r>
      <w:r w:rsidR="00C703F1" w:rsidRPr="00E6589E">
        <w:rPr>
          <w:rFonts w:ascii="Book Antiqua" w:hAnsi="Book Antiqua" w:cs="Courier New"/>
        </w:rPr>
        <w:t>Article 9, Dublin III; interp</w:t>
      </w:r>
      <w:r w:rsidR="00CE2D57" w:rsidRPr="00E6589E">
        <w:rPr>
          <w:rFonts w:ascii="Book Antiqua" w:hAnsi="Book Antiqua" w:cs="Courier New"/>
        </w:rPr>
        <w:t>r</w:t>
      </w:r>
      <w:r w:rsidR="00C703F1" w:rsidRPr="00E6589E">
        <w:rPr>
          <w:rFonts w:ascii="Book Antiqua" w:hAnsi="Book Antiqua" w:cs="Courier New"/>
        </w:rPr>
        <w:t xml:space="preserve">etation) [2019] UKUT </w:t>
      </w:r>
      <w:r w:rsidR="00C63923">
        <w:rPr>
          <w:rFonts w:ascii="Book Antiqua" w:hAnsi="Book Antiqua" w:cs="Courier New"/>
        </w:rPr>
        <w:t>00066</w:t>
      </w:r>
      <w:bookmarkEnd w:id="1"/>
      <w:r w:rsidR="00E6589E">
        <w:rPr>
          <w:rFonts w:ascii="Book Antiqua" w:hAnsi="Book Antiqua" w:cs="Courier New"/>
        </w:rPr>
        <w:t>(IAC)</w:t>
      </w:r>
    </w:p>
    <w:p w14:paraId="48254C61" w14:textId="77777777" w:rsidR="00C703F1" w:rsidRPr="00C703F1" w:rsidRDefault="00C703F1" w:rsidP="009F343C">
      <w:pPr>
        <w:jc w:val="center"/>
        <w:rPr>
          <w:rFonts w:ascii="Book Antiqua" w:hAnsi="Book Antiqua" w:cs="Courier New"/>
          <w:lang w:val="fr-FR"/>
        </w:rPr>
      </w:pPr>
    </w:p>
    <w:p w14:paraId="3A48CA81" w14:textId="12468906" w:rsidR="00C63923" w:rsidRPr="00021942" w:rsidRDefault="00C63923" w:rsidP="00C63923">
      <w:pPr>
        <w:pStyle w:val="BodyA"/>
        <w:spacing w:after="0" w:line="240" w:lineRule="auto"/>
        <w:jc w:val="center"/>
        <w:rPr>
          <w:rFonts w:ascii="Book Antiqua" w:hAnsi="Book Antiqua" w:cs="Times"/>
          <w:b/>
          <w:sz w:val="24"/>
          <w:szCs w:val="24"/>
        </w:rPr>
      </w:pPr>
      <w:r w:rsidRPr="00021942">
        <w:rPr>
          <w:rFonts w:ascii="Book Antiqua" w:hAnsi="Book Antiqua" w:cs="Times"/>
          <w:b/>
          <w:sz w:val="24"/>
          <w:szCs w:val="24"/>
        </w:rPr>
        <w:t>IN THE UPPER TRIBUNAL</w:t>
      </w:r>
    </w:p>
    <w:p w14:paraId="72DE9CCD" w14:textId="003882B0" w:rsidR="009F343C" w:rsidRPr="00E6589E" w:rsidRDefault="00C63923" w:rsidP="00C63923">
      <w:pPr>
        <w:jc w:val="center"/>
        <w:rPr>
          <w:rFonts w:ascii="Book Antiqua" w:hAnsi="Book Antiqua" w:cs="Courier New"/>
          <w:b/>
        </w:rPr>
      </w:pPr>
      <w:r w:rsidRPr="00021942">
        <w:rPr>
          <w:rFonts w:ascii="Book Antiqua" w:hAnsi="Book Antiqua" w:cs="Times"/>
          <w:b/>
        </w:rPr>
        <w:t>IMMIGRATION AND ASYLUM CHAMBER</w:t>
      </w:r>
      <w:r w:rsidRPr="00ED14AA">
        <w:rPr>
          <w:rFonts w:ascii="Book Antiqua" w:hAnsi="Book Antiqua" w:cs="Times"/>
          <w:b/>
          <w:sz w:val="28"/>
          <w:szCs w:val="28"/>
        </w:rPr>
        <w:t xml:space="preserve"> </w:t>
      </w:r>
    </w:p>
    <w:p w14:paraId="613252C4" w14:textId="77777777" w:rsidR="009F343C" w:rsidRPr="0012239F" w:rsidRDefault="009F343C" w:rsidP="009F343C">
      <w:pPr>
        <w:jc w:val="center"/>
        <w:rPr>
          <w:rFonts w:ascii="Book Antiqua" w:hAnsi="Book Antiqua" w:cs="Courier New"/>
        </w:rPr>
      </w:pPr>
    </w:p>
    <w:p w14:paraId="650F75D6" w14:textId="77777777" w:rsidR="009F343C" w:rsidRPr="0012239F" w:rsidRDefault="009F343C" w:rsidP="009F343C">
      <w:pPr>
        <w:jc w:val="right"/>
        <w:rPr>
          <w:rFonts w:ascii="Book Antiqua" w:hAnsi="Book Antiqua" w:cs="Courier New"/>
          <w:caps/>
          <w:color w:val="000000"/>
        </w:rPr>
      </w:pPr>
    </w:p>
    <w:p w14:paraId="1D287A85" w14:textId="54682C12" w:rsidR="009F343C" w:rsidRPr="0012239F" w:rsidRDefault="009F343C" w:rsidP="009F343C">
      <w:pPr>
        <w:jc w:val="right"/>
        <w:rPr>
          <w:rFonts w:ascii="Book Antiqua" w:hAnsi="Book Antiqua" w:cs="Courier New"/>
          <w:color w:val="000000"/>
        </w:rPr>
      </w:pPr>
      <w:r w:rsidRPr="0012239F">
        <w:rPr>
          <w:rFonts w:ascii="Book Antiqua" w:hAnsi="Book Antiqua" w:cs="Courier New"/>
          <w:caps/>
          <w:color w:val="000000"/>
        </w:rPr>
        <w:t>F</w:t>
      </w:r>
      <w:r w:rsidRPr="0012239F">
        <w:rPr>
          <w:rFonts w:ascii="Book Antiqua" w:hAnsi="Book Antiqua" w:cs="Courier New"/>
          <w:color w:val="000000"/>
        </w:rPr>
        <w:t>ield Hous</w:t>
      </w:r>
      <w:r w:rsidR="0097089B">
        <w:rPr>
          <w:rFonts w:ascii="Book Antiqua" w:hAnsi="Book Antiqua" w:cs="Courier New"/>
          <w:color w:val="000000"/>
        </w:rPr>
        <w:t>e</w:t>
      </w:r>
    </w:p>
    <w:p w14:paraId="1E0FBE87" w14:textId="77777777" w:rsidR="009F343C" w:rsidRPr="0012239F" w:rsidRDefault="009F343C" w:rsidP="009F343C">
      <w:pPr>
        <w:jc w:val="right"/>
        <w:rPr>
          <w:rFonts w:ascii="Book Antiqua" w:hAnsi="Book Antiqua" w:cs="Courier New"/>
          <w:color w:val="000000"/>
        </w:rPr>
      </w:pPr>
      <w:r w:rsidRPr="0012239F">
        <w:rPr>
          <w:rFonts w:ascii="Book Antiqua" w:hAnsi="Book Antiqua" w:cs="Courier New"/>
          <w:color w:val="000000"/>
        </w:rPr>
        <w:t>London</w:t>
      </w:r>
    </w:p>
    <w:p w14:paraId="4818838B" w14:textId="40C74C6F" w:rsidR="009F343C" w:rsidRPr="0012239F" w:rsidRDefault="009F343C" w:rsidP="009F343C">
      <w:pPr>
        <w:jc w:val="right"/>
        <w:rPr>
          <w:rFonts w:ascii="Book Antiqua" w:hAnsi="Book Antiqua" w:cs="Courier New"/>
        </w:rPr>
      </w:pPr>
    </w:p>
    <w:p w14:paraId="6F7B4F86" w14:textId="77777777" w:rsidR="009F343C" w:rsidRPr="0012239F" w:rsidRDefault="000B27D8" w:rsidP="009F343C">
      <w:pPr>
        <w:jc w:val="right"/>
        <w:rPr>
          <w:rFonts w:ascii="Book Antiqua" w:hAnsi="Book Antiqua" w:cs="Courier New"/>
        </w:rPr>
      </w:pPr>
      <w:r w:rsidRPr="0012239F">
        <w:rPr>
          <w:rFonts w:ascii="Book Antiqua" w:hAnsi="Book Antiqua" w:cs="Courier New"/>
        </w:rPr>
        <w:t xml:space="preserve"> </w:t>
      </w:r>
      <w:r w:rsidR="007C628B" w:rsidRPr="0012239F">
        <w:rPr>
          <w:rFonts w:ascii="Book Antiqua" w:hAnsi="Book Antiqua" w:cs="Courier New"/>
        </w:rPr>
        <w:t>20 November</w:t>
      </w:r>
      <w:r w:rsidRPr="0012239F">
        <w:rPr>
          <w:rFonts w:ascii="Book Antiqua" w:hAnsi="Book Antiqua" w:cs="Courier New"/>
          <w:caps/>
          <w:color w:val="000000"/>
        </w:rPr>
        <w:t xml:space="preserve"> </w:t>
      </w:r>
      <w:r w:rsidR="00020255" w:rsidRPr="0012239F">
        <w:rPr>
          <w:rFonts w:ascii="Book Antiqua" w:hAnsi="Book Antiqua" w:cs="Courier New"/>
        </w:rPr>
        <w:t>2018</w:t>
      </w:r>
    </w:p>
    <w:p w14:paraId="68A6B453" w14:textId="77777777" w:rsidR="009F343C" w:rsidRPr="0012239F" w:rsidRDefault="009F343C" w:rsidP="0012239F">
      <w:pPr>
        <w:rPr>
          <w:rFonts w:ascii="Book Antiqua" w:hAnsi="Book Antiqua" w:cs="Courier New"/>
        </w:rPr>
      </w:pPr>
    </w:p>
    <w:p w14:paraId="5E60BCAD" w14:textId="77777777" w:rsidR="009F343C" w:rsidRPr="0012239F" w:rsidRDefault="009F343C" w:rsidP="009F343C">
      <w:pPr>
        <w:jc w:val="center"/>
        <w:rPr>
          <w:rFonts w:ascii="Book Antiqua" w:hAnsi="Book Antiqua" w:cs="Courier New"/>
          <w:b/>
          <w:caps/>
        </w:rPr>
      </w:pPr>
      <w:r w:rsidRPr="0012239F">
        <w:rPr>
          <w:rFonts w:ascii="Book Antiqua" w:hAnsi="Book Antiqua" w:cs="Courier New"/>
          <w:b/>
          <w:caps/>
        </w:rPr>
        <w:t>Before</w:t>
      </w:r>
    </w:p>
    <w:p w14:paraId="40332199" w14:textId="77777777" w:rsidR="009F343C" w:rsidRPr="0012239F" w:rsidRDefault="009F343C" w:rsidP="009F343C">
      <w:pPr>
        <w:jc w:val="center"/>
        <w:rPr>
          <w:rFonts w:ascii="Book Antiqua" w:hAnsi="Book Antiqua" w:cs="Courier New"/>
          <w:b/>
        </w:rPr>
      </w:pPr>
    </w:p>
    <w:p w14:paraId="049CC1E1" w14:textId="77777777" w:rsidR="009F343C" w:rsidRPr="0012239F" w:rsidRDefault="009F343C" w:rsidP="009F343C">
      <w:pPr>
        <w:jc w:val="center"/>
        <w:rPr>
          <w:rFonts w:ascii="Book Antiqua" w:hAnsi="Book Antiqua" w:cs="Courier New"/>
          <w:b/>
        </w:rPr>
      </w:pPr>
      <w:r w:rsidRPr="0012239F">
        <w:rPr>
          <w:rFonts w:ascii="Book Antiqua" w:hAnsi="Book Antiqua" w:cs="Courier New"/>
          <w:b/>
          <w:color w:val="000000"/>
        </w:rPr>
        <w:t>UPPER TRIBUNAL JUDGE</w:t>
      </w:r>
      <w:r w:rsidR="007F342E" w:rsidRPr="0012239F">
        <w:rPr>
          <w:rFonts w:ascii="Book Antiqua" w:hAnsi="Book Antiqua" w:cs="Courier New"/>
          <w:b/>
          <w:color w:val="000000"/>
        </w:rPr>
        <w:t xml:space="preserve"> </w:t>
      </w:r>
      <w:r w:rsidR="007C628B" w:rsidRPr="0012239F">
        <w:rPr>
          <w:rFonts w:ascii="Book Antiqua" w:hAnsi="Book Antiqua" w:cs="Courier New"/>
          <w:b/>
          <w:caps/>
          <w:color w:val="000000"/>
        </w:rPr>
        <w:t>rintoul</w:t>
      </w:r>
    </w:p>
    <w:p w14:paraId="0CC6794F" w14:textId="77777777" w:rsidR="009F343C" w:rsidRPr="0012239F" w:rsidRDefault="009F343C" w:rsidP="009F343C">
      <w:pPr>
        <w:jc w:val="center"/>
        <w:rPr>
          <w:rFonts w:ascii="Book Antiqua" w:hAnsi="Book Antiqua" w:cs="Courier New"/>
          <w:b/>
        </w:rPr>
      </w:pPr>
    </w:p>
    <w:p w14:paraId="35287164" w14:textId="77777777" w:rsidR="009F343C" w:rsidRPr="0012239F" w:rsidRDefault="0012239F" w:rsidP="00E6589E">
      <w:pPr>
        <w:jc w:val="center"/>
        <w:rPr>
          <w:rFonts w:ascii="Book Antiqua" w:hAnsi="Book Antiqua" w:cs="Courier New"/>
          <w:b/>
        </w:rPr>
      </w:pPr>
      <w:r>
        <w:rPr>
          <w:rFonts w:ascii="Book Antiqua" w:hAnsi="Book Antiqua" w:cs="Courier New"/>
          <w:b/>
        </w:rPr>
        <w:t>B</w:t>
      </w:r>
      <w:r w:rsidR="009F343C" w:rsidRPr="0012239F">
        <w:rPr>
          <w:rFonts w:ascii="Book Antiqua" w:hAnsi="Book Antiqua" w:cs="Courier New"/>
          <w:b/>
        </w:rPr>
        <w:t>etween</w:t>
      </w:r>
    </w:p>
    <w:p w14:paraId="6B92CAD0" w14:textId="77777777" w:rsidR="008B0002" w:rsidRPr="0012239F" w:rsidRDefault="008B0002" w:rsidP="009F343C">
      <w:pPr>
        <w:jc w:val="center"/>
        <w:rPr>
          <w:rFonts w:ascii="Book Antiqua" w:hAnsi="Book Antiqua" w:cs="Courier New"/>
          <w:b/>
        </w:rPr>
      </w:pPr>
    </w:p>
    <w:p w14:paraId="797B8452" w14:textId="77777777" w:rsidR="007744BB" w:rsidRPr="0012239F" w:rsidRDefault="007C628B" w:rsidP="009F343C">
      <w:pPr>
        <w:jc w:val="center"/>
        <w:rPr>
          <w:rFonts w:ascii="Book Antiqua" w:hAnsi="Book Antiqua" w:cs="Courier New"/>
          <w:b/>
          <w:caps/>
          <w:color w:val="000000"/>
        </w:rPr>
      </w:pPr>
      <w:r w:rsidRPr="0012239F">
        <w:rPr>
          <w:rFonts w:ascii="Book Antiqua" w:hAnsi="Book Antiqua" w:cs="Courier New"/>
          <w:b/>
          <w:caps/>
          <w:color w:val="000000"/>
        </w:rPr>
        <w:t xml:space="preserve">the queen on the application of </w:t>
      </w:r>
    </w:p>
    <w:p w14:paraId="12903A40" w14:textId="77777777" w:rsidR="007C628B" w:rsidRPr="0012239F" w:rsidRDefault="007C628B" w:rsidP="0012239F">
      <w:pPr>
        <w:numPr>
          <w:ilvl w:val="0"/>
          <w:numId w:val="9"/>
        </w:numPr>
        <w:ind w:left="2694" w:firstLine="0"/>
        <w:rPr>
          <w:rFonts w:ascii="Book Antiqua" w:hAnsi="Book Antiqua" w:cs="Courier New"/>
          <w:b/>
        </w:rPr>
      </w:pPr>
      <w:r w:rsidRPr="0012239F">
        <w:rPr>
          <w:rFonts w:ascii="Book Antiqua" w:hAnsi="Book Antiqua" w:cs="Courier New"/>
          <w:b/>
          <w:caps/>
          <w:color w:val="000000"/>
        </w:rPr>
        <w:t>BJ</w:t>
      </w:r>
    </w:p>
    <w:p w14:paraId="4217517D" w14:textId="77777777" w:rsidR="007C628B" w:rsidRPr="0012239F" w:rsidRDefault="007C628B" w:rsidP="0012239F">
      <w:pPr>
        <w:numPr>
          <w:ilvl w:val="0"/>
          <w:numId w:val="9"/>
        </w:numPr>
        <w:ind w:left="2694" w:firstLine="0"/>
        <w:rPr>
          <w:rFonts w:ascii="Book Antiqua" w:hAnsi="Book Antiqua" w:cs="Courier New"/>
          <w:b/>
        </w:rPr>
      </w:pPr>
      <w:r w:rsidRPr="0012239F">
        <w:rPr>
          <w:rFonts w:ascii="Book Antiqua" w:hAnsi="Book Antiqua" w:cs="Courier New"/>
          <w:b/>
          <w:caps/>
          <w:color w:val="000000"/>
        </w:rPr>
        <w:t>RHS (A CHILD BY HER LITIGATION FRIEND</w:t>
      </w:r>
      <w:r w:rsidR="007913CF" w:rsidRPr="0012239F">
        <w:rPr>
          <w:rFonts w:ascii="Book Antiqua" w:hAnsi="Book Antiqua" w:cs="Courier New"/>
          <w:b/>
          <w:caps/>
          <w:color w:val="000000"/>
        </w:rPr>
        <w:t>,</w:t>
      </w:r>
      <w:r w:rsidRPr="0012239F">
        <w:rPr>
          <w:rFonts w:ascii="Book Antiqua" w:hAnsi="Book Antiqua" w:cs="Courier New"/>
          <w:b/>
          <w:caps/>
          <w:color w:val="000000"/>
        </w:rPr>
        <w:t xml:space="preserve"> AHS)</w:t>
      </w:r>
    </w:p>
    <w:p w14:paraId="139DF0A5" w14:textId="77777777" w:rsidR="007C628B" w:rsidRPr="0012239F" w:rsidRDefault="007C628B" w:rsidP="0012239F">
      <w:pPr>
        <w:numPr>
          <w:ilvl w:val="0"/>
          <w:numId w:val="9"/>
        </w:numPr>
        <w:ind w:left="2694" w:firstLine="0"/>
        <w:rPr>
          <w:rFonts w:ascii="Book Antiqua" w:hAnsi="Book Antiqua" w:cs="Courier New"/>
          <w:b/>
          <w:caps/>
          <w:color w:val="000000"/>
        </w:rPr>
      </w:pPr>
      <w:r w:rsidRPr="0012239F">
        <w:rPr>
          <w:rFonts w:ascii="Book Antiqua" w:hAnsi="Book Antiqua" w:cs="Courier New"/>
          <w:b/>
          <w:caps/>
          <w:color w:val="000000"/>
        </w:rPr>
        <w:t>shs (A CHILD BY HER LITIGATION friend, AHS)</w:t>
      </w:r>
    </w:p>
    <w:p w14:paraId="2D25A151" w14:textId="77777777" w:rsidR="007C628B" w:rsidRPr="0012239F" w:rsidRDefault="007C628B" w:rsidP="0012239F">
      <w:pPr>
        <w:numPr>
          <w:ilvl w:val="0"/>
          <w:numId w:val="9"/>
        </w:numPr>
        <w:ind w:left="2694" w:firstLine="0"/>
        <w:rPr>
          <w:rFonts w:ascii="Book Antiqua" w:hAnsi="Book Antiqua" w:cs="Courier New"/>
          <w:b/>
          <w:caps/>
          <w:color w:val="000000"/>
        </w:rPr>
      </w:pPr>
      <w:r w:rsidRPr="0012239F">
        <w:rPr>
          <w:rFonts w:ascii="Book Antiqua" w:hAnsi="Book Antiqua" w:cs="Courier New"/>
          <w:b/>
          <w:caps/>
          <w:color w:val="000000"/>
        </w:rPr>
        <w:t>nhs (a child by her litigation friend</w:t>
      </w:r>
      <w:r w:rsidR="007913CF" w:rsidRPr="0012239F">
        <w:rPr>
          <w:rFonts w:ascii="Book Antiqua" w:hAnsi="Book Antiqua" w:cs="Courier New"/>
          <w:b/>
          <w:caps/>
          <w:color w:val="000000"/>
        </w:rPr>
        <w:t>,</w:t>
      </w:r>
      <w:r w:rsidRPr="0012239F">
        <w:rPr>
          <w:rFonts w:ascii="Book Antiqua" w:hAnsi="Book Antiqua" w:cs="Courier New"/>
          <w:b/>
          <w:caps/>
          <w:color w:val="000000"/>
        </w:rPr>
        <w:t xml:space="preserve"> ahs)</w:t>
      </w:r>
    </w:p>
    <w:p w14:paraId="17AA5CD2" w14:textId="77777777" w:rsidR="007C628B" w:rsidRPr="0012239F" w:rsidRDefault="007C628B" w:rsidP="0012239F">
      <w:pPr>
        <w:numPr>
          <w:ilvl w:val="0"/>
          <w:numId w:val="9"/>
        </w:numPr>
        <w:ind w:left="2694" w:firstLine="0"/>
        <w:rPr>
          <w:rFonts w:ascii="Book Antiqua" w:hAnsi="Book Antiqua" w:cs="Courier New"/>
          <w:b/>
          <w:caps/>
          <w:color w:val="000000"/>
        </w:rPr>
      </w:pPr>
      <w:r w:rsidRPr="0012239F">
        <w:rPr>
          <w:rFonts w:ascii="Book Antiqua" w:hAnsi="Book Antiqua" w:cs="Courier New"/>
          <w:b/>
          <w:caps/>
          <w:color w:val="000000"/>
        </w:rPr>
        <w:t>ahs</w:t>
      </w:r>
    </w:p>
    <w:p w14:paraId="448999CE" w14:textId="77777777" w:rsidR="00C63923" w:rsidRDefault="00C63923" w:rsidP="0012239F">
      <w:pPr>
        <w:ind w:left="2694" w:hanging="2334"/>
        <w:jc w:val="center"/>
        <w:rPr>
          <w:rFonts w:ascii="Book Antiqua" w:hAnsi="Book Antiqua" w:cs="Courier New"/>
        </w:rPr>
      </w:pPr>
    </w:p>
    <w:p w14:paraId="7DB7A732" w14:textId="375B4C44" w:rsidR="000B27D8" w:rsidRPr="00C63923" w:rsidRDefault="0012239F" w:rsidP="0012239F">
      <w:pPr>
        <w:ind w:left="2694" w:hanging="2334"/>
        <w:jc w:val="center"/>
        <w:rPr>
          <w:rFonts w:ascii="Book Antiqua" w:hAnsi="Book Antiqua" w:cs="Courier New"/>
        </w:rPr>
      </w:pPr>
      <w:r w:rsidRPr="00C63923">
        <w:rPr>
          <w:rFonts w:ascii="Book Antiqua" w:hAnsi="Book Antiqua" w:cs="Courier New"/>
        </w:rPr>
        <w:t>(ANONYMITY ORDER MADE)</w:t>
      </w:r>
    </w:p>
    <w:p w14:paraId="0996313D" w14:textId="77777777" w:rsidR="009F343C" w:rsidRPr="00C63923" w:rsidRDefault="009F343C" w:rsidP="009F343C">
      <w:pPr>
        <w:jc w:val="right"/>
        <w:rPr>
          <w:rFonts w:ascii="Book Antiqua" w:hAnsi="Book Antiqua" w:cs="Courier New"/>
          <w:u w:val="single"/>
        </w:rPr>
      </w:pPr>
      <w:r w:rsidRPr="00C63923">
        <w:rPr>
          <w:rFonts w:ascii="Book Antiqua" w:hAnsi="Book Antiqua" w:cs="Courier New"/>
          <w:u w:val="single"/>
        </w:rPr>
        <w:t>Applicant</w:t>
      </w:r>
      <w:r w:rsidR="007C628B" w:rsidRPr="00C63923">
        <w:rPr>
          <w:rFonts w:ascii="Book Antiqua" w:hAnsi="Book Antiqua" w:cs="Courier New"/>
          <w:u w:val="single"/>
        </w:rPr>
        <w:t>s</w:t>
      </w:r>
    </w:p>
    <w:p w14:paraId="7D30E75D" w14:textId="77777777" w:rsidR="0039181A" w:rsidRDefault="0039181A" w:rsidP="009F343C">
      <w:pPr>
        <w:jc w:val="center"/>
        <w:rPr>
          <w:rFonts w:ascii="Book Antiqua" w:hAnsi="Book Antiqua" w:cs="Courier New"/>
          <w:b/>
        </w:rPr>
      </w:pPr>
    </w:p>
    <w:p w14:paraId="61EB9F3D" w14:textId="5391031A" w:rsidR="009F343C" w:rsidRPr="0012239F" w:rsidRDefault="009F343C" w:rsidP="009F343C">
      <w:pPr>
        <w:jc w:val="center"/>
        <w:rPr>
          <w:rFonts w:ascii="Book Antiqua" w:hAnsi="Book Antiqua" w:cs="Courier New"/>
          <w:b/>
        </w:rPr>
      </w:pPr>
      <w:r w:rsidRPr="0012239F">
        <w:rPr>
          <w:rFonts w:ascii="Book Antiqua" w:hAnsi="Book Antiqua" w:cs="Courier New"/>
          <w:b/>
        </w:rPr>
        <w:t>and</w:t>
      </w:r>
    </w:p>
    <w:p w14:paraId="2748DC33" w14:textId="5828E2B4" w:rsidR="009F343C" w:rsidRDefault="009F343C" w:rsidP="009F343C">
      <w:pPr>
        <w:jc w:val="center"/>
        <w:rPr>
          <w:rFonts w:ascii="Book Antiqua" w:hAnsi="Book Antiqua" w:cs="Courier New"/>
          <w:b/>
        </w:rPr>
      </w:pPr>
    </w:p>
    <w:p w14:paraId="338E006A" w14:textId="77777777" w:rsidR="0039181A" w:rsidRPr="0012239F" w:rsidRDefault="0039181A" w:rsidP="009F343C">
      <w:pPr>
        <w:jc w:val="center"/>
        <w:rPr>
          <w:rFonts w:ascii="Book Antiqua" w:hAnsi="Book Antiqua" w:cs="Courier New"/>
          <w:b/>
        </w:rPr>
      </w:pPr>
    </w:p>
    <w:p w14:paraId="31345FBA" w14:textId="4A0BE589" w:rsidR="009F343C" w:rsidRPr="0012239F" w:rsidRDefault="00CC0E31" w:rsidP="009F343C">
      <w:pPr>
        <w:jc w:val="center"/>
        <w:rPr>
          <w:rFonts w:ascii="Book Antiqua" w:hAnsi="Book Antiqua" w:cs="Courier New"/>
          <w:b/>
        </w:rPr>
      </w:pPr>
      <w:r>
        <w:rPr>
          <w:rFonts w:ascii="Book Antiqua" w:hAnsi="Book Antiqua" w:cs="Courier New"/>
          <w:b/>
        </w:rPr>
        <w:t xml:space="preserve"> </w:t>
      </w:r>
      <w:r w:rsidR="00E6589E">
        <w:rPr>
          <w:rFonts w:ascii="Book Antiqua" w:hAnsi="Book Antiqua" w:cs="Courier New"/>
          <w:b/>
        </w:rPr>
        <w:t>SECRETA</w:t>
      </w:r>
      <w:r w:rsidR="002C56BE">
        <w:rPr>
          <w:rFonts w:ascii="Book Antiqua" w:hAnsi="Book Antiqua" w:cs="Courier New"/>
          <w:b/>
        </w:rPr>
        <w:t>RY OF STATE FOR THE HOME DEPARTMENT</w:t>
      </w:r>
    </w:p>
    <w:p w14:paraId="3196BA35" w14:textId="77777777" w:rsidR="009F343C" w:rsidRPr="00C63923" w:rsidRDefault="009F343C" w:rsidP="009F343C">
      <w:pPr>
        <w:jc w:val="right"/>
        <w:rPr>
          <w:rFonts w:ascii="Book Antiqua" w:hAnsi="Book Antiqua" w:cs="Courier New"/>
          <w:u w:val="single"/>
        </w:rPr>
      </w:pPr>
      <w:r w:rsidRPr="00C63923">
        <w:rPr>
          <w:rFonts w:ascii="Book Antiqua" w:hAnsi="Book Antiqua" w:cs="Courier New"/>
          <w:u w:val="single"/>
        </w:rPr>
        <w:t>Respondent</w:t>
      </w:r>
    </w:p>
    <w:p w14:paraId="7E7242A4" w14:textId="77777777" w:rsidR="009F343C" w:rsidRPr="0012239F" w:rsidRDefault="009F343C" w:rsidP="009F343C">
      <w:pPr>
        <w:tabs>
          <w:tab w:val="center" w:pos="4585"/>
        </w:tabs>
        <w:suppressAutoHyphens/>
        <w:spacing w:line="240" w:lineRule="atLeast"/>
        <w:jc w:val="center"/>
        <w:rPr>
          <w:rFonts w:ascii="Book Antiqua" w:hAnsi="Book Antiqua" w:cs="Courier New"/>
        </w:rPr>
      </w:pP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r>
    </w:p>
    <w:p w14:paraId="0073810C" w14:textId="77061594" w:rsidR="009F343C" w:rsidRDefault="009F343C" w:rsidP="009F343C">
      <w:pPr>
        <w:tabs>
          <w:tab w:val="center" w:pos="4585"/>
        </w:tabs>
        <w:suppressAutoHyphens/>
        <w:spacing w:line="240" w:lineRule="atLeast"/>
        <w:jc w:val="center"/>
        <w:rPr>
          <w:rFonts w:ascii="Book Antiqua" w:hAnsi="Book Antiqua" w:cs="Courier New"/>
        </w:rPr>
      </w:pPr>
    </w:p>
    <w:p w14:paraId="3F76C36E" w14:textId="5092FF90" w:rsidR="00C63923" w:rsidRDefault="00C63923" w:rsidP="00C63923">
      <w:pPr>
        <w:tabs>
          <w:tab w:val="center" w:pos="4585"/>
        </w:tabs>
        <w:suppressAutoHyphens/>
        <w:spacing w:line="240" w:lineRule="atLeast"/>
        <w:rPr>
          <w:rFonts w:ascii="Book Antiqua" w:hAnsi="Book Antiqua" w:cs="Courier New"/>
          <w:b/>
          <w:u w:val="single"/>
        </w:rPr>
      </w:pPr>
      <w:r>
        <w:rPr>
          <w:rFonts w:ascii="Book Antiqua" w:hAnsi="Book Antiqua" w:cs="Courier New"/>
          <w:b/>
          <w:u w:val="single"/>
        </w:rPr>
        <w:t>Appearances</w:t>
      </w:r>
    </w:p>
    <w:p w14:paraId="32631D24" w14:textId="77777777" w:rsidR="00C63923" w:rsidRPr="00C63923" w:rsidRDefault="00C63923" w:rsidP="00C63923">
      <w:pPr>
        <w:tabs>
          <w:tab w:val="center" w:pos="4585"/>
        </w:tabs>
        <w:suppressAutoHyphens/>
        <w:spacing w:line="240" w:lineRule="atLeast"/>
        <w:rPr>
          <w:rFonts w:ascii="Book Antiqua" w:hAnsi="Book Antiqua" w:cs="Courier New"/>
          <w:b/>
          <w:u w:val="single"/>
        </w:rPr>
      </w:pPr>
    </w:p>
    <w:p w14:paraId="6A2A5963" w14:textId="0216CB6E" w:rsidR="009F343C" w:rsidRPr="0012239F" w:rsidRDefault="007C628B" w:rsidP="009F343C">
      <w:pPr>
        <w:tabs>
          <w:tab w:val="left" w:pos="-720"/>
        </w:tabs>
        <w:suppressAutoHyphens/>
        <w:spacing w:line="240" w:lineRule="atLeast"/>
        <w:rPr>
          <w:rFonts w:ascii="Book Antiqua" w:hAnsi="Book Antiqua" w:cs="Courier New"/>
        </w:rPr>
      </w:pPr>
      <w:r w:rsidRPr="0012239F">
        <w:rPr>
          <w:rFonts w:ascii="Book Antiqua" w:hAnsi="Book Antiqua" w:cs="Courier New"/>
        </w:rPr>
        <w:t xml:space="preserve">Miss C Kilroy and Miss </w:t>
      </w:r>
      <w:r w:rsidR="00C31B5C">
        <w:rPr>
          <w:rFonts w:ascii="Book Antiqua" w:hAnsi="Book Antiqua" w:cs="Courier New"/>
        </w:rPr>
        <w:t>M</w:t>
      </w:r>
      <w:r w:rsidRPr="0012239F">
        <w:rPr>
          <w:rFonts w:ascii="Book Antiqua" w:hAnsi="Book Antiqua" w:cs="Courier New"/>
        </w:rPr>
        <w:t xml:space="preserve"> Knorr</w:t>
      </w:r>
      <w:r w:rsidR="000B27D8" w:rsidRPr="0012239F">
        <w:rPr>
          <w:rFonts w:ascii="Book Antiqua" w:hAnsi="Book Antiqua" w:cs="Courier New"/>
        </w:rPr>
        <w:t>,</w:t>
      </w:r>
      <w:r w:rsidR="00002EFA" w:rsidRPr="0012239F">
        <w:rPr>
          <w:rFonts w:ascii="Book Antiqua" w:hAnsi="Book Antiqua" w:cs="Courier New"/>
        </w:rPr>
        <w:t xml:space="preserve"> instructed by </w:t>
      </w:r>
      <w:r w:rsidR="006464BA">
        <w:rPr>
          <w:rFonts w:ascii="Book Antiqua" w:hAnsi="Book Antiqua" w:cs="Courier New"/>
        </w:rPr>
        <w:t xml:space="preserve">The Migrants Law Project, </w:t>
      </w:r>
      <w:r w:rsidRPr="0012239F">
        <w:rPr>
          <w:rFonts w:ascii="Book Antiqua" w:hAnsi="Book Antiqua" w:cs="Courier New"/>
        </w:rPr>
        <w:t>Islington Law Centre</w:t>
      </w:r>
      <w:r w:rsidR="000B27D8" w:rsidRPr="0012239F">
        <w:rPr>
          <w:rFonts w:ascii="Book Antiqua" w:hAnsi="Book Antiqua" w:cs="Courier New"/>
          <w:caps/>
          <w:color w:val="000000"/>
        </w:rPr>
        <w:t xml:space="preserve"> </w:t>
      </w:r>
      <w:r w:rsidR="00002EFA" w:rsidRPr="0012239F">
        <w:rPr>
          <w:rFonts w:ascii="Book Antiqua" w:hAnsi="Book Antiqua" w:cs="Courier New"/>
        </w:rPr>
        <w:t>appeared</w:t>
      </w:r>
      <w:r w:rsidR="00816275" w:rsidRPr="0012239F">
        <w:rPr>
          <w:rFonts w:ascii="Book Antiqua" w:hAnsi="Book Antiqua" w:cs="Courier New"/>
        </w:rPr>
        <w:t xml:space="preserve"> </w:t>
      </w:r>
      <w:r w:rsidR="003D7F02" w:rsidRPr="0012239F">
        <w:rPr>
          <w:rFonts w:ascii="Book Antiqua" w:hAnsi="Book Antiqua" w:cs="Courier New"/>
        </w:rPr>
        <w:t xml:space="preserve">on </w:t>
      </w:r>
      <w:r w:rsidR="00816275" w:rsidRPr="0012239F">
        <w:rPr>
          <w:rFonts w:ascii="Book Antiqua" w:hAnsi="Book Antiqua" w:cs="Courier New"/>
        </w:rPr>
        <w:t xml:space="preserve">behalf of the </w:t>
      </w:r>
      <w:r w:rsidR="009F343C" w:rsidRPr="0012239F">
        <w:rPr>
          <w:rFonts w:ascii="Book Antiqua" w:hAnsi="Book Antiqua" w:cs="Courier New"/>
        </w:rPr>
        <w:t>Applicant.</w:t>
      </w:r>
    </w:p>
    <w:p w14:paraId="75B4155C" w14:textId="77777777" w:rsidR="009F343C" w:rsidRPr="0012239F" w:rsidRDefault="009F343C" w:rsidP="009F343C">
      <w:pPr>
        <w:tabs>
          <w:tab w:val="left" w:pos="-720"/>
        </w:tabs>
        <w:suppressAutoHyphens/>
        <w:spacing w:line="240" w:lineRule="atLeast"/>
        <w:rPr>
          <w:rFonts w:ascii="Book Antiqua" w:hAnsi="Book Antiqua" w:cs="Courier New"/>
        </w:rPr>
      </w:pPr>
    </w:p>
    <w:p w14:paraId="18A47365" w14:textId="7C683C97" w:rsidR="009F343C" w:rsidRDefault="002C56BE" w:rsidP="009F343C">
      <w:pPr>
        <w:tabs>
          <w:tab w:val="left" w:pos="-720"/>
        </w:tabs>
        <w:suppressAutoHyphens/>
        <w:spacing w:line="240" w:lineRule="atLeast"/>
        <w:rPr>
          <w:rFonts w:ascii="Book Antiqua" w:hAnsi="Book Antiqua" w:cs="Courier New"/>
        </w:rPr>
      </w:pPr>
      <w:r w:rsidRPr="0012239F">
        <w:rPr>
          <w:rFonts w:ascii="Book Antiqua" w:hAnsi="Book Antiqua" w:cs="Courier New"/>
        </w:rPr>
        <w:t>Mr G Lewis</w:t>
      </w:r>
      <w:r>
        <w:rPr>
          <w:rFonts w:ascii="Book Antiqua" w:hAnsi="Book Antiqua" w:cs="Courier New"/>
        </w:rPr>
        <w:t>,</w:t>
      </w:r>
      <w:r w:rsidR="000B27D8" w:rsidRPr="0012239F">
        <w:rPr>
          <w:rFonts w:ascii="Book Antiqua" w:hAnsi="Book Antiqua" w:cs="Courier New"/>
        </w:rPr>
        <w:t xml:space="preserve"> </w:t>
      </w:r>
      <w:r w:rsidR="00816275" w:rsidRPr="0012239F">
        <w:rPr>
          <w:rFonts w:ascii="Book Antiqua" w:hAnsi="Book Antiqua" w:cs="Courier New"/>
        </w:rPr>
        <w:t xml:space="preserve">instructed by </w:t>
      </w:r>
      <w:r w:rsidR="00A30E6A" w:rsidRPr="0012239F">
        <w:rPr>
          <w:rFonts w:ascii="Book Antiqua" w:hAnsi="Book Antiqua" w:cs="Courier New"/>
        </w:rPr>
        <w:t xml:space="preserve">the </w:t>
      </w:r>
      <w:r w:rsidR="00095731" w:rsidRPr="0012239F">
        <w:rPr>
          <w:rFonts w:ascii="Book Antiqua" w:hAnsi="Book Antiqua" w:cs="Courier New"/>
        </w:rPr>
        <w:t>Government Legal Department</w:t>
      </w:r>
      <w:r>
        <w:rPr>
          <w:rFonts w:ascii="Book Antiqua" w:hAnsi="Book Antiqua" w:cs="Courier New"/>
        </w:rPr>
        <w:t>,</w:t>
      </w:r>
      <w:r w:rsidR="00095731" w:rsidRPr="0012239F">
        <w:rPr>
          <w:rFonts w:ascii="Book Antiqua" w:hAnsi="Book Antiqua" w:cs="Courier New"/>
        </w:rPr>
        <w:t xml:space="preserve"> </w:t>
      </w:r>
      <w:r w:rsidR="009F343C" w:rsidRPr="0012239F">
        <w:rPr>
          <w:rFonts w:ascii="Book Antiqua" w:hAnsi="Book Antiqua" w:cs="Courier New"/>
        </w:rPr>
        <w:t>appeared on behalf of the Respondent.</w:t>
      </w:r>
    </w:p>
    <w:p w14:paraId="4D67F691" w14:textId="77777777" w:rsidR="00662152" w:rsidRPr="0012239F" w:rsidRDefault="00662152" w:rsidP="009F343C">
      <w:pPr>
        <w:tabs>
          <w:tab w:val="left" w:pos="-720"/>
        </w:tabs>
        <w:suppressAutoHyphens/>
        <w:spacing w:line="240" w:lineRule="atLeast"/>
        <w:rPr>
          <w:rFonts w:ascii="Book Antiqua" w:hAnsi="Book Antiqua" w:cs="Courier New"/>
        </w:rPr>
      </w:pPr>
    </w:p>
    <w:p w14:paraId="2870F89A" w14:textId="77777777" w:rsidR="009F343C" w:rsidRPr="0012239F" w:rsidRDefault="009F343C" w:rsidP="009F343C">
      <w:pPr>
        <w:tabs>
          <w:tab w:val="left" w:pos="2835"/>
          <w:tab w:val="center" w:pos="4585"/>
        </w:tabs>
        <w:suppressAutoHyphens/>
        <w:spacing w:line="240" w:lineRule="atLeast"/>
        <w:jc w:val="center"/>
        <w:rPr>
          <w:rFonts w:ascii="Book Antiqua" w:hAnsi="Book Antiqua" w:cs="Courier New"/>
        </w:rPr>
      </w:pP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r>
    </w:p>
    <w:p w14:paraId="77E992F6" w14:textId="77777777" w:rsidR="009F343C" w:rsidRPr="0012239F" w:rsidRDefault="009F343C" w:rsidP="009F343C">
      <w:pPr>
        <w:jc w:val="center"/>
        <w:rPr>
          <w:rFonts w:ascii="Book Antiqua" w:hAnsi="Book Antiqua" w:cs="Courier New"/>
          <w:b/>
        </w:rPr>
      </w:pPr>
    </w:p>
    <w:p w14:paraId="56B7E459" w14:textId="77777777" w:rsidR="009F343C" w:rsidRPr="0012239F" w:rsidRDefault="009F343C" w:rsidP="009F343C">
      <w:pPr>
        <w:jc w:val="center"/>
        <w:rPr>
          <w:rFonts w:ascii="Book Antiqua" w:hAnsi="Book Antiqua" w:cs="Courier New"/>
          <w:b/>
        </w:rPr>
      </w:pPr>
      <w:r w:rsidRPr="0012239F">
        <w:rPr>
          <w:rFonts w:ascii="Book Antiqua" w:hAnsi="Book Antiqua" w:cs="Courier New"/>
          <w:b/>
        </w:rPr>
        <w:t>JUDGMENT</w:t>
      </w:r>
    </w:p>
    <w:p w14:paraId="4C4A5F35" w14:textId="19677EB0" w:rsidR="001F2716" w:rsidRDefault="009F343C" w:rsidP="0012239F">
      <w:pPr>
        <w:tabs>
          <w:tab w:val="left" w:pos="2835"/>
          <w:tab w:val="center" w:pos="4585"/>
        </w:tabs>
        <w:suppressAutoHyphens/>
        <w:spacing w:line="240" w:lineRule="atLeast"/>
        <w:jc w:val="center"/>
        <w:rPr>
          <w:rFonts w:ascii="Book Antiqua" w:hAnsi="Book Antiqua" w:cs="Courier New"/>
        </w:rPr>
      </w:pP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t xml:space="preserve"> </w:t>
      </w:r>
      <w:r w:rsidRPr="0012239F">
        <w:rPr>
          <w:rFonts w:ascii="Book Antiqua" w:hAnsi="Book Antiqua" w:cs="Courier New"/>
        </w:rPr>
        <w:noBreakHyphen/>
      </w:r>
    </w:p>
    <w:p w14:paraId="3273D717" w14:textId="42EBE661" w:rsidR="00A34D04" w:rsidRDefault="00A34D04" w:rsidP="0012239F">
      <w:pPr>
        <w:tabs>
          <w:tab w:val="left" w:pos="2835"/>
          <w:tab w:val="center" w:pos="4585"/>
        </w:tabs>
        <w:suppressAutoHyphens/>
        <w:spacing w:line="240" w:lineRule="atLeast"/>
        <w:jc w:val="center"/>
        <w:rPr>
          <w:rFonts w:ascii="Book Antiqua" w:hAnsi="Book Antiqua" w:cs="Courier New"/>
        </w:rPr>
      </w:pPr>
    </w:p>
    <w:p w14:paraId="6EF1F652" w14:textId="77777777" w:rsidR="00A34D04" w:rsidRPr="0012239F" w:rsidRDefault="00A34D04" w:rsidP="0012239F">
      <w:pPr>
        <w:tabs>
          <w:tab w:val="left" w:pos="2835"/>
          <w:tab w:val="center" w:pos="4585"/>
        </w:tabs>
        <w:suppressAutoHyphens/>
        <w:spacing w:line="240" w:lineRule="atLeast"/>
        <w:jc w:val="center"/>
        <w:rPr>
          <w:rFonts w:ascii="Book Antiqua" w:hAnsi="Book Antiqua" w:cs="Courier New"/>
        </w:rPr>
      </w:pPr>
      <w:bookmarkStart w:id="2" w:name="_Hlk1475397"/>
    </w:p>
    <w:p w14:paraId="1B3D2AFF" w14:textId="08BF095F" w:rsidR="006C2042" w:rsidRPr="00CC0E31" w:rsidRDefault="00CE2D57" w:rsidP="00A34D04">
      <w:pPr>
        <w:spacing w:after="240" w:line="360" w:lineRule="auto"/>
        <w:ind w:left="567" w:hanging="567"/>
        <w:jc w:val="both"/>
        <w:rPr>
          <w:rFonts w:ascii="Book Antiqua" w:hAnsi="Book Antiqua" w:cs="Courier New"/>
          <w:i/>
          <w:color w:val="000000" w:themeColor="text1"/>
        </w:rPr>
      </w:pPr>
      <w:r>
        <w:rPr>
          <w:rFonts w:ascii="Book Antiqua" w:hAnsi="Book Antiqua" w:cs="Courier New"/>
          <w:i/>
          <w:iCs/>
        </w:rPr>
        <w:t>1</w:t>
      </w:r>
      <w:r w:rsidR="00CC0E31" w:rsidRPr="00CC0E31">
        <w:rPr>
          <w:rFonts w:ascii="Book Antiqua" w:hAnsi="Book Antiqua" w:cs="Courier New"/>
          <w:i/>
          <w:iCs/>
        </w:rPr>
        <w:t>.</w:t>
      </w:r>
      <w:r w:rsidR="00CC0E31" w:rsidRPr="00CC0E31">
        <w:rPr>
          <w:rFonts w:ascii="Book Antiqua" w:hAnsi="Book Antiqua" w:cs="Courier New"/>
          <w:i/>
          <w:iCs/>
        </w:rPr>
        <w:tab/>
      </w:r>
      <w:r w:rsidR="00CC0E31" w:rsidRPr="00CC0E31">
        <w:rPr>
          <w:rFonts w:ascii="Book Antiqua" w:hAnsi="Book Antiqua" w:cs="Courier New"/>
          <w:i/>
          <w:iCs/>
        </w:rPr>
        <w:tab/>
        <w:t>T</w:t>
      </w:r>
      <w:r w:rsidR="006C2042" w:rsidRPr="00CC0E31">
        <w:rPr>
          <w:rFonts w:ascii="Book Antiqua" w:hAnsi="Book Antiqua" w:cs="Courier New"/>
          <w:i/>
          <w:iCs/>
        </w:rPr>
        <w:t>he approach to interpreting a provision of EU law requires a systematic approach</w:t>
      </w:r>
      <w:r w:rsidR="006C2042" w:rsidRPr="00CC0E31">
        <w:rPr>
          <w:rFonts w:ascii="Book Antiqua" w:hAnsi="Book Antiqua" w:cs="Courier New"/>
          <w:i/>
        </w:rPr>
        <w:t xml:space="preserve">, looking at the words in the context of the structure of EU law </w:t>
      </w:r>
      <w:proofErr w:type="gramStart"/>
      <w:r w:rsidR="006C2042" w:rsidRPr="00CC0E31">
        <w:rPr>
          <w:rFonts w:ascii="Book Antiqua" w:hAnsi="Book Antiqua" w:cs="Courier New"/>
          <w:i/>
        </w:rPr>
        <w:t xml:space="preserve">as a whole </w:t>
      </w:r>
      <w:r w:rsidR="006C2042" w:rsidRPr="00CC0E31">
        <w:rPr>
          <w:rFonts w:ascii="Book Antiqua" w:hAnsi="Book Antiqua" w:cs="Courier New"/>
          <w:i/>
          <w:color w:val="000000" w:themeColor="text1"/>
        </w:rPr>
        <w:t>and</w:t>
      </w:r>
      <w:proofErr w:type="gramEnd"/>
      <w:r w:rsidR="006C2042" w:rsidRPr="00CC0E31">
        <w:rPr>
          <w:rFonts w:ascii="Book Antiqua" w:hAnsi="Book Antiqua" w:cs="Courier New"/>
          <w:i/>
          <w:color w:val="000000" w:themeColor="text1"/>
        </w:rPr>
        <w:t xml:space="preserve"> asking:</w:t>
      </w:r>
    </w:p>
    <w:p w14:paraId="14A74631" w14:textId="77777777" w:rsidR="006C2042" w:rsidRPr="00CC0E31" w:rsidRDefault="006C2042" w:rsidP="004835D9">
      <w:pPr>
        <w:pStyle w:val="ListParagraph"/>
        <w:numPr>
          <w:ilvl w:val="0"/>
          <w:numId w:val="15"/>
        </w:numPr>
        <w:spacing w:line="360" w:lineRule="auto"/>
        <w:ind w:left="2127" w:hanging="993"/>
        <w:rPr>
          <w:rFonts w:ascii="Book Antiqua" w:hAnsi="Book Antiqua"/>
          <w:i/>
          <w:color w:val="000000" w:themeColor="text1"/>
        </w:rPr>
      </w:pPr>
      <w:r w:rsidRPr="00CC0E31">
        <w:rPr>
          <w:rFonts w:ascii="Book Antiqua" w:hAnsi="Book Antiqua"/>
          <w:i/>
          <w:color w:val="000000" w:themeColor="text1"/>
        </w:rPr>
        <w:t xml:space="preserve">Is the meaning of the provision defined in EU Law? </w:t>
      </w:r>
    </w:p>
    <w:p w14:paraId="703C7933" w14:textId="77777777" w:rsidR="006C2042" w:rsidRPr="00CC0E31" w:rsidRDefault="006C2042" w:rsidP="004835D9">
      <w:pPr>
        <w:pStyle w:val="ListParagraph"/>
        <w:numPr>
          <w:ilvl w:val="0"/>
          <w:numId w:val="15"/>
        </w:numPr>
        <w:spacing w:line="360" w:lineRule="auto"/>
        <w:ind w:left="2127" w:hanging="993"/>
        <w:rPr>
          <w:rFonts w:ascii="Book Antiqua" w:hAnsi="Book Antiqua"/>
          <w:i/>
          <w:color w:val="000000" w:themeColor="text1"/>
        </w:rPr>
      </w:pPr>
      <w:r w:rsidRPr="00CC0E31">
        <w:rPr>
          <w:rFonts w:ascii="Book Antiqua" w:hAnsi="Book Antiqua"/>
          <w:i/>
          <w:color w:val="000000" w:themeColor="text1"/>
        </w:rPr>
        <w:t xml:space="preserve">If not, can the words be given their usual, ordinary meaning? </w:t>
      </w:r>
    </w:p>
    <w:p w14:paraId="5B028A98" w14:textId="77777777" w:rsidR="006C2042" w:rsidRPr="00CC0E31" w:rsidRDefault="006C2042" w:rsidP="004835D9">
      <w:pPr>
        <w:pStyle w:val="ListParagraph"/>
        <w:numPr>
          <w:ilvl w:val="0"/>
          <w:numId w:val="15"/>
        </w:numPr>
        <w:spacing w:line="360" w:lineRule="auto"/>
        <w:ind w:left="2127" w:hanging="993"/>
        <w:rPr>
          <w:rFonts w:ascii="Book Antiqua" w:hAnsi="Book Antiqua"/>
          <w:i/>
          <w:color w:val="000000" w:themeColor="text1"/>
        </w:rPr>
      </w:pPr>
      <w:r w:rsidRPr="00CC0E31">
        <w:rPr>
          <w:rFonts w:ascii="Book Antiqua" w:hAnsi="Book Antiqua"/>
          <w:i/>
          <w:color w:val="000000" w:themeColor="text1"/>
        </w:rPr>
        <w:t>If not, what are the possible different interpretations?</w:t>
      </w:r>
    </w:p>
    <w:p w14:paraId="0B8BC6CF" w14:textId="77777777" w:rsidR="006C2042" w:rsidRPr="00CC0E31" w:rsidRDefault="006C2042" w:rsidP="004835D9">
      <w:pPr>
        <w:pStyle w:val="ListParagraph"/>
        <w:numPr>
          <w:ilvl w:val="0"/>
          <w:numId w:val="15"/>
        </w:numPr>
        <w:spacing w:line="360" w:lineRule="auto"/>
        <w:ind w:left="2127" w:hanging="993"/>
        <w:rPr>
          <w:rFonts w:ascii="Book Antiqua" w:hAnsi="Book Antiqua"/>
          <w:i/>
          <w:color w:val="000000" w:themeColor="text1"/>
        </w:rPr>
      </w:pPr>
      <w:r w:rsidRPr="00CC0E31">
        <w:rPr>
          <w:rFonts w:ascii="Book Antiqua" w:hAnsi="Book Antiqua"/>
          <w:i/>
          <w:color w:val="000000" w:themeColor="text1"/>
        </w:rPr>
        <w:t>What is the objective of the provision?</w:t>
      </w:r>
    </w:p>
    <w:p w14:paraId="0C56A1A9" w14:textId="77777777" w:rsidR="006C2042" w:rsidRPr="00CC0E31" w:rsidRDefault="006C2042" w:rsidP="004835D9">
      <w:pPr>
        <w:pStyle w:val="ListParagraph"/>
        <w:numPr>
          <w:ilvl w:val="0"/>
          <w:numId w:val="15"/>
        </w:numPr>
        <w:spacing w:line="360" w:lineRule="auto"/>
        <w:ind w:left="2127" w:hanging="993"/>
        <w:rPr>
          <w:rFonts w:ascii="Book Antiqua" w:hAnsi="Book Antiqua"/>
          <w:i/>
          <w:color w:val="000000" w:themeColor="text1"/>
        </w:rPr>
      </w:pPr>
      <w:r w:rsidRPr="00CC0E31">
        <w:rPr>
          <w:rFonts w:ascii="Book Antiqua" w:hAnsi="Book Antiqua"/>
          <w:i/>
          <w:color w:val="000000" w:themeColor="text1"/>
        </w:rPr>
        <w:t xml:space="preserve">Which interpretation best preserves its effectiveness? </w:t>
      </w:r>
    </w:p>
    <w:p w14:paraId="7284752E" w14:textId="77777777" w:rsidR="006C2042" w:rsidRPr="00CC0E31" w:rsidRDefault="006C2042" w:rsidP="004835D9">
      <w:pPr>
        <w:pStyle w:val="ListParagraph"/>
        <w:numPr>
          <w:ilvl w:val="0"/>
          <w:numId w:val="15"/>
        </w:numPr>
        <w:spacing w:line="360" w:lineRule="auto"/>
        <w:ind w:left="2127" w:hanging="993"/>
        <w:rPr>
          <w:rFonts w:ascii="Book Antiqua" w:hAnsi="Book Antiqua"/>
          <w:i/>
          <w:color w:val="000000" w:themeColor="text1"/>
        </w:rPr>
      </w:pPr>
      <w:r w:rsidRPr="00CC0E31">
        <w:rPr>
          <w:rFonts w:ascii="Book Antiqua" w:hAnsi="Book Antiqua"/>
          <w:i/>
          <w:color w:val="000000" w:themeColor="text1"/>
        </w:rPr>
        <w:t>Which interpretation best achieves the objective?</w:t>
      </w:r>
    </w:p>
    <w:p w14:paraId="5E906D08" w14:textId="77777777" w:rsidR="006C2042" w:rsidRPr="00CC0E31" w:rsidRDefault="006C2042" w:rsidP="004835D9">
      <w:pPr>
        <w:pStyle w:val="ListParagraph"/>
        <w:numPr>
          <w:ilvl w:val="0"/>
          <w:numId w:val="15"/>
        </w:numPr>
        <w:spacing w:line="360" w:lineRule="auto"/>
        <w:ind w:left="2127" w:hanging="993"/>
        <w:rPr>
          <w:rFonts w:ascii="Book Antiqua" w:hAnsi="Book Antiqua"/>
          <w:i/>
          <w:color w:val="000000" w:themeColor="text1"/>
        </w:rPr>
      </w:pPr>
      <w:r w:rsidRPr="00CC0E31">
        <w:rPr>
          <w:rFonts w:ascii="Book Antiqua" w:hAnsi="Book Antiqua"/>
          <w:i/>
          <w:color w:val="000000" w:themeColor="text1"/>
        </w:rPr>
        <w:t xml:space="preserve">What are the consequences of the different interpretations? </w:t>
      </w:r>
    </w:p>
    <w:p w14:paraId="61651CCB" w14:textId="77777777" w:rsidR="0013362B" w:rsidRPr="00CC0E31" w:rsidRDefault="0013362B" w:rsidP="004835D9">
      <w:pPr>
        <w:pStyle w:val="ListParagraph"/>
        <w:spacing w:line="360" w:lineRule="auto"/>
        <w:ind w:left="1080"/>
        <w:jc w:val="both"/>
        <w:rPr>
          <w:rFonts w:ascii="Book Antiqua" w:hAnsi="Book Antiqua" w:cs="Courier New"/>
          <w:i/>
        </w:rPr>
      </w:pPr>
    </w:p>
    <w:p w14:paraId="4AA91651" w14:textId="148C7F54" w:rsidR="0013362B" w:rsidRPr="00CE2D57" w:rsidRDefault="00CC0E31" w:rsidP="007F203B">
      <w:pPr>
        <w:spacing w:line="360" w:lineRule="auto"/>
        <w:ind w:left="1134" w:hanging="1134"/>
        <w:jc w:val="both"/>
        <w:rPr>
          <w:rFonts w:ascii="Book Antiqua" w:hAnsi="Book Antiqua"/>
          <w:i/>
          <w:color w:val="000000" w:themeColor="text1"/>
        </w:rPr>
      </w:pPr>
      <w:r w:rsidRPr="00CE2D57">
        <w:rPr>
          <w:rFonts w:ascii="Book Antiqua" w:hAnsi="Book Antiqua" w:cs="Courier New"/>
          <w:i/>
        </w:rPr>
        <w:t>2</w:t>
      </w:r>
      <w:r w:rsidRPr="00CE2D57">
        <w:rPr>
          <w:rFonts w:ascii="Book Antiqua" w:hAnsi="Book Antiqua" w:cs="Courier New"/>
          <w:i/>
          <w:iCs/>
        </w:rPr>
        <w:t>.</w:t>
      </w:r>
      <w:r w:rsidRPr="00CE2D57">
        <w:rPr>
          <w:rFonts w:ascii="Book Antiqua" w:hAnsi="Book Antiqua" w:cs="Courier New"/>
          <w:i/>
          <w:iCs/>
        </w:rPr>
        <w:tab/>
      </w:r>
      <w:r w:rsidR="00CE2D57">
        <w:rPr>
          <w:rFonts w:ascii="Book Antiqua" w:hAnsi="Book Antiqua" w:cs="Courier New"/>
          <w:i/>
          <w:iCs/>
        </w:rPr>
        <w:tab/>
      </w:r>
      <w:r w:rsidRPr="00CE2D57">
        <w:rPr>
          <w:rFonts w:ascii="Book Antiqua" w:hAnsi="Book Antiqua" w:cs="Courier New"/>
          <w:i/>
          <w:iCs/>
        </w:rPr>
        <w:t>(</w:t>
      </w:r>
      <w:proofErr w:type="spellStart"/>
      <w:r w:rsidRPr="00CE2D57">
        <w:rPr>
          <w:rFonts w:ascii="Book Antiqua" w:hAnsi="Book Antiqua" w:cs="Courier New"/>
          <w:i/>
          <w:iCs/>
        </w:rPr>
        <w:t>i</w:t>
      </w:r>
      <w:proofErr w:type="spellEnd"/>
      <w:r w:rsidRPr="00CE2D57">
        <w:rPr>
          <w:rFonts w:ascii="Book Antiqua" w:hAnsi="Book Antiqua" w:cs="Courier New"/>
          <w:i/>
          <w:iCs/>
        </w:rPr>
        <w:t>)    T</w:t>
      </w:r>
      <w:r w:rsidR="0013362B" w:rsidRPr="00CE2D57">
        <w:rPr>
          <w:rFonts w:ascii="Book Antiqua" w:hAnsi="Book Antiqua" w:cs="Courier New"/>
          <w:i/>
          <w:iCs/>
        </w:rPr>
        <w:t>he phrase "family member</w:t>
      </w:r>
      <w:proofErr w:type="gramStart"/>
      <w:r w:rsidR="0013362B" w:rsidRPr="00CE2D57">
        <w:rPr>
          <w:rFonts w:ascii="Book Antiqua" w:hAnsi="Book Antiqua" w:cs="Courier New"/>
          <w:i/>
          <w:iCs/>
        </w:rPr>
        <w:t>…..</w:t>
      </w:r>
      <w:proofErr w:type="gramEnd"/>
      <w:r w:rsidR="0013362B" w:rsidRPr="00CE2D57">
        <w:rPr>
          <w:rFonts w:ascii="Book Antiqua" w:hAnsi="Book Antiqua" w:cs="Courier New"/>
          <w:i/>
          <w:iCs/>
        </w:rPr>
        <w:t>who has been allowed to reside as a beneficiary of international protection" in Article 9 of Dublin III is to be interpreted as including a  person who has, since the grant of international protection, acquired the nationality of the an EU member state; and,</w:t>
      </w:r>
    </w:p>
    <w:p w14:paraId="53CA0A7A" w14:textId="6F5D1A29" w:rsidR="0013362B" w:rsidRPr="00CE2D57" w:rsidRDefault="0013362B" w:rsidP="007F203B">
      <w:pPr>
        <w:spacing w:line="360" w:lineRule="auto"/>
        <w:ind w:left="1134"/>
        <w:jc w:val="both"/>
        <w:rPr>
          <w:rFonts w:ascii="Book Antiqua" w:hAnsi="Book Antiqua"/>
          <w:i/>
          <w:color w:val="000000" w:themeColor="text1"/>
        </w:rPr>
      </w:pPr>
      <w:r w:rsidRPr="00CE2D57">
        <w:rPr>
          <w:rFonts w:ascii="Book Antiqua" w:hAnsi="Book Antiqua"/>
          <w:i/>
          <w:color w:val="000000" w:themeColor="text1"/>
        </w:rPr>
        <w:t xml:space="preserve">(ii) </w:t>
      </w:r>
      <w:r w:rsidR="00CC0E31" w:rsidRPr="00CE2D57">
        <w:rPr>
          <w:rFonts w:ascii="Book Antiqua" w:hAnsi="Book Antiqua"/>
          <w:i/>
          <w:color w:val="000000" w:themeColor="text1"/>
        </w:rPr>
        <w:tab/>
        <w:t>T</w:t>
      </w:r>
      <w:r w:rsidRPr="00CE2D57">
        <w:rPr>
          <w:rFonts w:ascii="Book Antiqua" w:hAnsi="Book Antiqua"/>
          <w:i/>
          <w:color w:val="000000" w:themeColor="text1"/>
        </w:rPr>
        <w:t>he</w:t>
      </w:r>
      <w:r w:rsidR="00CC0E31" w:rsidRPr="00CE2D57">
        <w:rPr>
          <w:rFonts w:ascii="Book Antiqua" w:hAnsi="Book Antiqua"/>
          <w:i/>
          <w:color w:val="000000" w:themeColor="text1"/>
        </w:rPr>
        <w:t xml:space="preserve"> phrase</w:t>
      </w:r>
      <w:r w:rsidRPr="00CE2D57">
        <w:rPr>
          <w:rFonts w:ascii="Book Antiqua" w:hAnsi="Book Antiqua"/>
          <w:i/>
          <w:color w:val="000000" w:themeColor="text1"/>
        </w:rPr>
        <w:t xml:space="preserve"> “persons concerned” in Article 9 of Dublin III does not include the family member or members previously granted international protection in the requested state.</w:t>
      </w:r>
    </w:p>
    <w:bookmarkEnd w:id="2"/>
    <w:p w14:paraId="03263B16" w14:textId="77777777" w:rsidR="004835D9" w:rsidRDefault="004835D9" w:rsidP="00066E95">
      <w:pPr>
        <w:spacing w:after="240" w:line="360" w:lineRule="auto"/>
        <w:ind w:left="567" w:hanging="567"/>
        <w:jc w:val="both"/>
        <w:rPr>
          <w:rFonts w:ascii="Book Antiqua" w:hAnsi="Book Antiqua" w:cs="Courier New"/>
        </w:rPr>
      </w:pPr>
    </w:p>
    <w:p w14:paraId="5C3358BB" w14:textId="28A5FEA1" w:rsidR="001731A7" w:rsidRPr="0012239F" w:rsidRDefault="00CC0E31" w:rsidP="00066E95">
      <w:pPr>
        <w:spacing w:after="240" w:line="360" w:lineRule="auto"/>
        <w:ind w:left="567" w:hanging="567"/>
        <w:jc w:val="both"/>
        <w:rPr>
          <w:rFonts w:ascii="Book Antiqua" w:hAnsi="Book Antiqua" w:cs="Courier New"/>
        </w:rPr>
      </w:pPr>
      <w:r>
        <w:rPr>
          <w:rFonts w:ascii="Book Antiqua" w:hAnsi="Book Antiqua" w:cs="Courier New"/>
        </w:rPr>
        <w:t>J</w:t>
      </w:r>
      <w:r w:rsidR="00E7383D" w:rsidRPr="0012239F">
        <w:rPr>
          <w:rFonts w:ascii="Book Antiqua" w:hAnsi="Book Antiqua" w:cs="Courier New"/>
        </w:rPr>
        <w:t>UDGE</w:t>
      </w:r>
      <w:r w:rsidR="002C56BE">
        <w:rPr>
          <w:rFonts w:ascii="Book Antiqua" w:hAnsi="Book Antiqua" w:cs="Courier New"/>
        </w:rPr>
        <w:t xml:space="preserve"> RINTOUL</w:t>
      </w:r>
      <w:r w:rsidR="008B0002" w:rsidRPr="0012239F">
        <w:rPr>
          <w:rFonts w:ascii="Book Antiqua" w:hAnsi="Book Antiqua" w:cs="Courier New"/>
        </w:rPr>
        <w:t>:</w:t>
      </w:r>
    </w:p>
    <w:p w14:paraId="38DFEE07" w14:textId="77777777" w:rsidR="007C628B" w:rsidRPr="0012239F" w:rsidRDefault="007C628B" w:rsidP="002C56BE">
      <w:pPr>
        <w:numPr>
          <w:ilvl w:val="0"/>
          <w:numId w:val="17"/>
        </w:numPr>
        <w:tabs>
          <w:tab w:val="clear" w:pos="930"/>
          <w:tab w:val="num" w:pos="567"/>
        </w:tabs>
        <w:spacing w:before="240" w:after="240" w:line="360" w:lineRule="auto"/>
        <w:ind w:left="567" w:hanging="567"/>
        <w:jc w:val="both"/>
        <w:rPr>
          <w:rFonts w:ascii="Book Antiqua" w:hAnsi="Book Antiqua" w:cs="Courier New"/>
        </w:rPr>
      </w:pPr>
      <w:r w:rsidRPr="0012239F">
        <w:rPr>
          <w:rFonts w:ascii="Book Antiqua" w:hAnsi="Book Antiqua" w:cs="Courier New"/>
        </w:rPr>
        <w:t>The applicants challenge with permission a decision of the respondent mad</w:t>
      </w:r>
      <w:r w:rsidR="00925777" w:rsidRPr="0012239F">
        <w:rPr>
          <w:rFonts w:ascii="Book Antiqua" w:hAnsi="Book Antiqua" w:cs="Courier New"/>
        </w:rPr>
        <w:t>e on 19 April 2018 to refuse a Take Charge R</w:t>
      </w:r>
      <w:r w:rsidRPr="0012239F">
        <w:rPr>
          <w:rFonts w:ascii="Book Antiqua" w:hAnsi="Book Antiqua" w:cs="Courier New"/>
        </w:rPr>
        <w:t xml:space="preserve">equest (“TCR”) made by the Greek government on 13 March 2018.  That application was expressed to be pursuant to Article </w:t>
      </w:r>
      <w:r w:rsidR="006236C7" w:rsidRPr="0012239F">
        <w:rPr>
          <w:rFonts w:ascii="Book Antiqua" w:hAnsi="Book Antiqua" w:cs="Courier New"/>
        </w:rPr>
        <w:t>9</w:t>
      </w:r>
      <w:r w:rsidRPr="0012239F">
        <w:rPr>
          <w:rFonts w:ascii="Book Antiqua" w:hAnsi="Book Antiqua" w:cs="Courier New"/>
        </w:rPr>
        <w:t xml:space="preserve"> of Regulation 604/2013 (“Dublin III Regulation”).</w:t>
      </w:r>
    </w:p>
    <w:p w14:paraId="01BB5232" w14:textId="77777777" w:rsidR="007C628B" w:rsidRPr="0012239F" w:rsidRDefault="007C628B"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 xml:space="preserve">The background facts to this case are not substantially in dispute.  </w:t>
      </w:r>
    </w:p>
    <w:p w14:paraId="0A4CFEDE" w14:textId="451CEF58" w:rsidR="002762FE" w:rsidRPr="0012239F" w:rsidRDefault="00544DCD"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A1 is married</w:t>
      </w:r>
      <w:r w:rsidR="007C628B" w:rsidRPr="0012239F">
        <w:rPr>
          <w:rFonts w:ascii="Book Antiqua" w:hAnsi="Book Antiqua" w:cs="Courier New"/>
        </w:rPr>
        <w:t xml:space="preserve"> to A5; A2</w:t>
      </w:r>
      <w:r w:rsidR="006A7B48" w:rsidRPr="0012239F">
        <w:rPr>
          <w:rFonts w:ascii="Book Antiqua" w:hAnsi="Book Antiqua" w:cs="Courier New"/>
        </w:rPr>
        <w:t xml:space="preserve"> to</w:t>
      </w:r>
      <w:r w:rsidR="00AF007F" w:rsidRPr="0012239F">
        <w:rPr>
          <w:rFonts w:ascii="Book Antiqua" w:hAnsi="Book Antiqua" w:cs="Courier New"/>
        </w:rPr>
        <w:t xml:space="preserve"> </w:t>
      </w:r>
      <w:r w:rsidR="0012239F">
        <w:rPr>
          <w:rFonts w:ascii="Book Antiqua" w:hAnsi="Book Antiqua" w:cs="Courier New"/>
        </w:rPr>
        <w:t xml:space="preserve">A4 are their </w:t>
      </w:r>
      <w:r w:rsidR="007C628B" w:rsidRPr="0012239F">
        <w:rPr>
          <w:rFonts w:ascii="Book Antiqua" w:hAnsi="Book Antiqua" w:cs="Courier New"/>
        </w:rPr>
        <w:t xml:space="preserve">minor children.  A5 was born in Kuwait in 1976 but </w:t>
      </w:r>
      <w:r w:rsidR="00891ABC">
        <w:rPr>
          <w:rFonts w:ascii="Book Antiqua" w:hAnsi="Book Antiqua" w:cs="Courier New"/>
        </w:rPr>
        <w:t xml:space="preserve">he </w:t>
      </w:r>
      <w:r w:rsidR="007C628B" w:rsidRPr="0012239F">
        <w:rPr>
          <w:rFonts w:ascii="Book Antiqua" w:hAnsi="Book Antiqua" w:cs="Courier New"/>
        </w:rPr>
        <w:t>was not recognised as a national as he</w:t>
      </w:r>
      <w:r w:rsidR="00301114">
        <w:rPr>
          <w:rFonts w:ascii="Book Antiqua" w:hAnsi="Book Antiqua" w:cs="Courier New"/>
        </w:rPr>
        <w:t xml:space="preserve"> </w:t>
      </w:r>
      <w:r w:rsidR="005C65F2">
        <w:rPr>
          <w:rFonts w:ascii="Book Antiqua" w:hAnsi="Book Antiqua" w:cs="Courier New"/>
        </w:rPr>
        <w:t>is</w:t>
      </w:r>
      <w:r w:rsidR="007C628B" w:rsidRPr="0012239F">
        <w:rPr>
          <w:rFonts w:ascii="Book Antiqua" w:hAnsi="Book Antiqua" w:cs="Courier New"/>
        </w:rPr>
        <w:t xml:space="preserve"> an undocumented Bidoon.  He arrived in the United Kingdom in June 2005 and was subsequently recognised as a refugee and </w:t>
      </w:r>
      <w:r w:rsidR="007C628B" w:rsidRPr="0012239F">
        <w:rPr>
          <w:rFonts w:ascii="Book Antiqua" w:hAnsi="Book Antiqua" w:cs="Courier New"/>
        </w:rPr>
        <w:lastRenderedPageBreak/>
        <w:t xml:space="preserve">granted status on that basis.  He was granted indefinite leave to remain in 2011 and in 2012 he was naturalised as a British citizen.  Having acquired British </w:t>
      </w:r>
      <w:r w:rsidR="00AC080E" w:rsidRPr="0012239F">
        <w:rPr>
          <w:rFonts w:ascii="Book Antiqua" w:hAnsi="Book Antiqua" w:cs="Courier New"/>
        </w:rPr>
        <w:t>citizenship,</w:t>
      </w:r>
      <w:r w:rsidR="007C628B" w:rsidRPr="0012239F">
        <w:rPr>
          <w:rFonts w:ascii="Book Antiqua" w:hAnsi="Book Antiqua" w:cs="Courier New"/>
        </w:rPr>
        <w:t xml:space="preserve"> he returned to Kuwait where </w:t>
      </w:r>
      <w:r w:rsidR="00AC080E">
        <w:rPr>
          <w:rFonts w:ascii="Book Antiqua" w:hAnsi="Book Antiqua" w:cs="Courier New"/>
        </w:rPr>
        <w:t xml:space="preserve">his family </w:t>
      </w:r>
      <w:r w:rsidR="007C628B" w:rsidRPr="0012239F">
        <w:rPr>
          <w:rFonts w:ascii="Book Antiqua" w:hAnsi="Book Antiqua" w:cs="Courier New"/>
        </w:rPr>
        <w:t>intr</w:t>
      </w:r>
      <w:r w:rsidR="0012239F">
        <w:rPr>
          <w:rFonts w:ascii="Book Antiqua" w:hAnsi="Book Antiqua" w:cs="Courier New"/>
        </w:rPr>
        <w:t xml:space="preserve">oduced </w:t>
      </w:r>
      <w:r w:rsidR="00AC080E">
        <w:rPr>
          <w:rFonts w:ascii="Book Antiqua" w:hAnsi="Book Antiqua" w:cs="Courier New"/>
        </w:rPr>
        <w:t xml:space="preserve">him </w:t>
      </w:r>
      <w:r w:rsidR="0012239F">
        <w:rPr>
          <w:rFonts w:ascii="Book Antiqua" w:hAnsi="Book Antiqua" w:cs="Courier New"/>
        </w:rPr>
        <w:t>to A1</w:t>
      </w:r>
      <w:r w:rsidR="007C628B" w:rsidRPr="0012239F">
        <w:rPr>
          <w:rFonts w:ascii="Book Antiqua" w:hAnsi="Book Antiqua" w:cs="Courier New"/>
        </w:rPr>
        <w:t>.  They were married in 2013 and A1 went to live with A5’s paren</w:t>
      </w:r>
      <w:r w:rsidR="0012239F">
        <w:rPr>
          <w:rFonts w:ascii="Book Antiqua" w:hAnsi="Book Antiqua" w:cs="Courier New"/>
        </w:rPr>
        <w:t xml:space="preserve">ts in Kuwait.  He returned to the United Kingdom </w:t>
      </w:r>
      <w:r w:rsidR="002762FE" w:rsidRPr="0012239F">
        <w:rPr>
          <w:rFonts w:ascii="Book Antiqua" w:hAnsi="Book Antiqua" w:cs="Courier New"/>
        </w:rPr>
        <w:t>after two months.</w:t>
      </w:r>
    </w:p>
    <w:p w14:paraId="46DA2EB1" w14:textId="77777777" w:rsidR="002762FE" w:rsidRPr="0012239F" w:rsidRDefault="002762FE"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 xml:space="preserve">A5 continued to return to Kuwait and his wife on several occasions and their three children, A2, A3 and A4 were born in 2013, 2014 and 2016.  It is the applicant’s case that the children are British citizens as they were born after A5 became a British citizen.  </w:t>
      </w:r>
    </w:p>
    <w:p w14:paraId="3B3E14EF" w14:textId="77777777" w:rsidR="00553A11" w:rsidRPr="0012239F" w:rsidRDefault="002762FE"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 xml:space="preserve">Towards the end of 2017 A1 and the children fled Kuwait and travelled to Turkey </w:t>
      </w:r>
      <w:r w:rsidR="0012239F">
        <w:rPr>
          <w:rFonts w:ascii="Book Antiqua" w:hAnsi="Book Antiqua" w:cs="Courier New"/>
        </w:rPr>
        <w:t xml:space="preserve">overland and then on to Greece </w:t>
      </w:r>
      <w:r w:rsidRPr="0012239F">
        <w:rPr>
          <w:rFonts w:ascii="Book Antiqua" w:hAnsi="Book Antiqua" w:cs="Courier New"/>
        </w:rPr>
        <w:t>by boat.</w:t>
      </w:r>
      <w:r w:rsidR="00553A11" w:rsidRPr="0012239F">
        <w:rPr>
          <w:rFonts w:ascii="Book Antiqua" w:hAnsi="Book Antiqua" w:cs="Courier New"/>
        </w:rPr>
        <w:t xml:space="preserve"> During the journey they were rescued by the Greek coastguard and the applicants claimed asylum in Greece on 29 December 2017.  A1 supplied the Greek authorities with evidence of A5’s status in the United Kingdom </w:t>
      </w:r>
      <w:r w:rsidR="0012239F">
        <w:rPr>
          <w:rFonts w:ascii="Book Antiqua" w:hAnsi="Book Antiqua" w:cs="Courier New"/>
        </w:rPr>
        <w:t xml:space="preserve">who </w:t>
      </w:r>
      <w:r w:rsidR="00553A11" w:rsidRPr="0012239F">
        <w:rPr>
          <w:rFonts w:ascii="Book Antiqua" w:hAnsi="Book Antiqua" w:cs="Courier New"/>
        </w:rPr>
        <w:t xml:space="preserve">then made a </w:t>
      </w:r>
      <w:r w:rsidR="0012239F">
        <w:rPr>
          <w:rFonts w:ascii="Book Antiqua" w:hAnsi="Book Antiqua" w:cs="Courier New"/>
        </w:rPr>
        <w:t>TCR</w:t>
      </w:r>
      <w:r w:rsidR="00553A11" w:rsidRPr="0012239F">
        <w:rPr>
          <w:rFonts w:ascii="Book Antiqua" w:hAnsi="Book Antiqua" w:cs="Courier New"/>
        </w:rPr>
        <w:t xml:space="preserve"> </w:t>
      </w:r>
      <w:r w:rsidR="0012239F">
        <w:rPr>
          <w:rFonts w:ascii="Book Antiqua" w:hAnsi="Book Antiqua" w:cs="Courier New"/>
        </w:rPr>
        <w:t xml:space="preserve">to the United Kingdom </w:t>
      </w:r>
      <w:r w:rsidR="00553A11" w:rsidRPr="0012239F">
        <w:rPr>
          <w:rFonts w:ascii="Book Antiqua" w:hAnsi="Book Antiqua" w:cs="Courier New"/>
        </w:rPr>
        <w:t xml:space="preserve">pursuant to </w:t>
      </w:r>
      <w:r w:rsidR="0012239F">
        <w:rPr>
          <w:rFonts w:ascii="Book Antiqua" w:hAnsi="Book Antiqua" w:cs="Courier New"/>
        </w:rPr>
        <w:t>Article 9 of Dublin III.</w:t>
      </w:r>
    </w:p>
    <w:p w14:paraId="57B5DACE" w14:textId="77777777" w:rsidR="008E7E89" w:rsidRPr="0012239F" w:rsidRDefault="008E7E89"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On 19 April 2018</w:t>
      </w:r>
      <w:r w:rsidR="0012239F">
        <w:rPr>
          <w:rFonts w:ascii="Book Antiqua" w:hAnsi="Book Antiqua" w:cs="Courier New"/>
        </w:rPr>
        <w:t xml:space="preserve"> the United Kingdom refused</w:t>
      </w:r>
      <w:r w:rsidRPr="0012239F">
        <w:rPr>
          <w:rFonts w:ascii="Book Antiqua" w:hAnsi="Book Antiqua" w:cs="Courier New"/>
        </w:rPr>
        <w:t xml:space="preserve"> the TCR although that decision was not communicated to the applicants until some months later.  The reason given for refusal was as </w:t>
      </w:r>
      <w:proofErr w:type="gramStart"/>
      <w:r w:rsidRPr="0012239F">
        <w:rPr>
          <w:rFonts w:ascii="Book Antiqua" w:hAnsi="Book Antiqua" w:cs="Courier New"/>
        </w:rPr>
        <w:t>follows:-</w:t>
      </w:r>
      <w:proofErr w:type="gramEnd"/>
    </w:p>
    <w:p w14:paraId="769803B3" w14:textId="77777777" w:rsidR="00DD38A2" w:rsidRPr="005C65F2" w:rsidRDefault="008E7E89" w:rsidP="0036710D">
      <w:pPr>
        <w:spacing w:before="240" w:after="240" w:line="360" w:lineRule="auto"/>
        <w:ind w:left="1134"/>
        <w:jc w:val="both"/>
        <w:rPr>
          <w:rFonts w:ascii="Book Antiqua" w:hAnsi="Book Antiqua" w:cs="Courier New"/>
          <w:sz w:val="22"/>
          <w:szCs w:val="22"/>
        </w:rPr>
      </w:pPr>
      <w:r w:rsidRPr="005C65F2">
        <w:rPr>
          <w:rFonts w:ascii="Book Antiqua" w:hAnsi="Book Antiqua" w:cs="Courier New"/>
          <w:sz w:val="22"/>
          <w:szCs w:val="22"/>
        </w:rPr>
        <w:t xml:space="preserve">You have stated that the husband of the above named-A5-lives in the United Kingdom and has status.  However, according to UK immigration records, (A5) became a British citizen on 26 July 2012.  As such they are </w:t>
      </w:r>
      <w:r w:rsidR="0012239F" w:rsidRPr="005C65F2">
        <w:rPr>
          <w:rFonts w:ascii="Book Antiqua" w:hAnsi="Book Antiqua" w:cs="Courier New"/>
          <w:sz w:val="22"/>
          <w:szCs w:val="22"/>
        </w:rPr>
        <w:t xml:space="preserve">not </w:t>
      </w:r>
      <w:r w:rsidRPr="005C65F2">
        <w:rPr>
          <w:rFonts w:ascii="Book Antiqua" w:hAnsi="Book Antiqua" w:cs="Courier New"/>
          <w:sz w:val="22"/>
          <w:szCs w:val="22"/>
        </w:rPr>
        <w:t xml:space="preserve">the recipients of </w:t>
      </w:r>
      <w:r w:rsidR="00DD38A2" w:rsidRPr="005C65F2">
        <w:rPr>
          <w:rFonts w:ascii="Book Antiqua" w:hAnsi="Book Antiqua" w:cs="Courier New"/>
          <w:sz w:val="22"/>
          <w:szCs w:val="22"/>
        </w:rPr>
        <w:t xml:space="preserve">or requesting international protection.  They are therefore outside the Dublin III Regulation and thus Articles 9 and 10 are not engaged.  </w:t>
      </w:r>
    </w:p>
    <w:p w14:paraId="40D2D553" w14:textId="77777777" w:rsidR="008E7E89" w:rsidRPr="005C65F2" w:rsidRDefault="00DD38A2" w:rsidP="0036710D">
      <w:pPr>
        <w:spacing w:before="240" w:after="240" w:line="360" w:lineRule="auto"/>
        <w:ind w:left="1134"/>
        <w:jc w:val="both"/>
        <w:rPr>
          <w:rFonts w:ascii="Book Antiqua" w:hAnsi="Book Antiqua" w:cs="Courier New"/>
          <w:sz w:val="22"/>
          <w:szCs w:val="22"/>
        </w:rPr>
      </w:pPr>
      <w:proofErr w:type="gramStart"/>
      <w:r w:rsidRPr="005C65F2">
        <w:rPr>
          <w:rFonts w:ascii="Book Antiqua" w:hAnsi="Book Antiqua" w:cs="Courier New"/>
          <w:sz w:val="22"/>
          <w:szCs w:val="22"/>
        </w:rPr>
        <w:t>Consequently</w:t>
      </w:r>
      <w:proofErr w:type="gramEnd"/>
      <w:r w:rsidRPr="005C65F2">
        <w:rPr>
          <w:rFonts w:ascii="Book Antiqua" w:hAnsi="Book Antiqua" w:cs="Courier New"/>
          <w:sz w:val="22"/>
          <w:szCs w:val="22"/>
        </w:rPr>
        <w:t xml:space="preserve"> I regret to inform you that your request to take charge of the above named is respectfully denied.</w:t>
      </w:r>
      <w:r w:rsidR="008E7E89" w:rsidRPr="005C65F2">
        <w:rPr>
          <w:rFonts w:ascii="Book Antiqua" w:hAnsi="Book Antiqua" w:cs="Courier New"/>
          <w:sz w:val="22"/>
          <w:szCs w:val="22"/>
        </w:rPr>
        <w:t xml:space="preserve"> </w:t>
      </w:r>
    </w:p>
    <w:p w14:paraId="734EAF2F" w14:textId="77777777" w:rsidR="00AC080E" w:rsidRDefault="00DD38A2"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 xml:space="preserve">It </w:t>
      </w:r>
      <w:r w:rsidR="0012239F">
        <w:rPr>
          <w:rFonts w:ascii="Book Antiqua" w:hAnsi="Book Antiqua" w:cs="Courier New"/>
        </w:rPr>
        <w:t>is not</w:t>
      </w:r>
      <w:r w:rsidRPr="0012239F">
        <w:rPr>
          <w:rFonts w:ascii="Book Antiqua" w:hAnsi="Book Antiqua" w:cs="Courier New"/>
        </w:rPr>
        <w:t xml:space="preserve"> </w:t>
      </w:r>
      <w:r w:rsidR="00667D31" w:rsidRPr="0012239F">
        <w:rPr>
          <w:rFonts w:ascii="Book Antiqua" w:hAnsi="Book Antiqua" w:cs="Courier New"/>
        </w:rPr>
        <w:t>contended that the Greek</w:t>
      </w:r>
      <w:r w:rsidR="00831063" w:rsidRPr="0012239F">
        <w:rPr>
          <w:rFonts w:ascii="Book Antiqua" w:hAnsi="Book Antiqua" w:cs="Courier New"/>
        </w:rPr>
        <w:t xml:space="preserve"> authori</w:t>
      </w:r>
      <w:r w:rsidRPr="0012239F">
        <w:rPr>
          <w:rFonts w:ascii="Book Antiqua" w:hAnsi="Book Antiqua" w:cs="Courier New"/>
        </w:rPr>
        <w:t>ties renewed their request</w:t>
      </w:r>
      <w:r w:rsidRPr="0012239F">
        <w:rPr>
          <w:rFonts w:ascii="Book Antiqua" w:hAnsi="Book Antiqua" w:cs="Courier New"/>
          <w:i/>
        </w:rPr>
        <w:t>.</w:t>
      </w:r>
      <w:r w:rsidRPr="0012239F">
        <w:rPr>
          <w:rFonts w:ascii="Book Antiqua" w:hAnsi="Book Antiqua" w:cs="Courier New"/>
        </w:rPr>
        <w:t xml:space="preserve">  </w:t>
      </w:r>
    </w:p>
    <w:p w14:paraId="2CA39CB4" w14:textId="2E23DF92" w:rsidR="00631F1A" w:rsidRPr="00BD5822" w:rsidRDefault="00DD38A2"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The applicants obtained the assistance of the Migrant Law Project who wrote a pre-action protocol letter</w:t>
      </w:r>
      <w:r w:rsidR="00AC5B01" w:rsidRPr="0012239F">
        <w:rPr>
          <w:rFonts w:ascii="Book Antiqua" w:hAnsi="Book Antiqua" w:cs="Courier New"/>
        </w:rPr>
        <w:t xml:space="preserve"> to the r</w:t>
      </w:r>
      <w:r w:rsidRPr="0012239F">
        <w:rPr>
          <w:rFonts w:ascii="Book Antiqua" w:hAnsi="Book Antiqua" w:cs="Courier New"/>
        </w:rPr>
        <w:t xml:space="preserve">espondent submitting that the applicants fell within Article 9 Dublin III as confirmed by </w:t>
      </w:r>
      <w:r w:rsidRPr="003A48B0">
        <w:rPr>
          <w:rFonts w:ascii="Book Antiqua" w:hAnsi="Book Antiqua" w:cs="Courier New"/>
          <w:u w:val="single"/>
        </w:rPr>
        <w:t>HA and Others</w:t>
      </w:r>
      <w:r w:rsidRPr="0012239F">
        <w:rPr>
          <w:rFonts w:ascii="Book Antiqua" w:hAnsi="Book Antiqua" w:cs="Courier New"/>
          <w:b/>
        </w:rPr>
        <w:t xml:space="preserve"> [</w:t>
      </w:r>
      <w:r w:rsidRPr="0012239F">
        <w:rPr>
          <w:rFonts w:ascii="Book Antiqua" w:hAnsi="Book Antiqua" w:cs="Courier New"/>
        </w:rPr>
        <w:t>2018] UKUT 00297 or, in the alternative, they should have been accepted for transfer pursuant to Arti</w:t>
      </w:r>
      <w:r w:rsidR="00FE31CD" w:rsidRPr="0012239F">
        <w:rPr>
          <w:rFonts w:ascii="Book Antiqua" w:hAnsi="Book Antiqua" w:cs="Courier New"/>
        </w:rPr>
        <w:t xml:space="preserve">cle </w:t>
      </w:r>
      <w:r w:rsidR="002D32D8">
        <w:rPr>
          <w:rFonts w:ascii="Book Antiqua" w:hAnsi="Book Antiqua" w:cs="Courier New"/>
        </w:rPr>
        <w:t>17 (2)</w:t>
      </w:r>
      <w:r w:rsidR="00FE31CD" w:rsidRPr="0012239F">
        <w:rPr>
          <w:rFonts w:ascii="Book Antiqua" w:hAnsi="Book Antiqua" w:cs="Courier New"/>
        </w:rPr>
        <w:t xml:space="preserve"> of Dublin III</w:t>
      </w:r>
      <w:r w:rsidRPr="0012239F">
        <w:rPr>
          <w:rFonts w:ascii="Book Antiqua" w:hAnsi="Book Antiqua" w:cs="Courier New"/>
        </w:rPr>
        <w:t xml:space="preserve">, it being argued that the rejection of the TCR was in breach of the children’s </w:t>
      </w:r>
      <w:r w:rsidRPr="0012239F">
        <w:rPr>
          <w:rFonts w:ascii="Book Antiqua" w:hAnsi="Book Antiqua" w:cs="Courier New"/>
        </w:rPr>
        <w:lastRenderedPageBreak/>
        <w:t>best interest</w:t>
      </w:r>
      <w:r w:rsidR="0012239F">
        <w:rPr>
          <w:rFonts w:ascii="Book Antiqua" w:hAnsi="Book Antiqua" w:cs="Courier New"/>
        </w:rPr>
        <w:t>s</w:t>
      </w:r>
      <w:r w:rsidRPr="0012239F">
        <w:rPr>
          <w:rFonts w:ascii="Book Antiqua" w:hAnsi="Book Antiqua" w:cs="Courier New"/>
        </w:rPr>
        <w:t xml:space="preserve">, Articles </w:t>
      </w:r>
      <w:r w:rsidR="00422F22" w:rsidRPr="0012239F">
        <w:rPr>
          <w:rFonts w:ascii="Book Antiqua" w:hAnsi="Book Antiqua" w:cs="Courier New"/>
        </w:rPr>
        <w:t>8 ECHR and</w:t>
      </w:r>
      <w:r w:rsidR="0012239F">
        <w:rPr>
          <w:rFonts w:ascii="Book Antiqua" w:hAnsi="Book Antiqua" w:cs="Courier New"/>
        </w:rPr>
        <w:t>/or</w:t>
      </w:r>
      <w:r w:rsidR="00422F22" w:rsidRPr="0012239F">
        <w:rPr>
          <w:rFonts w:ascii="Book Antiqua" w:hAnsi="Book Antiqua" w:cs="Courier New"/>
        </w:rPr>
        <w:t xml:space="preserve"> Articles 7 and 24 of the</w:t>
      </w:r>
      <w:r w:rsidRPr="0012239F">
        <w:rPr>
          <w:rFonts w:ascii="Book Antiqua" w:hAnsi="Book Antiqua" w:cs="Courier New"/>
        </w:rPr>
        <w:t xml:space="preserve"> </w:t>
      </w:r>
      <w:r w:rsidR="00422F22" w:rsidRPr="0012239F">
        <w:rPr>
          <w:rFonts w:ascii="Book Antiqua" w:hAnsi="Book Antiqua" w:cs="Courier New"/>
        </w:rPr>
        <w:t>C</w:t>
      </w:r>
      <w:r w:rsidRPr="0012239F">
        <w:rPr>
          <w:rFonts w:ascii="Book Antiqua" w:hAnsi="Book Antiqua" w:cs="Courier New"/>
        </w:rPr>
        <w:t xml:space="preserve">harter of </w:t>
      </w:r>
      <w:r w:rsidR="00FE0B85" w:rsidRPr="0012239F">
        <w:rPr>
          <w:rFonts w:ascii="Book Antiqua" w:hAnsi="Book Antiqua" w:cs="Courier New"/>
        </w:rPr>
        <w:t>Fundamental Rights and F</w:t>
      </w:r>
      <w:r w:rsidRPr="0012239F">
        <w:rPr>
          <w:rFonts w:ascii="Book Antiqua" w:hAnsi="Book Antiqua" w:cs="Courier New"/>
        </w:rPr>
        <w:t>reedoms (“CFR”)</w:t>
      </w:r>
      <w:r w:rsidR="00BD5822">
        <w:rPr>
          <w:rFonts w:ascii="Book Antiqua" w:hAnsi="Book Antiqua" w:cs="Courier New"/>
        </w:rPr>
        <w:t xml:space="preserve"> on the basis that, at the time, </w:t>
      </w:r>
      <w:r w:rsidR="00BD5822" w:rsidRPr="0012239F">
        <w:rPr>
          <w:rFonts w:ascii="Book Antiqua" w:hAnsi="Book Antiqua" w:cs="Courier New"/>
        </w:rPr>
        <w:t>A1 to A4 were housed in</w:t>
      </w:r>
      <w:r w:rsidR="00BD5822">
        <w:rPr>
          <w:rFonts w:ascii="Book Antiqua" w:hAnsi="Book Antiqua" w:cs="Courier New"/>
        </w:rPr>
        <w:t xml:space="preserve"> wholly unsuitable conditions as they lived in </w:t>
      </w:r>
      <w:r w:rsidR="00BD5822" w:rsidRPr="0012239F">
        <w:rPr>
          <w:rFonts w:ascii="Book Antiqua" w:hAnsi="Book Antiqua" w:cs="Courier New"/>
        </w:rPr>
        <w:t xml:space="preserve">a shipping container, sharing toilet and cooking facilities.  </w:t>
      </w:r>
      <w:r w:rsidR="00BD5822">
        <w:rPr>
          <w:rFonts w:ascii="Book Antiqua" w:hAnsi="Book Antiqua" w:cs="Courier New"/>
        </w:rPr>
        <w:t xml:space="preserve">Further, </w:t>
      </w:r>
      <w:r w:rsidR="00BD5822" w:rsidRPr="0012239F">
        <w:rPr>
          <w:rFonts w:ascii="Book Antiqua" w:hAnsi="Book Antiqua" w:cs="Courier New"/>
        </w:rPr>
        <w:t xml:space="preserve">A1 has significant health problems and the children have developed worrying developmental signs as well as </w:t>
      </w:r>
      <w:r w:rsidR="00BD5822">
        <w:rPr>
          <w:rFonts w:ascii="Book Antiqua" w:hAnsi="Book Antiqua" w:cs="Courier New"/>
        </w:rPr>
        <w:t xml:space="preserve">one </w:t>
      </w:r>
      <w:r w:rsidR="00BD5822" w:rsidRPr="0012239F">
        <w:rPr>
          <w:rFonts w:ascii="Book Antiqua" w:hAnsi="Book Antiqua" w:cs="Courier New"/>
        </w:rPr>
        <w:t xml:space="preserve">suffering a medical condition indicative of a significant spinal defect requiring correction.  It was also stated that A5 has poor physical and mental health after </w:t>
      </w:r>
      <w:r w:rsidR="00AC080E">
        <w:rPr>
          <w:rFonts w:ascii="Book Antiqua" w:hAnsi="Book Antiqua" w:cs="Courier New"/>
        </w:rPr>
        <w:t>his experience</w:t>
      </w:r>
      <w:r w:rsidR="00BD5822" w:rsidRPr="0012239F">
        <w:rPr>
          <w:rFonts w:ascii="Book Antiqua" w:hAnsi="Book Antiqua" w:cs="Courier New"/>
        </w:rPr>
        <w:t xml:space="preserve"> of torture in Kuwait and as a result of separation from his family.  </w:t>
      </w:r>
    </w:p>
    <w:p w14:paraId="1BBF7E55" w14:textId="77777777" w:rsidR="00631F1A" w:rsidRPr="0012239F" w:rsidRDefault="00631F1A"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The respondent rejected that submitting</w:t>
      </w:r>
      <w:r w:rsidR="0012239F">
        <w:rPr>
          <w:rFonts w:ascii="Book Antiqua" w:hAnsi="Book Antiqua" w:cs="Courier New"/>
        </w:rPr>
        <w:t xml:space="preserve"> </w:t>
      </w:r>
      <w:proofErr w:type="gramStart"/>
      <w:r w:rsidR="0012239F">
        <w:rPr>
          <w:rFonts w:ascii="Book Antiqua" w:hAnsi="Book Antiqua" w:cs="Courier New"/>
        </w:rPr>
        <w:t xml:space="preserve">that </w:t>
      </w:r>
      <w:r w:rsidRPr="0012239F">
        <w:rPr>
          <w:rFonts w:ascii="Book Antiqua" w:hAnsi="Book Antiqua" w:cs="Courier New"/>
        </w:rPr>
        <w:t>:</w:t>
      </w:r>
      <w:proofErr w:type="gramEnd"/>
      <w:r w:rsidRPr="0012239F">
        <w:rPr>
          <w:rFonts w:ascii="Book Antiqua" w:hAnsi="Book Antiqua" w:cs="Courier New"/>
        </w:rPr>
        <w:t>-</w:t>
      </w:r>
    </w:p>
    <w:p w14:paraId="7FCFD00C" w14:textId="77777777" w:rsidR="008D2D3C" w:rsidRDefault="008D2D3C" w:rsidP="008D2D3C">
      <w:pPr>
        <w:spacing w:before="240" w:after="240" w:line="360" w:lineRule="auto"/>
        <w:ind w:firstLine="567"/>
        <w:jc w:val="both"/>
        <w:rPr>
          <w:rFonts w:ascii="Book Antiqua" w:hAnsi="Book Antiqua" w:cs="Courier New"/>
        </w:rPr>
      </w:pPr>
      <w:r>
        <w:rPr>
          <w:rFonts w:ascii="Book Antiqua" w:hAnsi="Book Antiqua" w:cs="Courier New"/>
        </w:rPr>
        <w:t>(</w:t>
      </w:r>
      <w:proofErr w:type="spellStart"/>
      <w:r>
        <w:rPr>
          <w:rFonts w:ascii="Book Antiqua" w:hAnsi="Book Antiqua" w:cs="Courier New"/>
        </w:rPr>
        <w:t>i</w:t>
      </w:r>
      <w:proofErr w:type="spellEnd"/>
      <w:r>
        <w:rPr>
          <w:rFonts w:ascii="Book Antiqua" w:hAnsi="Book Antiqua" w:cs="Courier New"/>
        </w:rPr>
        <w:t>)</w:t>
      </w:r>
      <w:r>
        <w:rPr>
          <w:rFonts w:ascii="Book Antiqua" w:hAnsi="Book Antiqua" w:cs="Courier New"/>
        </w:rPr>
        <w:tab/>
      </w:r>
      <w:r w:rsidR="00751F92" w:rsidRPr="008D2D3C">
        <w:rPr>
          <w:rFonts w:ascii="Book Antiqua" w:hAnsi="Book Antiqua" w:cs="Courier New"/>
          <w:u w:val="single"/>
        </w:rPr>
        <w:t>HA</w:t>
      </w:r>
      <w:r w:rsidR="00631F1A" w:rsidRPr="008D2D3C">
        <w:rPr>
          <w:rFonts w:ascii="Book Antiqua" w:hAnsi="Book Antiqua" w:cs="Courier New"/>
          <w:u w:val="single"/>
        </w:rPr>
        <w:t xml:space="preserve"> and Others</w:t>
      </w:r>
      <w:r w:rsidR="00631F1A" w:rsidRPr="008D2D3C">
        <w:rPr>
          <w:rFonts w:ascii="Book Antiqua" w:hAnsi="Book Antiqua" w:cs="Courier New"/>
        </w:rPr>
        <w:t xml:space="preserve"> and </w:t>
      </w:r>
      <w:r w:rsidR="00631F1A" w:rsidRPr="008D2D3C">
        <w:rPr>
          <w:rFonts w:ascii="Book Antiqua" w:hAnsi="Book Antiqua" w:cs="Courier New"/>
          <w:u w:val="single"/>
        </w:rPr>
        <w:t>ZM</w:t>
      </w:r>
      <w:r w:rsidR="0012239F" w:rsidRPr="008D2D3C">
        <w:rPr>
          <w:rFonts w:ascii="Book Antiqua" w:hAnsi="Book Antiqua" w:cs="Courier New"/>
        </w:rPr>
        <w:t xml:space="preserve"> could be </w:t>
      </w:r>
      <w:r w:rsidR="00631F1A" w:rsidRPr="008D2D3C">
        <w:rPr>
          <w:rFonts w:ascii="Book Antiqua" w:hAnsi="Book Antiqua" w:cs="Courier New"/>
        </w:rPr>
        <w:t>distinguished</w:t>
      </w:r>
      <w:r w:rsidR="00751F92" w:rsidRPr="008D2D3C">
        <w:rPr>
          <w:rFonts w:ascii="Book Antiqua" w:hAnsi="Book Antiqua" w:cs="Courier New"/>
        </w:rPr>
        <w:t>;</w:t>
      </w:r>
    </w:p>
    <w:p w14:paraId="6A3290E4" w14:textId="77777777" w:rsidR="00373BA7" w:rsidRDefault="008D2D3C" w:rsidP="00373BA7">
      <w:pPr>
        <w:spacing w:before="240" w:after="240" w:line="360" w:lineRule="auto"/>
        <w:ind w:left="1134" w:hanging="567"/>
        <w:jc w:val="both"/>
        <w:rPr>
          <w:rFonts w:ascii="Book Antiqua" w:hAnsi="Book Antiqua" w:cs="Courier New"/>
        </w:rPr>
      </w:pPr>
      <w:r>
        <w:rPr>
          <w:rFonts w:ascii="Book Antiqua" w:hAnsi="Book Antiqua" w:cs="Courier New"/>
        </w:rPr>
        <w:t>(ii)</w:t>
      </w:r>
      <w:r>
        <w:rPr>
          <w:rFonts w:ascii="Book Antiqua" w:hAnsi="Book Antiqua" w:cs="Courier New"/>
        </w:rPr>
        <w:tab/>
      </w:r>
      <w:r w:rsidR="00751F92" w:rsidRPr="0012239F">
        <w:rPr>
          <w:rFonts w:ascii="Book Antiqua" w:hAnsi="Book Antiqua" w:cs="Courier New"/>
        </w:rPr>
        <w:t>the only evidence provi</w:t>
      </w:r>
      <w:r w:rsidR="000E6801" w:rsidRPr="0012239F">
        <w:rPr>
          <w:rFonts w:ascii="Book Antiqua" w:hAnsi="Book Antiqua" w:cs="Courier New"/>
        </w:rPr>
        <w:t xml:space="preserve">ded by the Greek </w:t>
      </w:r>
      <w:r w:rsidR="00AC080E" w:rsidRPr="0012239F">
        <w:rPr>
          <w:rFonts w:ascii="Book Antiqua" w:hAnsi="Book Antiqua" w:cs="Courier New"/>
        </w:rPr>
        <w:t>authorities</w:t>
      </w:r>
      <w:r w:rsidR="000E6801" w:rsidRPr="0012239F">
        <w:rPr>
          <w:rFonts w:ascii="Book Antiqua" w:hAnsi="Book Antiqua" w:cs="Courier New"/>
        </w:rPr>
        <w:t xml:space="preserve"> </w:t>
      </w:r>
      <w:r w:rsidR="00AC080E">
        <w:rPr>
          <w:rFonts w:ascii="Book Antiqua" w:hAnsi="Book Antiqua" w:cs="Courier New"/>
        </w:rPr>
        <w:t xml:space="preserve">of the </w:t>
      </w:r>
      <w:r w:rsidR="000E6801" w:rsidRPr="0012239F">
        <w:rPr>
          <w:rFonts w:ascii="Book Antiqua" w:hAnsi="Book Antiqua" w:cs="Courier New"/>
        </w:rPr>
        <w:t>relationship being</w:t>
      </w:r>
      <w:r w:rsidR="00751F92" w:rsidRPr="0012239F">
        <w:rPr>
          <w:rFonts w:ascii="Book Antiqua" w:hAnsi="Book Antiqua" w:cs="Courier New"/>
        </w:rPr>
        <w:t xml:space="preserve"> an untranslated documented which describes </w:t>
      </w:r>
      <w:r w:rsidR="000E6801" w:rsidRPr="0012239F">
        <w:rPr>
          <w:rFonts w:ascii="Book Antiqua" w:hAnsi="Book Antiqua" w:cs="Courier New"/>
        </w:rPr>
        <w:t>the</w:t>
      </w:r>
      <w:r w:rsidR="00AC080E">
        <w:rPr>
          <w:rFonts w:ascii="Book Antiqua" w:hAnsi="Book Antiqua" w:cs="Courier New"/>
        </w:rPr>
        <w:t>m as married a</w:t>
      </w:r>
      <w:r w:rsidR="00751F92" w:rsidRPr="0012239F">
        <w:rPr>
          <w:rFonts w:ascii="Book Antiqua" w:hAnsi="Book Antiqua" w:cs="Courier New"/>
        </w:rPr>
        <w:t>nd that no evidence had been provided that A5 was the</w:t>
      </w:r>
      <w:r w:rsidR="00AC080E">
        <w:rPr>
          <w:rFonts w:ascii="Book Antiqua" w:hAnsi="Book Antiqua" w:cs="Courier New"/>
        </w:rPr>
        <w:t xml:space="preserve"> father of the children A2 to A and so </w:t>
      </w:r>
      <w:r w:rsidR="00751F92" w:rsidRPr="0012239F">
        <w:rPr>
          <w:rFonts w:ascii="Book Antiqua" w:hAnsi="Book Antiqua" w:cs="Courier New"/>
        </w:rPr>
        <w:t xml:space="preserve">Articles 9 and 10 were </w:t>
      </w:r>
      <w:r w:rsidR="00AC080E">
        <w:rPr>
          <w:rFonts w:ascii="Book Antiqua" w:hAnsi="Book Antiqua" w:cs="Courier New"/>
        </w:rPr>
        <w:t xml:space="preserve">not </w:t>
      </w:r>
      <w:r w:rsidR="00751F92" w:rsidRPr="0012239F">
        <w:rPr>
          <w:rFonts w:ascii="Book Antiqua" w:hAnsi="Book Antiqua" w:cs="Courier New"/>
        </w:rPr>
        <w:t>engaged;</w:t>
      </w:r>
    </w:p>
    <w:p w14:paraId="3F62EFD3" w14:textId="1CD53631" w:rsidR="00751F92" w:rsidRPr="00373BA7" w:rsidRDefault="00373BA7" w:rsidP="00373BA7">
      <w:pPr>
        <w:spacing w:before="240" w:after="240" w:line="360" w:lineRule="auto"/>
        <w:ind w:left="1134" w:hanging="567"/>
        <w:jc w:val="both"/>
        <w:rPr>
          <w:rFonts w:ascii="Book Antiqua" w:hAnsi="Book Antiqua" w:cs="Courier New"/>
        </w:rPr>
      </w:pPr>
      <w:r>
        <w:rPr>
          <w:rFonts w:ascii="Book Antiqua" w:hAnsi="Book Antiqua" w:cs="Courier New"/>
        </w:rPr>
        <w:t>(iii)</w:t>
      </w:r>
      <w:r>
        <w:rPr>
          <w:rFonts w:ascii="Book Antiqua" w:hAnsi="Book Antiqua" w:cs="Courier New"/>
        </w:rPr>
        <w:tab/>
      </w:r>
      <w:r w:rsidR="00F25D2A" w:rsidRPr="00373BA7">
        <w:rPr>
          <w:rFonts w:ascii="Book Antiqua" w:hAnsi="Book Antiqua" w:cs="Courier New"/>
          <w:color w:val="000000" w:themeColor="text1"/>
        </w:rPr>
        <w:t xml:space="preserve">the </w:t>
      </w:r>
      <w:r w:rsidR="00751F92" w:rsidRPr="00373BA7">
        <w:rPr>
          <w:rFonts w:ascii="Book Antiqua" w:hAnsi="Book Antiqua" w:cs="Courier New"/>
          <w:color w:val="000000" w:themeColor="text1"/>
        </w:rPr>
        <w:t>Greek authorities ha</w:t>
      </w:r>
      <w:r w:rsidR="00BD5822" w:rsidRPr="00373BA7">
        <w:rPr>
          <w:rFonts w:ascii="Book Antiqua" w:hAnsi="Book Antiqua" w:cs="Courier New"/>
          <w:color w:val="000000" w:themeColor="text1"/>
        </w:rPr>
        <w:t>d</w:t>
      </w:r>
      <w:r w:rsidR="00751F92" w:rsidRPr="00373BA7">
        <w:rPr>
          <w:rFonts w:ascii="Book Antiqua" w:hAnsi="Book Antiqua" w:cs="Courier New"/>
          <w:color w:val="000000" w:themeColor="text1"/>
        </w:rPr>
        <w:t xml:space="preserve"> </w:t>
      </w:r>
      <w:r w:rsidR="00F25D2A" w:rsidRPr="00373BA7">
        <w:rPr>
          <w:rFonts w:ascii="Book Antiqua" w:hAnsi="Book Antiqua" w:cs="Courier New"/>
          <w:color w:val="000000" w:themeColor="text1"/>
        </w:rPr>
        <w:t xml:space="preserve">not made the TCR under Article </w:t>
      </w:r>
      <w:r w:rsidR="002D32D8" w:rsidRPr="00373BA7">
        <w:rPr>
          <w:rFonts w:ascii="Book Antiqua" w:hAnsi="Book Antiqua" w:cs="Courier New"/>
          <w:color w:val="000000" w:themeColor="text1"/>
        </w:rPr>
        <w:t>17 (2)</w:t>
      </w:r>
      <w:r w:rsidR="00751F92" w:rsidRPr="00373BA7">
        <w:rPr>
          <w:rFonts w:ascii="Book Antiqua" w:hAnsi="Book Antiqua" w:cs="Courier New"/>
          <w:color w:val="000000" w:themeColor="text1"/>
        </w:rPr>
        <w:t xml:space="preserve"> and no evidence had been provided that could reasonably allow any assessment of </w:t>
      </w:r>
      <w:r w:rsidR="00AC080E" w:rsidRPr="00373BA7">
        <w:rPr>
          <w:rFonts w:ascii="Book Antiqua" w:hAnsi="Book Antiqua" w:cs="Courier New"/>
          <w:color w:val="000000" w:themeColor="text1"/>
        </w:rPr>
        <w:t>a request made under that</w:t>
      </w:r>
      <w:r w:rsidR="00751F92" w:rsidRPr="00373BA7">
        <w:rPr>
          <w:rFonts w:ascii="Book Antiqua" w:hAnsi="Book Antiqua" w:cs="Courier New"/>
          <w:color w:val="000000" w:themeColor="text1"/>
        </w:rPr>
        <w:t xml:space="preserve"> the Article.</w:t>
      </w:r>
    </w:p>
    <w:p w14:paraId="51974306" w14:textId="77777777" w:rsidR="00751F92" w:rsidRPr="0012239F" w:rsidRDefault="00751F92" w:rsidP="00751F92">
      <w:pPr>
        <w:spacing w:before="240" w:after="240" w:line="360" w:lineRule="auto"/>
        <w:jc w:val="both"/>
        <w:rPr>
          <w:rFonts w:ascii="Book Antiqua" w:hAnsi="Book Antiqua" w:cs="Courier New"/>
          <w:b/>
          <w:u w:val="single"/>
        </w:rPr>
      </w:pPr>
      <w:r w:rsidRPr="0012239F">
        <w:rPr>
          <w:rFonts w:ascii="Book Antiqua" w:hAnsi="Book Antiqua" w:cs="Courier New"/>
          <w:b/>
          <w:u w:val="single"/>
        </w:rPr>
        <w:t>Grounds of Challenge</w:t>
      </w:r>
    </w:p>
    <w:p w14:paraId="32F3210F" w14:textId="77777777" w:rsidR="00C641DB" w:rsidRPr="0012239F" w:rsidRDefault="00751F92"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In summary, the applicants challenge the respondent’s decision on fo</w:t>
      </w:r>
      <w:r w:rsidR="00C641DB" w:rsidRPr="0012239F">
        <w:rPr>
          <w:rFonts w:ascii="Book Antiqua" w:hAnsi="Book Antiqua" w:cs="Courier New"/>
        </w:rPr>
        <w:t>ur principle grounds:</w:t>
      </w:r>
      <w:r w:rsidR="00BD5822">
        <w:rPr>
          <w:rFonts w:ascii="Book Antiqua" w:hAnsi="Book Antiqua" w:cs="Courier New"/>
        </w:rPr>
        <w:t xml:space="preserve"> that</w:t>
      </w:r>
      <w:r w:rsidR="00C641DB" w:rsidRPr="0012239F">
        <w:rPr>
          <w:rFonts w:ascii="Book Antiqua" w:hAnsi="Book Antiqua" w:cs="Courier New"/>
        </w:rPr>
        <w:t>-</w:t>
      </w:r>
    </w:p>
    <w:p w14:paraId="4D46BE26" w14:textId="0091A014" w:rsidR="00BD5822" w:rsidRPr="00B90881" w:rsidRDefault="00BD5822" w:rsidP="00373BA7">
      <w:pPr>
        <w:pStyle w:val="ListParagraph"/>
        <w:numPr>
          <w:ilvl w:val="3"/>
          <w:numId w:val="17"/>
        </w:numPr>
        <w:spacing w:before="240" w:after="240" w:line="360" w:lineRule="auto"/>
        <w:ind w:left="1418" w:hanging="567"/>
        <w:jc w:val="both"/>
        <w:rPr>
          <w:rFonts w:ascii="Book Antiqua" w:hAnsi="Book Antiqua" w:cs="Courier New"/>
          <w:color w:val="FF0000"/>
        </w:rPr>
      </w:pPr>
      <w:r w:rsidRPr="00B90881">
        <w:rPr>
          <w:rFonts w:ascii="Book Antiqua" w:hAnsi="Book Antiqua" w:cs="Courier New"/>
        </w:rPr>
        <w:t xml:space="preserve">Properly interpreted, </w:t>
      </w:r>
      <w:r w:rsidR="00C641DB" w:rsidRPr="00B90881">
        <w:rPr>
          <w:rFonts w:ascii="Book Antiqua" w:hAnsi="Book Antiqua" w:cs="Courier New"/>
        </w:rPr>
        <w:t>Article 9</w:t>
      </w:r>
      <w:r w:rsidRPr="00B90881">
        <w:rPr>
          <w:rFonts w:ascii="Book Antiqua" w:hAnsi="Book Antiqua" w:cs="Courier New"/>
        </w:rPr>
        <w:t xml:space="preserve"> of Dublin III</w:t>
      </w:r>
      <w:r w:rsidR="00C641DB" w:rsidRPr="00B90881">
        <w:rPr>
          <w:rFonts w:ascii="Book Antiqua" w:hAnsi="Book Antiqua" w:cs="Courier New"/>
        </w:rPr>
        <w:t xml:space="preserve"> applies to A1 to A4 as A5 had been recognised as a refugee prior to naturalisation as a British citizen and is therefore a family member “has been allowed to reside as a beneficiary of international protection”</w:t>
      </w:r>
      <w:r w:rsidRPr="00B90881">
        <w:rPr>
          <w:rFonts w:ascii="Book Antiqua" w:hAnsi="Book Antiqua" w:cs="Courier New"/>
        </w:rPr>
        <w:t xml:space="preserve">; </w:t>
      </w:r>
      <w:r w:rsidR="00C641DB" w:rsidRPr="003A48B0">
        <w:rPr>
          <w:rFonts w:ascii="Book Antiqua" w:hAnsi="Book Antiqua" w:cs="Courier New"/>
          <w:u w:val="single"/>
        </w:rPr>
        <w:t>HA and Others</w:t>
      </w:r>
      <w:r w:rsidR="00C641DB" w:rsidRPr="00B90881">
        <w:rPr>
          <w:rFonts w:ascii="Book Antiqua" w:hAnsi="Book Antiqua" w:cs="Courier New"/>
        </w:rPr>
        <w:t xml:space="preserve"> </w:t>
      </w:r>
      <w:r w:rsidRPr="00B90881">
        <w:rPr>
          <w:rFonts w:ascii="Book Antiqua" w:hAnsi="Book Antiqua" w:cs="Courier New"/>
        </w:rPr>
        <w:t xml:space="preserve">could not be distinguished as </w:t>
      </w:r>
      <w:r w:rsidR="001C6462" w:rsidRPr="00B90881">
        <w:rPr>
          <w:rFonts w:ascii="Book Antiqua" w:hAnsi="Book Antiqua" w:cs="Courier New"/>
        </w:rPr>
        <w:t xml:space="preserve">Article 9 applies “regardless of whether the family was previously born in the country of origin”; </w:t>
      </w:r>
      <w:r w:rsidRPr="00B90881">
        <w:rPr>
          <w:rFonts w:ascii="Book Antiqua" w:hAnsi="Book Antiqua" w:cs="Courier New"/>
        </w:rPr>
        <w:t xml:space="preserve">and, </w:t>
      </w:r>
      <w:r w:rsidR="001C6462" w:rsidRPr="00B90881">
        <w:rPr>
          <w:rFonts w:ascii="Book Antiqua" w:hAnsi="Book Antiqua" w:cs="Courier New"/>
        </w:rPr>
        <w:t>the Secretary of State erred in requiring as an ex-post facto justification that there were additional reasons in particular a failure to provide evidence that A5 did not expressly require his desire for unification</w:t>
      </w:r>
      <w:r w:rsidR="00B90881">
        <w:rPr>
          <w:rFonts w:ascii="Book Antiqua" w:hAnsi="Book Antiqua" w:cs="Courier New"/>
        </w:rPr>
        <w:t>.</w:t>
      </w:r>
    </w:p>
    <w:p w14:paraId="279BC1B7" w14:textId="77777777" w:rsidR="00113C42" w:rsidRPr="00113C42" w:rsidRDefault="00113C42" w:rsidP="00113C42">
      <w:pPr>
        <w:pStyle w:val="ListParagraph"/>
        <w:spacing w:before="240" w:after="240" w:line="360" w:lineRule="auto"/>
        <w:ind w:left="1418"/>
        <w:jc w:val="both"/>
        <w:rPr>
          <w:rFonts w:ascii="Book Antiqua" w:hAnsi="Book Antiqua" w:cs="Courier New"/>
          <w:color w:val="FF0000"/>
        </w:rPr>
      </w:pPr>
    </w:p>
    <w:p w14:paraId="2DF991DF" w14:textId="3ACDFCA7" w:rsidR="00BD5822" w:rsidRPr="00BD5822" w:rsidRDefault="001C6462" w:rsidP="00373BA7">
      <w:pPr>
        <w:pStyle w:val="ListParagraph"/>
        <w:numPr>
          <w:ilvl w:val="3"/>
          <w:numId w:val="17"/>
        </w:numPr>
        <w:spacing w:before="240" w:after="240" w:line="360" w:lineRule="auto"/>
        <w:ind w:left="1418" w:hanging="567"/>
        <w:jc w:val="both"/>
        <w:rPr>
          <w:rFonts w:ascii="Book Antiqua" w:hAnsi="Book Antiqua" w:cs="Courier New"/>
          <w:color w:val="FF0000"/>
        </w:rPr>
      </w:pPr>
      <w:r w:rsidRPr="00BD5822">
        <w:rPr>
          <w:rFonts w:ascii="Book Antiqua" w:hAnsi="Book Antiqua" w:cs="Courier New"/>
        </w:rPr>
        <w:t>In the alternative</w:t>
      </w:r>
      <w:r w:rsidR="00BD5822">
        <w:rPr>
          <w:rFonts w:ascii="Book Antiqua" w:hAnsi="Book Antiqua" w:cs="Courier New"/>
        </w:rPr>
        <w:t>,</w:t>
      </w:r>
      <w:r w:rsidRPr="00BD5822">
        <w:rPr>
          <w:rFonts w:ascii="Book Antiqua" w:hAnsi="Book Antiqua" w:cs="Courier New"/>
        </w:rPr>
        <w:t xml:space="preserve"> </w:t>
      </w:r>
      <w:r w:rsidR="00BD5822">
        <w:rPr>
          <w:rFonts w:ascii="Book Antiqua" w:hAnsi="Book Antiqua" w:cs="Courier New"/>
        </w:rPr>
        <w:t xml:space="preserve">the respondent erred in not considering the TCR under Article </w:t>
      </w:r>
      <w:r w:rsidR="002D32D8">
        <w:rPr>
          <w:rFonts w:ascii="Book Antiqua" w:hAnsi="Book Antiqua" w:cs="Courier New"/>
        </w:rPr>
        <w:t>17 (2)</w:t>
      </w:r>
      <w:r w:rsidRPr="00BD5822">
        <w:rPr>
          <w:rFonts w:ascii="Book Antiqua" w:hAnsi="Book Antiqua" w:cs="Courier New"/>
        </w:rPr>
        <w:t xml:space="preserve"> </w:t>
      </w:r>
      <w:r w:rsidR="00BD5822">
        <w:rPr>
          <w:rFonts w:ascii="Book Antiqua" w:hAnsi="Book Antiqua" w:cs="Courier New"/>
        </w:rPr>
        <w:t xml:space="preserve">of </w:t>
      </w:r>
      <w:r w:rsidRPr="00BD5822">
        <w:rPr>
          <w:rFonts w:ascii="Book Antiqua" w:hAnsi="Book Antiqua" w:cs="Courier New"/>
        </w:rPr>
        <w:t xml:space="preserve">Dublin III, the case clearly raising humanitarian grounds based on family considerations and </w:t>
      </w:r>
      <w:r w:rsidR="00BD5822">
        <w:rPr>
          <w:rFonts w:ascii="Book Antiqua" w:hAnsi="Book Antiqua" w:cs="Courier New"/>
        </w:rPr>
        <w:t>had triggered</w:t>
      </w:r>
      <w:r w:rsidRPr="00BD5822">
        <w:rPr>
          <w:rFonts w:ascii="Book Antiqua" w:hAnsi="Book Antiqua" w:cs="Courier New"/>
        </w:rPr>
        <w:t xml:space="preserve"> a duty to treat the children’s best interests </w:t>
      </w:r>
      <w:r w:rsidR="00BD5822">
        <w:rPr>
          <w:rFonts w:ascii="Book Antiqua" w:hAnsi="Book Antiqua" w:cs="Courier New"/>
        </w:rPr>
        <w:t xml:space="preserve">and their </w:t>
      </w:r>
      <w:r w:rsidRPr="00BD5822">
        <w:rPr>
          <w:rFonts w:ascii="Book Antiqua" w:hAnsi="Book Antiqua" w:cs="Courier New"/>
        </w:rPr>
        <w:t xml:space="preserve">right to family life is a primary consideration, the PAP response wrongly submitting that there was insufficient evidence to trigger a </w:t>
      </w:r>
      <w:r w:rsidR="002D32D8">
        <w:rPr>
          <w:rFonts w:ascii="Book Antiqua" w:hAnsi="Book Antiqua" w:cs="Courier New"/>
        </w:rPr>
        <w:t>17 (2)</w:t>
      </w:r>
      <w:r w:rsidR="00324A31" w:rsidRPr="00BD5822">
        <w:rPr>
          <w:rFonts w:ascii="Book Antiqua" w:hAnsi="Book Antiqua" w:cs="Courier New"/>
        </w:rPr>
        <w:t xml:space="preserve"> assessment;</w:t>
      </w:r>
    </w:p>
    <w:p w14:paraId="5A5DD839" w14:textId="77777777" w:rsidR="00BD5822" w:rsidRPr="00BD5822" w:rsidRDefault="00BD5822" w:rsidP="00BD5822">
      <w:pPr>
        <w:pStyle w:val="ListParagraph"/>
        <w:rPr>
          <w:rFonts w:ascii="Book Antiqua" w:hAnsi="Book Antiqua" w:cs="Courier New"/>
        </w:rPr>
      </w:pPr>
    </w:p>
    <w:p w14:paraId="5D3CF618" w14:textId="7A6A58F3" w:rsidR="001B4681" w:rsidRPr="001B4681" w:rsidRDefault="00324A31" w:rsidP="00373BA7">
      <w:pPr>
        <w:pStyle w:val="ListParagraph"/>
        <w:numPr>
          <w:ilvl w:val="3"/>
          <w:numId w:val="17"/>
        </w:numPr>
        <w:spacing w:before="240" w:after="240" w:line="360" w:lineRule="auto"/>
        <w:ind w:left="1418" w:hanging="425"/>
        <w:jc w:val="both"/>
        <w:rPr>
          <w:rFonts w:ascii="Book Antiqua" w:hAnsi="Book Antiqua" w:cs="Courier New"/>
          <w:color w:val="FF0000"/>
        </w:rPr>
      </w:pPr>
      <w:r w:rsidRPr="00BD5822">
        <w:rPr>
          <w:rFonts w:ascii="Book Antiqua" w:hAnsi="Book Antiqua" w:cs="Courier New"/>
        </w:rPr>
        <w:t>In failing to assess and take into account the children’s best interest</w:t>
      </w:r>
      <w:r w:rsidR="002247CE">
        <w:rPr>
          <w:rFonts w:ascii="Book Antiqua" w:hAnsi="Book Antiqua" w:cs="Courier New"/>
        </w:rPr>
        <w:t>s</w:t>
      </w:r>
      <w:r w:rsidRPr="00BD5822">
        <w:rPr>
          <w:rFonts w:ascii="Book Antiqua" w:hAnsi="Book Antiqua" w:cs="Courier New"/>
        </w:rPr>
        <w:t xml:space="preserve"> in considering the TCR</w:t>
      </w:r>
      <w:r w:rsidR="00A2709F" w:rsidRPr="00BD5822">
        <w:rPr>
          <w:rFonts w:ascii="Book Antiqua" w:hAnsi="Book Antiqua" w:cs="Courier New"/>
        </w:rPr>
        <w:t xml:space="preserve"> as required by </w:t>
      </w:r>
      <w:r w:rsidRPr="00BD5822">
        <w:rPr>
          <w:rFonts w:ascii="Book Antiqua" w:hAnsi="Book Antiqua" w:cs="Courier New"/>
        </w:rPr>
        <w:t>Article</w:t>
      </w:r>
      <w:r w:rsidR="00BD5822">
        <w:rPr>
          <w:rFonts w:ascii="Book Antiqua" w:hAnsi="Book Antiqua" w:cs="Courier New"/>
        </w:rPr>
        <w:t>s</w:t>
      </w:r>
      <w:r w:rsidRPr="00BD5822">
        <w:rPr>
          <w:rFonts w:ascii="Book Antiqua" w:hAnsi="Book Antiqua" w:cs="Courier New"/>
        </w:rPr>
        <w:t xml:space="preserve"> 6(1) and (3) o</w:t>
      </w:r>
      <w:r w:rsidR="005C7221" w:rsidRPr="00BD5822">
        <w:rPr>
          <w:rFonts w:ascii="Book Antiqua" w:hAnsi="Book Antiqua" w:cs="Courier New"/>
        </w:rPr>
        <w:t>f Dublin III Regulation this being</w:t>
      </w:r>
      <w:r w:rsidRPr="00BD5822">
        <w:rPr>
          <w:rFonts w:ascii="Book Antiqua" w:hAnsi="Book Antiqua" w:cs="Courier New"/>
        </w:rPr>
        <w:t xml:space="preserve"> a breach of Dublin III </w:t>
      </w:r>
      <w:r w:rsidR="00BD5822">
        <w:rPr>
          <w:rFonts w:ascii="Book Antiqua" w:hAnsi="Book Antiqua" w:cs="Courier New"/>
        </w:rPr>
        <w:t xml:space="preserve">and </w:t>
      </w:r>
      <w:r w:rsidRPr="00BD5822">
        <w:rPr>
          <w:rFonts w:ascii="Book Antiqua" w:hAnsi="Book Antiqua" w:cs="Courier New"/>
        </w:rPr>
        <w:t xml:space="preserve">CFR Article 8; that the Greek authorities </w:t>
      </w:r>
      <w:r w:rsidR="001B4681">
        <w:rPr>
          <w:rFonts w:ascii="Book Antiqua" w:hAnsi="Book Antiqua" w:cs="Courier New"/>
        </w:rPr>
        <w:t xml:space="preserve">conclusions that </w:t>
      </w:r>
      <w:r w:rsidRPr="00BD5822">
        <w:rPr>
          <w:rFonts w:ascii="Book Antiqua" w:hAnsi="Book Antiqua" w:cs="Courier New"/>
        </w:rPr>
        <w:t xml:space="preserve">are determinative </w:t>
      </w:r>
      <w:r w:rsidR="001B4681">
        <w:rPr>
          <w:rFonts w:ascii="Book Antiqua" w:hAnsi="Book Antiqua" w:cs="Courier New"/>
        </w:rPr>
        <w:t>that</w:t>
      </w:r>
      <w:r w:rsidRPr="00BD5822">
        <w:rPr>
          <w:rFonts w:ascii="Book Antiqua" w:hAnsi="Book Antiqua" w:cs="Courier New"/>
        </w:rPr>
        <w:t xml:space="preserve"> the children’s best interest</w:t>
      </w:r>
      <w:r w:rsidR="001B4681">
        <w:rPr>
          <w:rFonts w:ascii="Book Antiqua" w:hAnsi="Book Antiqua" w:cs="Courier New"/>
        </w:rPr>
        <w:t>s require that they</w:t>
      </w:r>
      <w:r w:rsidRPr="00BD5822">
        <w:rPr>
          <w:rFonts w:ascii="Book Antiqua" w:hAnsi="Book Antiqua" w:cs="Courier New"/>
        </w:rPr>
        <w:t xml:space="preserve"> be transferred to the United Kingdom</w:t>
      </w:r>
      <w:r w:rsidR="001B4681">
        <w:rPr>
          <w:rFonts w:ascii="Book Antiqua" w:hAnsi="Book Antiqua" w:cs="Courier New"/>
        </w:rPr>
        <w:t xml:space="preserve">, absent </w:t>
      </w:r>
      <w:r w:rsidRPr="00BD5822">
        <w:rPr>
          <w:rFonts w:ascii="Book Antiqua" w:hAnsi="Book Antiqua" w:cs="Courier New"/>
        </w:rPr>
        <w:t>evidential basis to depart from t</w:t>
      </w:r>
      <w:r w:rsidR="00BD5822">
        <w:rPr>
          <w:rFonts w:ascii="Book Antiqua" w:hAnsi="Book Antiqua" w:cs="Courier New"/>
        </w:rPr>
        <w:t>hat</w:t>
      </w:r>
      <w:r w:rsidR="00C31B5C">
        <w:rPr>
          <w:rFonts w:ascii="Book Antiqua" w:hAnsi="Book Antiqua" w:cs="Courier New"/>
        </w:rPr>
        <w:t>;</w:t>
      </w:r>
      <w:r w:rsidRPr="00BD5822">
        <w:rPr>
          <w:rFonts w:ascii="Book Antiqua" w:hAnsi="Book Antiqua" w:cs="Courier New"/>
        </w:rPr>
        <w:t xml:space="preserve"> and</w:t>
      </w:r>
      <w:r w:rsidR="001B4681">
        <w:rPr>
          <w:rFonts w:ascii="Book Antiqua" w:hAnsi="Book Antiqua" w:cs="Courier New"/>
        </w:rPr>
        <w:t>,</w:t>
      </w:r>
      <w:r w:rsidRPr="00BD5822">
        <w:rPr>
          <w:rFonts w:ascii="Book Antiqua" w:hAnsi="Book Antiqua" w:cs="Courier New"/>
        </w:rPr>
        <w:t xml:space="preserve"> that the Secretary of State should have made enquiries and required further evidence to assess the children’s best interests, the children having a right to maintain regular direct contact </w:t>
      </w:r>
      <w:r w:rsidR="009157DB" w:rsidRPr="00BD5822">
        <w:rPr>
          <w:rFonts w:ascii="Book Antiqua" w:hAnsi="Book Antiqua" w:cs="Courier New"/>
        </w:rPr>
        <w:t>with both paren</w:t>
      </w:r>
      <w:r w:rsidR="001B4681">
        <w:rPr>
          <w:rFonts w:ascii="Book Antiqua" w:hAnsi="Book Antiqua" w:cs="Courier New"/>
        </w:rPr>
        <w:t xml:space="preserve">ts pursuant to Article 24 CFR; </w:t>
      </w:r>
      <w:r w:rsidR="009157DB" w:rsidRPr="00BD5822">
        <w:rPr>
          <w:rFonts w:ascii="Book Antiqua" w:hAnsi="Book Antiqua" w:cs="Courier New"/>
        </w:rPr>
        <w:t xml:space="preserve"> </w:t>
      </w:r>
    </w:p>
    <w:p w14:paraId="06B9EC6F" w14:textId="77777777" w:rsidR="001B4681" w:rsidRPr="001B4681" w:rsidRDefault="001B4681" w:rsidP="001B4681">
      <w:pPr>
        <w:pStyle w:val="ListParagraph"/>
        <w:rPr>
          <w:rFonts w:ascii="Book Antiqua" w:hAnsi="Book Antiqua" w:cs="Courier New"/>
        </w:rPr>
      </w:pPr>
    </w:p>
    <w:p w14:paraId="25B01F84" w14:textId="5F3F3750" w:rsidR="009157DB" w:rsidRPr="00AC080E" w:rsidRDefault="001B4681" w:rsidP="00373BA7">
      <w:pPr>
        <w:pStyle w:val="ListParagraph"/>
        <w:numPr>
          <w:ilvl w:val="3"/>
          <w:numId w:val="17"/>
        </w:numPr>
        <w:spacing w:before="240" w:after="240" w:line="360" w:lineRule="auto"/>
        <w:ind w:left="1418" w:hanging="284"/>
        <w:jc w:val="both"/>
        <w:rPr>
          <w:rFonts w:ascii="Book Antiqua" w:hAnsi="Book Antiqua" w:cs="Courier New"/>
          <w:color w:val="FF0000"/>
        </w:rPr>
      </w:pPr>
      <w:r>
        <w:rPr>
          <w:rFonts w:ascii="Book Antiqua" w:hAnsi="Book Antiqua" w:cs="Courier New"/>
        </w:rPr>
        <w:t>In the circumstances of the respondent’s failures, it is</w:t>
      </w:r>
      <w:r w:rsidR="009157DB" w:rsidRPr="001B4681">
        <w:rPr>
          <w:rFonts w:ascii="Book Antiqua" w:hAnsi="Book Antiqua" w:cs="Courier New"/>
        </w:rPr>
        <w:t xml:space="preserve"> for the Tribunal to assess for itself whether the interference with the applicants</w:t>
      </w:r>
      <w:r w:rsidR="002D32D8">
        <w:rPr>
          <w:rFonts w:ascii="Book Antiqua" w:hAnsi="Book Antiqua" w:cs="Courier New"/>
        </w:rPr>
        <w:t>’</w:t>
      </w:r>
      <w:r w:rsidR="009157DB" w:rsidRPr="001B4681">
        <w:rPr>
          <w:rFonts w:ascii="Book Antiqua" w:hAnsi="Book Antiqua" w:cs="Courier New"/>
        </w:rPr>
        <w:t xml:space="preserve"> right to family life is disproportionate</w:t>
      </w:r>
      <w:r w:rsidR="00194FF9">
        <w:rPr>
          <w:rFonts w:ascii="Book Antiqua" w:hAnsi="Book Antiqua" w:cs="Courier New"/>
        </w:rPr>
        <w:t>,</w:t>
      </w:r>
      <w:r w:rsidR="009157DB" w:rsidRPr="001B4681">
        <w:rPr>
          <w:rFonts w:ascii="Book Antiqua" w:hAnsi="Book Antiqua" w:cs="Courier New"/>
        </w:rPr>
        <w:t xml:space="preserve"> if necessary </w:t>
      </w:r>
      <w:proofErr w:type="gramStart"/>
      <w:r w:rsidR="009157DB" w:rsidRPr="001B4681">
        <w:rPr>
          <w:rFonts w:ascii="Book Antiqua" w:hAnsi="Book Antiqua" w:cs="Courier New"/>
        </w:rPr>
        <w:t>taking into account</w:t>
      </w:r>
      <w:proofErr w:type="gramEnd"/>
      <w:r w:rsidR="009157DB" w:rsidRPr="001B4681">
        <w:rPr>
          <w:rFonts w:ascii="Book Antiqua" w:hAnsi="Book Antiqua" w:cs="Courier New"/>
        </w:rPr>
        <w:t xml:space="preserve"> evidence that was not before the decision maker pursuant to Articles 8 </w:t>
      </w:r>
      <w:r>
        <w:rPr>
          <w:rFonts w:ascii="Book Antiqua" w:hAnsi="Book Antiqua" w:cs="Courier New"/>
        </w:rPr>
        <w:t xml:space="preserve">ECHR </w:t>
      </w:r>
      <w:r w:rsidR="00D56B66">
        <w:rPr>
          <w:rFonts w:ascii="Book Antiqua" w:hAnsi="Book Antiqua" w:cs="Courier New"/>
        </w:rPr>
        <w:t>Article</w:t>
      </w:r>
      <w:r>
        <w:rPr>
          <w:rFonts w:ascii="Book Antiqua" w:hAnsi="Book Antiqua" w:cs="Courier New"/>
        </w:rPr>
        <w:t xml:space="preserve">s </w:t>
      </w:r>
      <w:r w:rsidR="009157DB" w:rsidRPr="001B4681">
        <w:rPr>
          <w:rFonts w:ascii="Book Antiqua" w:hAnsi="Book Antiqua" w:cs="Courier New"/>
        </w:rPr>
        <w:t xml:space="preserve">and 7 and 24 </w:t>
      </w:r>
      <w:r>
        <w:rPr>
          <w:rFonts w:ascii="Book Antiqua" w:hAnsi="Book Antiqua" w:cs="Courier New"/>
        </w:rPr>
        <w:t xml:space="preserve">CFR </w:t>
      </w:r>
      <w:r w:rsidR="00E92A44">
        <w:rPr>
          <w:rFonts w:ascii="Book Antiqua" w:hAnsi="Book Antiqua" w:cs="Courier New"/>
        </w:rPr>
        <w:t xml:space="preserve">were </w:t>
      </w:r>
      <w:r w:rsidR="009157DB" w:rsidRPr="001B4681">
        <w:rPr>
          <w:rFonts w:ascii="Book Antiqua" w:hAnsi="Book Antiqua" w:cs="Courier New"/>
        </w:rPr>
        <w:t>being breached by the decision to refuse the TCR.</w:t>
      </w:r>
    </w:p>
    <w:p w14:paraId="70B5BF7A" w14:textId="77777777" w:rsidR="009157DB" w:rsidRPr="0012239F" w:rsidRDefault="009157DB"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The respondent considered that ground 1 was arguable and a consent order was made to that effect.</w:t>
      </w:r>
      <w:r w:rsidR="001B4681">
        <w:rPr>
          <w:rFonts w:ascii="Book Antiqua" w:hAnsi="Book Antiqua" w:cs="Courier New"/>
        </w:rPr>
        <w:t xml:space="preserve"> He did not, however, accept that there was merit in the other grounds. </w:t>
      </w:r>
    </w:p>
    <w:p w14:paraId="077F91D3" w14:textId="77777777" w:rsidR="009157DB" w:rsidRPr="0012239F" w:rsidRDefault="009157DB"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 xml:space="preserve">In summary, the respondent rejected the claims arguing </w:t>
      </w:r>
      <w:proofErr w:type="gramStart"/>
      <w:r w:rsidRPr="0012239F">
        <w:rPr>
          <w:rFonts w:ascii="Book Antiqua" w:hAnsi="Book Antiqua" w:cs="Courier New"/>
        </w:rPr>
        <w:t>that:-</w:t>
      </w:r>
      <w:proofErr w:type="gramEnd"/>
    </w:p>
    <w:p w14:paraId="440A11B6" w14:textId="77777777" w:rsidR="009157DB" w:rsidRPr="0012239F" w:rsidRDefault="009157DB" w:rsidP="00373BA7">
      <w:pPr>
        <w:pStyle w:val="ListParagraph"/>
        <w:numPr>
          <w:ilvl w:val="3"/>
          <w:numId w:val="17"/>
        </w:numPr>
        <w:spacing w:before="240" w:after="240" w:line="360" w:lineRule="auto"/>
        <w:ind w:left="1418" w:hanging="567"/>
        <w:jc w:val="both"/>
        <w:rPr>
          <w:rFonts w:ascii="Book Antiqua" w:hAnsi="Book Antiqua" w:cs="Courier New"/>
        </w:rPr>
      </w:pPr>
      <w:r w:rsidRPr="0012239F">
        <w:rPr>
          <w:rFonts w:ascii="Book Antiqua" w:hAnsi="Book Antiqua" w:cs="Courier New"/>
        </w:rPr>
        <w:t>On a proper construction of Arti</w:t>
      </w:r>
      <w:r w:rsidR="00AC080E">
        <w:rPr>
          <w:rFonts w:ascii="Book Antiqua" w:hAnsi="Book Antiqua" w:cs="Courier New"/>
        </w:rPr>
        <w:t>cle 9 in line with Article 7(2), it did not apply to A1 to A4 as A5 is not a beneficiary of international protection as defined;</w:t>
      </w:r>
      <w:r w:rsidRPr="0012239F">
        <w:rPr>
          <w:rFonts w:ascii="Book Antiqua" w:hAnsi="Book Antiqua" w:cs="Courier New"/>
        </w:rPr>
        <w:t xml:space="preserve"> </w:t>
      </w:r>
    </w:p>
    <w:p w14:paraId="51564696" w14:textId="77777777" w:rsidR="00E4356E" w:rsidRPr="0012239F" w:rsidRDefault="00E4356E" w:rsidP="00373BA7">
      <w:pPr>
        <w:pStyle w:val="ListParagraph"/>
        <w:spacing w:before="240" w:after="240" w:line="360" w:lineRule="auto"/>
        <w:ind w:left="1418"/>
        <w:jc w:val="both"/>
        <w:rPr>
          <w:rFonts w:ascii="Book Antiqua" w:hAnsi="Book Antiqua" w:cs="Courier New"/>
        </w:rPr>
      </w:pPr>
    </w:p>
    <w:p w14:paraId="75DECFAA" w14:textId="64898F41" w:rsidR="00E4356E" w:rsidRPr="0012239F" w:rsidRDefault="0093367A" w:rsidP="00373BA7">
      <w:pPr>
        <w:pStyle w:val="ListParagraph"/>
        <w:numPr>
          <w:ilvl w:val="3"/>
          <w:numId w:val="17"/>
        </w:numPr>
        <w:spacing w:before="240" w:after="240" w:line="360" w:lineRule="auto"/>
        <w:ind w:left="1418" w:hanging="567"/>
        <w:jc w:val="both"/>
        <w:rPr>
          <w:rFonts w:ascii="Book Antiqua" w:hAnsi="Book Antiqua" w:cs="Courier New"/>
        </w:rPr>
      </w:pPr>
      <w:r w:rsidRPr="0012239F">
        <w:rPr>
          <w:rFonts w:ascii="Book Antiqua" w:hAnsi="Book Antiqua" w:cs="Courier New"/>
        </w:rPr>
        <w:t xml:space="preserve">The Greek government had not made a request pursuant to Article 17 but solely </w:t>
      </w:r>
      <w:r w:rsidR="00AC080E">
        <w:rPr>
          <w:rFonts w:ascii="Book Antiqua" w:hAnsi="Book Antiqua" w:cs="Courier New"/>
        </w:rPr>
        <w:t xml:space="preserve">under </w:t>
      </w:r>
      <w:r w:rsidR="00E92A44">
        <w:rPr>
          <w:rFonts w:ascii="Book Antiqua" w:hAnsi="Book Antiqua" w:cs="Courier New"/>
        </w:rPr>
        <w:t>A</w:t>
      </w:r>
      <w:r w:rsidR="00AC080E">
        <w:rPr>
          <w:rFonts w:ascii="Book Antiqua" w:hAnsi="Book Antiqua" w:cs="Courier New"/>
        </w:rPr>
        <w:t xml:space="preserve">rticle 9 </w:t>
      </w:r>
      <w:r w:rsidRPr="0012239F">
        <w:rPr>
          <w:rFonts w:ascii="Book Antiqua" w:hAnsi="Book Antiqua" w:cs="Courier New"/>
        </w:rPr>
        <w:t xml:space="preserve">and there was no obligation on the United Kingdom </w:t>
      </w:r>
      <w:r w:rsidRPr="0012239F">
        <w:rPr>
          <w:rFonts w:ascii="Book Antiqua" w:hAnsi="Book Antiqua" w:cs="Courier New"/>
        </w:rPr>
        <w:lastRenderedPageBreak/>
        <w:t xml:space="preserve">unilaterally to accept the asylum claims pursuant to Article 17 </w:t>
      </w:r>
      <w:r w:rsidR="001B4681">
        <w:rPr>
          <w:rFonts w:ascii="Book Antiqua" w:hAnsi="Book Antiqua" w:cs="Courier New"/>
        </w:rPr>
        <w:t xml:space="preserve">.2 </w:t>
      </w:r>
      <w:r w:rsidRPr="0012239F">
        <w:rPr>
          <w:rFonts w:ascii="Book Antiqua" w:hAnsi="Book Antiqua" w:cs="Courier New"/>
        </w:rPr>
        <w:t>as no request in the terms set out in that Article had been made;</w:t>
      </w:r>
    </w:p>
    <w:p w14:paraId="7FD1B187" w14:textId="77777777" w:rsidR="00E4356E" w:rsidRPr="0012239F" w:rsidRDefault="00E4356E" w:rsidP="00373BA7">
      <w:pPr>
        <w:pStyle w:val="ListParagraph"/>
        <w:spacing w:before="240" w:after="240" w:line="360" w:lineRule="auto"/>
        <w:ind w:left="1418"/>
        <w:jc w:val="both"/>
        <w:rPr>
          <w:rFonts w:ascii="Book Antiqua" w:hAnsi="Book Antiqua" w:cs="Courier New"/>
        </w:rPr>
      </w:pPr>
    </w:p>
    <w:p w14:paraId="2A948327" w14:textId="77777777" w:rsidR="001B4681" w:rsidRDefault="0093367A" w:rsidP="00373BA7">
      <w:pPr>
        <w:pStyle w:val="ListParagraph"/>
        <w:numPr>
          <w:ilvl w:val="3"/>
          <w:numId w:val="17"/>
        </w:numPr>
        <w:spacing w:before="240" w:after="240" w:line="360" w:lineRule="auto"/>
        <w:ind w:left="1418" w:hanging="567"/>
        <w:jc w:val="both"/>
        <w:rPr>
          <w:rFonts w:ascii="Book Antiqua" w:hAnsi="Book Antiqua" w:cs="Courier New"/>
        </w:rPr>
      </w:pPr>
      <w:r w:rsidRPr="0012239F">
        <w:rPr>
          <w:rFonts w:ascii="Book Antiqua" w:hAnsi="Book Antiqua" w:cs="Courier New"/>
        </w:rPr>
        <w:t>That a proper rejection of the Article 9 request had been made and that a</w:t>
      </w:r>
      <w:r w:rsidR="00520B70" w:rsidRPr="0012239F">
        <w:rPr>
          <w:rFonts w:ascii="Book Antiqua" w:hAnsi="Book Antiqua" w:cs="Courier New"/>
        </w:rPr>
        <w:t xml:space="preserve"> requested state was not subject</w:t>
      </w:r>
      <w:r w:rsidRPr="0012239F">
        <w:rPr>
          <w:rFonts w:ascii="Book Antiqua" w:hAnsi="Book Antiqua" w:cs="Courier New"/>
        </w:rPr>
        <w:t xml:space="preserve"> to a separate freestanding obligation to accept responsibility for every asylum claim made by a child if it would be in their best interests to be</w:t>
      </w:r>
      <w:r w:rsidR="001B4681">
        <w:rPr>
          <w:rFonts w:ascii="Book Antiqua" w:hAnsi="Book Antiqua" w:cs="Courier New"/>
        </w:rPr>
        <w:t xml:space="preserve"> admitted to the United Kingdom whose </w:t>
      </w:r>
      <w:r w:rsidRPr="0012239F">
        <w:rPr>
          <w:rFonts w:ascii="Book Antiqua" w:hAnsi="Book Antiqua" w:cs="Courier New"/>
        </w:rPr>
        <w:t xml:space="preserve">obligation </w:t>
      </w:r>
      <w:r w:rsidR="001B4681">
        <w:rPr>
          <w:rFonts w:ascii="Book Antiqua" w:hAnsi="Book Antiqua" w:cs="Courier New"/>
        </w:rPr>
        <w:t xml:space="preserve">was to </w:t>
      </w:r>
      <w:r w:rsidRPr="0012239F">
        <w:rPr>
          <w:rFonts w:ascii="Book Antiqua" w:hAnsi="Book Antiqua" w:cs="Courier New"/>
        </w:rPr>
        <w:t xml:space="preserve"> regard th</w:t>
      </w:r>
      <w:r w:rsidR="00246042" w:rsidRPr="0012239F">
        <w:rPr>
          <w:rFonts w:ascii="Book Antiqua" w:hAnsi="Book Antiqua" w:cs="Courier New"/>
        </w:rPr>
        <w:t xml:space="preserve">e best interests of the children as a </w:t>
      </w:r>
      <w:r w:rsidRPr="0012239F">
        <w:rPr>
          <w:rFonts w:ascii="Book Antiqua" w:hAnsi="Book Antiqua" w:cs="Courier New"/>
        </w:rPr>
        <w:t>primary consideration which informs the</w:t>
      </w:r>
      <w:r w:rsidR="006D3800" w:rsidRPr="0012239F">
        <w:rPr>
          <w:rFonts w:ascii="Book Antiqua" w:hAnsi="Book Antiqua" w:cs="Courier New"/>
        </w:rPr>
        <w:t xml:space="preserve"> mandatory criteria in Chapter 3</w:t>
      </w:r>
      <w:r w:rsidRPr="0012239F">
        <w:rPr>
          <w:rFonts w:ascii="Book Antiqua" w:hAnsi="Book Antiqua" w:cs="Courier New"/>
        </w:rPr>
        <w:t xml:space="preserve"> </w:t>
      </w:r>
      <w:r w:rsidR="005A777A" w:rsidRPr="0012239F">
        <w:rPr>
          <w:rFonts w:ascii="Book Antiqua" w:hAnsi="Book Antiqua" w:cs="Courier New"/>
        </w:rPr>
        <w:t>of the Dublin III Regulation; and, in any event, none of the mandatory criteria were met and no further request was made in the United Kingdom to accept the asylum claims on humanitarian grounds relating to family circumstances</w:t>
      </w:r>
      <w:r w:rsidR="00483E7F" w:rsidRPr="0012239F">
        <w:rPr>
          <w:rFonts w:ascii="Book Antiqua" w:hAnsi="Book Antiqua" w:cs="Courier New"/>
        </w:rPr>
        <w:t>;</w:t>
      </w:r>
    </w:p>
    <w:p w14:paraId="1E78336E" w14:textId="77777777" w:rsidR="001B4681" w:rsidRPr="001B4681" w:rsidRDefault="001B4681" w:rsidP="00BB2907">
      <w:pPr>
        <w:pStyle w:val="ListParagraph"/>
        <w:spacing w:before="240" w:after="240" w:line="360" w:lineRule="auto"/>
        <w:ind w:left="1418"/>
        <w:jc w:val="both"/>
        <w:rPr>
          <w:rFonts w:ascii="Book Antiqua" w:hAnsi="Book Antiqua" w:cs="Courier New"/>
        </w:rPr>
      </w:pPr>
    </w:p>
    <w:p w14:paraId="0459C8A6" w14:textId="1DCA4E00" w:rsidR="00BF3AAC" w:rsidRPr="001B4681" w:rsidRDefault="001B4681" w:rsidP="00373BA7">
      <w:pPr>
        <w:pStyle w:val="ListParagraph"/>
        <w:numPr>
          <w:ilvl w:val="3"/>
          <w:numId w:val="17"/>
        </w:numPr>
        <w:spacing w:before="240" w:after="240" w:line="360" w:lineRule="auto"/>
        <w:ind w:left="1418" w:hanging="567"/>
        <w:jc w:val="both"/>
        <w:rPr>
          <w:rFonts w:ascii="Book Antiqua" w:hAnsi="Book Antiqua" w:cs="Courier New"/>
        </w:rPr>
      </w:pPr>
      <w:r>
        <w:rPr>
          <w:rFonts w:ascii="Book Antiqua" w:hAnsi="Book Antiqua" w:cs="Courier New"/>
        </w:rPr>
        <w:t xml:space="preserve">Dublin III </w:t>
      </w:r>
      <w:r w:rsidR="00483E7F" w:rsidRPr="001B4681">
        <w:rPr>
          <w:rFonts w:ascii="Book Antiqua" w:hAnsi="Book Antiqua" w:cs="Courier New"/>
        </w:rPr>
        <w:t>does not provide a generic obligation to reunite families and none of the discretionary crite</w:t>
      </w:r>
      <w:r w:rsidR="001C1984" w:rsidRPr="001B4681">
        <w:rPr>
          <w:rFonts w:ascii="Book Antiqua" w:hAnsi="Book Antiqua" w:cs="Courier New"/>
        </w:rPr>
        <w:t xml:space="preserve">ria in Article 17(1) or (2) are </w:t>
      </w:r>
      <w:r w:rsidR="00483E7F" w:rsidRPr="001B4681">
        <w:rPr>
          <w:rFonts w:ascii="Book Antiqua" w:hAnsi="Book Antiqua" w:cs="Courier New"/>
        </w:rPr>
        <w:t xml:space="preserve">met </w:t>
      </w:r>
      <w:r w:rsidR="00014E65">
        <w:rPr>
          <w:rFonts w:ascii="Book Antiqua" w:hAnsi="Book Antiqua" w:cs="Courier New"/>
        </w:rPr>
        <w:t xml:space="preserve">it </w:t>
      </w:r>
      <w:r w:rsidR="00483E7F" w:rsidRPr="001B4681">
        <w:rPr>
          <w:rFonts w:ascii="Book Antiqua" w:hAnsi="Book Antiqua" w:cs="Courier New"/>
        </w:rPr>
        <w:t xml:space="preserve">only being </w:t>
      </w:r>
      <w:r w:rsidR="00014E65">
        <w:rPr>
          <w:rFonts w:ascii="Book Antiqua" w:hAnsi="Book Antiqua" w:cs="Courier New"/>
        </w:rPr>
        <w:t xml:space="preserve">in </w:t>
      </w:r>
      <w:r w:rsidR="00483E7F" w:rsidRPr="001B4681">
        <w:rPr>
          <w:rFonts w:ascii="Book Antiqua" w:hAnsi="Book Antiqua" w:cs="Courier New"/>
        </w:rPr>
        <w:t xml:space="preserve">an exceptionally compelling case that Article 8 would provide an independent basis for </w:t>
      </w:r>
      <w:r w:rsidR="008C4007">
        <w:rPr>
          <w:rFonts w:ascii="Book Antiqua" w:hAnsi="Book Antiqua" w:cs="Courier New"/>
        </w:rPr>
        <w:t>requesting</w:t>
      </w:r>
      <w:r w:rsidR="00483E7F" w:rsidRPr="001B4681">
        <w:rPr>
          <w:rFonts w:ascii="Book Antiqua" w:hAnsi="Book Antiqua" w:cs="Courier New"/>
        </w:rPr>
        <w:t xml:space="preserve"> a member state to accept responsibility.</w:t>
      </w:r>
    </w:p>
    <w:p w14:paraId="037338F0" w14:textId="77777777" w:rsidR="001D1E75" w:rsidRPr="001B4681" w:rsidRDefault="00483E7F"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 xml:space="preserve">On 19 October 2018 Upper Tribunal Judge Pitt granted permission on </w:t>
      </w:r>
      <w:r w:rsidR="00856F32" w:rsidRPr="0012239F">
        <w:rPr>
          <w:rFonts w:ascii="Book Antiqua" w:hAnsi="Book Antiqua" w:cs="Courier New"/>
        </w:rPr>
        <w:t>all</w:t>
      </w:r>
      <w:r w:rsidRPr="0012239F">
        <w:rPr>
          <w:rFonts w:ascii="Book Antiqua" w:hAnsi="Book Antiqua" w:cs="Courier New"/>
        </w:rPr>
        <w:t xml:space="preserve"> grounds.</w:t>
      </w:r>
    </w:p>
    <w:p w14:paraId="765BFE3D" w14:textId="0B6126A3" w:rsidR="00483E7F" w:rsidRDefault="00EB5A89"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When the matter came before me, substantively,</w:t>
      </w:r>
      <w:r w:rsidR="00483E7F" w:rsidRPr="0012239F">
        <w:rPr>
          <w:rFonts w:ascii="Book Antiqua" w:hAnsi="Book Antiqua" w:cs="Courier New"/>
        </w:rPr>
        <w:t xml:space="preserve"> Miss Kilroy raised as a preliminary matter an application to admit further evidence.  I indicated that I would </w:t>
      </w:r>
      <w:proofErr w:type="gramStart"/>
      <w:r w:rsidR="00483E7F" w:rsidRPr="0012239F">
        <w:rPr>
          <w:rFonts w:ascii="Book Antiqua" w:hAnsi="Book Antiqua" w:cs="Courier New"/>
        </w:rPr>
        <w:t>make a decision</w:t>
      </w:r>
      <w:proofErr w:type="gramEnd"/>
      <w:r w:rsidR="00483E7F" w:rsidRPr="0012239F">
        <w:rPr>
          <w:rFonts w:ascii="Book Antiqua" w:hAnsi="Book Antiqua" w:cs="Courier New"/>
        </w:rPr>
        <w:t xml:space="preserve"> having considered the application as a whole as to whether this </w:t>
      </w:r>
      <w:r w:rsidR="001B4681">
        <w:rPr>
          <w:rFonts w:ascii="Book Antiqua" w:hAnsi="Book Antiqua" w:cs="Courier New"/>
        </w:rPr>
        <w:t>a</w:t>
      </w:r>
      <w:r w:rsidR="00483E7F" w:rsidRPr="0012239F">
        <w:rPr>
          <w:rFonts w:ascii="Book Antiqua" w:hAnsi="Book Antiqua" w:cs="Courier New"/>
        </w:rPr>
        <w:t>dditional material should be admitted.</w:t>
      </w:r>
    </w:p>
    <w:p w14:paraId="2913E39A" w14:textId="7B054401" w:rsidR="00A03AFF" w:rsidRDefault="00A03AFF"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I then proceeded to hear submissions from both parties</w:t>
      </w:r>
      <w:r w:rsidR="008D1540">
        <w:rPr>
          <w:rFonts w:ascii="Book Antiqua" w:hAnsi="Book Antiqua" w:cs="Courier New"/>
        </w:rPr>
        <w:t xml:space="preserve"> </w:t>
      </w:r>
      <w:r>
        <w:rPr>
          <w:rFonts w:ascii="Book Antiqua" w:hAnsi="Book Antiqua" w:cs="Courier New"/>
        </w:rPr>
        <w:t xml:space="preserve">and reserved my decision. </w:t>
      </w:r>
      <w:r w:rsidR="00B41758">
        <w:rPr>
          <w:rFonts w:ascii="Book Antiqua" w:hAnsi="Book Antiqua" w:cs="Courier New"/>
        </w:rPr>
        <w:t xml:space="preserve"> </w:t>
      </w:r>
    </w:p>
    <w:p w14:paraId="53B63475" w14:textId="2297F80D" w:rsidR="002B19E3" w:rsidRPr="002B19E3" w:rsidRDefault="00871DC9" w:rsidP="002C56BE">
      <w:pPr>
        <w:numPr>
          <w:ilvl w:val="0"/>
          <w:numId w:val="17"/>
        </w:numPr>
        <w:spacing w:before="240" w:after="240" w:line="360" w:lineRule="auto"/>
        <w:ind w:left="567" w:hanging="567"/>
        <w:jc w:val="both"/>
        <w:rPr>
          <w:rFonts w:ascii="Book Antiqua" w:hAnsi="Book Antiqua" w:cs="Courier New"/>
          <w:b/>
          <w:u w:val="single"/>
        </w:rPr>
      </w:pPr>
      <w:r>
        <w:rPr>
          <w:rFonts w:ascii="Book Antiqua" w:hAnsi="Book Antiqua" w:cs="Courier New"/>
        </w:rPr>
        <w:t>I deal first with ground 1 and then with grounds 2 to 4. That is because ground 1 raises a discrete issue</w:t>
      </w:r>
      <w:r w:rsidR="000E2892">
        <w:rPr>
          <w:rFonts w:ascii="Book Antiqua" w:hAnsi="Book Antiqua" w:cs="Courier New"/>
        </w:rPr>
        <w:t xml:space="preserve"> of interpretation of EU law</w:t>
      </w:r>
      <w:r>
        <w:rPr>
          <w:rFonts w:ascii="Book Antiqua" w:hAnsi="Book Antiqua" w:cs="Courier New"/>
        </w:rPr>
        <w:t xml:space="preserve"> which</w:t>
      </w:r>
      <w:r w:rsidR="000E2892">
        <w:rPr>
          <w:rFonts w:ascii="Book Antiqua" w:hAnsi="Book Antiqua" w:cs="Courier New"/>
        </w:rPr>
        <w:t xml:space="preserve"> is more conveniently dealt with separately.</w:t>
      </w:r>
    </w:p>
    <w:p w14:paraId="108D1431" w14:textId="77777777" w:rsidR="00A34D04" w:rsidRDefault="00A34D04" w:rsidP="002B19E3">
      <w:pPr>
        <w:spacing w:before="240" w:after="240" w:line="360" w:lineRule="auto"/>
        <w:jc w:val="both"/>
        <w:rPr>
          <w:rFonts w:ascii="Book Antiqua" w:hAnsi="Book Antiqua" w:cs="Courier New"/>
          <w:b/>
          <w:u w:val="single"/>
        </w:rPr>
      </w:pPr>
    </w:p>
    <w:p w14:paraId="001E7C00" w14:textId="6AA9D63F" w:rsidR="001B4681" w:rsidRPr="00FE2D2E" w:rsidRDefault="001B4681" w:rsidP="002B19E3">
      <w:pPr>
        <w:spacing w:before="240" w:after="240" w:line="360" w:lineRule="auto"/>
        <w:jc w:val="both"/>
        <w:rPr>
          <w:rFonts w:ascii="Book Antiqua" w:hAnsi="Book Antiqua" w:cs="Courier New"/>
          <w:b/>
          <w:u w:val="single"/>
        </w:rPr>
      </w:pPr>
      <w:r w:rsidRPr="00FE2D2E">
        <w:rPr>
          <w:rFonts w:ascii="Book Antiqua" w:hAnsi="Book Antiqua" w:cs="Courier New"/>
          <w:b/>
          <w:u w:val="single"/>
        </w:rPr>
        <w:t>The law:</w:t>
      </w:r>
    </w:p>
    <w:p w14:paraId="2C87B583" w14:textId="0F4749DD" w:rsidR="001B4681" w:rsidRDefault="00B677F2"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Dublin III provides as follows:</w:t>
      </w:r>
    </w:p>
    <w:p w14:paraId="73A99996" w14:textId="5940526E" w:rsidR="00236E39" w:rsidRDefault="00236E39" w:rsidP="00FE2CE8">
      <w:pPr>
        <w:autoSpaceDE w:val="0"/>
        <w:autoSpaceDN w:val="0"/>
        <w:adjustRightInd w:val="0"/>
        <w:spacing w:after="240" w:line="260" w:lineRule="atLeast"/>
        <w:ind w:left="709"/>
        <w:jc w:val="both"/>
        <w:rPr>
          <w:rFonts w:ascii="Book Antiqua" w:hAnsi="Book Antiqua" w:cs="Times"/>
          <w:color w:val="000000"/>
          <w:sz w:val="22"/>
          <w:szCs w:val="22"/>
        </w:rPr>
      </w:pPr>
      <w:r>
        <w:rPr>
          <w:rFonts w:ascii="Book Antiqua" w:hAnsi="Book Antiqua" w:cs="Times"/>
          <w:color w:val="000000"/>
          <w:sz w:val="22"/>
          <w:szCs w:val="22"/>
        </w:rPr>
        <w:t>Recitals</w:t>
      </w:r>
    </w:p>
    <w:p w14:paraId="78380096" w14:textId="5D893455" w:rsidR="005216C1" w:rsidRPr="00FE2CE8" w:rsidRDefault="005216C1" w:rsidP="00FE2CE8">
      <w:pPr>
        <w:autoSpaceDE w:val="0"/>
        <w:autoSpaceDN w:val="0"/>
        <w:adjustRightInd w:val="0"/>
        <w:spacing w:after="240" w:line="260" w:lineRule="atLeast"/>
        <w:ind w:left="709"/>
        <w:jc w:val="both"/>
        <w:rPr>
          <w:rFonts w:ascii="Book Antiqua" w:hAnsi="Book Antiqua" w:cs="Times"/>
          <w:color w:val="000000"/>
          <w:sz w:val="22"/>
          <w:szCs w:val="22"/>
        </w:rPr>
      </w:pPr>
      <w:r w:rsidRPr="00FE2CE8">
        <w:rPr>
          <w:rFonts w:ascii="Book Antiqua" w:hAnsi="Book Antiqua" w:cs="Times"/>
          <w:color w:val="000000"/>
          <w:sz w:val="22"/>
          <w:szCs w:val="22"/>
        </w:rPr>
        <w:lastRenderedPageBreak/>
        <w:t>(13) In accordance with the 1989 United Nations Convention on the Rights of the Child and with the Charter of Fundamental Rights of the European Union, the best interests of the child should be a primary consideration of Member States when applying this Regulation. In assessing the best interests of the child, Member States should</w:t>
      </w:r>
      <w:proofErr w:type="gramStart"/>
      <w:r w:rsidRPr="00FE2CE8">
        <w:rPr>
          <w:rFonts w:ascii="Book Antiqua" w:hAnsi="Book Antiqua" w:cs="Times"/>
          <w:color w:val="000000"/>
          <w:sz w:val="22"/>
          <w:szCs w:val="22"/>
        </w:rPr>
        <w:t>, in particular, take</w:t>
      </w:r>
      <w:proofErr w:type="gramEnd"/>
      <w:r w:rsidRPr="00FE2CE8">
        <w:rPr>
          <w:rFonts w:ascii="Book Antiqua" w:hAnsi="Book Antiqua" w:cs="Times"/>
          <w:color w:val="000000"/>
          <w:sz w:val="22"/>
          <w:szCs w:val="22"/>
        </w:rPr>
        <w:t xml:space="preserve"> due account of the minor’s well-being and social development, safety and security considerations and the views of the minor in accordance with his or her age and maturity, including his or her background. In addition, specific procedural guarantees for unaccompanied minors should be laid down </w:t>
      </w:r>
      <w:proofErr w:type="gramStart"/>
      <w:r w:rsidRPr="00FE2CE8">
        <w:rPr>
          <w:rFonts w:ascii="Book Antiqua" w:hAnsi="Book Antiqua" w:cs="Times"/>
          <w:color w:val="000000"/>
          <w:sz w:val="22"/>
          <w:szCs w:val="22"/>
        </w:rPr>
        <w:t>on account of</w:t>
      </w:r>
      <w:proofErr w:type="gramEnd"/>
      <w:r w:rsidRPr="00FE2CE8">
        <w:rPr>
          <w:rFonts w:ascii="Book Antiqua" w:hAnsi="Book Antiqua" w:cs="Times"/>
          <w:color w:val="000000"/>
          <w:sz w:val="22"/>
          <w:szCs w:val="22"/>
        </w:rPr>
        <w:t xml:space="preserve"> their particular vulnerability. </w:t>
      </w:r>
    </w:p>
    <w:p w14:paraId="177B8530" w14:textId="77777777" w:rsidR="005216C1" w:rsidRPr="00FE2CE8" w:rsidRDefault="005216C1" w:rsidP="00FE2CE8">
      <w:pPr>
        <w:autoSpaceDE w:val="0"/>
        <w:autoSpaceDN w:val="0"/>
        <w:adjustRightInd w:val="0"/>
        <w:spacing w:after="240" w:line="300" w:lineRule="atLeast"/>
        <w:ind w:left="709"/>
        <w:jc w:val="both"/>
        <w:rPr>
          <w:rFonts w:ascii="Book Antiqua" w:hAnsi="Book Antiqua" w:cs="Times"/>
          <w:color w:val="000000"/>
          <w:sz w:val="22"/>
          <w:szCs w:val="22"/>
        </w:rPr>
      </w:pPr>
      <w:r w:rsidRPr="00FE2CE8">
        <w:rPr>
          <w:rFonts w:ascii="Book Antiqua" w:hAnsi="Book Antiqua" w:cs="Times"/>
          <w:color w:val="000000"/>
          <w:sz w:val="22"/>
          <w:szCs w:val="22"/>
        </w:rPr>
        <w:t xml:space="preserve">(14) In accordance with the European Convention for the Protection of Human Rights and Fundamental Freedoms and with the Charter of Fundamental Rights of the European Union, respect for family life should be a primary consideration of Member States when applying this Regulation. </w:t>
      </w:r>
    </w:p>
    <w:p w14:paraId="78B13E4D" w14:textId="52E2269C" w:rsidR="00D86E24" w:rsidRDefault="005216C1" w:rsidP="00FE2CE8">
      <w:pPr>
        <w:autoSpaceDE w:val="0"/>
        <w:autoSpaceDN w:val="0"/>
        <w:adjustRightInd w:val="0"/>
        <w:spacing w:after="240" w:line="260" w:lineRule="atLeast"/>
        <w:ind w:left="709"/>
        <w:jc w:val="both"/>
        <w:rPr>
          <w:rFonts w:ascii="Book Antiqua" w:hAnsi="Book Antiqua" w:cs="Times"/>
          <w:color w:val="000000"/>
          <w:sz w:val="22"/>
          <w:szCs w:val="22"/>
        </w:rPr>
      </w:pPr>
      <w:r w:rsidRPr="00FE2CE8">
        <w:rPr>
          <w:rFonts w:ascii="Book Antiqua" w:hAnsi="Book Antiqua" w:cs="Times"/>
          <w:color w:val="000000"/>
          <w:sz w:val="22"/>
          <w:szCs w:val="22"/>
        </w:rPr>
        <w:t xml:space="preserve">(15) The processing together of the applications for inter­ national protection of the members of one family by a single Member State makes it possible to ensure that the applications are examined thoroughly, the decisions taken in respect of them are consistent and the members of one family are not separated. </w:t>
      </w:r>
    </w:p>
    <w:p w14:paraId="48F01699" w14:textId="44444AB2" w:rsidR="00FE2CE8" w:rsidRPr="00FE2CE8" w:rsidRDefault="00FE2CE8" w:rsidP="00FE2CE8">
      <w:pPr>
        <w:autoSpaceDE w:val="0"/>
        <w:autoSpaceDN w:val="0"/>
        <w:adjustRightInd w:val="0"/>
        <w:spacing w:after="240" w:line="260" w:lineRule="atLeast"/>
        <w:ind w:left="709"/>
        <w:jc w:val="both"/>
        <w:rPr>
          <w:rFonts w:ascii="Book Antiqua" w:hAnsi="Book Antiqua" w:cs="Times"/>
          <w:color w:val="000000"/>
          <w:sz w:val="22"/>
          <w:szCs w:val="22"/>
        </w:rPr>
      </w:pPr>
      <w:r>
        <w:rPr>
          <w:rFonts w:ascii="Book Antiqua" w:hAnsi="Book Antiqua" w:cs="Times"/>
          <w:color w:val="000000"/>
          <w:sz w:val="22"/>
          <w:szCs w:val="22"/>
        </w:rPr>
        <w:t>…</w:t>
      </w:r>
    </w:p>
    <w:p w14:paraId="42B01532" w14:textId="00DB3809" w:rsidR="00D86E24" w:rsidRPr="00FE2CE8" w:rsidRDefault="00D86E24" w:rsidP="00FE2CE8">
      <w:pPr>
        <w:autoSpaceDE w:val="0"/>
        <w:autoSpaceDN w:val="0"/>
        <w:adjustRightInd w:val="0"/>
        <w:spacing w:after="240" w:line="260" w:lineRule="atLeast"/>
        <w:ind w:left="709"/>
        <w:jc w:val="both"/>
        <w:rPr>
          <w:rFonts w:ascii="Book Antiqua" w:hAnsi="Book Antiqua" w:cs="Times"/>
          <w:color w:val="000000"/>
          <w:sz w:val="22"/>
          <w:szCs w:val="22"/>
        </w:rPr>
      </w:pPr>
      <w:r w:rsidRPr="00FE2CE8">
        <w:rPr>
          <w:rFonts w:ascii="Book Antiqua" w:hAnsi="Book Antiqua" w:cs="Times"/>
          <w:color w:val="000000"/>
          <w:sz w:val="22"/>
          <w:szCs w:val="22"/>
        </w:rPr>
        <w:t xml:space="preserve">(35) In order to provide for supplementary rules, the power to adopt acts in accordance with Article 290 TFEU should be delegated to the Commission in respect of the identification of family members, siblings or relatives of an unaccompanied minor; the criteria for establishing the existence of proven family links; the criteria for assessing the capacity of a relative to take care of an unaccompanied minor, including where family members, siblings or relatives of the unaccompanied minor stay in more than one Member State; the elements for assessing a dependency link; the criteria for assessing the capacity of a person to take care of a dependent person and the elements to be taken into account in order to assess the inability to travel for a significant period of time. In exercising its powers to adopt delegated acts, the Commission shall not exceed the scope of the best interests of the child as provided for under Article 6(3) of this Regulation. It is of </w:t>
      </w:r>
      <w:proofErr w:type="gramStart"/>
      <w:r w:rsidRPr="00FE2CE8">
        <w:rPr>
          <w:rFonts w:ascii="Book Antiqua" w:hAnsi="Book Antiqua" w:cs="Times"/>
          <w:color w:val="000000"/>
          <w:sz w:val="22"/>
          <w:szCs w:val="22"/>
        </w:rPr>
        <w:t>particular importance</w:t>
      </w:r>
      <w:proofErr w:type="gramEnd"/>
      <w:r w:rsidRPr="00FE2CE8">
        <w:rPr>
          <w:rFonts w:ascii="Book Antiqua" w:hAnsi="Book Antiqua" w:cs="Times"/>
          <w:color w:val="000000"/>
          <w:sz w:val="22"/>
          <w:szCs w:val="22"/>
        </w:rPr>
        <w:t xml:space="preserve"> that the Commission carry out appropriate consultations during its preparatory work, including at expert level. The Commission, when preparing and drawing up delegated acts, should ensure a simultaneous, timely and appropriate transmission of relevant documents to the European Parliament and to the Council. </w:t>
      </w:r>
      <w:r w:rsidRPr="00FE2CE8">
        <w:rPr>
          <w:rFonts w:eastAsia="MS Mincho"/>
          <w:color w:val="000000"/>
          <w:sz w:val="22"/>
          <w:szCs w:val="22"/>
        </w:rPr>
        <w:t> </w:t>
      </w:r>
    </w:p>
    <w:p w14:paraId="2A124EEF" w14:textId="2DFACC9E" w:rsidR="00FE2CE8" w:rsidRDefault="00FE2CE8" w:rsidP="00FE2CE8">
      <w:pPr>
        <w:autoSpaceDE w:val="0"/>
        <w:autoSpaceDN w:val="0"/>
        <w:adjustRightInd w:val="0"/>
        <w:spacing w:after="240" w:line="260" w:lineRule="atLeast"/>
        <w:ind w:left="709"/>
        <w:jc w:val="both"/>
        <w:rPr>
          <w:rFonts w:ascii="Book Antiqua" w:hAnsi="Book Antiqua" w:cs="Times"/>
          <w:color w:val="000000"/>
          <w:sz w:val="22"/>
          <w:szCs w:val="22"/>
        </w:rPr>
      </w:pPr>
      <w:r>
        <w:rPr>
          <w:rFonts w:ascii="Book Antiqua" w:hAnsi="Book Antiqua" w:cs="Times"/>
          <w:color w:val="000000"/>
          <w:sz w:val="22"/>
          <w:szCs w:val="22"/>
        </w:rPr>
        <w:t>…</w:t>
      </w:r>
    </w:p>
    <w:p w14:paraId="7D08EF9E" w14:textId="1BA87EB9" w:rsidR="005216C1" w:rsidRPr="00FE2CE8" w:rsidRDefault="005216C1" w:rsidP="00FE2CE8">
      <w:pPr>
        <w:autoSpaceDE w:val="0"/>
        <w:autoSpaceDN w:val="0"/>
        <w:adjustRightInd w:val="0"/>
        <w:spacing w:after="240" w:line="260" w:lineRule="atLeast"/>
        <w:ind w:left="709"/>
        <w:jc w:val="both"/>
        <w:rPr>
          <w:rFonts w:ascii="Book Antiqua" w:eastAsia="MS Mincho" w:hAnsi="Book Antiqua" w:cs="MS Mincho"/>
          <w:color w:val="000000"/>
          <w:sz w:val="22"/>
          <w:szCs w:val="22"/>
        </w:rPr>
      </w:pPr>
      <w:r w:rsidRPr="00FE2CE8">
        <w:rPr>
          <w:rFonts w:ascii="Book Antiqua" w:hAnsi="Book Antiqua" w:cs="Times"/>
          <w:color w:val="000000"/>
          <w:sz w:val="22"/>
          <w:szCs w:val="22"/>
        </w:rPr>
        <w:t xml:space="preserve">(37) Detailed rules for the application of Regulation (EC) No 343/2003 have been laid down by Regulation (EC) No 1560/2003. Certain provisions of Regulation (EC) No 1560/2003 should be incorporated into this Regulation, either for reasons of clarity or because they can serve a general objective. </w:t>
      </w:r>
      <w:proofErr w:type="gramStart"/>
      <w:r w:rsidRPr="00FE2CE8">
        <w:rPr>
          <w:rFonts w:ascii="Book Antiqua" w:hAnsi="Book Antiqua" w:cs="Times"/>
          <w:color w:val="000000"/>
          <w:sz w:val="22"/>
          <w:szCs w:val="22"/>
        </w:rPr>
        <w:t>In particular, it</w:t>
      </w:r>
      <w:proofErr w:type="gramEnd"/>
      <w:r w:rsidRPr="00FE2CE8">
        <w:rPr>
          <w:rFonts w:ascii="Book Antiqua" w:hAnsi="Book Antiqua" w:cs="Times"/>
          <w:color w:val="000000"/>
          <w:sz w:val="22"/>
          <w:szCs w:val="22"/>
        </w:rPr>
        <w:t xml:space="preserve"> is important, both for the Member States and the applicants concerned, that there should be a general mechanism for finding a solution in cases where Member States differ over the application of a provision of this Regulation. It is therefore justified to incorporate the mechanism provided for in Regulation (EC) No 1560/2003 for the settling of disputes on the humanitarian clause into this Regulation and to extend its scope to the entirety of this Regulation. </w:t>
      </w:r>
      <w:r w:rsidRPr="00FE2CE8">
        <w:rPr>
          <w:rFonts w:eastAsia="MS Mincho"/>
          <w:color w:val="000000"/>
          <w:sz w:val="22"/>
          <w:szCs w:val="22"/>
        </w:rPr>
        <w:t> </w:t>
      </w:r>
    </w:p>
    <w:p w14:paraId="5ADD85FF" w14:textId="4AD10515" w:rsidR="00D86E24" w:rsidRPr="00FE2CE8" w:rsidRDefault="00FE2CE8" w:rsidP="00FE2CE8">
      <w:pPr>
        <w:autoSpaceDE w:val="0"/>
        <w:autoSpaceDN w:val="0"/>
        <w:adjustRightInd w:val="0"/>
        <w:spacing w:after="240" w:line="260" w:lineRule="atLeast"/>
        <w:ind w:left="709"/>
        <w:jc w:val="both"/>
        <w:rPr>
          <w:rFonts w:ascii="Book Antiqua" w:hAnsi="Book Antiqua" w:cs="Times"/>
          <w:color w:val="000000"/>
          <w:sz w:val="22"/>
          <w:szCs w:val="22"/>
        </w:rPr>
      </w:pPr>
      <w:r>
        <w:rPr>
          <w:rFonts w:ascii="Book Antiqua" w:hAnsi="Book Antiqua" w:cs="Times"/>
          <w:color w:val="000000"/>
          <w:sz w:val="22"/>
          <w:szCs w:val="22"/>
        </w:rPr>
        <w:t>…</w:t>
      </w:r>
    </w:p>
    <w:p w14:paraId="7F6A5C61" w14:textId="77777777" w:rsidR="00D86E24" w:rsidRPr="00FE2CE8" w:rsidRDefault="00D86E24" w:rsidP="00FE2CE8">
      <w:pPr>
        <w:autoSpaceDE w:val="0"/>
        <w:autoSpaceDN w:val="0"/>
        <w:adjustRightInd w:val="0"/>
        <w:spacing w:after="240" w:line="260" w:lineRule="atLeast"/>
        <w:ind w:left="709"/>
        <w:jc w:val="both"/>
        <w:rPr>
          <w:rFonts w:ascii="Book Antiqua" w:hAnsi="Book Antiqua" w:cs="Times"/>
          <w:color w:val="000000"/>
          <w:sz w:val="22"/>
          <w:szCs w:val="22"/>
        </w:rPr>
      </w:pPr>
      <w:r w:rsidRPr="00FE2CE8">
        <w:rPr>
          <w:rFonts w:ascii="Book Antiqua" w:hAnsi="Book Antiqua" w:cs="Times"/>
          <w:color w:val="000000"/>
          <w:sz w:val="22"/>
          <w:szCs w:val="22"/>
        </w:rPr>
        <w:t xml:space="preserve">(40) Since the objective of this Regulation, namely the establishment of criteria and mechanisms for determining the Member State responsible for examining an application for </w:t>
      </w:r>
      <w:r w:rsidRPr="00FE2CE8">
        <w:rPr>
          <w:rFonts w:ascii="Book Antiqua" w:hAnsi="Book Antiqua" w:cs="Times"/>
          <w:color w:val="000000"/>
          <w:sz w:val="22"/>
          <w:szCs w:val="22"/>
        </w:rPr>
        <w:lastRenderedPageBreak/>
        <w:t xml:space="preserve">international protection lodged in one of the Member States by a third-country national or a stateless person, cannot be sufficiently achieved by the Member States and can therefore, by reason of the scale and effects of this Regulation, be better achieved at Union level, the Union may adopt measures in accordance with the principle of subsidiarity as set out in Article 5 of the Treaty on European Union (TEU). In accordance with the principle of proportionality, as set out in that Article, this Regulation does not go beyond what is necessary in order to achieve that objective. </w:t>
      </w:r>
    </w:p>
    <w:p w14:paraId="2E66DFCA" w14:textId="77777777" w:rsidR="00D86E24" w:rsidRPr="00FE2CE8" w:rsidRDefault="00D86E24" w:rsidP="00FE2CE8">
      <w:pPr>
        <w:autoSpaceDE w:val="0"/>
        <w:autoSpaceDN w:val="0"/>
        <w:adjustRightInd w:val="0"/>
        <w:spacing w:after="240" w:line="300" w:lineRule="atLeast"/>
        <w:ind w:left="709"/>
        <w:rPr>
          <w:rFonts w:ascii="Book Antiqua" w:hAnsi="Book Antiqua" w:cs="Times"/>
          <w:color w:val="000000"/>
          <w:sz w:val="22"/>
          <w:szCs w:val="22"/>
        </w:rPr>
      </w:pPr>
      <w:r w:rsidRPr="00FE2CE8">
        <w:rPr>
          <w:rFonts w:ascii="Book Antiqua" w:hAnsi="Book Antiqua" w:cs="Times"/>
          <w:i/>
          <w:iCs/>
          <w:color w:val="000000"/>
          <w:sz w:val="22"/>
          <w:szCs w:val="22"/>
        </w:rPr>
        <w:t xml:space="preserve">Article 1 </w:t>
      </w:r>
    </w:p>
    <w:p w14:paraId="3BA40740" w14:textId="77777777" w:rsidR="00D86E24" w:rsidRPr="00FE2CE8" w:rsidRDefault="00D86E24" w:rsidP="00FE2CE8">
      <w:pPr>
        <w:autoSpaceDE w:val="0"/>
        <w:autoSpaceDN w:val="0"/>
        <w:adjustRightInd w:val="0"/>
        <w:spacing w:after="240" w:line="300" w:lineRule="atLeast"/>
        <w:ind w:left="709"/>
        <w:rPr>
          <w:rFonts w:ascii="Book Antiqua" w:hAnsi="Book Antiqua" w:cs="Times"/>
          <w:color w:val="000000"/>
          <w:sz w:val="22"/>
          <w:szCs w:val="22"/>
        </w:rPr>
      </w:pPr>
      <w:r w:rsidRPr="00FE2CE8">
        <w:rPr>
          <w:rFonts w:ascii="Book Antiqua" w:hAnsi="Book Antiqua" w:cs="Times"/>
          <w:b/>
          <w:bCs/>
          <w:color w:val="000000"/>
          <w:sz w:val="22"/>
          <w:szCs w:val="22"/>
        </w:rPr>
        <w:t xml:space="preserve">Subject matter </w:t>
      </w:r>
    </w:p>
    <w:p w14:paraId="1EB6E4F0" w14:textId="77777777" w:rsidR="00D86E24" w:rsidRPr="00FE2CE8" w:rsidRDefault="00D86E24" w:rsidP="00FE2CE8">
      <w:pPr>
        <w:autoSpaceDE w:val="0"/>
        <w:autoSpaceDN w:val="0"/>
        <w:adjustRightInd w:val="0"/>
        <w:spacing w:after="240" w:line="300" w:lineRule="atLeast"/>
        <w:ind w:left="709"/>
        <w:rPr>
          <w:rFonts w:ascii="Book Antiqua" w:hAnsi="Book Antiqua" w:cs="Times"/>
          <w:color w:val="000000"/>
          <w:sz w:val="22"/>
          <w:szCs w:val="22"/>
        </w:rPr>
      </w:pPr>
      <w:r w:rsidRPr="00FE2CE8">
        <w:rPr>
          <w:rFonts w:ascii="Book Antiqua" w:hAnsi="Book Antiqua" w:cs="Times"/>
          <w:color w:val="000000"/>
          <w:sz w:val="22"/>
          <w:szCs w:val="22"/>
        </w:rPr>
        <w:t xml:space="preserve">This Regulation lays down the criteria and mechanisms for determining the Member State responsible for examining an application for international protection lodged in one of the Member States by a third-country national or a stateless person (‘the Member State responsible’). </w:t>
      </w:r>
    </w:p>
    <w:p w14:paraId="697997FD" w14:textId="77777777" w:rsidR="00D86E24" w:rsidRPr="00FE2CE8" w:rsidRDefault="00D86E24" w:rsidP="00FE2CE8">
      <w:pPr>
        <w:autoSpaceDE w:val="0"/>
        <w:autoSpaceDN w:val="0"/>
        <w:adjustRightInd w:val="0"/>
        <w:spacing w:after="240" w:line="300" w:lineRule="atLeast"/>
        <w:ind w:left="709"/>
        <w:rPr>
          <w:rFonts w:ascii="Book Antiqua" w:hAnsi="Book Antiqua" w:cs="Times"/>
          <w:color w:val="000000"/>
          <w:sz w:val="22"/>
          <w:szCs w:val="22"/>
        </w:rPr>
      </w:pPr>
      <w:r w:rsidRPr="00FE2CE8">
        <w:rPr>
          <w:rFonts w:ascii="Book Antiqua" w:hAnsi="Book Antiqua" w:cs="Times"/>
          <w:i/>
          <w:iCs/>
          <w:color w:val="000000"/>
          <w:sz w:val="22"/>
          <w:szCs w:val="22"/>
        </w:rPr>
        <w:t xml:space="preserve">Article 2 </w:t>
      </w:r>
    </w:p>
    <w:p w14:paraId="78C8A5B7" w14:textId="77777777" w:rsidR="00D86E24" w:rsidRPr="00FE2CE8" w:rsidRDefault="00D86E24" w:rsidP="00FE2CE8">
      <w:pPr>
        <w:autoSpaceDE w:val="0"/>
        <w:autoSpaceDN w:val="0"/>
        <w:adjustRightInd w:val="0"/>
        <w:spacing w:after="240" w:line="300" w:lineRule="atLeast"/>
        <w:ind w:left="709"/>
        <w:rPr>
          <w:rFonts w:ascii="Book Antiqua" w:hAnsi="Book Antiqua" w:cs="Times"/>
          <w:color w:val="000000"/>
          <w:sz w:val="22"/>
          <w:szCs w:val="22"/>
        </w:rPr>
      </w:pPr>
      <w:r w:rsidRPr="00FE2CE8">
        <w:rPr>
          <w:rFonts w:ascii="Book Antiqua" w:hAnsi="Book Antiqua" w:cs="Times"/>
          <w:b/>
          <w:bCs/>
          <w:color w:val="000000"/>
          <w:sz w:val="22"/>
          <w:szCs w:val="22"/>
        </w:rPr>
        <w:t xml:space="preserve">Definitions </w:t>
      </w:r>
    </w:p>
    <w:p w14:paraId="448A5165" w14:textId="77777777" w:rsidR="00D86E24" w:rsidRPr="00FE2CE8" w:rsidRDefault="00D86E24" w:rsidP="00F63223">
      <w:pPr>
        <w:autoSpaceDE w:val="0"/>
        <w:autoSpaceDN w:val="0"/>
        <w:adjustRightInd w:val="0"/>
        <w:spacing w:after="240" w:line="300" w:lineRule="atLeast"/>
        <w:ind w:left="709"/>
        <w:jc w:val="both"/>
        <w:rPr>
          <w:rFonts w:ascii="Book Antiqua" w:hAnsi="Book Antiqua" w:cs="Times"/>
          <w:color w:val="000000"/>
          <w:sz w:val="22"/>
          <w:szCs w:val="22"/>
        </w:rPr>
      </w:pPr>
      <w:r w:rsidRPr="00FE2CE8">
        <w:rPr>
          <w:rFonts w:ascii="Book Antiqua" w:hAnsi="Book Antiqua" w:cs="Times"/>
          <w:color w:val="000000"/>
          <w:sz w:val="22"/>
          <w:szCs w:val="22"/>
        </w:rPr>
        <w:t xml:space="preserve">For the purposes of this Regulation: </w:t>
      </w:r>
    </w:p>
    <w:p w14:paraId="09616989" w14:textId="77777777" w:rsidR="00D86E24" w:rsidRPr="00FE2CE8" w:rsidRDefault="00D86E24" w:rsidP="00F63223">
      <w:pPr>
        <w:autoSpaceDE w:val="0"/>
        <w:autoSpaceDN w:val="0"/>
        <w:adjustRightInd w:val="0"/>
        <w:spacing w:after="240" w:line="300" w:lineRule="atLeast"/>
        <w:ind w:left="709"/>
        <w:jc w:val="both"/>
        <w:rPr>
          <w:rFonts w:ascii="Book Antiqua" w:hAnsi="Book Antiqua" w:cs="Times"/>
          <w:color w:val="000000"/>
          <w:sz w:val="22"/>
          <w:szCs w:val="22"/>
        </w:rPr>
      </w:pPr>
      <w:r w:rsidRPr="00FE2CE8">
        <w:rPr>
          <w:rFonts w:ascii="Book Antiqua" w:hAnsi="Book Antiqua" w:cs="Times"/>
          <w:color w:val="000000"/>
          <w:sz w:val="22"/>
          <w:szCs w:val="22"/>
        </w:rPr>
        <w:t xml:space="preserve">(a) ‘third-country national’ means any person who is not a citizen of the Union within the meaning of Article 20(1) TFEU and who is not national of a State which participates in this Regulation by virtue of an agreement with the European Union; </w:t>
      </w:r>
    </w:p>
    <w:p w14:paraId="791A5813" w14:textId="77777777" w:rsidR="00D86E24" w:rsidRPr="00FE2CE8" w:rsidRDefault="009D594C" w:rsidP="00F63223">
      <w:pPr>
        <w:autoSpaceDE w:val="0"/>
        <w:autoSpaceDN w:val="0"/>
        <w:adjustRightInd w:val="0"/>
        <w:spacing w:after="240" w:line="260" w:lineRule="atLeast"/>
        <w:ind w:left="709"/>
        <w:jc w:val="both"/>
        <w:rPr>
          <w:rFonts w:ascii="Book Antiqua" w:hAnsi="Book Antiqua" w:cs="Times"/>
          <w:color w:val="000000"/>
          <w:sz w:val="22"/>
          <w:szCs w:val="22"/>
        </w:rPr>
      </w:pPr>
      <w:r w:rsidRPr="00FE2CE8">
        <w:rPr>
          <w:rFonts w:ascii="Book Antiqua" w:hAnsi="Book Antiqua" w:cs="Times"/>
          <w:color w:val="000000"/>
          <w:sz w:val="22"/>
          <w:szCs w:val="22"/>
        </w:rPr>
        <w:t>…</w:t>
      </w:r>
    </w:p>
    <w:p w14:paraId="02B1D0A9" w14:textId="5CA808FE" w:rsidR="009D594C" w:rsidRPr="00FE2CE8" w:rsidRDefault="009D594C" w:rsidP="00F63223">
      <w:pPr>
        <w:tabs>
          <w:tab w:val="left" w:pos="220"/>
          <w:tab w:val="left" w:pos="720"/>
        </w:tabs>
        <w:autoSpaceDE w:val="0"/>
        <w:autoSpaceDN w:val="0"/>
        <w:adjustRightInd w:val="0"/>
        <w:spacing w:after="240" w:line="300" w:lineRule="atLeast"/>
        <w:ind w:left="709"/>
        <w:jc w:val="both"/>
        <w:rPr>
          <w:rFonts w:ascii="Book Antiqua" w:hAnsi="Book Antiqua" w:cs="Times"/>
          <w:color w:val="000000"/>
          <w:sz w:val="22"/>
          <w:szCs w:val="22"/>
        </w:rPr>
      </w:pPr>
      <w:r w:rsidRPr="00FE2CE8">
        <w:rPr>
          <w:rFonts w:ascii="Book Antiqua" w:hAnsi="Book Antiqua" w:cs="Times"/>
          <w:color w:val="000000"/>
          <w:sz w:val="22"/>
          <w:szCs w:val="22"/>
        </w:rPr>
        <w:t xml:space="preserve">(f) ‘beneficiary of international protection’ means a third- country national or a stateless person who has been granted international protection as defined in Article 2(a) of Directive 2011/95/EU; </w:t>
      </w:r>
    </w:p>
    <w:p w14:paraId="7A9E8B54" w14:textId="77777777" w:rsidR="009D594C" w:rsidRPr="00FE2CE8" w:rsidRDefault="009D594C" w:rsidP="00F63223">
      <w:pPr>
        <w:tabs>
          <w:tab w:val="left" w:pos="220"/>
          <w:tab w:val="left" w:pos="720"/>
        </w:tabs>
        <w:autoSpaceDE w:val="0"/>
        <w:autoSpaceDN w:val="0"/>
        <w:adjustRightInd w:val="0"/>
        <w:spacing w:after="240" w:line="300" w:lineRule="atLeast"/>
        <w:ind w:left="709"/>
        <w:jc w:val="both"/>
        <w:rPr>
          <w:rFonts w:ascii="Book Antiqua" w:hAnsi="Book Antiqua" w:cs="Times"/>
          <w:color w:val="000000"/>
          <w:sz w:val="22"/>
          <w:szCs w:val="22"/>
        </w:rPr>
      </w:pPr>
      <w:r w:rsidRPr="00FE2CE8">
        <w:rPr>
          <w:rFonts w:ascii="Book Antiqua" w:hAnsi="Book Antiqua" w:cs="Times"/>
          <w:color w:val="000000"/>
          <w:sz w:val="22"/>
          <w:szCs w:val="22"/>
        </w:rPr>
        <w:t xml:space="preserve">(g) ‘family members’ means, insofar as the family already existed in the country of origin, the following members of the applicant’s family who are present on the territory of the Member States: </w:t>
      </w:r>
    </w:p>
    <w:p w14:paraId="2F540E9A" w14:textId="5424D18C" w:rsidR="009D594C" w:rsidRPr="00FE2CE8" w:rsidRDefault="009D594C" w:rsidP="00F63223">
      <w:pPr>
        <w:tabs>
          <w:tab w:val="left" w:pos="940"/>
        </w:tabs>
        <w:autoSpaceDE w:val="0"/>
        <w:autoSpaceDN w:val="0"/>
        <w:adjustRightInd w:val="0"/>
        <w:spacing w:after="240" w:line="300" w:lineRule="atLeast"/>
        <w:ind w:left="709"/>
        <w:jc w:val="both"/>
        <w:rPr>
          <w:rFonts w:ascii="Book Antiqua" w:hAnsi="Book Antiqua" w:cs="Times"/>
          <w:color w:val="000000"/>
          <w:sz w:val="22"/>
          <w:szCs w:val="22"/>
        </w:rPr>
      </w:pPr>
      <w:r w:rsidRPr="00FE2CE8">
        <w:rPr>
          <w:rFonts w:ascii="Book Antiqua" w:hAnsi="Book Antiqua" w:cs="Times"/>
          <w:color w:val="000000"/>
          <w:sz w:val="22"/>
          <w:szCs w:val="22"/>
        </w:rPr>
        <w:t xml:space="preserve">—  the spouse of the applicant or his or her unmarried partner in a stable relationship, where the law or practice of the Member State concerned treats unmarried couples in a way comparable to married couples under its law relating to third-country nationals, </w:t>
      </w:r>
    </w:p>
    <w:p w14:paraId="46C108E1" w14:textId="356DE632" w:rsidR="009D594C" w:rsidRPr="00FE2CE8" w:rsidRDefault="009D594C" w:rsidP="00F63223">
      <w:pPr>
        <w:numPr>
          <w:ilvl w:val="1"/>
          <w:numId w:val="11"/>
        </w:numPr>
        <w:tabs>
          <w:tab w:val="left" w:pos="940"/>
        </w:tabs>
        <w:autoSpaceDE w:val="0"/>
        <w:autoSpaceDN w:val="0"/>
        <w:adjustRightInd w:val="0"/>
        <w:spacing w:after="240" w:line="300" w:lineRule="atLeast"/>
        <w:ind w:left="709"/>
        <w:jc w:val="both"/>
        <w:rPr>
          <w:rFonts w:ascii="Book Antiqua" w:hAnsi="Book Antiqua" w:cs="Times"/>
          <w:color w:val="000000"/>
          <w:sz w:val="22"/>
          <w:szCs w:val="22"/>
        </w:rPr>
      </w:pPr>
      <w:r w:rsidRPr="00FE2CE8">
        <w:rPr>
          <w:rFonts w:ascii="Book Antiqua" w:hAnsi="Book Antiqua" w:cs="Times"/>
          <w:color w:val="000000"/>
          <w:sz w:val="22"/>
          <w:szCs w:val="22"/>
        </w:rPr>
        <w:t xml:space="preserve">—  the minor children of couples referred to in the first indent or of the applicant, on condition that they are unmarried and regardless of whether they were born in or out of wedlock or adopted as defined under national law, </w:t>
      </w:r>
    </w:p>
    <w:p w14:paraId="2E455B58" w14:textId="77777777" w:rsidR="009D594C" w:rsidRPr="00FE2CE8" w:rsidRDefault="009D594C" w:rsidP="00F63223">
      <w:pPr>
        <w:autoSpaceDE w:val="0"/>
        <w:autoSpaceDN w:val="0"/>
        <w:adjustRightInd w:val="0"/>
        <w:spacing w:after="240" w:line="300" w:lineRule="atLeast"/>
        <w:ind w:left="709"/>
        <w:jc w:val="both"/>
        <w:rPr>
          <w:rFonts w:ascii="Book Antiqua" w:hAnsi="Book Antiqua" w:cs="Times"/>
          <w:color w:val="000000"/>
          <w:sz w:val="22"/>
          <w:szCs w:val="22"/>
        </w:rPr>
      </w:pPr>
      <w:r w:rsidRPr="00FE2CE8">
        <w:rPr>
          <w:rFonts w:ascii="Book Antiqua" w:hAnsi="Book Antiqua" w:cs="Times"/>
          <w:i/>
          <w:iCs/>
          <w:color w:val="000000"/>
          <w:sz w:val="22"/>
          <w:szCs w:val="22"/>
        </w:rPr>
        <w:t xml:space="preserve">Article 9 </w:t>
      </w:r>
    </w:p>
    <w:p w14:paraId="35CE0421" w14:textId="77777777" w:rsidR="009D594C" w:rsidRPr="00FE2CE8" w:rsidRDefault="009D594C" w:rsidP="00F63223">
      <w:pPr>
        <w:autoSpaceDE w:val="0"/>
        <w:autoSpaceDN w:val="0"/>
        <w:adjustRightInd w:val="0"/>
        <w:spacing w:after="240" w:line="300" w:lineRule="atLeast"/>
        <w:ind w:left="709"/>
        <w:jc w:val="both"/>
        <w:rPr>
          <w:rFonts w:ascii="Book Antiqua" w:hAnsi="Book Antiqua" w:cs="Times"/>
          <w:color w:val="000000"/>
          <w:sz w:val="22"/>
          <w:szCs w:val="22"/>
        </w:rPr>
      </w:pPr>
      <w:r w:rsidRPr="00FE2CE8">
        <w:rPr>
          <w:rFonts w:ascii="Book Antiqua" w:hAnsi="Book Antiqua" w:cs="Times"/>
          <w:b/>
          <w:bCs/>
          <w:color w:val="000000"/>
          <w:sz w:val="22"/>
          <w:szCs w:val="22"/>
        </w:rPr>
        <w:t xml:space="preserve">Family members who are beneficiaries of international protection </w:t>
      </w:r>
    </w:p>
    <w:p w14:paraId="3B813291" w14:textId="77777777" w:rsidR="009D594C" w:rsidRPr="00FE2CE8" w:rsidRDefault="009D594C" w:rsidP="00F63223">
      <w:pPr>
        <w:autoSpaceDE w:val="0"/>
        <w:autoSpaceDN w:val="0"/>
        <w:adjustRightInd w:val="0"/>
        <w:spacing w:after="240" w:line="300" w:lineRule="atLeast"/>
        <w:ind w:left="709"/>
        <w:jc w:val="both"/>
        <w:rPr>
          <w:rFonts w:ascii="Book Antiqua" w:hAnsi="Book Antiqua" w:cs="Times"/>
          <w:color w:val="000000"/>
          <w:sz w:val="22"/>
          <w:szCs w:val="22"/>
        </w:rPr>
      </w:pPr>
      <w:r w:rsidRPr="00FE2CE8">
        <w:rPr>
          <w:rFonts w:ascii="Book Antiqua" w:hAnsi="Book Antiqua" w:cs="Times"/>
          <w:color w:val="000000"/>
          <w:sz w:val="22"/>
          <w:szCs w:val="22"/>
        </w:rPr>
        <w:t xml:space="preserve">Where the applicant has a family member, regardless of whether the family was previously formed in the country of origin, who has been allowed to reside as a beneficiary of international protection in a Member State, that Member State shall be responsible for </w:t>
      </w:r>
      <w:r w:rsidRPr="00FE2CE8">
        <w:rPr>
          <w:rFonts w:ascii="Book Antiqua" w:hAnsi="Book Antiqua" w:cs="Times"/>
          <w:color w:val="000000"/>
          <w:sz w:val="22"/>
          <w:szCs w:val="22"/>
        </w:rPr>
        <w:lastRenderedPageBreak/>
        <w:t xml:space="preserve">examining the application for international protection, provided that the persons concerned expressed their desire in writing. </w:t>
      </w:r>
    </w:p>
    <w:p w14:paraId="63E366D5" w14:textId="5B2C6525" w:rsidR="00B676F2" w:rsidRDefault="00B676F2" w:rsidP="007D3AAA">
      <w:pPr>
        <w:spacing w:before="240" w:after="240" w:line="360" w:lineRule="auto"/>
        <w:jc w:val="both"/>
        <w:rPr>
          <w:rFonts w:ascii="Book Antiqua" w:hAnsi="Book Antiqua" w:cs="Courier New"/>
          <w:b/>
        </w:rPr>
      </w:pPr>
      <w:r>
        <w:rPr>
          <w:rFonts w:ascii="Book Antiqua" w:hAnsi="Book Antiqua" w:cs="Courier New"/>
          <w:b/>
        </w:rPr>
        <w:t>Submissions on Article 9</w:t>
      </w:r>
    </w:p>
    <w:p w14:paraId="67B705B5" w14:textId="751F0DD2" w:rsidR="00B676F2" w:rsidRPr="0012239F" w:rsidRDefault="00B676F2"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 xml:space="preserve">Miss Kilroy submitted that it was plain from the recitals in the Dublin agreement particularly </w:t>
      </w:r>
      <w:r>
        <w:rPr>
          <w:rFonts w:ascii="Book Antiqua" w:hAnsi="Book Antiqua" w:cs="Courier New"/>
        </w:rPr>
        <w:t xml:space="preserve">at Article </w:t>
      </w:r>
      <w:r w:rsidRPr="0012239F">
        <w:rPr>
          <w:rFonts w:ascii="Book Antiqua" w:hAnsi="Book Antiqua" w:cs="Courier New"/>
        </w:rPr>
        <w:t xml:space="preserve">5 </w:t>
      </w:r>
      <w:r>
        <w:rPr>
          <w:rFonts w:ascii="Book Antiqua" w:hAnsi="Book Antiqua" w:cs="Courier New"/>
        </w:rPr>
        <w:t xml:space="preserve">that there was a need for speed; </w:t>
      </w:r>
      <w:r w:rsidRPr="0012239F">
        <w:rPr>
          <w:rFonts w:ascii="Book Antiqua" w:hAnsi="Book Antiqua" w:cs="Courier New"/>
        </w:rPr>
        <w:t>and</w:t>
      </w:r>
      <w:r>
        <w:rPr>
          <w:rFonts w:ascii="Book Antiqua" w:hAnsi="Book Antiqua" w:cs="Courier New"/>
        </w:rPr>
        <w:t xml:space="preserve">, </w:t>
      </w:r>
      <w:r w:rsidRPr="0012239F">
        <w:rPr>
          <w:rFonts w:ascii="Book Antiqua" w:hAnsi="Book Antiqua" w:cs="Courier New"/>
        </w:rPr>
        <w:t xml:space="preserve">at </w:t>
      </w:r>
      <w:r>
        <w:rPr>
          <w:rFonts w:ascii="Book Antiqua" w:hAnsi="Book Antiqua" w:cs="Courier New"/>
        </w:rPr>
        <w:t xml:space="preserve">Articles </w:t>
      </w:r>
      <w:r w:rsidRPr="0012239F">
        <w:rPr>
          <w:rFonts w:ascii="Book Antiqua" w:hAnsi="Book Antiqua" w:cs="Courier New"/>
        </w:rPr>
        <w:t>13 to 17 the issues of child</w:t>
      </w:r>
      <w:r>
        <w:rPr>
          <w:rFonts w:ascii="Book Antiqua" w:hAnsi="Book Antiqua" w:cs="Courier New"/>
        </w:rPr>
        <w:t>ren are of paramount concern.   S</w:t>
      </w:r>
      <w:r w:rsidRPr="0012239F">
        <w:rPr>
          <w:rFonts w:ascii="Book Antiqua" w:hAnsi="Book Antiqua" w:cs="Courier New"/>
        </w:rPr>
        <w:t xml:space="preserve">he submitted further that recital 15 in this context indicated that the </w:t>
      </w:r>
      <w:r>
        <w:rPr>
          <w:rFonts w:ascii="Book Antiqua" w:hAnsi="Book Antiqua" w:cs="Courier New"/>
        </w:rPr>
        <w:t xml:space="preserve">asylum applications </w:t>
      </w:r>
      <w:r w:rsidRPr="0012239F">
        <w:rPr>
          <w:rFonts w:ascii="Book Antiqua" w:hAnsi="Book Antiqua" w:cs="Courier New"/>
        </w:rPr>
        <w:t xml:space="preserve">of A1 to </w:t>
      </w:r>
      <w:r w:rsidR="008C4007">
        <w:rPr>
          <w:rFonts w:ascii="Book Antiqua" w:hAnsi="Book Antiqua" w:cs="Courier New"/>
        </w:rPr>
        <w:t>A</w:t>
      </w:r>
      <w:r w:rsidRPr="0012239F">
        <w:rPr>
          <w:rFonts w:ascii="Book Antiqua" w:hAnsi="Book Antiqua" w:cs="Courier New"/>
        </w:rPr>
        <w:t xml:space="preserve">4 should be </w:t>
      </w:r>
      <w:r>
        <w:rPr>
          <w:rFonts w:ascii="Book Antiqua" w:hAnsi="Book Antiqua" w:cs="Courier New"/>
        </w:rPr>
        <w:t>determined in</w:t>
      </w:r>
      <w:r w:rsidRPr="0012239F">
        <w:rPr>
          <w:rFonts w:ascii="Book Antiqua" w:hAnsi="Book Antiqua" w:cs="Courier New"/>
        </w:rPr>
        <w:t xml:space="preserve"> the United Kingdom given the connection with A5 this being an indication that there should be consistency and thoroughness.  She submitted </w:t>
      </w:r>
      <w:r>
        <w:rPr>
          <w:rFonts w:ascii="Book Antiqua" w:hAnsi="Book Antiqua" w:cs="Courier New"/>
        </w:rPr>
        <w:t xml:space="preserve">that, properly considered, </w:t>
      </w:r>
      <w:r w:rsidRPr="0012239F">
        <w:rPr>
          <w:rFonts w:ascii="Book Antiqua" w:hAnsi="Book Antiqua" w:cs="Courier New"/>
        </w:rPr>
        <w:t xml:space="preserve">recital 15 gave three reasons why </w:t>
      </w:r>
      <w:r>
        <w:rPr>
          <w:rFonts w:ascii="Book Antiqua" w:hAnsi="Book Antiqua" w:cs="Courier New"/>
        </w:rPr>
        <w:t xml:space="preserve">the applications </w:t>
      </w:r>
      <w:r w:rsidRPr="0012239F">
        <w:rPr>
          <w:rFonts w:ascii="Book Antiqua" w:hAnsi="Book Antiqua" w:cs="Courier New"/>
        </w:rPr>
        <w:t>should be processed in the United Kingdom.</w:t>
      </w:r>
    </w:p>
    <w:p w14:paraId="7362E557" w14:textId="4BAE185B" w:rsidR="00B676F2" w:rsidRPr="0012239F" w:rsidRDefault="00B676F2"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 xml:space="preserve">Turning to the definitions in Article 2 Miss Kilroy submitted that the definition set out in Article </w:t>
      </w:r>
      <w:r>
        <w:rPr>
          <w:rFonts w:ascii="Book Antiqua" w:hAnsi="Book Antiqua" w:cs="Courier New"/>
        </w:rPr>
        <w:t>2(f)</w:t>
      </w:r>
      <w:r w:rsidRPr="0012239F">
        <w:rPr>
          <w:rFonts w:ascii="Book Antiqua" w:hAnsi="Book Antiqua" w:cs="Courier New"/>
        </w:rPr>
        <w:t xml:space="preserve"> did not apply such that A5 was not a person within Article 9; it was accepted that the wording in Article 9 did, however, disapply the definition of family member in Article 2(g).  Miss Kilroy submitted that regard needed to be paid to the stricture of the hierarchy in that not only did it seek to give primacy to the best interests of children in the assessment criteria particularly that it was possible that the clarity of </w:t>
      </w:r>
      <w:r w:rsidRPr="003A48B0">
        <w:rPr>
          <w:rFonts w:ascii="Book Antiqua" w:hAnsi="Book Antiqua" w:cs="Courier New"/>
        </w:rPr>
        <w:t xml:space="preserve">reason overlapped, it being possible that the country identified in one Article might be different from a category in another depending on where a family was dispersed.  She relied on </w:t>
      </w:r>
      <w:r w:rsidR="004968EE">
        <w:rPr>
          <w:rFonts w:ascii="Book Antiqua" w:hAnsi="Book Antiqua" w:cs="Courier New"/>
          <w:u w:val="single"/>
        </w:rPr>
        <w:t>HA &amp; Others</w:t>
      </w:r>
      <w:r w:rsidR="004968EE" w:rsidRPr="007F203B">
        <w:rPr>
          <w:rFonts w:ascii="Book Antiqua" w:hAnsi="Book Antiqua" w:cs="Courier New"/>
        </w:rPr>
        <w:t xml:space="preserve"> </w:t>
      </w:r>
      <w:r w:rsidRPr="0012239F">
        <w:rPr>
          <w:rFonts w:ascii="Book Antiqua" w:hAnsi="Book Antiqua" w:cs="Courier New"/>
        </w:rPr>
        <w:t>at paragraphs 54, 59 and 60 submitting that there was a need for Article 9 to cover children as well as adults and that this showed a concern for the right to family life.</w:t>
      </w:r>
    </w:p>
    <w:p w14:paraId="34052CB9" w14:textId="77777777" w:rsidR="00B676F2" w:rsidRPr="0012239F" w:rsidRDefault="00B676F2"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 xml:space="preserve">Miss Kilroy submitted that contrary to the respondent’s assertions, a close temporal nexus between one member of the family’s claim for asylum and the remainder is not necessary and indeed, if the family member in the member state had not acquired citizenship, then there was no time limit.  </w:t>
      </w:r>
    </w:p>
    <w:p w14:paraId="45918142" w14:textId="50F1729F" w:rsidR="00B676F2" w:rsidRDefault="00B676F2"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 xml:space="preserve">Miss Kilroy submitted that Article 9 ought to be construed in its context as the Supreme Court </w:t>
      </w:r>
      <w:r w:rsidRPr="003A48B0">
        <w:rPr>
          <w:rFonts w:ascii="Book Antiqua" w:hAnsi="Book Antiqua" w:cs="Courier New"/>
        </w:rPr>
        <w:t xml:space="preserve">in </w:t>
      </w:r>
      <w:r w:rsidRPr="003A48B0">
        <w:rPr>
          <w:rFonts w:ascii="Book Antiqua" w:hAnsi="Book Antiqua" w:cs="Courier New"/>
          <w:u w:val="single"/>
        </w:rPr>
        <w:t>ZN</w:t>
      </w:r>
      <w:r w:rsidRPr="003A48B0">
        <w:rPr>
          <w:rFonts w:ascii="Book Antiqua" w:hAnsi="Book Antiqua" w:cs="Courier New"/>
        </w:rPr>
        <w:t xml:space="preserve"> (Afghanistan) </w:t>
      </w:r>
      <w:r w:rsidR="00AC6BC2" w:rsidRPr="003A48B0">
        <w:rPr>
          <w:rFonts w:ascii="Book Antiqua" w:hAnsi="Book Antiqua" w:cs="Courier New"/>
        </w:rPr>
        <w:t xml:space="preserve">had done </w:t>
      </w:r>
      <w:r w:rsidRPr="003A48B0">
        <w:rPr>
          <w:rFonts w:ascii="Book Antiqua" w:hAnsi="Book Antiqua" w:cs="Courier New"/>
        </w:rPr>
        <w:t xml:space="preserve">and that there was no reason to depart from the analysis in </w:t>
      </w:r>
      <w:r w:rsidRPr="003A48B0">
        <w:rPr>
          <w:rFonts w:ascii="Book Antiqua" w:hAnsi="Book Antiqua" w:cs="Courier New"/>
          <w:u w:val="single"/>
        </w:rPr>
        <w:t>HA and Others</w:t>
      </w:r>
      <w:r w:rsidRPr="0012239F">
        <w:rPr>
          <w:rFonts w:ascii="Book Antiqua" w:hAnsi="Book Antiqua" w:cs="Courier New"/>
        </w:rPr>
        <w:t xml:space="preserve">.  </w:t>
      </w:r>
    </w:p>
    <w:p w14:paraId="1F63560D" w14:textId="49F60443" w:rsidR="00B03F5B" w:rsidRPr="0012239F" w:rsidRDefault="00B03F5B"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lastRenderedPageBreak/>
        <w:t xml:space="preserve">Mr Lewis submitted that the title </w:t>
      </w:r>
      <w:r>
        <w:rPr>
          <w:rFonts w:ascii="Book Antiqua" w:hAnsi="Book Antiqua" w:cs="Courier New"/>
        </w:rPr>
        <w:t xml:space="preserve">preceding </w:t>
      </w:r>
      <w:r w:rsidRPr="0012239F">
        <w:rPr>
          <w:rFonts w:ascii="Book Antiqua" w:hAnsi="Book Antiqua" w:cs="Courier New"/>
        </w:rPr>
        <w:t xml:space="preserve">Article 9 was an important matter to be taken into account </w:t>
      </w:r>
      <w:r>
        <w:rPr>
          <w:rFonts w:ascii="Book Antiqua" w:hAnsi="Book Antiqua" w:cs="Courier New"/>
        </w:rPr>
        <w:t>as</w:t>
      </w:r>
      <w:r w:rsidRPr="0012239F">
        <w:rPr>
          <w:rFonts w:ascii="Book Antiqua" w:hAnsi="Book Antiqua" w:cs="Courier New"/>
        </w:rPr>
        <w:t xml:space="preserve"> the title </w:t>
      </w:r>
      <w:r>
        <w:rPr>
          <w:rFonts w:ascii="Book Antiqua" w:hAnsi="Book Antiqua" w:cs="Courier New"/>
        </w:rPr>
        <w:t>read</w:t>
      </w:r>
      <w:r w:rsidR="00AC6BC2">
        <w:rPr>
          <w:rFonts w:ascii="Book Antiqua" w:hAnsi="Book Antiqua" w:cs="Courier New"/>
        </w:rPr>
        <w:t>s</w:t>
      </w:r>
      <w:r w:rsidRPr="0012239F">
        <w:rPr>
          <w:rFonts w:ascii="Book Antiqua" w:hAnsi="Book Antiqua" w:cs="Courier New"/>
        </w:rPr>
        <w:t xml:space="preserve"> “are” beneficiaries of international protection and that, combined with the definition of the person in receipt of </w:t>
      </w:r>
      <w:r>
        <w:rPr>
          <w:rFonts w:ascii="Book Antiqua" w:hAnsi="Book Antiqua" w:cs="Courier New"/>
        </w:rPr>
        <w:t>international p</w:t>
      </w:r>
      <w:r w:rsidRPr="0012239F">
        <w:rPr>
          <w:rFonts w:ascii="Book Antiqua" w:hAnsi="Book Antiqua" w:cs="Courier New"/>
        </w:rPr>
        <w:t xml:space="preserve">rotection </w:t>
      </w:r>
      <w:r>
        <w:rPr>
          <w:rFonts w:ascii="Book Antiqua" w:hAnsi="Book Antiqua" w:cs="Courier New"/>
        </w:rPr>
        <w:t>in Article 2(f)</w:t>
      </w:r>
      <w:r w:rsidRPr="0012239F">
        <w:rPr>
          <w:rFonts w:ascii="Book Antiqua" w:hAnsi="Book Antiqua" w:cs="Courier New"/>
        </w:rPr>
        <w:t xml:space="preserve"> indicated that the scope of Article 9 should cease once the individual in question had ceased to be such a person through for example taking citizenship.  He submitted further that </w:t>
      </w:r>
      <w:r w:rsidRPr="003A48B0">
        <w:rPr>
          <w:rFonts w:ascii="Book Antiqua" w:hAnsi="Book Antiqua" w:cs="Courier New"/>
          <w:u w:val="single"/>
        </w:rPr>
        <w:t>HA</w:t>
      </w:r>
      <w:r w:rsidR="00E25E48" w:rsidRPr="003A48B0">
        <w:rPr>
          <w:rFonts w:ascii="Book Antiqua" w:hAnsi="Book Antiqua" w:cs="Courier New"/>
          <w:u w:val="single"/>
        </w:rPr>
        <w:t xml:space="preserve"> &amp; others</w:t>
      </w:r>
      <w:r w:rsidRPr="0012239F">
        <w:rPr>
          <w:rFonts w:ascii="Book Antiqua" w:hAnsi="Book Antiqua" w:cs="Courier New"/>
        </w:rPr>
        <w:t xml:space="preserve"> could properly be distinguished on the basis that the family had existed in Kuwait before the asylum claim had been made and indeed before the first applicant there had come to the United King</w:t>
      </w:r>
      <w:r>
        <w:rPr>
          <w:rFonts w:ascii="Book Antiqua" w:hAnsi="Book Antiqua" w:cs="Courier New"/>
        </w:rPr>
        <w:t>dom to claim asylum.  He submitted</w:t>
      </w:r>
      <w:r w:rsidRPr="0012239F">
        <w:rPr>
          <w:rFonts w:ascii="Book Antiqua" w:hAnsi="Book Antiqua" w:cs="Courier New"/>
        </w:rPr>
        <w:t xml:space="preserve"> further that on a proper construction of </w:t>
      </w:r>
      <w:r w:rsidR="00E25E48" w:rsidRPr="003A48B0">
        <w:rPr>
          <w:rFonts w:ascii="Book Antiqua" w:hAnsi="Book Antiqua" w:cs="Courier New"/>
          <w:u w:val="single"/>
        </w:rPr>
        <w:t>HA &amp; others</w:t>
      </w:r>
      <w:r w:rsidRPr="0012239F">
        <w:rPr>
          <w:rFonts w:ascii="Book Antiqua" w:hAnsi="Book Antiqua" w:cs="Courier New"/>
        </w:rPr>
        <w:t>, the point was obiter</w:t>
      </w:r>
      <w:r w:rsidR="00E25E48">
        <w:rPr>
          <w:rFonts w:ascii="Book Antiqua" w:hAnsi="Book Antiqua" w:cs="Courier New"/>
        </w:rPr>
        <w:t>,</w:t>
      </w:r>
      <w:r w:rsidRPr="0012239F">
        <w:rPr>
          <w:rFonts w:ascii="Book Antiqua" w:hAnsi="Book Antiqua" w:cs="Courier New"/>
        </w:rPr>
        <w:t xml:space="preserve"> it </w:t>
      </w:r>
      <w:proofErr w:type="gramStart"/>
      <w:r w:rsidRPr="0012239F">
        <w:rPr>
          <w:rFonts w:ascii="Book Antiqua" w:hAnsi="Book Antiqua" w:cs="Courier New"/>
        </w:rPr>
        <w:t>arising</w:t>
      </w:r>
      <w:proofErr w:type="gramEnd"/>
      <w:r w:rsidRPr="0012239F">
        <w:rPr>
          <w:rFonts w:ascii="Book Antiqua" w:hAnsi="Book Antiqua" w:cs="Courier New"/>
        </w:rPr>
        <w:t xml:space="preserve"> only in consideration of Article </w:t>
      </w:r>
      <w:r w:rsidR="002D32D8">
        <w:rPr>
          <w:rFonts w:ascii="Book Antiqua" w:hAnsi="Book Antiqua" w:cs="Courier New"/>
        </w:rPr>
        <w:t>17 (2)</w:t>
      </w:r>
      <w:r w:rsidRPr="0012239F">
        <w:rPr>
          <w:rFonts w:ascii="Book Antiqua" w:hAnsi="Book Antiqua" w:cs="Courier New"/>
        </w:rPr>
        <w:t xml:space="preserve">. </w:t>
      </w:r>
    </w:p>
    <w:p w14:paraId="40E902D8" w14:textId="6D5D39A4" w:rsidR="00B03F5B" w:rsidRPr="0012239F" w:rsidRDefault="00B03F5B"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Although accepting that r</w:t>
      </w:r>
      <w:r w:rsidRPr="0012239F">
        <w:rPr>
          <w:rFonts w:ascii="Book Antiqua" w:hAnsi="Book Antiqua" w:cs="Courier New"/>
        </w:rPr>
        <w:t xml:space="preserve">ecital 15 could apply equally to Article 10 of </w:t>
      </w:r>
      <w:r>
        <w:rPr>
          <w:rFonts w:ascii="Book Antiqua" w:hAnsi="Book Antiqua" w:cs="Courier New"/>
        </w:rPr>
        <w:t xml:space="preserve">Dublin III, </w:t>
      </w:r>
      <w:r w:rsidRPr="0012239F">
        <w:rPr>
          <w:rFonts w:ascii="Book Antiqua" w:hAnsi="Book Antiqua" w:cs="Courier New"/>
        </w:rPr>
        <w:t xml:space="preserve">Mr Lewis submitted </w:t>
      </w:r>
      <w:r>
        <w:rPr>
          <w:rFonts w:ascii="Book Antiqua" w:hAnsi="Book Antiqua" w:cs="Courier New"/>
        </w:rPr>
        <w:t>that a</w:t>
      </w:r>
      <w:r w:rsidRPr="0012239F">
        <w:rPr>
          <w:rFonts w:ascii="Book Antiqua" w:hAnsi="Book Antiqua" w:cs="Courier New"/>
        </w:rPr>
        <w:t xml:space="preserve"> temporal proximity or nexus </w:t>
      </w:r>
      <w:r>
        <w:rPr>
          <w:rFonts w:ascii="Book Antiqua" w:hAnsi="Book Antiqua" w:cs="Courier New"/>
        </w:rPr>
        <w:t xml:space="preserve">between the claim of the person granted international protection and the claims of the family members </w:t>
      </w:r>
      <w:r w:rsidRPr="0012239F">
        <w:rPr>
          <w:rFonts w:ascii="Book Antiqua" w:hAnsi="Book Antiqua" w:cs="Courier New"/>
        </w:rPr>
        <w:t xml:space="preserve">was an important consideration.  He accepted that, as I observed, the categories of people covered by Article 8 and Article 9 were different, Article 8 applying where the family member in question was a citizen of a member state.  He submitted, however, </w:t>
      </w:r>
      <w:r>
        <w:rPr>
          <w:rFonts w:ascii="Book Antiqua" w:hAnsi="Book Antiqua" w:cs="Courier New"/>
        </w:rPr>
        <w:t xml:space="preserve">that </w:t>
      </w:r>
      <w:r w:rsidRPr="0012239F">
        <w:rPr>
          <w:rFonts w:ascii="Book Antiqua" w:hAnsi="Book Antiqua" w:cs="Courier New"/>
        </w:rPr>
        <w:t xml:space="preserve">this was in </w:t>
      </w:r>
      <w:r>
        <w:rPr>
          <w:rFonts w:ascii="Book Antiqua" w:hAnsi="Book Antiqua" w:cs="Courier New"/>
        </w:rPr>
        <w:t xml:space="preserve">the </w:t>
      </w:r>
      <w:r w:rsidRPr="0012239F">
        <w:rPr>
          <w:rFonts w:ascii="Book Antiqua" w:hAnsi="Book Antiqua" w:cs="Courier New"/>
        </w:rPr>
        <w:t xml:space="preserve">context of a different situation which was the protection of unaccompanied minors.  It was submitted that it was evident that the policy here was not to admit family members arising from a family once one member had acquired citizenship that being evident both from Article 7.2 and it was important to note that </w:t>
      </w:r>
      <w:r w:rsidR="00E25E48">
        <w:rPr>
          <w:rFonts w:ascii="Book Antiqua" w:hAnsi="Book Antiqua" w:cs="Courier New"/>
        </w:rPr>
        <w:t xml:space="preserve">on </w:t>
      </w:r>
      <w:r w:rsidRPr="0012239F">
        <w:rPr>
          <w:rFonts w:ascii="Book Antiqua" w:hAnsi="Book Antiqua" w:cs="Courier New"/>
        </w:rPr>
        <w:t xml:space="preserve">a proper construction of Article 9 the consent of the person in the member state was also required, this being the necessary part of the checks that would be undertaken by the Secretary of State.  He was, however, unable to provide any evidence that this is what would be undertaken or that this was the Secretary of State’s policy or that this is what was usually done in the circumstances.  He </w:t>
      </w:r>
      <w:r>
        <w:rPr>
          <w:rFonts w:ascii="Book Antiqua" w:hAnsi="Book Antiqua" w:cs="Courier New"/>
        </w:rPr>
        <w:t>submitted</w:t>
      </w:r>
      <w:r w:rsidRPr="0012239F">
        <w:rPr>
          <w:rFonts w:ascii="Book Antiqua" w:hAnsi="Book Antiqua" w:cs="Courier New"/>
        </w:rPr>
        <w:t xml:space="preserve"> that such a check might be necessary if for example there was a request from a man to join a spouse who had been recognised as a refugee in a member state as a result of domestic violence.  </w:t>
      </w:r>
    </w:p>
    <w:p w14:paraId="461EF54E" w14:textId="1AAA289F" w:rsidR="00B03F5B" w:rsidRPr="0012239F" w:rsidRDefault="00B03F5B"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 xml:space="preserve">Mr Lewis submitted that once an individual </w:t>
      </w:r>
      <w:r>
        <w:rPr>
          <w:rFonts w:ascii="Book Antiqua" w:hAnsi="Book Antiqua" w:cs="Courier New"/>
        </w:rPr>
        <w:t>bec</w:t>
      </w:r>
      <w:r w:rsidR="00E25E48">
        <w:rPr>
          <w:rFonts w:ascii="Book Antiqua" w:hAnsi="Book Antiqua" w:cs="Courier New"/>
        </w:rPr>
        <w:t>a</w:t>
      </w:r>
      <w:r>
        <w:rPr>
          <w:rFonts w:ascii="Book Antiqua" w:hAnsi="Book Antiqua" w:cs="Courier New"/>
        </w:rPr>
        <w:t>me</w:t>
      </w:r>
      <w:r w:rsidRPr="0012239F">
        <w:rPr>
          <w:rFonts w:ascii="Book Antiqua" w:hAnsi="Book Antiqua" w:cs="Courier New"/>
        </w:rPr>
        <w:t xml:space="preserve"> a citizen</w:t>
      </w:r>
      <w:r>
        <w:rPr>
          <w:rFonts w:ascii="Book Antiqua" w:hAnsi="Book Antiqua" w:cs="Courier New"/>
        </w:rPr>
        <w:t xml:space="preserve"> of an EU state</w:t>
      </w:r>
      <w:r w:rsidRPr="0012239F">
        <w:rPr>
          <w:rFonts w:ascii="Book Antiqua" w:hAnsi="Book Antiqua" w:cs="Courier New"/>
        </w:rPr>
        <w:t>, they should no longer be able to obtain the benefit of fa</w:t>
      </w:r>
      <w:r>
        <w:rPr>
          <w:rFonts w:ascii="Book Antiqua" w:hAnsi="Book Antiqua" w:cs="Courier New"/>
        </w:rPr>
        <w:t>mily reunion under Dublin III.</w:t>
      </w:r>
    </w:p>
    <w:p w14:paraId="2CB58D33" w14:textId="4365D384" w:rsidR="00B03F5B" w:rsidRDefault="00B03F5B"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 xml:space="preserve">Mr Lewis submitted further that </w:t>
      </w:r>
      <w:r w:rsidRPr="003A48B0">
        <w:rPr>
          <w:rFonts w:ascii="Book Antiqua" w:hAnsi="Book Antiqua" w:cs="Courier New"/>
          <w:u w:val="single"/>
        </w:rPr>
        <w:t>ZN</w:t>
      </w:r>
      <w:r w:rsidRPr="003A48B0">
        <w:rPr>
          <w:rFonts w:ascii="Book Antiqua" w:hAnsi="Book Antiqua" w:cs="Courier New"/>
        </w:rPr>
        <w:t xml:space="preserve"> </w:t>
      </w:r>
      <w:r w:rsidRPr="0012239F">
        <w:rPr>
          <w:rFonts w:ascii="Book Antiqua" w:hAnsi="Book Antiqua" w:cs="Courier New"/>
        </w:rPr>
        <w:t>was not directly applicable in this case</w:t>
      </w:r>
      <w:r w:rsidR="00E25E48">
        <w:rPr>
          <w:rFonts w:ascii="Book Antiqua" w:hAnsi="Book Antiqua" w:cs="Courier New"/>
        </w:rPr>
        <w:t xml:space="preserve">, </w:t>
      </w:r>
      <w:r w:rsidRPr="0012239F">
        <w:rPr>
          <w:rFonts w:ascii="Book Antiqua" w:hAnsi="Book Antiqua" w:cs="Courier New"/>
        </w:rPr>
        <w:t>given the very different context of interpreting the Immigration Rules.</w:t>
      </w:r>
    </w:p>
    <w:p w14:paraId="62B4625E" w14:textId="5F78BEBE" w:rsidR="003E7FEF" w:rsidRPr="0012239F" w:rsidRDefault="003E7FEF"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lastRenderedPageBreak/>
        <w:t xml:space="preserve">Miss Kilroy submitted that it was not proper to seek to distinguish </w:t>
      </w:r>
      <w:r w:rsidRPr="003A48B0">
        <w:rPr>
          <w:rFonts w:ascii="Book Antiqua" w:hAnsi="Book Antiqua" w:cs="Courier New"/>
          <w:u w:val="single"/>
        </w:rPr>
        <w:t>ZN</w:t>
      </w:r>
      <w:r w:rsidRPr="0012239F">
        <w:rPr>
          <w:rFonts w:ascii="Book Antiqua" w:hAnsi="Book Antiqua" w:cs="Courier New"/>
        </w:rPr>
        <w:t xml:space="preserve"> there being no real difference in the language and that the Supreme Court had identified </w:t>
      </w:r>
      <w:r w:rsidR="00E25E48">
        <w:rPr>
          <w:rFonts w:ascii="Book Antiqua" w:hAnsi="Book Antiqua" w:cs="Courier New"/>
        </w:rPr>
        <w:t xml:space="preserve">in </w:t>
      </w:r>
      <w:r w:rsidRPr="0012239F">
        <w:rPr>
          <w:rFonts w:ascii="Book Antiqua" w:hAnsi="Book Antiqua" w:cs="Courier New"/>
        </w:rPr>
        <w:t xml:space="preserve">its analysis of paragraph 352D of the Immigration Rules (see paragraph 27) that this applied equally to Article 9.  She submitted further that there was nothing to suggest that Dublin III Regulation would be undermined by the </w:t>
      </w:r>
      <w:proofErr w:type="gramStart"/>
      <w:r w:rsidRPr="0012239F">
        <w:rPr>
          <w:rFonts w:ascii="Book Antiqua" w:hAnsi="Book Antiqua" w:cs="Courier New"/>
        </w:rPr>
        <w:t>particular interpretation</w:t>
      </w:r>
      <w:proofErr w:type="gramEnd"/>
      <w:r w:rsidRPr="0012239F">
        <w:rPr>
          <w:rFonts w:ascii="Book Antiqua" w:hAnsi="Book Antiqua" w:cs="Courier New"/>
        </w:rPr>
        <w:t xml:space="preserve"> that the applicant sought to place on Article 9 and that there </w:t>
      </w:r>
      <w:r>
        <w:rPr>
          <w:rFonts w:ascii="Book Antiqua" w:hAnsi="Book Antiqua" w:cs="Courier New"/>
        </w:rPr>
        <w:t>wa</w:t>
      </w:r>
      <w:r w:rsidRPr="0012239F">
        <w:rPr>
          <w:rFonts w:ascii="Book Antiqua" w:hAnsi="Book Antiqua" w:cs="Courier New"/>
        </w:rPr>
        <w:t xml:space="preserve">s no reason to read it in the manner </w:t>
      </w:r>
      <w:r>
        <w:rPr>
          <w:rFonts w:ascii="Book Antiqua" w:hAnsi="Book Antiqua" w:cs="Courier New"/>
        </w:rPr>
        <w:t>indica</w:t>
      </w:r>
      <w:r w:rsidRPr="0012239F">
        <w:rPr>
          <w:rFonts w:ascii="Book Antiqua" w:hAnsi="Book Antiqua" w:cs="Courier New"/>
        </w:rPr>
        <w:t xml:space="preserve">ted by the Secretary of State.  She submitted that </w:t>
      </w:r>
      <w:proofErr w:type="gramStart"/>
      <w:r w:rsidRPr="0012239F">
        <w:rPr>
          <w:rFonts w:ascii="Book Antiqua" w:hAnsi="Book Antiqua" w:cs="Courier New"/>
        </w:rPr>
        <w:t>in reality what</w:t>
      </w:r>
      <w:proofErr w:type="gramEnd"/>
      <w:r w:rsidRPr="0012239F">
        <w:rPr>
          <w:rFonts w:ascii="Book Antiqua" w:hAnsi="Book Antiqua" w:cs="Courier New"/>
        </w:rPr>
        <w:t xml:space="preserve"> the Secretary of State was doing was to make again the submission rejected in </w:t>
      </w:r>
      <w:r w:rsidRPr="003A48B0">
        <w:rPr>
          <w:rFonts w:ascii="Book Antiqua" w:hAnsi="Book Antiqua" w:cs="Courier New"/>
          <w:u w:val="single"/>
        </w:rPr>
        <w:t>HA</w:t>
      </w:r>
      <w:r w:rsidR="003A48B0" w:rsidRPr="003A48B0">
        <w:rPr>
          <w:rFonts w:ascii="Book Antiqua" w:hAnsi="Book Antiqua" w:cs="Courier New"/>
          <w:u w:val="single"/>
        </w:rPr>
        <w:t>&amp; Others</w:t>
      </w:r>
      <w:r w:rsidRPr="0012239F">
        <w:rPr>
          <w:rFonts w:ascii="Book Antiqua" w:hAnsi="Book Antiqua" w:cs="Courier New"/>
        </w:rPr>
        <w:t xml:space="preserve"> that the family should apply for entry clearance, an argument which had been rejected. She submitted further that Article 7(2) did not assist the Secretary of State as it relat</w:t>
      </w:r>
      <w:r>
        <w:rPr>
          <w:rFonts w:ascii="Book Antiqua" w:hAnsi="Book Antiqua" w:cs="Courier New"/>
        </w:rPr>
        <w:t>ed</w:t>
      </w:r>
      <w:r w:rsidRPr="0012239F">
        <w:rPr>
          <w:rFonts w:ascii="Book Antiqua" w:hAnsi="Book Antiqua" w:cs="Courier New"/>
        </w:rPr>
        <w:t xml:space="preserve"> not to the position of A5 but rather to the fixing position so that, for example, there could not be a marriage after a person had claimed asylum so that they would then obtain the benefit of one of the Articles.  It was submitted that there was no reason.</w:t>
      </w:r>
    </w:p>
    <w:p w14:paraId="7EEBF7AD" w14:textId="53E4CD30" w:rsidR="007D3AAA" w:rsidRPr="00DD4F41" w:rsidRDefault="00DD4F41" w:rsidP="007D3AAA">
      <w:pPr>
        <w:spacing w:before="240" w:after="240" w:line="360" w:lineRule="auto"/>
        <w:jc w:val="both"/>
        <w:rPr>
          <w:rFonts w:ascii="Book Antiqua" w:hAnsi="Book Antiqua" w:cs="Courier New"/>
          <w:b/>
        </w:rPr>
      </w:pPr>
      <w:bookmarkStart w:id="3" w:name="_GoBack"/>
      <w:bookmarkEnd w:id="3"/>
      <w:r w:rsidRPr="00DD4F41">
        <w:rPr>
          <w:rFonts w:ascii="Book Antiqua" w:hAnsi="Book Antiqua" w:cs="Courier New"/>
          <w:b/>
        </w:rPr>
        <w:t xml:space="preserve">Discussion   </w:t>
      </w:r>
    </w:p>
    <w:p w14:paraId="3D89A6DA" w14:textId="7E1B18E9" w:rsidR="007D3AAA" w:rsidRDefault="007D3AAA"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Both parties accept that if the applicants succeed in showing that Article 9 does apply to them, then the other challenges to the</w:t>
      </w:r>
      <w:r w:rsidR="000513EA">
        <w:rPr>
          <w:rFonts w:ascii="Book Antiqua" w:hAnsi="Book Antiqua" w:cs="Courier New"/>
        </w:rPr>
        <w:t xml:space="preserve"> decision in effect fall away.  </w:t>
      </w:r>
      <w:r>
        <w:rPr>
          <w:rFonts w:ascii="Book Antiqua" w:hAnsi="Book Antiqua" w:cs="Courier New"/>
        </w:rPr>
        <w:t xml:space="preserve">It is also accepted that the </w:t>
      </w:r>
      <w:r w:rsidR="000513EA">
        <w:rPr>
          <w:rFonts w:ascii="Book Antiqua" w:hAnsi="Book Antiqua" w:cs="Courier New"/>
        </w:rPr>
        <w:t>means of interpreting EU law are not the same as interpreting domestic law; that is uncontroversial.</w:t>
      </w:r>
    </w:p>
    <w:p w14:paraId="64D2CE89" w14:textId="77777777" w:rsidR="00CA5583" w:rsidRDefault="00CA5583" w:rsidP="002C56BE">
      <w:pPr>
        <w:numPr>
          <w:ilvl w:val="0"/>
          <w:numId w:val="17"/>
        </w:numPr>
        <w:spacing w:before="240" w:after="240" w:line="360" w:lineRule="auto"/>
        <w:ind w:left="567" w:hanging="567"/>
        <w:jc w:val="both"/>
        <w:rPr>
          <w:rFonts w:ascii="Book Antiqua" w:hAnsi="Book Antiqua" w:cs="Courier New"/>
        </w:rPr>
      </w:pPr>
      <w:r w:rsidRPr="00CA5583">
        <w:rPr>
          <w:rFonts w:ascii="Book Antiqua" w:hAnsi="Book Antiqua" w:cs="Courier New"/>
        </w:rPr>
        <w:t>It is established law that the usual canons of statutory interpretation used in English Law are not applicable to the law of the European Union. Equally, a court of a member state is not assessing a question of foreign law. How then is a court to interpret European Law</w:t>
      </w:r>
      <w:r>
        <w:rPr>
          <w:rFonts w:ascii="Book Antiqua" w:hAnsi="Book Antiqua" w:cs="Courier New"/>
        </w:rPr>
        <w:t>?</w:t>
      </w:r>
    </w:p>
    <w:p w14:paraId="064A59B4" w14:textId="25618E98" w:rsidR="00CA5583" w:rsidRPr="00CA5583" w:rsidRDefault="00CA5583" w:rsidP="002C56BE">
      <w:pPr>
        <w:numPr>
          <w:ilvl w:val="0"/>
          <w:numId w:val="17"/>
        </w:numPr>
        <w:spacing w:before="240" w:after="240" w:line="360" w:lineRule="auto"/>
        <w:ind w:left="567" w:hanging="567"/>
        <w:jc w:val="both"/>
        <w:rPr>
          <w:rFonts w:ascii="Book Antiqua" w:hAnsi="Book Antiqua" w:cs="Courier New"/>
        </w:rPr>
      </w:pPr>
      <w:r w:rsidRPr="00CA5583">
        <w:rPr>
          <w:rFonts w:ascii="Book Antiqua" w:hAnsi="Book Antiqua" w:cs="Courier New"/>
        </w:rPr>
        <w:t xml:space="preserve">As can be seen from </w:t>
      </w:r>
      <w:r w:rsidRPr="00CA5583">
        <w:rPr>
          <w:rFonts w:ascii="Book Antiqua" w:hAnsi="Book Antiqua" w:cs="Courier New"/>
          <w:u w:val="single"/>
        </w:rPr>
        <w:t>CILFIT</w:t>
      </w:r>
      <w:r w:rsidR="00FE2D2E">
        <w:rPr>
          <w:rFonts w:ascii="Book Antiqua" w:hAnsi="Book Antiqua" w:cs="Courier New"/>
        </w:rPr>
        <w:t xml:space="preserve"> </w:t>
      </w:r>
      <w:r w:rsidR="00833C3D" w:rsidRPr="007B1F6B">
        <w:rPr>
          <w:rFonts w:ascii="Book Antiqua" w:hAnsi="Book Antiqua" w:cs="Courier New"/>
        </w:rPr>
        <w:t>[</w:t>
      </w:r>
      <w:r w:rsidR="007B1F6B" w:rsidRPr="007B1F6B">
        <w:rPr>
          <w:rFonts w:ascii="Book Antiqua" w:hAnsi="Book Antiqua" w:cs="Courier New"/>
        </w:rPr>
        <w:t>1982] EUECJ</w:t>
      </w:r>
      <w:r w:rsidRPr="007B1F6B">
        <w:rPr>
          <w:rFonts w:ascii="Book Antiqua" w:hAnsi="Book Antiqua" w:cs="Courier New"/>
        </w:rPr>
        <w:t xml:space="preserve"> </w:t>
      </w:r>
      <w:r w:rsidR="00833C3D" w:rsidRPr="007B1F6B">
        <w:rPr>
          <w:rFonts w:ascii="Book Antiqua" w:hAnsi="Book Antiqua" w:cs="Courier New"/>
        </w:rPr>
        <w:t>283/81</w:t>
      </w:r>
      <w:r w:rsidR="00E25E48">
        <w:rPr>
          <w:rFonts w:ascii="Book Antiqua" w:hAnsi="Book Antiqua" w:cs="Courier New"/>
        </w:rPr>
        <w:t xml:space="preserve"> </w:t>
      </w:r>
      <w:r w:rsidRPr="00CA5583">
        <w:rPr>
          <w:rFonts w:ascii="Book Antiqua" w:hAnsi="Book Antiqua" w:cs="Courier New"/>
        </w:rPr>
        <w:t xml:space="preserve">the starting point is the usual meaning of the words. As the ECJ has observed in </w:t>
      </w:r>
      <w:r w:rsidRPr="00CA5583">
        <w:rPr>
          <w:rFonts w:ascii="Book Antiqua" w:hAnsi="Book Antiqua" w:cs="Courier New"/>
          <w:u w:val="single"/>
        </w:rPr>
        <w:t>BCE v Germany</w:t>
      </w:r>
      <w:r w:rsidRPr="00CA5583">
        <w:rPr>
          <w:rFonts w:ascii="Book Antiqua" w:hAnsi="Book Antiqua" w:cs="Courier New"/>
        </w:rPr>
        <w:t xml:space="preserve"> [2005] ECR I-10595 (Case 220/03) at [20]:</w:t>
      </w:r>
    </w:p>
    <w:p w14:paraId="6D60127F" w14:textId="77777777" w:rsidR="00CA5583" w:rsidRDefault="00CA5583" w:rsidP="00CA5583">
      <w:pPr>
        <w:ind w:left="720"/>
      </w:pPr>
      <w:r w:rsidRPr="004F0340">
        <w:rPr>
          <w:rFonts w:ascii="Book Antiqua" w:hAnsi="Book Antiqua"/>
          <w:sz w:val="22"/>
          <w:szCs w:val="22"/>
        </w:rPr>
        <w:t>Although an interpretation of a provision of an Agreement ‘in the light’ of its legal context is possible in principle to resolve a drafting ambiguity, such an interpretation cannot have the result of depriving the clear and precise wording of that provision of all effectiveness</w:t>
      </w:r>
      <w:r>
        <w:t>.</w:t>
      </w:r>
    </w:p>
    <w:p w14:paraId="19B2969D" w14:textId="77777777" w:rsidR="00CA5583" w:rsidRPr="00CA5583" w:rsidRDefault="00CA5583" w:rsidP="002C56BE">
      <w:pPr>
        <w:numPr>
          <w:ilvl w:val="0"/>
          <w:numId w:val="17"/>
        </w:numPr>
        <w:spacing w:before="240" w:after="240" w:line="360" w:lineRule="auto"/>
        <w:ind w:left="567" w:hanging="567"/>
        <w:jc w:val="both"/>
        <w:rPr>
          <w:rFonts w:ascii="Book Antiqua" w:hAnsi="Book Antiqua" w:cs="Courier New"/>
        </w:rPr>
      </w:pPr>
      <w:r w:rsidRPr="00CA5583">
        <w:rPr>
          <w:rFonts w:ascii="Book Antiqua" w:hAnsi="Book Antiqua" w:cs="Courier New"/>
        </w:rPr>
        <w:t xml:space="preserve">To do otherwise would be to detract from the principal of legal certainty. </w:t>
      </w:r>
    </w:p>
    <w:p w14:paraId="7348BDE7" w14:textId="77777777" w:rsidR="00CA5583" w:rsidRPr="00CA5583" w:rsidRDefault="00CA5583" w:rsidP="002C56BE">
      <w:pPr>
        <w:numPr>
          <w:ilvl w:val="0"/>
          <w:numId w:val="17"/>
        </w:numPr>
        <w:spacing w:before="240" w:after="240" w:line="360" w:lineRule="auto"/>
        <w:ind w:left="567" w:hanging="567"/>
        <w:jc w:val="both"/>
        <w:rPr>
          <w:rFonts w:ascii="Book Antiqua" w:hAnsi="Book Antiqua" w:cs="Courier New"/>
        </w:rPr>
      </w:pPr>
      <w:r w:rsidRPr="00CA5583">
        <w:rPr>
          <w:rFonts w:ascii="Book Antiqua" w:hAnsi="Book Antiqua" w:cs="Courier New"/>
        </w:rPr>
        <w:lastRenderedPageBreak/>
        <w:t xml:space="preserve">This principle is subject to two observations about “clear and precise”: </w:t>
      </w:r>
    </w:p>
    <w:p w14:paraId="48AA41F3" w14:textId="2CC4127E" w:rsidR="00CA5583" w:rsidRDefault="00CA5583" w:rsidP="002C56BE">
      <w:pPr>
        <w:numPr>
          <w:ilvl w:val="1"/>
          <w:numId w:val="17"/>
        </w:numPr>
        <w:spacing w:before="240" w:after="240" w:line="360" w:lineRule="auto"/>
        <w:jc w:val="both"/>
        <w:rPr>
          <w:rFonts w:ascii="Book Antiqua" w:hAnsi="Book Antiqua" w:cs="Courier New"/>
        </w:rPr>
      </w:pPr>
      <w:r w:rsidRPr="00CA5583">
        <w:rPr>
          <w:rFonts w:ascii="Book Antiqua" w:hAnsi="Book Antiqua" w:cs="Courier New"/>
        </w:rPr>
        <w:t>EU Legislation is drafted in several languages, each of which is equally authentic (</w:t>
      </w:r>
      <w:r w:rsidRPr="00E25E48">
        <w:rPr>
          <w:rFonts w:ascii="Book Antiqua" w:hAnsi="Book Antiqua" w:cs="Courier New"/>
          <w:u w:val="single"/>
        </w:rPr>
        <w:t>CILFIT</w:t>
      </w:r>
      <w:r w:rsidRPr="00CA5583">
        <w:rPr>
          <w:rFonts w:ascii="Book Antiqua" w:hAnsi="Book Antiqua" w:cs="Courier New"/>
        </w:rPr>
        <w:t xml:space="preserve"> at [18]);</w:t>
      </w:r>
      <w:r w:rsidR="007B1F6B">
        <w:rPr>
          <w:rFonts w:ascii="Book Antiqua" w:hAnsi="Book Antiqua" w:cs="Courier New"/>
        </w:rPr>
        <w:t xml:space="preserve"> </w:t>
      </w:r>
      <w:r w:rsidRPr="00CA5583">
        <w:rPr>
          <w:rFonts w:ascii="Book Antiqua" w:hAnsi="Book Antiqua" w:cs="Courier New"/>
        </w:rPr>
        <w:t xml:space="preserve">and, </w:t>
      </w:r>
    </w:p>
    <w:p w14:paraId="46B0EB02" w14:textId="5E4A98AB" w:rsidR="00CA5583" w:rsidRPr="00CA5583" w:rsidRDefault="00CA5583" w:rsidP="002C56BE">
      <w:pPr>
        <w:numPr>
          <w:ilvl w:val="1"/>
          <w:numId w:val="17"/>
        </w:numPr>
        <w:spacing w:before="240" w:after="240" w:line="360" w:lineRule="auto"/>
        <w:jc w:val="both"/>
        <w:rPr>
          <w:rFonts w:ascii="Book Antiqua" w:hAnsi="Book Antiqua" w:cs="Courier New"/>
        </w:rPr>
      </w:pPr>
      <w:r w:rsidRPr="00CA5583">
        <w:rPr>
          <w:rFonts w:ascii="Book Antiqua" w:hAnsi="Book Antiqua" w:cs="Courier New"/>
        </w:rPr>
        <w:t>Even if the different language versions are in agreement, EU law uses terminology which is particular to it, and legal concepts do not necessarily have the same meaning in EU law and in the law of the member states (</w:t>
      </w:r>
      <w:r w:rsidRPr="00CA5583">
        <w:rPr>
          <w:rFonts w:ascii="Book Antiqua" w:hAnsi="Book Antiqua" w:cs="Courier New"/>
          <w:u w:val="single"/>
        </w:rPr>
        <w:t>CILFIT</w:t>
      </w:r>
      <w:r w:rsidRPr="00CA5583">
        <w:rPr>
          <w:rFonts w:ascii="Book Antiqua" w:hAnsi="Book Antiqua" w:cs="Courier New"/>
        </w:rPr>
        <w:t xml:space="preserve"> at [19]</w:t>
      </w:r>
      <w:r w:rsidR="00C64FC4">
        <w:rPr>
          <w:rFonts w:ascii="Book Antiqua" w:hAnsi="Book Antiqua" w:cs="Courier New"/>
        </w:rPr>
        <w:t>)</w:t>
      </w:r>
      <w:r w:rsidRPr="00CA5583">
        <w:rPr>
          <w:rFonts w:ascii="Book Antiqua" w:hAnsi="Book Antiqua" w:cs="Courier New"/>
        </w:rPr>
        <w:t xml:space="preserve"> as the law of the European Union constitutes a new legal order of international law (</w:t>
      </w:r>
      <w:r w:rsidRPr="00CA5583">
        <w:rPr>
          <w:rFonts w:ascii="Book Antiqua" w:hAnsi="Book Antiqua" w:cs="Courier New"/>
          <w:u w:val="single"/>
        </w:rPr>
        <w:t xml:space="preserve">Van </w:t>
      </w:r>
      <w:proofErr w:type="spellStart"/>
      <w:r w:rsidRPr="00CA5583">
        <w:rPr>
          <w:rFonts w:ascii="Book Antiqua" w:hAnsi="Book Antiqua" w:cs="Courier New"/>
          <w:u w:val="single"/>
        </w:rPr>
        <w:t>Gend</w:t>
      </w:r>
      <w:proofErr w:type="spellEnd"/>
      <w:r w:rsidRPr="00CA5583">
        <w:rPr>
          <w:rFonts w:ascii="Book Antiqua" w:hAnsi="Book Antiqua" w:cs="Courier New"/>
          <w:u w:val="single"/>
        </w:rPr>
        <w:t xml:space="preserve"> end Loos</w:t>
      </w:r>
      <w:r w:rsidRPr="00CA5583">
        <w:rPr>
          <w:rFonts w:ascii="Book Antiqua" w:hAnsi="Book Antiqua" w:cs="Courier New"/>
        </w:rPr>
        <w:t xml:space="preserve"> [1963] ECR 3415 Case 26/62;</w:t>
      </w:r>
    </w:p>
    <w:p w14:paraId="0C347C81" w14:textId="4C48E5DE" w:rsidR="00CA5583" w:rsidRPr="00CA5583" w:rsidRDefault="00CA5583" w:rsidP="002C56BE">
      <w:pPr>
        <w:numPr>
          <w:ilvl w:val="0"/>
          <w:numId w:val="17"/>
        </w:numPr>
        <w:spacing w:before="240" w:after="240" w:line="360" w:lineRule="auto"/>
        <w:ind w:left="567" w:hanging="567"/>
        <w:jc w:val="both"/>
        <w:rPr>
          <w:rFonts w:ascii="Book Antiqua" w:hAnsi="Book Antiqua" w:cs="Courier New"/>
        </w:rPr>
      </w:pPr>
      <w:r w:rsidRPr="00CA5583">
        <w:rPr>
          <w:rFonts w:ascii="Book Antiqua" w:hAnsi="Book Antiqua" w:cs="Courier New"/>
        </w:rPr>
        <w:t xml:space="preserve">With respect to the former, if there are differences then the case law of the ECJ suggests that regard should be had to the intention of the author and </w:t>
      </w:r>
      <w:proofErr w:type="gramStart"/>
      <w:r w:rsidRPr="00CA5583">
        <w:rPr>
          <w:rFonts w:ascii="Book Antiqua" w:hAnsi="Book Antiqua" w:cs="Courier New"/>
        </w:rPr>
        <w:t>in light of</w:t>
      </w:r>
      <w:proofErr w:type="gramEnd"/>
      <w:r w:rsidRPr="00CA5583">
        <w:rPr>
          <w:rFonts w:ascii="Book Antiqua" w:hAnsi="Book Antiqua" w:cs="Courier New"/>
        </w:rPr>
        <w:t xml:space="preserve"> the objectives the measure sought to achieve – see </w:t>
      </w:r>
      <w:proofErr w:type="spellStart"/>
      <w:r w:rsidRPr="00CA5583">
        <w:rPr>
          <w:rFonts w:ascii="Book Antiqua" w:hAnsi="Book Antiqua" w:cs="Courier New"/>
          <w:u w:val="single"/>
        </w:rPr>
        <w:t>Stauder</w:t>
      </w:r>
      <w:proofErr w:type="spellEnd"/>
      <w:r w:rsidRPr="00CA5583">
        <w:rPr>
          <w:rFonts w:ascii="Book Antiqua" w:hAnsi="Book Antiqua" w:cs="Courier New"/>
        </w:rPr>
        <w:t xml:space="preserve"> [1969] ECR 419 (case 29/69). In the case of the latter, care </w:t>
      </w:r>
      <w:r w:rsidR="001332EB">
        <w:rPr>
          <w:rFonts w:ascii="Book Antiqua" w:hAnsi="Book Antiqua" w:cs="Courier New"/>
        </w:rPr>
        <w:t>must</w:t>
      </w:r>
      <w:r w:rsidRPr="00CA5583">
        <w:rPr>
          <w:rFonts w:ascii="Book Antiqua" w:hAnsi="Book Antiqua" w:cs="Courier New"/>
        </w:rPr>
        <w:t xml:space="preserve"> be taken to consider if the words in question have an autonomous meaning given </w:t>
      </w:r>
      <w:r w:rsidR="001332EB">
        <w:rPr>
          <w:rFonts w:ascii="Book Antiqua" w:hAnsi="Book Antiqua" w:cs="Courier New"/>
        </w:rPr>
        <w:t xml:space="preserve">to them </w:t>
      </w:r>
      <w:r w:rsidRPr="00CA5583">
        <w:rPr>
          <w:rFonts w:ascii="Book Antiqua" w:hAnsi="Book Antiqua" w:cs="Courier New"/>
        </w:rPr>
        <w:t xml:space="preserve">in EU law. </w:t>
      </w:r>
      <w:r w:rsidR="008817C5">
        <w:rPr>
          <w:rFonts w:ascii="Book Antiqua" w:hAnsi="Book Antiqua" w:cs="Courier New"/>
        </w:rPr>
        <w:t xml:space="preserve"> A domestic court does, naturally, have significant practical problems in assessing texts in different languages. If the issue arises then it may be a factor militating in favour of a preliminary reference to the CJEU, an issue which does not arise here. </w:t>
      </w:r>
    </w:p>
    <w:p w14:paraId="54990CFF" w14:textId="4FD23964" w:rsidR="00A74290" w:rsidRDefault="00CA5583" w:rsidP="002C56BE">
      <w:pPr>
        <w:numPr>
          <w:ilvl w:val="0"/>
          <w:numId w:val="17"/>
        </w:numPr>
        <w:spacing w:before="240" w:after="240" w:line="360" w:lineRule="auto"/>
        <w:ind w:left="567" w:hanging="567"/>
        <w:jc w:val="both"/>
        <w:rPr>
          <w:rFonts w:ascii="Book Antiqua" w:hAnsi="Book Antiqua" w:cs="Courier New"/>
        </w:rPr>
      </w:pPr>
      <w:r w:rsidRPr="00CA5583">
        <w:rPr>
          <w:rFonts w:ascii="Book Antiqua" w:hAnsi="Book Antiqua" w:cs="Courier New"/>
        </w:rPr>
        <w:t xml:space="preserve">If, however, the meaning is not clear and precise, regard must be had to the context and purpose of the legislation in question as the ECJ did in </w:t>
      </w:r>
      <w:proofErr w:type="spellStart"/>
      <w:r w:rsidRPr="00E25E48">
        <w:rPr>
          <w:rFonts w:ascii="Book Antiqua" w:hAnsi="Book Antiqua" w:cs="Courier New"/>
          <w:u w:val="single"/>
        </w:rPr>
        <w:t>Elgafaji</w:t>
      </w:r>
      <w:proofErr w:type="spellEnd"/>
      <w:r w:rsidRPr="00E25E48">
        <w:rPr>
          <w:rFonts w:ascii="Book Antiqua" w:hAnsi="Book Antiqua" w:cs="Courier New"/>
          <w:u w:val="single"/>
        </w:rPr>
        <w:t xml:space="preserve"> </w:t>
      </w:r>
      <w:r w:rsidRPr="00CA5583">
        <w:rPr>
          <w:rFonts w:ascii="Book Antiqua" w:hAnsi="Book Antiqua" w:cs="Courier New"/>
        </w:rPr>
        <w:t xml:space="preserve">[2009] ECR I-92 (Case 465/07). Faced with an apparent contradiction within the terms of </w:t>
      </w:r>
      <w:r w:rsidR="00D56B66">
        <w:rPr>
          <w:rFonts w:ascii="Book Antiqua" w:hAnsi="Book Antiqua" w:cs="Courier New"/>
        </w:rPr>
        <w:t>Article</w:t>
      </w:r>
      <w:r w:rsidRPr="00CA5583">
        <w:rPr>
          <w:rFonts w:ascii="Book Antiqua" w:hAnsi="Book Antiqua" w:cs="Courier New"/>
        </w:rPr>
        <w:t xml:space="preserve"> 15 (c), the ECJ interpreted it in such a way as to give it an autonomous meaning which gave it effect, illustrating the premise that the creator of the legislation is acting rationally, and that the provision was introduced to have effect in a logical and rational scheme. A provision of EU law cannot be redundant. It follows that where several interpretations of a provision are possible, that which best ensures effe</w:t>
      </w:r>
      <w:r>
        <w:rPr>
          <w:rFonts w:ascii="Book Antiqua" w:hAnsi="Book Antiqua" w:cs="Courier New"/>
        </w:rPr>
        <w:t xml:space="preserve">ctiveness and consistency with </w:t>
      </w:r>
      <w:r w:rsidRPr="00CA5583">
        <w:rPr>
          <w:rFonts w:ascii="Book Antiqua" w:hAnsi="Book Antiqua" w:cs="Courier New"/>
        </w:rPr>
        <w:t>primary EU law should be followed.</w:t>
      </w:r>
    </w:p>
    <w:p w14:paraId="0E946BF4" w14:textId="2AA82DC5" w:rsidR="00A74290" w:rsidRDefault="00CA5583" w:rsidP="002C56BE">
      <w:pPr>
        <w:numPr>
          <w:ilvl w:val="0"/>
          <w:numId w:val="17"/>
        </w:numPr>
        <w:spacing w:before="240" w:after="240" w:line="360" w:lineRule="auto"/>
        <w:ind w:left="567" w:hanging="567"/>
        <w:jc w:val="both"/>
        <w:rPr>
          <w:rFonts w:ascii="Book Antiqua" w:hAnsi="Book Antiqua" w:cs="Courier New"/>
        </w:rPr>
      </w:pPr>
      <w:r w:rsidRPr="00A74290">
        <w:rPr>
          <w:rFonts w:ascii="Book Antiqua" w:hAnsi="Book Antiqua" w:cs="Courier New"/>
        </w:rPr>
        <w:t xml:space="preserve">It is evident also from the case law of the ECJ that in interpreting a provision, regard may be had to the </w:t>
      </w:r>
      <w:proofErr w:type="spellStart"/>
      <w:r w:rsidRPr="00A74290">
        <w:rPr>
          <w:rFonts w:ascii="Book Antiqua" w:hAnsi="Book Antiqua" w:cs="Courier New"/>
          <w:i/>
        </w:rPr>
        <w:t>travaux</w:t>
      </w:r>
      <w:proofErr w:type="spellEnd"/>
      <w:r w:rsidRPr="00A74290">
        <w:rPr>
          <w:rFonts w:ascii="Book Antiqua" w:hAnsi="Book Antiqua" w:cs="Courier New"/>
          <w:i/>
        </w:rPr>
        <w:t xml:space="preserve"> </w:t>
      </w:r>
      <w:proofErr w:type="spellStart"/>
      <w:r w:rsidRPr="00A74290">
        <w:rPr>
          <w:rFonts w:ascii="Book Antiqua" w:hAnsi="Book Antiqua" w:cs="Courier New"/>
          <w:i/>
        </w:rPr>
        <w:t>préparatoires</w:t>
      </w:r>
      <w:proofErr w:type="spellEnd"/>
      <w:r w:rsidRPr="00A74290">
        <w:rPr>
          <w:rFonts w:ascii="Book Antiqua" w:hAnsi="Book Antiqua" w:cs="Courier New"/>
        </w:rPr>
        <w:t xml:space="preserve"> if they </w:t>
      </w:r>
      <w:r w:rsidR="007B1F6B">
        <w:rPr>
          <w:rFonts w:ascii="Book Antiqua" w:hAnsi="Book Antiqua" w:cs="Courier New"/>
        </w:rPr>
        <w:t>are available</w:t>
      </w:r>
      <w:r w:rsidRPr="00A74290">
        <w:rPr>
          <w:rFonts w:ascii="Book Antiqua" w:hAnsi="Book Antiqua" w:cs="Courier New"/>
        </w:rPr>
        <w:t>. This, in the context of immigration</w:t>
      </w:r>
      <w:r w:rsidR="00E25E48">
        <w:rPr>
          <w:rFonts w:ascii="Book Antiqua" w:hAnsi="Book Antiqua" w:cs="Courier New"/>
        </w:rPr>
        <w:t>,</w:t>
      </w:r>
      <w:r w:rsidRPr="00A74290">
        <w:rPr>
          <w:rFonts w:ascii="Book Antiqua" w:hAnsi="Book Antiqua" w:cs="Courier New"/>
        </w:rPr>
        <w:t xml:space="preserve"> can be seen in </w:t>
      </w:r>
      <w:r w:rsidRPr="00A74290">
        <w:rPr>
          <w:rFonts w:ascii="Book Antiqua" w:hAnsi="Book Antiqua" w:cs="Courier New"/>
          <w:u w:val="single"/>
        </w:rPr>
        <w:t>Teixeira</w:t>
      </w:r>
      <w:r w:rsidRPr="00A74290">
        <w:rPr>
          <w:rFonts w:ascii="Book Antiqua" w:hAnsi="Book Antiqua" w:cs="Courier New"/>
        </w:rPr>
        <w:t xml:space="preserve"> [2010] ECR I-1107 at [58]</w:t>
      </w:r>
      <w:r w:rsidR="00A74290">
        <w:rPr>
          <w:rFonts w:ascii="Book Antiqua" w:hAnsi="Book Antiqua" w:cs="Courier New"/>
        </w:rPr>
        <w:t>.</w:t>
      </w:r>
    </w:p>
    <w:p w14:paraId="6EFE36E5" w14:textId="73AC52C6" w:rsidR="00CA5583" w:rsidRPr="00A74290" w:rsidRDefault="00CA5583" w:rsidP="002C56BE">
      <w:pPr>
        <w:numPr>
          <w:ilvl w:val="0"/>
          <w:numId w:val="17"/>
        </w:numPr>
        <w:spacing w:before="240" w:after="240" w:line="360" w:lineRule="auto"/>
        <w:ind w:left="567" w:hanging="567"/>
        <w:jc w:val="both"/>
        <w:rPr>
          <w:rFonts w:ascii="Book Antiqua" w:hAnsi="Book Antiqua" w:cs="Courier New"/>
        </w:rPr>
      </w:pPr>
      <w:r w:rsidRPr="00A74290">
        <w:rPr>
          <w:rFonts w:ascii="Book Antiqua" w:hAnsi="Book Antiqua" w:cs="Courier New"/>
        </w:rPr>
        <w:lastRenderedPageBreak/>
        <w:t xml:space="preserve">The method of interpretation which is generally seen as most characteristic of the ECJ is a purposive or “teleological” approach. That is most easily seen in the interpretation of TFEU provisions such as </w:t>
      </w:r>
      <w:r w:rsidR="00D56B66">
        <w:rPr>
          <w:rFonts w:ascii="Book Antiqua" w:hAnsi="Book Antiqua" w:cs="Courier New"/>
        </w:rPr>
        <w:t>Article</w:t>
      </w:r>
      <w:r w:rsidRPr="00A74290">
        <w:rPr>
          <w:rFonts w:ascii="Book Antiqua" w:hAnsi="Book Antiqua" w:cs="Courier New"/>
        </w:rPr>
        <w:t xml:space="preserve"> 21 in, for example, </w:t>
      </w:r>
      <w:r w:rsidRPr="00A74290">
        <w:rPr>
          <w:rFonts w:ascii="Book Antiqua" w:hAnsi="Book Antiqua" w:cs="Courier New"/>
          <w:u w:val="single"/>
        </w:rPr>
        <w:t xml:space="preserve">Zambrano </w:t>
      </w:r>
      <w:r w:rsidRPr="00A74290">
        <w:rPr>
          <w:rFonts w:ascii="Book Antiqua" w:hAnsi="Book Antiqua" w:cs="Courier New"/>
        </w:rPr>
        <w:t xml:space="preserve">and the extensive case law on the meaning of “worker” within </w:t>
      </w:r>
      <w:r w:rsidR="00D56B66">
        <w:rPr>
          <w:rFonts w:ascii="Book Antiqua" w:hAnsi="Book Antiqua" w:cs="Courier New"/>
        </w:rPr>
        <w:t>Article</w:t>
      </w:r>
      <w:r w:rsidRPr="00A74290">
        <w:rPr>
          <w:rFonts w:ascii="Book Antiqua" w:hAnsi="Book Antiqua" w:cs="Courier New"/>
        </w:rPr>
        <w:t xml:space="preserve"> 45 and its predecessors.</w:t>
      </w:r>
      <w:r w:rsidR="00A74290">
        <w:rPr>
          <w:rFonts w:ascii="Book Antiqua" w:hAnsi="Book Antiqua" w:cs="Courier New"/>
        </w:rPr>
        <w:t xml:space="preserve"> </w:t>
      </w:r>
      <w:r w:rsidRPr="00A74290">
        <w:rPr>
          <w:rFonts w:ascii="Book Antiqua" w:hAnsi="Book Antiqua" w:cs="Courier New"/>
        </w:rPr>
        <w:t xml:space="preserve">The teleological approach to interpretation may, as the circumstances require, give rise to three closely linked questions: </w:t>
      </w:r>
    </w:p>
    <w:p w14:paraId="298CE56E" w14:textId="77777777" w:rsidR="00CA5583" w:rsidRPr="00A74290" w:rsidRDefault="00CA5583" w:rsidP="002C56BE">
      <w:pPr>
        <w:numPr>
          <w:ilvl w:val="1"/>
          <w:numId w:val="17"/>
        </w:numPr>
        <w:spacing w:before="240" w:after="240" w:line="360" w:lineRule="auto"/>
        <w:jc w:val="both"/>
        <w:rPr>
          <w:rFonts w:ascii="Book Antiqua" w:hAnsi="Book Antiqua" w:cs="Courier New"/>
        </w:rPr>
      </w:pPr>
      <w:r w:rsidRPr="00CA5583">
        <w:rPr>
          <w:rFonts w:ascii="Book Antiqua" w:hAnsi="Book Antiqua" w:cs="Courier New"/>
        </w:rPr>
        <w:t>Which interpretation, having had regard to the context of the provision, best preserves its effectiveness?</w:t>
      </w:r>
    </w:p>
    <w:p w14:paraId="1D4A78B7" w14:textId="77777777" w:rsidR="00A74290" w:rsidRDefault="00CA5583" w:rsidP="002C56BE">
      <w:pPr>
        <w:numPr>
          <w:ilvl w:val="1"/>
          <w:numId w:val="17"/>
        </w:numPr>
        <w:spacing w:before="240" w:after="240" w:line="360" w:lineRule="auto"/>
        <w:jc w:val="both"/>
        <w:rPr>
          <w:rFonts w:ascii="Book Antiqua" w:hAnsi="Book Antiqua" w:cs="Courier New"/>
        </w:rPr>
      </w:pPr>
      <w:r w:rsidRPr="00CA5583">
        <w:rPr>
          <w:rFonts w:ascii="Book Antiqua" w:hAnsi="Book Antiqua" w:cs="Courier New"/>
        </w:rPr>
        <w:t>If the provision is ambiguous, which interpretation best achieves the objective it pursues?</w:t>
      </w:r>
    </w:p>
    <w:p w14:paraId="4D05D075" w14:textId="77777777" w:rsidR="00CA5583" w:rsidRPr="00A74290" w:rsidRDefault="00CA5583" w:rsidP="002C56BE">
      <w:pPr>
        <w:numPr>
          <w:ilvl w:val="1"/>
          <w:numId w:val="17"/>
        </w:numPr>
        <w:spacing w:before="240" w:after="240" w:line="360" w:lineRule="auto"/>
        <w:jc w:val="both"/>
        <w:rPr>
          <w:rFonts w:ascii="Book Antiqua" w:hAnsi="Book Antiqua" w:cs="Courier New"/>
        </w:rPr>
      </w:pPr>
      <w:r w:rsidRPr="00A74290">
        <w:rPr>
          <w:rFonts w:ascii="Book Antiqua" w:hAnsi="Book Antiqua" w:cs="Courier New"/>
        </w:rPr>
        <w:t xml:space="preserve">What consequences would flow from each interpretation? </w:t>
      </w:r>
    </w:p>
    <w:p w14:paraId="731AF962" w14:textId="77777777" w:rsidR="00A74290" w:rsidRDefault="00CA5583" w:rsidP="002C56BE">
      <w:pPr>
        <w:numPr>
          <w:ilvl w:val="0"/>
          <w:numId w:val="17"/>
        </w:numPr>
        <w:spacing w:before="240" w:after="240" w:line="360" w:lineRule="auto"/>
        <w:ind w:left="567" w:hanging="567"/>
        <w:jc w:val="both"/>
        <w:rPr>
          <w:rFonts w:ascii="Book Antiqua" w:hAnsi="Book Antiqua" w:cs="Courier New"/>
        </w:rPr>
      </w:pPr>
      <w:r w:rsidRPr="00CA5583">
        <w:rPr>
          <w:rFonts w:ascii="Book Antiqua" w:hAnsi="Book Antiqua" w:cs="Courier New"/>
        </w:rPr>
        <w:t>Teleological interpretation is, however, subject to the proviso that exceptions are to be interpreted strictly (see Commission v UK [2010] I-03491 at [39]) although a broader interpretation may be adopted if that is required to</w:t>
      </w:r>
      <w:r w:rsidR="00A74290">
        <w:rPr>
          <w:rFonts w:ascii="Book Antiqua" w:hAnsi="Book Antiqua" w:cs="Courier New"/>
        </w:rPr>
        <w:t xml:space="preserve"> give effect to the objectives.</w:t>
      </w:r>
    </w:p>
    <w:p w14:paraId="6CDE1F7B" w14:textId="12E02DC1" w:rsidR="00A74290" w:rsidRDefault="00CA5583" w:rsidP="002C56BE">
      <w:pPr>
        <w:numPr>
          <w:ilvl w:val="0"/>
          <w:numId w:val="17"/>
        </w:numPr>
        <w:spacing w:before="240" w:after="240" w:line="360" w:lineRule="auto"/>
        <w:ind w:left="567" w:hanging="567"/>
        <w:jc w:val="both"/>
        <w:rPr>
          <w:rFonts w:ascii="Book Antiqua" w:hAnsi="Book Antiqua" w:cs="Courier New"/>
        </w:rPr>
      </w:pPr>
      <w:r w:rsidRPr="00A74290">
        <w:rPr>
          <w:rFonts w:ascii="Book Antiqua" w:hAnsi="Book Antiqua" w:cs="Courier New"/>
        </w:rPr>
        <w:t xml:space="preserve">It is to be noted also that the words which are to be construed are the operative part of the instrument in question; the preamble may be an aid to the interpretation as in </w:t>
      </w:r>
      <w:r w:rsidRPr="00A74290">
        <w:rPr>
          <w:rFonts w:ascii="Book Antiqua" w:hAnsi="Book Antiqua" w:cs="Courier New"/>
          <w:u w:val="single"/>
        </w:rPr>
        <w:t xml:space="preserve">Toshiba Europa </w:t>
      </w:r>
      <w:proofErr w:type="spellStart"/>
      <w:r w:rsidRPr="00A74290">
        <w:rPr>
          <w:rFonts w:ascii="Book Antiqua" w:hAnsi="Book Antiqua" w:cs="Courier New"/>
          <w:u w:val="single"/>
        </w:rPr>
        <w:t>GmBH</w:t>
      </w:r>
      <w:proofErr w:type="spellEnd"/>
      <w:r w:rsidRPr="00A74290">
        <w:rPr>
          <w:rFonts w:ascii="Book Antiqua" w:hAnsi="Book Antiqua" w:cs="Courier New"/>
          <w:u w:val="single"/>
        </w:rPr>
        <w:t xml:space="preserve"> v </w:t>
      </w:r>
      <w:proofErr w:type="spellStart"/>
      <w:r w:rsidRPr="00A74290">
        <w:rPr>
          <w:rFonts w:ascii="Book Antiqua" w:hAnsi="Book Antiqua" w:cs="Courier New"/>
          <w:u w:val="single"/>
        </w:rPr>
        <w:t>Katun</w:t>
      </w:r>
      <w:proofErr w:type="spellEnd"/>
      <w:r w:rsidRPr="00A74290">
        <w:rPr>
          <w:rFonts w:ascii="Book Antiqua" w:hAnsi="Book Antiqua" w:cs="Courier New"/>
          <w:u w:val="single"/>
        </w:rPr>
        <w:t xml:space="preserve"> Germany </w:t>
      </w:r>
      <w:proofErr w:type="spellStart"/>
      <w:r w:rsidRPr="00A74290">
        <w:rPr>
          <w:rFonts w:ascii="Book Antiqua" w:hAnsi="Book Antiqua" w:cs="Courier New"/>
          <w:u w:val="single"/>
        </w:rPr>
        <w:t>GmBH</w:t>
      </w:r>
      <w:proofErr w:type="spellEnd"/>
      <w:r w:rsidRPr="00A74290">
        <w:rPr>
          <w:rFonts w:ascii="Book Antiqua" w:hAnsi="Book Antiqua" w:cs="Courier New"/>
        </w:rPr>
        <w:t xml:space="preserve"> [2001] ECR I-7945 where</w:t>
      </w:r>
      <w:r w:rsidR="00E25E48">
        <w:rPr>
          <w:rFonts w:ascii="Book Antiqua" w:hAnsi="Book Antiqua" w:cs="Courier New"/>
        </w:rPr>
        <w:t xml:space="preserve"> at</w:t>
      </w:r>
      <w:r w:rsidRPr="00A74290">
        <w:rPr>
          <w:rFonts w:ascii="Book Antiqua" w:hAnsi="Book Antiqua" w:cs="Courier New"/>
        </w:rPr>
        <w:t xml:space="preserve"> [36] –[37] recourse was had to a recital because a </w:t>
      </w:r>
      <w:bookmarkStart w:id="4" w:name="MO"/>
      <w:r w:rsidRPr="00A74290">
        <w:rPr>
          <w:rFonts w:ascii="Book Antiqua" w:hAnsi="Book Antiqua" w:cs="Courier New"/>
        </w:rPr>
        <w:t>literal interpretation of Directive 84/450 as amended would result in a contradiction with Directive 89/104</w:t>
      </w:r>
      <w:bookmarkEnd w:id="4"/>
      <w:r w:rsidRPr="00A74290">
        <w:rPr>
          <w:rFonts w:ascii="Book Antiqua" w:hAnsi="Book Antiqua" w:cs="Courier New"/>
        </w:rPr>
        <w:t xml:space="preserve"> but it is not a legal Rule – see </w:t>
      </w:r>
      <w:r w:rsidRPr="00A74290">
        <w:rPr>
          <w:rFonts w:ascii="Book Antiqua" w:hAnsi="Book Antiqua" w:cs="Courier New"/>
          <w:u w:val="single"/>
        </w:rPr>
        <w:t xml:space="preserve">Casa </w:t>
      </w:r>
      <w:proofErr w:type="spellStart"/>
      <w:r w:rsidRPr="00A74290">
        <w:rPr>
          <w:rFonts w:ascii="Book Antiqua" w:hAnsi="Book Antiqua" w:cs="Courier New"/>
          <w:u w:val="single"/>
        </w:rPr>
        <w:t>Fleischhandel</w:t>
      </w:r>
      <w:proofErr w:type="spellEnd"/>
      <w:r w:rsidRPr="00A74290">
        <w:rPr>
          <w:rFonts w:ascii="Book Antiqua" w:hAnsi="Book Antiqua" w:cs="Courier New"/>
          <w:u w:val="single"/>
        </w:rPr>
        <w:t xml:space="preserve"> v </w:t>
      </w:r>
      <w:proofErr w:type="spellStart"/>
      <w:r w:rsidRPr="00A74290">
        <w:rPr>
          <w:rFonts w:ascii="Book Antiqua" w:hAnsi="Book Antiqua" w:cs="Courier New"/>
          <w:u w:val="single"/>
        </w:rPr>
        <w:t>Bundesantalte</w:t>
      </w:r>
      <w:proofErr w:type="spellEnd"/>
      <w:r w:rsidRPr="00A74290">
        <w:rPr>
          <w:rFonts w:ascii="Book Antiqua" w:hAnsi="Book Antiqua" w:cs="Courier New"/>
          <w:u w:val="single"/>
        </w:rPr>
        <w:t xml:space="preserve"> fur </w:t>
      </w:r>
      <w:proofErr w:type="spellStart"/>
      <w:r w:rsidRPr="00A74290">
        <w:rPr>
          <w:rFonts w:ascii="Book Antiqua" w:hAnsi="Book Antiqua" w:cs="Courier New"/>
          <w:u w:val="single"/>
        </w:rPr>
        <w:t>Landwirtschaftliche</w:t>
      </w:r>
      <w:proofErr w:type="spellEnd"/>
      <w:r w:rsidRPr="00A74290">
        <w:rPr>
          <w:rFonts w:ascii="Book Antiqua" w:hAnsi="Book Antiqua" w:cs="Courier New"/>
          <w:u w:val="single"/>
        </w:rPr>
        <w:t xml:space="preserve"> </w:t>
      </w:r>
      <w:proofErr w:type="spellStart"/>
      <w:r w:rsidRPr="00A74290">
        <w:rPr>
          <w:rFonts w:ascii="Book Antiqua" w:hAnsi="Book Antiqua" w:cs="Courier New"/>
          <w:u w:val="single"/>
        </w:rPr>
        <w:t>Marktordnun</w:t>
      </w:r>
      <w:r w:rsidRPr="00A74290">
        <w:rPr>
          <w:rFonts w:ascii="Book Antiqua" w:hAnsi="Book Antiqua" w:cs="Courier New"/>
        </w:rPr>
        <w:t>g</w:t>
      </w:r>
      <w:proofErr w:type="spellEnd"/>
      <w:r w:rsidRPr="00A74290">
        <w:rPr>
          <w:rFonts w:ascii="Book Antiqua" w:hAnsi="Book Antiqua" w:cs="Courier New"/>
        </w:rPr>
        <w:t xml:space="preserve"> [1989] ECR 2789 at [31]: </w:t>
      </w:r>
      <w:r w:rsidR="00A74290">
        <w:rPr>
          <w:rFonts w:ascii="Book Antiqua" w:hAnsi="Book Antiqua" w:cs="Courier New"/>
        </w:rPr>
        <w:t>“</w:t>
      </w:r>
      <w:r w:rsidRPr="00A74290">
        <w:rPr>
          <w:rFonts w:ascii="Book Antiqua" w:hAnsi="Book Antiqua" w:cs="Courier New"/>
        </w:rPr>
        <w:t>Whilst a recital in the preamble to a regulation may cast light on the interpretation to be given to a legal rule, it cannot in itself constitute such a rule.</w:t>
      </w:r>
      <w:r w:rsidR="00A74290">
        <w:rPr>
          <w:rFonts w:ascii="Book Antiqua" w:hAnsi="Book Antiqua" w:cs="Courier New"/>
        </w:rPr>
        <w:t>”</w:t>
      </w:r>
      <w:r w:rsidRPr="00A74290">
        <w:rPr>
          <w:rFonts w:ascii="Book Antiqua" w:hAnsi="Book Antiqua" w:cs="Courier New"/>
        </w:rPr>
        <w:t xml:space="preserve"> </w:t>
      </w:r>
    </w:p>
    <w:p w14:paraId="206AADB1" w14:textId="61F5FED5" w:rsidR="00CA5583" w:rsidRPr="00113C42" w:rsidRDefault="00CA5583" w:rsidP="002C56BE">
      <w:pPr>
        <w:numPr>
          <w:ilvl w:val="0"/>
          <w:numId w:val="17"/>
        </w:numPr>
        <w:spacing w:before="240" w:after="240" w:line="360" w:lineRule="auto"/>
        <w:ind w:left="567" w:hanging="567"/>
        <w:jc w:val="both"/>
        <w:rPr>
          <w:rFonts w:ascii="Book Antiqua" w:hAnsi="Book Antiqua" w:cs="Courier New"/>
          <w:color w:val="000000" w:themeColor="text1"/>
        </w:rPr>
      </w:pPr>
      <w:r w:rsidRPr="00A74290">
        <w:rPr>
          <w:rFonts w:ascii="Book Antiqua" w:hAnsi="Book Antiqua" w:cs="Courier New"/>
          <w:iCs/>
        </w:rPr>
        <w:t>It follows that the approach to interpreting a provision of EU law requires a systematic approach</w:t>
      </w:r>
      <w:r w:rsidRPr="00A74290">
        <w:rPr>
          <w:rFonts w:ascii="Book Antiqua" w:hAnsi="Book Antiqua" w:cs="Courier New"/>
        </w:rPr>
        <w:t xml:space="preserve">, </w:t>
      </w:r>
      <w:r w:rsidR="00AA01E2">
        <w:rPr>
          <w:rFonts w:ascii="Book Antiqua" w:hAnsi="Book Antiqua" w:cs="Courier New"/>
        </w:rPr>
        <w:t xml:space="preserve">looking at the words in the context of the structure of EU law </w:t>
      </w:r>
      <w:proofErr w:type="gramStart"/>
      <w:r w:rsidR="00AA01E2">
        <w:rPr>
          <w:rFonts w:ascii="Book Antiqua" w:hAnsi="Book Antiqua" w:cs="Courier New"/>
        </w:rPr>
        <w:t xml:space="preserve">as a whole </w:t>
      </w:r>
      <w:r w:rsidR="00AA01E2" w:rsidRPr="00113C42">
        <w:rPr>
          <w:rFonts w:ascii="Book Antiqua" w:hAnsi="Book Antiqua" w:cs="Courier New"/>
          <w:color w:val="000000" w:themeColor="text1"/>
        </w:rPr>
        <w:t>and</w:t>
      </w:r>
      <w:proofErr w:type="gramEnd"/>
      <w:r w:rsidR="00AA01E2" w:rsidRPr="00113C42">
        <w:rPr>
          <w:rFonts w:ascii="Book Antiqua" w:hAnsi="Book Antiqua" w:cs="Courier New"/>
          <w:color w:val="000000" w:themeColor="text1"/>
        </w:rPr>
        <w:t xml:space="preserve"> </w:t>
      </w:r>
      <w:r w:rsidRPr="00113C42">
        <w:rPr>
          <w:rFonts w:ascii="Book Antiqua" w:hAnsi="Book Antiqua" w:cs="Courier New"/>
          <w:color w:val="000000" w:themeColor="text1"/>
        </w:rPr>
        <w:t>asking:</w:t>
      </w:r>
    </w:p>
    <w:p w14:paraId="37962A74" w14:textId="77777777" w:rsidR="00CA5583" w:rsidRPr="00113C42" w:rsidRDefault="00CA5583" w:rsidP="007F203B">
      <w:pPr>
        <w:pStyle w:val="ListParagraph"/>
        <w:numPr>
          <w:ilvl w:val="0"/>
          <w:numId w:val="16"/>
        </w:numPr>
        <w:spacing w:after="160" w:line="259" w:lineRule="auto"/>
        <w:ind w:left="1134" w:hanging="567"/>
        <w:rPr>
          <w:rFonts w:ascii="Book Antiqua" w:hAnsi="Book Antiqua"/>
          <w:color w:val="000000" w:themeColor="text1"/>
        </w:rPr>
      </w:pPr>
      <w:r w:rsidRPr="00113C42">
        <w:rPr>
          <w:rFonts w:ascii="Book Antiqua" w:hAnsi="Book Antiqua"/>
          <w:color w:val="000000" w:themeColor="text1"/>
        </w:rPr>
        <w:t xml:space="preserve">Is the meaning of the provision defined in EU Law? </w:t>
      </w:r>
    </w:p>
    <w:p w14:paraId="16E7851A" w14:textId="71560799" w:rsidR="00CA5583" w:rsidRPr="00113C42" w:rsidRDefault="006E35E7" w:rsidP="0013362B">
      <w:pPr>
        <w:pStyle w:val="ListParagraph"/>
        <w:numPr>
          <w:ilvl w:val="0"/>
          <w:numId w:val="16"/>
        </w:numPr>
        <w:spacing w:after="160" w:line="259" w:lineRule="auto"/>
        <w:ind w:left="1134" w:hanging="567"/>
        <w:rPr>
          <w:rFonts w:ascii="Book Antiqua" w:hAnsi="Book Antiqua"/>
          <w:color w:val="000000" w:themeColor="text1"/>
        </w:rPr>
      </w:pPr>
      <w:r w:rsidRPr="00113C42">
        <w:rPr>
          <w:rFonts w:ascii="Book Antiqua" w:hAnsi="Book Antiqua"/>
          <w:color w:val="000000" w:themeColor="text1"/>
        </w:rPr>
        <w:t>If not, c</w:t>
      </w:r>
      <w:r w:rsidR="00CA5583" w:rsidRPr="00113C42">
        <w:rPr>
          <w:rFonts w:ascii="Book Antiqua" w:hAnsi="Book Antiqua"/>
          <w:color w:val="000000" w:themeColor="text1"/>
        </w:rPr>
        <w:t xml:space="preserve">an the words be given their usual, ordinary meaning? </w:t>
      </w:r>
    </w:p>
    <w:p w14:paraId="4AE9EB92" w14:textId="0D7321FC" w:rsidR="00CA5583" w:rsidRPr="00113C42" w:rsidRDefault="006E35E7" w:rsidP="0013362B">
      <w:pPr>
        <w:pStyle w:val="ListParagraph"/>
        <w:numPr>
          <w:ilvl w:val="0"/>
          <w:numId w:val="16"/>
        </w:numPr>
        <w:spacing w:after="160" w:line="259" w:lineRule="auto"/>
        <w:ind w:left="1134" w:hanging="567"/>
        <w:rPr>
          <w:rFonts w:ascii="Book Antiqua" w:hAnsi="Book Antiqua"/>
          <w:color w:val="000000" w:themeColor="text1"/>
        </w:rPr>
      </w:pPr>
      <w:r w:rsidRPr="00113C42">
        <w:rPr>
          <w:rFonts w:ascii="Book Antiqua" w:hAnsi="Book Antiqua"/>
          <w:color w:val="000000" w:themeColor="text1"/>
        </w:rPr>
        <w:t>If not, w</w:t>
      </w:r>
      <w:r w:rsidR="00CA5583" w:rsidRPr="00113C42">
        <w:rPr>
          <w:rFonts w:ascii="Book Antiqua" w:hAnsi="Book Antiqua"/>
          <w:color w:val="000000" w:themeColor="text1"/>
        </w:rPr>
        <w:t>hat are the possible different inte</w:t>
      </w:r>
      <w:r w:rsidR="00D56B66">
        <w:rPr>
          <w:rFonts w:ascii="Book Antiqua" w:hAnsi="Book Antiqua"/>
          <w:color w:val="000000" w:themeColor="text1"/>
        </w:rPr>
        <w:t>r</w:t>
      </w:r>
      <w:r w:rsidR="00CA5583" w:rsidRPr="00113C42">
        <w:rPr>
          <w:rFonts w:ascii="Book Antiqua" w:hAnsi="Book Antiqua"/>
          <w:color w:val="000000" w:themeColor="text1"/>
        </w:rPr>
        <w:t>pretations?</w:t>
      </w:r>
    </w:p>
    <w:p w14:paraId="09C134E4" w14:textId="5509C673" w:rsidR="00EB66DF" w:rsidRPr="00113C42" w:rsidRDefault="00EB66DF" w:rsidP="0013362B">
      <w:pPr>
        <w:pStyle w:val="ListParagraph"/>
        <w:numPr>
          <w:ilvl w:val="0"/>
          <w:numId w:val="16"/>
        </w:numPr>
        <w:spacing w:after="160" w:line="259" w:lineRule="auto"/>
        <w:ind w:left="1134" w:hanging="567"/>
        <w:rPr>
          <w:rFonts w:ascii="Book Antiqua" w:hAnsi="Book Antiqua"/>
          <w:color w:val="000000" w:themeColor="text1"/>
        </w:rPr>
      </w:pPr>
      <w:r w:rsidRPr="00113C42">
        <w:rPr>
          <w:rFonts w:ascii="Book Antiqua" w:hAnsi="Book Antiqua"/>
          <w:color w:val="000000" w:themeColor="text1"/>
        </w:rPr>
        <w:lastRenderedPageBreak/>
        <w:t xml:space="preserve">What is the objective of the </w:t>
      </w:r>
      <w:r w:rsidR="00DE1500" w:rsidRPr="00113C42">
        <w:rPr>
          <w:rFonts w:ascii="Book Antiqua" w:hAnsi="Book Antiqua"/>
          <w:color w:val="000000" w:themeColor="text1"/>
        </w:rPr>
        <w:t>provision?</w:t>
      </w:r>
    </w:p>
    <w:p w14:paraId="704CC8DA" w14:textId="59353B44" w:rsidR="00C46D5B" w:rsidRPr="00113C42" w:rsidRDefault="00C46D5B" w:rsidP="0013362B">
      <w:pPr>
        <w:pStyle w:val="ListParagraph"/>
        <w:numPr>
          <w:ilvl w:val="0"/>
          <w:numId w:val="16"/>
        </w:numPr>
        <w:spacing w:after="160" w:line="259" w:lineRule="auto"/>
        <w:ind w:left="1134" w:hanging="567"/>
        <w:rPr>
          <w:rFonts w:ascii="Book Antiqua" w:hAnsi="Book Antiqua"/>
          <w:color w:val="000000" w:themeColor="text1"/>
        </w:rPr>
      </w:pPr>
      <w:r w:rsidRPr="00113C42">
        <w:rPr>
          <w:rFonts w:ascii="Book Antiqua" w:hAnsi="Book Antiqua"/>
          <w:color w:val="000000" w:themeColor="text1"/>
        </w:rPr>
        <w:t xml:space="preserve">Which interpretation best </w:t>
      </w:r>
      <w:r w:rsidR="00CF0277" w:rsidRPr="00113C42">
        <w:rPr>
          <w:rFonts w:ascii="Book Antiqua" w:hAnsi="Book Antiqua"/>
          <w:color w:val="000000" w:themeColor="text1"/>
        </w:rPr>
        <w:t xml:space="preserve">preserves its effectiveness? </w:t>
      </w:r>
    </w:p>
    <w:p w14:paraId="4419EC70" w14:textId="77777777" w:rsidR="00DE1500" w:rsidRPr="00113C42" w:rsidRDefault="00CF0277" w:rsidP="0013362B">
      <w:pPr>
        <w:pStyle w:val="ListParagraph"/>
        <w:numPr>
          <w:ilvl w:val="0"/>
          <w:numId w:val="16"/>
        </w:numPr>
        <w:spacing w:after="160" w:line="259" w:lineRule="auto"/>
        <w:ind w:left="1134" w:hanging="567"/>
        <w:rPr>
          <w:rFonts w:ascii="Book Antiqua" w:hAnsi="Book Antiqua"/>
          <w:color w:val="000000" w:themeColor="text1"/>
        </w:rPr>
      </w:pPr>
      <w:r w:rsidRPr="00113C42">
        <w:rPr>
          <w:rFonts w:ascii="Book Antiqua" w:hAnsi="Book Antiqua"/>
          <w:color w:val="000000" w:themeColor="text1"/>
        </w:rPr>
        <w:t xml:space="preserve">Which interpretation best </w:t>
      </w:r>
      <w:r w:rsidR="00DE1500" w:rsidRPr="00113C42">
        <w:rPr>
          <w:rFonts w:ascii="Book Antiqua" w:hAnsi="Book Antiqua"/>
          <w:color w:val="000000" w:themeColor="text1"/>
        </w:rPr>
        <w:t>achieves the objective?</w:t>
      </w:r>
    </w:p>
    <w:p w14:paraId="6E9B3C8E" w14:textId="46ABB3B4" w:rsidR="00DE1500" w:rsidRPr="00113C42" w:rsidRDefault="00DE1500" w:rsidP="0013362B">
      <w:pPr>
        <w:pStyle w:val="ListParagraph"/>
        <w:numPr>
          <w:ilvl w:val="0"/>
          <w:numId w:val="16"/>
        </w:numPr>
        <w:spacing w:after="160" w:line="259" w:lineRule="auto"/>
        <w:ind w:left="1134" w:hanging="567"/>
        <w:rPr>
          <w:rFonts w:ascii="Book Antiqua" w:hAnsi="Book Antiqua"/>
          <w:color w:val="000000" w:themeColor="text1"/>
        </w:rPr>
      </w:pPr>
      <w:r w:rsidRPr="00113C42">
        <w:rPr>
          <w:rFonts w:ascii="Book Antiqua" w:hAnsi="Book Antiqua"/>
          <w:color w:val="000000" w:themeColor="text1"/>
        </w:rPr>
        <w:t xml:space="preserve">What are the consequences of the different interpretations? </w:t>
      </w:r>
    </w:p>
    <w:p w14:paraId="22EA542D" w14:textId="363A5C63" w:rsidR="00EB2DAF" w:rsidRDefault="00EB2DAF"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As a starting point, it must be recalled that in </w:t>
      </w:r>
      <w:r w:rsidRPr="00EB2DAF">
        <w:rPr>
          <w:rFonts w:ascii="Book Antiqua" w:hAnsi="Book Antiqua" w:cs="Courier New"/>
          <w:u w:val="single"/>
        </w:rPr>
        <w:t>HA</w:t>
      </w:r>
      <w:r w:rsidR="003A48B0">
        <w:rPr>
          <w:rFonts w:ascii="Book Antiqua" w:hAnsi="Book Antiqua" w:cs="Courier New"/>
          <w:u w:val="single"/>
        </w:rPr>
        <w:t>&amp; Others</w:t>
      </w:r>
      <w:r>
        <w:rPr>
          <w:rFonts w:ascii="Book Antiqua" w:hAnsi="Book Antiqua" w:cs="Courier New"/>
        </w:rPr>
        <w:t xml:space="preserve"> the Upper Tribunal did not receive detailed submissions on the interpretation </w:t>
      </w:r>
      <w:r w:rsidR="00562ADB">
        <w:rPr>
          <w:rFonts w:ascii="Book Antiqua" w:hAnsi="Book Antiqua" w:cs="Courier New"/>
        </w:rPr>
        <w:t xml:space="preserve">of </w:t>
      </w:r>
      <w:r w:rsidR="00D56B66">
        <w:rPr>
          <w:rFonts w:ascii="Book Antiqua" w:hAnsi="Book Antiqua" w:cs="Courier New"/>
        </w:rPr>
        <w:t>Article</w:t>
      </w:r>
      <w:r w:rsidR="00562ADB">
        <w:rPr>
          <w:rFonts w:ascii="Book Antiqua" w:hAnsi="Book Antiqua" w:cs="Courier New"/>
        </w:rPr>
        <w:t xml:space="preserve"> 9, and submissi</w:t>
      </w:r>
      <w:r>
        <w:rPr>
          <w:rFonts w:ascii="Book Antiqua" w:hAnsi="Book Antiqua" w:cs="Courier New"/>
        </w:rPr>
        <w:t xml:space="preserve">ons were not made in respect of the effect of </w:t>
      </w:r>
      <w:r w:rsidR="00D56B66">
        <w:rPr>
          <w:rFonts w:ascii="Book Antiqua" w:hAnsi="Book Antiqua" w:cs="Courier New"/>
        </w:rPr>
        <w:t>Article</w:t>
      </w:r>
      <w:r>
        <w:rPr>
          <w:rFonts w:ascii="Book Antiqua" w:hAnsi="Book Antiqua" w:cs="Courier New"/>
        </w:rPr>
        <w:t xml:space="preserve"> 2(f).  </w:t>
      </w:r>
      <w:r w:rsidR="00D56B66">
        <w:rPr>
          <w:rFonts w:ascii="Book Antiqua" w:hAnsi="Book Antiqua" w:cs="Courier New"/>
        </w:rPr>
        <w:t>Article</w:t>
      </w:r>
      <w:r>
        <w:rPr>
          <w:rFonts w:ascii="Book Antiqua" w:hAnsi="Book Antiqua" w:cs="Courier New"/>
        </w:rPr>
        <w:t xml:space="preserve"> 9 was not directly in point; no </w:t>
      </w:r>
      <w:r w:rsidR="00D56B66">
        <w:rPr>
          <w:rFonts w:ascii="Book Antiqua" w:hAnsi="Book Antiqua" w:cs="Courier New"/>
        </w:rPr>
        <w:t>Article</w:t>
      </w:r>
      <w:r>
        <w:rPr>
          <w:rFonts w:ascii="Book Antiqua" w:hAnsi="Book Antiqua" w:cs="Courier New"/>
        </w:rPr>
        <w:t xml:space="preserve"> 9 request had been made. </w:t>
      </w:r>
    </w:p>
    <w:p w14:paraId="3AFECEF8" w14:textId="2DF1D08C" w:rsidR="00F84DA5" w:rsidRDefault="00F84DA5"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It is not submitted that versions of Article 9 in other languages do not have the ambiguity of the English version, nor do I consider that obtaining certified translations would be appropriate in this case as the difficulty arises not from the words used; there is no suggestion that unlike in other cases such as </w:t>
      </w:r>
      <w:proofErr w:type="spellStart"/>
      <w:r>
        <w:rPr>
          <w:rFonts w:ascii="Book Antiqua" w:hAnsi="Book Antiqua" w:cs="Courier New"/>
          <w:u w:val="single"/>
        </w:rPr>
        <w:t>Stauder</w:t>
      </w:r>
      <w:proofErr w:type="spellEnd"/>
      <w:r>
        <w:rPr>
          <w:rFonts w:ascii="Book Antiqua" w:hAnsi="Book Antiqua" w:cs="Courier New"/>
        </w:rPr>
        <w:t xml:space="preserve"> words appeared in the German version but not others.  Here, the issue is </w:t>
      </w:r>
      <w:r w:rsidRPr="00BC3819">
        <w:rPr>
          <w:rFonts w:ascii="Book Antiqua" w:hAnsi="Book Antiqua" w:cs="Courier New"/>
        </w:rPr>
        <w:t xml:space="preserve">the effect of “has been”. The use of the perfect tense in English in this context suggests an event </w:t>
      </w:r>
      <w:r w:rsidR="00ED7960">
        <w:rPr>
          <w:rFonts w:ascii="Book Antiqua" w:hAnsi="Book Antiqua" w:cs="Courier New"/>
        </w:rPr>
        <w:t xml:space="preserve">which occurred </w:t>
      </w:r>
      <w:r w:rsidRPr="00BC3819">
        <w:rPr>
          <w:rFonts w:ascii="Book Antiqua" w:hAnsi="Book Antiqua" w:cs="Courier New"/>
        </w:rPr>
        <w:t xml:space="preserve">in the past </w:t>
      </w:r>
      <w:r w:rsidR="00ED7960">
        <w:rPr>
          <w:rFonts w:ascii="Book Antiqua" w:hAnsi="Book Antiqua" w:cs="Courier New"/>
        </w:rPr>
        <w:t xml:space="preserve">and </w:t>
      </w:r>
      <w:r w:rsidRPr="00BC3819">
        <w:rPr>
          <w:rFonts w:ascii="Book Antiqua" w:hAnsi="Book Antiqua" w:cs="Courier New"/>
        </w:rPr>
        <w:t>which continues to have effect in the present.</w:t>
      </w:r>
      <w:r>
        <w:rPr>
          <w:rFonts w:ascii="Book Antiqua" w:hAnsi="Book Antiqua" w:cs="Courier New"/>
        </w:rPr>
        <w:t xml:space="preserve"> That type of nuance may or may not exist in other languages but is unlikely to be resolved by a certified translation; rather, it would most likely require expert evidence as to whether the tense used had the same effect as in English.</w:t>
      </w:r>
    </w:p>
    <w:p w14:paraId="12ABF77A" w14:textId="0EF87AEF" w:rsidR="00B653A4" w:rsidRDefault="00B653A4"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The parties take differing views of </w:t>
      </w:r>
      <w:r w:rsidR="00943B16">
        <w:rPr>
          <w:rFonts w:ascii="Book Antiqua" w:hAnsi="Book Antiqua" w:cs="Courier New"/>
        </w:rPr>
        <w:t>A</w:t>
      </w:r>
      <w:r>
        <w:rPr>
          <w:rFonts w:ascii="Book Antiqua" w:hAnsi="Book Antiqua" w:cs="Courier New"/>
        </w:rPr>
        <w:t>rticle 9. The applicants contend that it applies to them as it includes the family members of all those who, historically, have been allowed to reside as a beneficiary of international protection. The respondent contends that it does not apply where the that person has subsequently acquired citizenship, as the definition of “beneficiary of international protection</w:t>
      </w:r>
      <w:r w:rsidR="003A48B0">
        <w:rPr>
          <w:rFonts w:ascii="Book Antiqua" w:hAnsi="Book Antiqua" w:cs="Courier New"/>
        </w:rPr>
        <w:t xml:space="preserve">” </w:t>
      </w:r>
      <w:r>
        <w:rPr>
          <w:rFonts w:ascii="Book Antiqua" w:hAnsi="Book Antiqua" w:cs="Courier New"/>
        </w:rPr>
        <w:t xml:space="preserve">in </w:t>
      </w:r>
      <w:r w:rsidR="00943B16">
        <w:rPr>
          <w:rFonts w:ascii="Book Antiqua" w:hAnsi="Book Antiqua" w:cs="Courier New"/>
        </w:rPr>
        <w:t>A</w:t>
      </w:r>
      <w:r>
        <w:rPr>
          <w:rFonts w:ascii="Book Antiqua" w:hAnsi="Book Antiqua" w:cs="Courier New"/>
        </w:rPr>
        <w:t>rticle 2(f) excludes such persons, and that this i</w:t>
      </w:r>
      <w:r w:rsidRPr="00B653A4">
        <w:rPr>
          <w:rFonts w:ascii="Book Antiqua" w:hAnsi="Book Antiqua" w:cs="Courier New"/>
        </w:rPr>
        <w:t>nterpretation is consistent with scheme of Dublin III</w:t>
      </w:r>
      <w:r w:rsidR="00103D0E">
        <w:rPr>
          <w:rFonts w:ascii="Book Antiqua" w:hAnsi="Book Antiqua" w:cs="Courier New"/>
        </w:rPr>
        <w:t xml:space="preserve">. </w:t>
      </w:r>
    </w:p>
    <w:p w14:paraId="74CF7022" w14:textId="113B953B" w:rsidR="000E41DF" w:rsidRPr="00624857" w:rsidRDefault="00841495" w:rsidP="002C56BE">
      <w:pPr>
        <w:numPr>
          <w:ilvl w:val="0"/>
          <w:numId w:val="17"/>
        </w:numPr>
        <w:spacing w:before="240" w:after="240" w:line="360" w:lineRule="auto"/>
        <w:ind w:left="567" w:hanging="567"/>
        <w:jc w:val="both"/>
        <w:rPr>
          <w:rFonts w:ascii="Book Antiqua" w:hAnsi="Book Antiqua" w:cs="Courier New"/>
          <w:color w:val="000000" w:themeColor="text1"/>
        </w:rPr>
      </w:pPr>
      <w:r w:rsidRPr="00841495">
        <w:rPr>
          <w:rFonts w:ascii="Book Antiqua" w:hAnsi="Book Antiqua" w:cs="Courier New"/>
        </w:rPr>
        <w:t xml:space="preserve">I therefore turn first to </w:t>
      </w:r>
      <w:r w:rsidR="000E41DF" w:rsidRPr="00841495">
        <w:rPr>
          <w:rFonts w:ascii="Book Antiqua" w:hAnsi="Book Antiqua" w:cs="Courier New"/>
        </w:rPr>
        <w:t>Article 2(f)</w:t>
      </w:r>
      <w:r w:rsidRPr="00841495">
        <w:rPr>
          <w:rFonts w:ascii="Book Antiqua" w:hAnsi="Book Antiqua" w:cs="Courier New"/>
        </w:rPr>
        <w:t xml:space="preserve">. </w:t>
      </w:r>
      <w:r w:rsidR="000E41DF" w:rsidRPr="00841495">
        <w:rPr>
          <w:rFonts w:ascii="Book Antiqua" w:hAnsi="Book Antiqua" w:cs="Courier New"/>
        </w:rPr>
        <w:t>There is no suggestion of ambiguity of the text in the different language versions and there is, I conclude, no reason why the words used cannot be given their natural meaning. That is</w:t>
      </w:r>
      <w:r w:rsidR="003330F2">
        <w:rPr>
          <w:rFonts w:ascii="Book Antiqua" w:hAnsi="Book Antiqua" w:cs="Courier New"/>
        </w:rPr>
        <w:t xml:space="preserve">, </w:t>
      </w:r>
      <w:r w:rsidR="000E41DF" w:rsidRPr="00841495">
        <w:rPr>
          <w:rFonts w:ascii="Book Antiqua" w:hAnsi="Book Antiqua" w:cs="Courier New"/>
        </w:rPr>
        <w:t>to be a beneficiary of international protection an individual must meet two conditions: first that the person is not a citizen of a</w:t>
      </w:r>
      <w:r w:rsidR="00900ECF" w:rsidRPr="00841495">
        <w:rPr>
          <w:rFonts w:ascii="Book Antiqua" w:hAnsi="Book Antiqua" w:cs="Courier New"/>
        </w:rPr>
        <w:t>n</w:t>
      </w:r>
      <w:r w:rsidR="000E41DF" w:rsidRPr="00841495">
        <w:rPr>
          <w:rFonts w:ascii="Book Antiqua" w:hAnsi="Book Antiqua" w:cs="Courier New"/>
        </w:rPr>
        <w:t xml:space="preserve"> EU state (or other state party to Dublin III), and second</w:t>
      </w:r>
      <w:r w:rsidR="003330F2">
        <w:rPr>
          <w:rFonts w:ascii="Book Antiqua" w:hAnsi="Book Antiqua" w:cs="Courier New"/>
        </w:rPr>
        <w:t>,</w:t>
      </w:r>
      <w:r w:rsidR="000E41DF" w:rsidRPr="00841495">
        <w:rPr>
          <w:rFonts w:ascii="Book Antiqua" w:hAnsi="Book Antiqua" w:cs="Courier New"/>
        </w:rPr>
        <w:t xml:space="preserve"> that the</w:t>
      </w:r>
      <w:r w:rsidR="003330F2">
        <w:rPr>
          <w:rFonts w:ascii="Book Antiqua" w:hAnsi="Book Antiqua" w:cs="Courier New"/>
        </w:rPr>
        <w:t xml:space="preserve"> person has </w:t>
      </w:r>
      <w:r w:rsidR="000E41DF" w:rsidRPr="00841495">
        <w:rPr>
          <w:rFonts w:ascii="Book Antiqua" w:hAnsi="Book Antiqua" w:cs="Courier New"/>
        </w:rPr>
        <w:t xml:space="preserve">been granted international protection.   </w:t>
      </w:r>
      <w:r w:rsidR="00177DDF">
        <w:rPr>
          <w:rFonts w:ascii="Book Antiqua" w:hAnsi="Book Antiqua" w:cs="Courier New"/>
        </w:rPr>
        <w:t>T</w:t>
      </w:r>
      <w:r w:rsidR="000E41DF" w:rsidRPr="00841495">
        <w:rPr>
          <w:rFonts w:ascii="Book Antiqua" w:hAnsi="Book Antiqua" w:cs="Courier New"/>
        </w:rPr>
        <w:t xml:space="preserve">he first condition is consistent with </w:t>
      </w:r>
      <w:r w:rsidR="00CB74BD">
        <w:rPr>
          <w:rFonts w:ascii="Book Antiqua" w:hAnsi="Book Antiqua" w:cs="Courier New"/>
        </w:rPr>
        <w:t xml:space="preserve">CEAS </w:t>
      </w:r>
      <w:r w:rsidR="000E41DF" w:rsidRPr="00841495">
        <w:rPr>
          <w:rFonts w:ascii="Book Antiqua" w:hAnsi="Book Antiqua" w:cs="Courier New"/>
        </w:rPr>
        <w:t xml:space="preserve">framework </w:t>
      </w:r>
      <w:r w:rsidR="0037774D">
        <w:rPr>
          <w:rFonts w:ascii="Book Antiqua" w:hAnsi="Book Antiqua" w:cs="Courier New"/>
        </w:rPr>
        <w:t>as, under</w:t>
      </w:r>
      <w:r w:rsidR="000E41DF" w:rsidRPr="00841495">
        <w:rPr>
          <w:rFonts w:ascii="Book Antiqua" w:hAnsi="Book Antiqua" w:cs="Courier New"/>
        </w:rPr>
        <w:t xml:space="preserve"> </w:t>
      </w:r>
      <w:r w:rsidR="0037774D">
        <w:rPr>
          <w:rFonts w:ascii="Book Antiqua" w:hAnsi="Book Antiqua" w:cs="Courier New"/>
        </w:rPr>
        <w:t>the Qualification Directive, status</w:t>
      </w:r>
      <w:r w:rsidR="00EC6B9D">
        <w:rPr>
          <w:rFonts w:ascii="Book Antiqua" w:hAnsi="Book Antiqua" w:cs="Courier New"/>
        </w:rPr>
        <w:t xml:space="preserve"> can be granted only to third-</w:t>
      </w:r>
      <w:r w:rsidR="00EC6B9D">
        <w:rPr>
          <w:rFonts w:ascii="Book Antiqua" w:hAnsi="Book Antiqua" w:cs="Courier New"/>
        </w:rPr>
        <w:lastRenderedPageBreak/>
        <w:t>country nationals.</w:t>
      </w:r>
      <w:r w:rsidR="002F0996">
        <w:rPr>
          <w:rFonts w:ascii="Book Antiqua" w:hAnsi="Book Antiqua" w:cs="Courier New"/>
        </w:rPr>
        <w:t xml:space="preserve"> The</w:t>
      </w:r>
      <w:r w:rsidR="00177DDF">
        <w:rPr>
          <w:rFonts w:ascii="Book Antiqua" w:hAnsi="Book Antiqua" w:cs="Courier New"/>
        </w:rPr>
        <w:t xml:space="preserve"> second equally, mirrors the Qualification </w:t>
      </w:r>
      <w:r w:rsidR="00177DDF" w:rsidRPr="00624857">
        <w:rPr>
          <w:rFonts w:ascii="Book Antiqua" w:hAnsi="Book Antiqua" w:cs="Courier New"/>
          <w:color w:val="000000" w:themeColor="text1"/>
        </w:rPr>
        <w:t xml:space="preserve">Directive. </w:t>
      </w:r>
      <w:r w:rsidR="008C6B1E" w:rsidRPr="00624857">
        <w:rPr>
          <w:rFonts w:ascii="Book Antiqua" w:hAnsi="Book Antiqua" w:cs="Courier New"/>
          <w:color w:val="000000" w:themeColor="text1"/>
        </w:rPr>
        <w:t xml:space="preserve"> There is only ambiguity if you read “means” as </w:t>
      </w:r>
      <w:r w:rsidR="00B1244F" w:rsidRPr="00624857">
        <w:rPr>
          <w:rFonts w:ascii="Book Antiqua" w:hAnsi="Book Antiqua" w:cs="Courier New"/>
          <w:color w:val="000000" w:themeColor="text1"/>
        </w:rPr>
        <w:t xml:space="preserve">“is”. </w:t>
      </w:r>
      <w:r w:rsidR="005C7EAE" w:rsidRPr="00624857">
        <w:rPr>
          <w:rFonts w:ascii="Book Antiqua" w:hAnsi="Book Antiqua" w:cs="Courier New"/>
          <w:color w:val="000000" w:themeColor="text1"/>
        </w:rPr>
        <w:t xml:space="preserve">It could have been worded as a person who is a third country national and who has been granted protection, but it does not.   There is </w:t>
      </w:r>
      <w:r w:rsidR="004D01A3" w:rsidRPr="00624857">
        <w:rPr>
          <w:rFonts w:ascii="Book Antiqua" w:hAnsi="Book Antiqua" w:cs="Courier New"/>
          <w:color w:val="000000" w:themeColor="text1"/>
        </w:rPr>
        <w:t xml:space="preserve">a linking together of both characteristics </w:t>
      </w:r>
      <w:r w:rsidR="001D015D" w:rsidRPr="00624857">
        <w:rPr>
          <w:rFonts w:ascii="Book Antiqua" w:hAnsi="Book Antiqua" w:cs="Courier New"/>
          <w:color w:val="000000" w:themeColor="text1"/>
        </w:rPr>
        <w:t>in conformity with the overall scheme of the Common European Asylum System</w:t>
      </w:r>
      <w:r w:rsidR="005A035D">
        <w:rPr>
          <w:rFonts w:ascii="Book Antiqua" w:hAnsi="Book Antiqua" w:cs="Courier New"/>
          <w:color w:val="000000" w:themeColor="text1"/>
        </w:rPr>
        <w:t>’</w:t>
      </w:r>
      <w:r w:rsidR="001D015D" w:rsidRPr="00624857">
        <w:rPr>
          <w:rFonts w:ascii="Book Antiqua" w:hAnsi="Book Antiqua" w:cs="Courier New"/>
          <w:color w:val="000000" w:themeColor="text1"/>
        </w:rPr>
        <w:t>s definition of refugee</w:t>
      </w:r>
      <w:r w:rsidR="00861FBF">
        <w:rPr>
          <w:rFonts w:ascii="Book Antiqua" w:hAnsi="Book Antiqua" w:cs="Courier New"/>
          <w:color w:val="000000" w:themeColor="text1"/>
        </w:rPr>
        <w:t xml:space="preserve"> </w:t>
      </w:r>
      <w:r w:rsidR="001D015D" w:rsidRPr="00624857">
        <w:rPr>
          <w:rFonts w:ascii="Book Antiqua" w:hAnsi="Book Antiqua" w:cs="Courier New"/>
          <w:color w:val="000000" w:themeColor="text1"/>
        </w:rPr>
        <w:t xml:space="preserve">being </w:t>
      </w:r>
      <w:r w:rsidR="00861FBF">
        <w:rPr>
          <w:rFonts w:ascii="Book Antiqua" w:hAnsi="Book Antiqua" w:cs="Courier New"/>
          <w:color w:val="000000" w:themeColor="text1"/>
        </w:rPr>
        <w:t xml:space="preserve">limited to </w:t>
      </w:r>
      <w:r w:rsidR="001D015D" w:rsidRPr="00624857">
        <w:rPr>
          <w:rFonts w:ascii="Book Antiqua" w:hAnsi="Book Antiqua" w:cs="Courier New"/>
          <w:color w:val="000000" w:themeColor="text1"/>
        </w:rPr>
        <w:t>thi</w:t>
      </w:r>
      <w:r w:rsidR="00FF1967" w:rsidRPr="00624857">
        <w:rPr>
          <w:rFonts w:ascii="Book Antiqua" w:hAnsi="Book Antiqua" w:cs="Courier New"/>
          <w:color w:val="000000" w:themeColor="text1"/>
        </w:rPr>
        <w:t>rd-country national</w:t>
      </w:r>
      <w:r w:rsidR="007410B0">
        <w:rPr>
          <w:rFonts w:ascii="Book Antiqua" w:hAnsi="Book Antiqua" w:cs="Courier New"/>
          <w:color w:val="000000" w:themeColor="text1"/>
        </w:rPr>
        <w:t xml:space="preserve">; citizens of </w:t>
      </w:r>
      <w:r w:rsidR="003A48B0">
        <w:rPr>
          <w:rFonts w:ascii="Book Antiqua" w:hAnsi="Book Antiqua" w:cs="Courier New"/>
          <w:color w:val="000000" w:themeColor="text1"/>
        </w:rPr>
        <w:t>m</w:t>
      </w:r>
      <w:r w:rsidR="007410B0">
        <w:rPr>
          <w:rFonts w:ascii="Book Antiqua" w:hAnsi="Book Antiqua" w:cs="Courier New"/>
          <w:color w:val="000000" w:themeColor="text1"/>
        </w:rPr>
        <w:t>ember states fall outside the definition</w:t>
      </w:r>
      <w:r w:rsidR="00FF1967" w:rsidRPr="00624857">
        <w:rPr>
          <w:rFonts w:ascii="Book Antiqua" w:hAnsi="Book Antiqua" w:cs="Courier New"/>
          <w:color w:val="000000" w:themeColor="text1"/>
        </w:rPr>
        <w:t>.</w:t>
      </w:r>
      <w:r w:rsidR="001D015D" w:rsidRPr="00624857">
        <w:rPr>
          <w:rFonts w:ascii="Book Antiqua" w:hAnsi="Book Antiqua" w:cs="Courier New"/>
          <w:color w:val="000000" w:themeColor="text1"/>
        </w:rPr>
        <w:t xml:space="preserve"> </w:t>
      </w:r>
      <w:r w:rsidR="004D01A3" w:rsidRPr="00624857">
        <w:rPr>
          <w:rFonts w:ascii="Book Antiqua" w:hAnsi="Book Antiqua" w:cs="Courier New"/>
          <w:color w:val="000000" w:themeColor="text1"/>
        </w:rPr>
        <w:t xml:space="preserve"> </w:t>
      </w:r>
    </w:p>
    <w:p w14:paraId="550DC52E" w14:textId="35D8C4B6" w:rsidR="00964982" w:rsidRDefault="00315A53"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There are two conditions to be fulfilled</w:t>
      </w:r>
      <w:r w:rsidR="007410B0">
        <w:rPr>
          <w:rFonts w:ascii="Book Antiqua" w:hAnsi="Book Antiqua" w:cs="Courier New"/>
        </w:rPr>
        <w:t xml:space="preserve"> </w:t>
      </w:r>
      <w:r>
        <w:rPr>
          <w:rFonts w:ascii="Book Antiqua" w:hAnsi="Book Antiqua" w:cs="Courier New"/>
        </w:rPr>
        <w:t xml:space="preserve">before the definition </w:t>
      </w:r>
      <w:r w:rsidR="00F14A62">
        <w:rPr>
          <w:rFonts w:ascii="Book Antiqua" w:hAnsi="Book Antiqua" w:cs="Courier New"/>
        </w:rPr>
        <w:t>in</w:t>
      </w:r>
      <w:r w:rsidR="007410B0">
        <w:rPr>
          <w:rFonts w:ascii="Book Antiqua" w:hAnsi="Book Antiqua" w:cs="Courier New"/>
        </w:rPr>
        <w:t xml:space="preserve"> Article 2(f)</w:t>
      </w:r>
      <w:r w:rsidR="00F14A62">
        <w:rPr>
          <w:rFonts w:ascii="Book Antiqua" w:hAnsi="Book Antiqua" w:cs="Courier New"/>
        </w:rPr>
        <w:t xml:space="preserve"> is met, nationality and the grant of protection. T</w:t>
      </w:r>
      <w:r w:rsidR="00964982">
        <w:rPr>
          <w:rFonts w:ascii="Book Antiqua" w:hAnsi="Book Antiqua" w:cs="Courier New"/>
        </w:rPr>
        <w:t xml:space="preserve">he first condition is not immutable as an individual’s nationality may change but the second condition is </w:t>
      </w:r>
      <w:r w:rsidR="008817C5">
        <w:rPr>
          <w:rFonts w:ascii="Book Antiqua" w:hAnsi="Book Antiqua" w:cs="Courier New"/>
        </w:rPr>
        <w:t>immutable</w:t>
      </w:r>
      <w:r w:rsidR="00964982">
        <w:rPr>
          <w:rFonts w:ascii="Book Antiqua" w:hAnsi="Book Antiqua" w:cs="Courier New"/>
        </w:rPr>
        <w:t>; the grant of protection is a</w:t>
      </w:r>
      <w:r w:rsidR="00957B27">
        <w:rPr>
          <w:rFonts w:ascii="Book Antiqua" w:hAnsi="Book Antiqua" w:cs="Courier New"/>
        </w:rPr>
        <w:t>n</w:t>
      </w:r>
      <w:r w:rsidR="00964982">
        <w:rPr>
          <w:rFonts w:ascii="Book Antiqua" w:hAnsi="Book Antiqua" w:cs="Courier New"/>
        </w:rPr>
        <w:t xml:space="preserve"> historical fact.   </w:t>
      </w:r>
    </w:p>
    <w:p w14:paraId="0C52673B" w14:textId="78C0759F" w:rsidR="00964982" w:rsidRDefault="008817C5"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T</w:t>
      </w:r>
      <w:r w:rsidR="00964982">
        <w:rPr>
          <w:rFonts w:ascii="Book Antiqua" w:hAnsi="Book Antiqua" w:cs="Courier New"/>
        </w:rPr>
        <w:t xml:space="preserve">he phrase “beneficiary of international protection” occurs infrequently in Dublin III. It occurs only in the definition of family member within </w:t>
      </w:r>
      <w:r w:rsidR="00D56B66">
        <w:rPr>
          <w:rFonts w:ascii="Book Antiqua" w:hAnsi="Book Antiqua" w:cs="Courier New"/>
        </w:rPr>
        <w:t>Article</w:t>
      </w:r>
      <w:r w:rsidR="00964982">
        <w:rPr>
          <w:rFonts w:ascii="Book Antiqua" w:hAnsi="Book Antiqua" w:cs="Courier New"/>
        </w:rPr>
        <w:t xml:space="preserve"> 2(g)</w:t>
      </w:r>
      <w:r w:rsidR="004C1B73">
        <w:rPr>
          <w:rFonts w:ascii="Book Antiqua" w:hAnsi="Book Antiqua" w:cs="Courier New"/>
        </w:rPr>
        <w:t xml:space="preserve"> </w:t>
      </w:r>
      <w:r w:rsidR="00E067FE">
        <w:rPr>
          <w:rFonts w:ascii="Book Antiqua" w:hAnsi="Book Antiqua" w:cs="Courier New"/>
        </w:rPr>
        <w:t xml:space="preserve">where it relates only to a minor child who has been granted protection </w:t>
      </w:r>
      <w:r w:rsidR="004C1B73" w:rsidRPr="00E067FE">
        <w:rPr>
          <w:rFonts w:ascii="Book Antiqua" w:hAnsi="Book Antiqua" w:cs="Courier New"/>
        </w:rPr>
        <w:t xml:space="preserve">and in </w:t>
      </w:r>
      <w:r w:rsidR="00D56B66">
        <w:rPr>
          <w:rFonts w:ascii="Book Antiqua" w:hAnsi="Book Antiqua" w:cs="Courier New"/>
        </w:rPr>
        <w:t>Article</w:t>
      </w:r>
      <w:r w:rsidR="004C1B73" w:rsidRPr="00E067FE">
        <w:rPr>
          <w:rFonts w:ascii="Book Antiqua" w:hAnsi="Book Antiqua" w:cs="Courier New"/>
        </w:rPr>
        <w:t xml:space="preserve"> 9, where the restriction of family member confining that to a family which existed in the country of origin is disapplied. </w:t>
      </w:r>
    </w:p>
    <w:p w14:paraId="3E6F822E" w14:textId="64AAE0F2" w:rsidR="00031629" w:rsidRDefault="00556616" w:rsidP="002C56BE">
      <w:pPr>
        <w:numPr>
          <w:ilvl w:val="0"/>
          <w:numId w:val="17"/>
        </w:numPr>
        <w:spacing w:before="240" w:after="240" w:line="360" w:lineRule="auto"/>
        <w:ind w:left="567" w:hanging="567"/>
        <w:jc w:val="both"/>
        <w:rPr>
          <w:rFonts w:ascii="Book Antiqua" w:hAnsi="Book Antiqua" w:cs="Courier New"/>
        </w:rPr>
      </w:pPr>
      <w:r w:rsidRPr="00556616">
        <w:rPr>
          <w:rFonts w:ascii="Book Antiqua" w:hAnsi="Book Antiqua" w:cs="Courier New"/>
        </w:rPr>
        <w:t xml:space="preserve">The group of individuals who fall within </w:t>
      </w:r>
      <w:r w:rsidR="00D56B66">
        <w:rPr>
          <w:rFonts w:ascii="Book Antiqua" w:hAnsi="Book Antiqua" w:cs="Courier New"/>
        </w:rPr>
        <w:t>Article</w:t>
      </w:r>
      <w:r w:rsidRPr="00556616">
        <w:rPr>
          <w:rFonts w:ascii="Book Antiqua" w:hAnsi="Book Antiqua" w:cs="Courier New"/>
        </w:rPr>
        <w:t xml:space="preserve"> 2(f) is large and covers all those granted protection by</w:t>
      </w:r>
      <w:r>
        <w:rPr>
          <w:rFonts w:ascii="Book Antiqua" w:hAnsi="Book Antiqua" w:cs="Courier New"/>
        </w:rPr>
        <w:t xml:space="preserve"> the </w:t>
      </w:r>
      <w:r w:rsidR="003A48B0">
        <w:rPr>
          <w:rFonts w:ascii="Book Antiqua" w:hAnsi="Book Antiqua" w:cs="Courier New"/>
        </w:rPr>
        <w:t xml:space="preserve">member </w:t>
      </w:r>
      <w:r>
        <w:rPr>
          <w:rFonts w:ascii="Book Antiqua" w:hAnsi="Book Antiqua" w:cs="Courier New"/>
        </w:rPr>
        <w:t xml:space="preserve">states party </w:t>
      </w:r>
      <w:r w:rsidR="00C749B5">
        <w:rPr>
          <w:rFonts w:ascii="Book Antiqua" w:hAnsi="Book Antiqua" w:cs="Courier New"/>
        </w:rPr>
        <w:t xml:space="preserve">to Dublin III. It is inevitable that people within that group may move between member states, lawfully or otherwise.  For example, an individual recognised in Belgium might lawfully move to France.  Unless it is the case that the grant of residence is as a beneficiary of protection, then Belgium would be the state responsible for examining the claim </w:t>
      </w:r>
      <w:r w:rsidR="002D035C">
        <w:rPr>
          <w:rFonts w:ascii="Book Antiqua" w:hAnsi="Book Antiqua" w:cs="Courier New"/>
        </w:rPr>
        <w:t>even many years after it had</w:t>
      </w:r>
      <w:r w:rsidR="00482C8E">
        <w:rPr>
          <w:rFonts w:ascii="Book Antiqua" w:hAnsi="Book Antiqua" w:cs="Courier New"/>
        </w:rPr>
        <w:t xml:space="preserve"> recognised the family member as a refugee.</w:t>
      </w:r>
      <w:r w:rsidR="00C749B5">
        <w:rPr>
          <w:rFonts w:ascii="Book Antiqua" w:hAnsi="Book Antiqua" w:cs="Courier New"/>
        </w:rPr>
        <w:t xml:space="preserve"> </w:t>
      </w:r>
      <w:r w:rsidR="00FD40AA">
        <w:rPr>
          <w:rFonts w:ascii="Book Antiqua" w:hAnsi="Book Antiqua" w:cs="Courier New"/>
        </w:rPr>
        <w:t xml:space="preserve"> </w:t>
      </w:r>
      <w:r w:rsidR="00031629">
        <w:rPr>
          <w:rFonts w:ascii="Book Antiqua" w:hAnsi="Book Antiqua" w:cs="Courier New"/>
        </w:rPr>
        <w:t>That attenuated nexus is still thinner if t</w:t>
      </w:r>
      <w:r w:rsidR="00FD40AA">
        <w:rPr>
          <w:rFonts w:ascii="Book Antiqua" w:hAnsi="Book Antiqua" w:cs="Courier New"/>
        </w:rPr>
        <w:t xml:space="preserve">he family member </w:t>
      </w:r>
      <w:r w:rsidR="00031629">
        <w:rPr>
          <w:rFonts w:ascii="Book Antiqua" w:hAnsi="Book Antiqua" w:cs="Courier New"/>
        </w:rPr>
        <w:t>seeking asylum</w:t>
      </w:r>
      <w:r w:rsidR="008A326F">
        <w:rPr>
          <w:rFonts w:ascii="Book Antiqua" w:hAnsi="Book Antiqua" w:cs="Courier New"/>
        </w:rPr>
        <w:t xml:space="preserve"> within the EU</w:t>
      </w:r>
      <w:r w:rsidR="00031629">
        <w:rPr>
          <w:rFonts w:ascii="Book Antiqua" w:hAnsi="Book Antiqua" w:cs="Courier New"/>
        </w:rPr>
        <w:t xml:space="preserve"> </w:t>
      </w:r>
      <w:r w:rsidR="00FD40AA">
        <w:rPr>
          <w:rFonts w:ascii="Book Antiqua" w:hAnsi="Book Antiqua" w:cs="Courier New"/>
        </w:rPr>
        <w:t>becomes a family member post- grant of protectio</w:t>
      </w:r>
      <w:r w:rsidR="00031629">
        <w:rPr>
          <w:rFonts w:ascii="Book Antiqua" w:hAnsi="Book Antiqua" w:cs="Courier New"/>
        </w:rPr>
        <w:t>n</w:t>
      </w:r>
      <w:r w:rsidR="00153194">
        <w:rPr>
          <w:rFonts w:ascii="Book Antiqua" w:hAnsi="Book Antiqua" w:cs="Courier New"/>
        </w:rPr>
        <w:t>.  In the case of the Belgian</w:t>
      </w:r>
      <w:r w:rsidR="003A48B0">
        <w:rPr>
          <w:rFonts w:ascii="Book Antiqua" w:hAnsi="Book Antiqua" w:cs="Courier New"/>
        </w:rPr>
        <w:t>-</w:t>
      </w:r>
      <w:r w:rsidR="00153194">
        <w:rPr>
          <w:rFonts w:ascii="Book Antiqua" w:hAnsi="Book Antiqua" w:cs="Courier New"/>
        </w:rPr>
        <w:t>recognised refugee now residen</w:t>
      </w:r>
      <w:r w:rsidR="008A326F">
        <w:rPr>
          <w:rFonts w:ascii="Book Antiqua" w:hAnsi="Book Antiqua" w:cs="Courier New"/>
        </w:rPr>
        <w:t>t</w:t>
      </w:r>
      <w:r w:rsidR="00153194">
        <w:rPr>
          <w:rFonts w:ascii="Book Antiqua" w:hAnsi="Book Antiqua" w:cs="Courier New"/>
        </w:rPr>
        <w:t xml:space="preserve"> in France </w:t>
      </w:r>
      <w:r w:rsidR="00031629">
        <w:rPr>
          <w:rFonts w:ascii="Book Antiqua" w:hAnsi="Book Antiqua" w:cs="Courier New"/>
        </w:rPr>
        <w:t xml:space="preserve">it would not facilitate family reunion as it would require </w:t>
      </w:r>
      <w:r w:rsidR="006B5D5D">
        <w:rPr>
          <w:rFonts w:ascii="Book Antiqua" w:hAnsi="Book Antiqua" w:cs="Courier New"/>
        </w:rPr>
        <w:t xml:space="preserve">consideration </w:t>
      </w:r>
      <w:r w:rsidR="00957B27">
        <w:rPr>
          <w:rFonts w:ascii="Book Antiqua" w:hAnsi="Book Antiqua" w:cs="Courier New"/>
        </w:rPr>
        <w:t xml:space="preserve">of </w:t>
      </w:r>
      <w:r w:rsidR="006B5D5D">
        <w:rPr>
          <w:rFonts w:ascii="Book Antiqua" w:hAnsi="Book Antiqua" w:cs="Courier New"/>
        </w:rPr>
        <w:t xml:space="preserve">the claim </w:t>
      </w:r>
      <w:r w:rsidR="00932840">
        <w:rPr>
          <w:rFonts w:ascii="Book Antiqua" w:hAnsi="Book Antiqua" w:cs="Courier New"/>
        </w:rPr>
        <w:t xml:space="preserve">made by post-grant family members by a state in which the </w:t>
      </w:r>
      <w:r w:rsidR="009F5A2C">
        <w:rPr>
          <w:rFonts w:ascii="Book Antiqua" w:hAnsi="Book Antiqua" w:cs="Courier New"/>
        </w:rPr>
        <w:t xml:space="preserve">beneficiary of international protection is not resident. </w:t>
      </w:r>
    </w:p>
    <w:p w14:paraId="542FE165" w14:textId="0DE1C1F0" w:rsidR="00902616" w:rsidRDefault="00F246FF"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At first glance that may suggest that similar or linked cases should be </w:t>
      </w:r>
      <w:r w:rsidR="000D057B">
        <w:rPr>
          <w:rFonts w:ascii="Book Antiqua" w:hAnsi="Book Antiqua" w:cs="Courier New"/>
        </w:rPr>
        <w:t xml:space="preserve">determined in the same state. </w:t>
      </w:r>
      <w:r>
        <w:rPr>
          <w:rFonts w:ascii="Book Antiqua" w:hAnsi="Book Antiqua" w:cs="Courier New"/>
        </w:rPr>
        <w:t>But in the case of post-grant family members that need not be the case</w:t>
      </w:r>
      <w:r w:rsidR="00EC4C05">
        <w:rPr>
          <w:rFonts w:ascii="Book Antiqua" w:hAnsi="Book Antiqua" w:cs="Courier New"/>
        </w:rPr>
        <w:t xml:space="preserve">: </w:t>
      </w:r>
      <w:r w:rsidR="00EC4C05">
        <w:rPr>
          <w:rFonts w:ascii="Book Antiqua" w:hAnsi="Book Antiqua" w:cs="Courier New"/>
        </w:rPr>
        <w:lastRenderedPageBreak/>
        <w:t>suppose the spouse was from a different country from the person recognised already</w:t>
      </w:r>
      <w:r w:rsidR="00902616">
        <w:rPr>
          <w:rFonts w:ascii="Book Antiqua" w:hAnsi="Book Antiqua" w:cs="Courier New"/>
        </w:rPr>
        <w:t xml:space="preserve"> – that would not be a consideration</w:t>
      </w:r>
      <w:r w:rsidR="00D839CC">
        <w:rPr>
          <w:rFonts w:ascii="Book Antiqua" w:hAnsi="Book Antiqua" w:cs="Courier New"/>
        </w:rPr>
        <w:t>, and Article 9 would still apply</w:t>
      </w:r>
      <w:r w:rsidR="00902616">
        <w:rPr>
          <w:rFonts w:ascii="Book Antiqua" w:hAnsi="Book Antiqua" w:cs="Courier New"/>
        </w:rPr>
        <w:t xml:space="preserve">. </w:t>
      </w:r>
    </w:p>
    <w:p w14:paraId="504EFD07" w14:textId="3E2B2F6D" w:rsidR="00556616" w:rsidRPr="00556616" w:rsidRDefault="00902616"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There is, I consider, no ambiguity in the </w:t>
      </w:r>
      <w:r w:rsidR="00E066BD">
        <w:rPr>
          <w:rFonts w:ascii="Book Antiqua" w:hAnsi="Book Antiqua" w:cs="Courier New"/>
        </w:rPr>
        <w:t xml:space="preserve">provisions of </w:t>
      </w:r>
      <w:r w:rsidR="00D56B66">
        <w:rPr>
          <w:rFonts w:ascii="Book Antiqua" w:hAnsi="Book Antiqua" w:cs="Courier New"/>
        </w:rPr>
        <w:t>Article</w:t>
      </w:r>
      <w:r w:rsidR="00E066BD">
        <w:rPr>
          <w:rFonts w:ascii="Book Antiqua" w:hAnsi="Book Antiqua" w:cs="Courier New"/>
        </w:rPr>
        <w:t xml:space="preserve"> 2 (f) which could, applying principles of family unity, or best interests of children, </w:t>
      </w:r>
      <w:r w:rsidR="00E44132">
        <w:rPr>
          <w:rFonts w:ascii="Book Antiqua" w:hAnsi="Book Antiqua" w:cs="Courier New"/>
        </w:rPr>
        <w:t>permissibly lead to an interpretation giving a</w:t>
      </w:r>
      <w:r w:rsidR="00E066BD">
        <w:rPr>
          <w:rFonts w:ascii="Book Antiqua" w:hAnsi="Book Antiqua" w:cs="Courier New"/>
        </w:rPr>
        <w:t xml:space="preserve"> different </w:t>
      </w:r>
      <w:r w:rsidR="00E44132">
        <w:rPr>
          <w:rFonts w:ascii="Book Antiqua" w:hAnsi="Book Antiqua" w:cs="Courier New"/>
        </w:rPr>
        <w:t xml:space="preserve">answer to the question of which state is responsible. </w:t>
      </w:r>
    </w:p>
    <w:p w14:paraId="3C67190A" w14:textId="1C2C0B0E" w:rsidR="006F2AB4" w:rsidRPr="006F2AB4" w:rsidRDefault="00D2126C" w:rsidP="002C56BE">
      <w:pPr>
        <w:numPr>
          <w:ilvl w:val="0"/>
          <w:numId w:val="17"/>
        </w:numPr>
        <w:spacing w:before="240" w:after="240" w:line="360" w:lineRule="auto"/>
        <w:ind w:left="567" w:hanging="567"/>
        <w:jc w:val="both"/>
        <w:rPr>
          <w:rFonts w:ascii="Book Antiqua" w:hAnsi="Book Antiqua" w:cs="Courier New"/>
        </w:rPr>
      </w:pPr>
      <w:r w:rsidRPr="006F2AB4">
        <w:rPr>
          <w:rFonts w:ascii="Book Antiqua" w:hAnsi="Book Antiqua" w:cs="Courier New"/>
        </w:rPr>
        <w:t xml:space="preserve">Turning back to </w:t>
      </w:r>
      <w:r w:rsidR="00D56B66">
        <w:rPr>
          <w:rFonts w:ascii="Book Antiqua" w:hAnsi="Book Antiqua" w:cs="Courier New"/>
        </w:rPr>
        <w:t>Article</w:t>
      </w:r>
      <w:r w:rsidRPr="006F2AB4">
        <w:rPr>
          <w:rFonts w:ascii="Book Antiqua" w:hAnsi="Book Antiqua" w:cs="Courier New"/>
        </w:rPr>
        <w:t xml:space="preserve"> 9, </w:t>
      </w:r>
      <w:r w:rsidR="006F2AB4" w:rsidRPr="006F2AB4">
        <w:rPr>
          <w:rFonts w:ascii="Book Antiqua" w:hAnsi="Book Antiqua" w:cs="Courier New"/>
        </w:rPr>
        <w:t>it is useful to consider it as if it read</w:t>
      </w:r>
      <w:r w:rsidR="003A48B0">
        <w:rPr>
          <w:rFonts w:ascii="Book Antiqua" w:hAnsi="Book Antiqua" w:cs="Courier New"/>
        </w:rPr>
        <w:t>s</w:t>
      </w:r>
      <w:r w:rsidR="006F2AB4" w:rsidRPr="006F2AB4">
        <w:rPr>
          <w:rFonts w:ascii="Book Antiqua" w:hAnsi="Book Antiqua" w:cs="Courier New"/>
        </w:rPr>
        <w:t xml:space="preserve"> as follows, adding in the </w:t>
      </w:r>
      <w:r w:rsidR="00956665">
        <w:rPr>
          <w:rFonts w:ascii="Book Antiqua" w:hAnsi="Book Antiqua" w:cs="Courier New"/>
        </w:rPr>
        <w:t xml:space="preserve">words from </w:t>
      </w:r>
      <w:r w:rsidR="00D56B66">
        <w:rPr>
          <w:rFonts w:ascii="Book Antiqua" w:hAnsi="Book Antiqua" w:cs="Courier New"/>
        </w:rPr>
        <w:t>Article</w:t>
      </w:r>
      <w:r w:rsidR="00956665">
        <w:rPr>
          <w:rFonts w:ascii="Book Antiqua" w:hAnsi="Book Antiqua" w:cs="Courier New"/>
        </w:rPr>
        <w:t xml:space="preserve"> 2(f)</w:t>
      </w:r>
      <w:r w:rsidR="003A48B0">
        <w:rPr>
          <w:rFonts w:ascii="Book Antiqua" w:hAnsi="Book Antiqua" w:cs="Courier New"/>
        </w:rPr>
        <w:t>:</w:t>
      </w:r>
    </w:p>
    <w:p w14:paraId="7A893271" w14:textId="4C4A2EE4" w:rsidR="00CF3892" w:rsidRPr="006F2AB4" w:rsidRDefault="00CF3892" w:rsidP="007F203B">
      <w:pPr>
        <w:autoSpaceDE w:val="0"/>
        <w:autoSpaceDN w:val="0"/>
        <w:adjustRightInd w:val="0"/>
        <w:spacing w:before="240" w:after="240" w:line="300" w:lineRule="atLeast"/>
        <w:ind w:left="993"/>
        <w:jc w:val="both"/>
        <w:rPr>
          <w:rFonts w:ascii="Book Antiqua" w:hAnsi="Book Antiqua" w:cs="Times"/>
          <w:color w:val="000000"/>
          <w:sz w:val="22"/>
          <w:szCs w:val="22"/>
        </w:rPr>
      </w:pPr>
      <w:r w:rsidRPr="006F2AB4">
        <w:rPr>
          <w:rFonts w:ascii="Book Antiqua" w:hAnsi="Book Antiqua" w:cs="Times"/>
          <w:color w:val="000000"/>
          <w:sz w:val="22"/>
          <w:szCs w:val="22"/>
        </w:rPr>
        <w:t xml:space="preserve">Where the applicant has a family member, regardless of whether the family was previously formed in the country of origin, who has been allowed to reside as a third- country national or a stateless person who has been granted international protection in a Member State, that Member State shall be responsible for examining the application for international protection, provided that the persons concerned expressed their desire in writing. </w:t>
      </w:r>
    </w:p>
    <w:p w14:paraId="02927333" w14:textId="77777777" w:rsidR="00D50985" w:rsidRDefault="00956665"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This does not resolve the ambig</w:t>
      </w:r>
      <w:r w:rsidR="00E679E3">
        <w:rPr>
          <w:rFonts w:ascii="Book Antiqua" w:hAnsi="Book Antiqua" w:cs="Courier New"/>
        </w:rPr>
        <w:t xml:space="preserve">uity in the text; the words </w:t>
      </w:r>
      <w:r w:rsidR="00E62F6A">
        <w:rPr>
          <w:rFonts w:ascii="Book Antiqua" w:hAnsi="Book Antiqua" w:cs="Courier New"/>
        </w:rPr>
        <w:t>“has been” apply to the whole of the definition</w:t>
      </w:r>
      <w:r w:rsidR="009D1DD1">
        <w:rPr>
          <w:rFonts w:ascii="Book Antiqua" w:hAnsi="Book Antiqua" w:cs="Courier New"/>
        </w:rPr>
        <w:t xml:space="preserve"> set out in 2(f)</w:t>
      </w:r>
      <w:r w:rsidR="00E86F55">
        <w:rPr>
          <w:rFonts w:ascii="Book Antiqua" w:hAnsi="Book Antiqua" w:cs="Courier New"/>
        </w:rPr>
        <w:t xml:space="preserve"> and </w:t>
      </w:r>
      <w:r w:rsidR="009D1DD1">
        <w:rPr>
          <w:rFonts w:ascii="Book Antiqua" w:hAnsi="Book Antiqua" w:cs="Courier New"/>
        </w:rPr>
        <w:t>it is a</w:t>
      </w:r>
      <w:r w:rsidR="00957B27">
        <w:rPr>
          <w:rFonts w:ascii="Book Antiqua" w:hAnsi="Book Antiqua" w:cs="Courier New"/>
        </w:rPr>
        <w:t>n</w:t>
      </w:r>
      <w:r w:rsidR="009D1DD1">
        <w:rPr>
          <w:rFonts w:ascii="Book Antiqua" w:hAnsi="Book Antiqua" w:cs="Courier New"/>
        </w:rPr>
        <w:t xml:space="preserve"> historical fact that </w:t>
      </w:r>
      <w:r w:rsidR="00E86F55">
        <w:rPr>
          <w:rFonts w:ascii="Book Antiqua" w:hAnsi="Book Antiqua" w:cs="Courier New"/>
        </w:rPr>
        <w:t xml:space="preserve">at the time of the grant of protection, A5 was a stateless person. </w:t>
      </w:r>
      <w:r w:rsidR="001A7BEF">
        <w:rPr>
          <w:rFonts w:ascii="Book Antiqua" w:hAnsi="Book Antiqua" w:cs="Courier New"/>
        </w:rPr>
        <w:t xml:space="preserve"> </w:t>
      </w:r>
    </w:p>
    <w:p w14:paraId="606E29A4" w14:textId="23933988" w:rsidR="00CE2F5E" w:rsidRPr="00CE2F5E" w:rsidRDefault="001A7BEF"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It is therefore necessary to move on to a consideration of the context of </w:t>
      </w:r>
      <w:r w:rsidR="00D56B66">
        <w:rPr>
          <w:rFonts w:ascii="Book Antiqua" w:hAnsi="Book Antiqua" w:cs="Courier New"/>
        </w:rPr>
        <w:t>Article</w:t>
      </w:r>
      <w:r>
        <w:rPr>
          <w:rFonts w:ascii="Book Antiqua" w:hAnsi="Book Antiqua" w:cs="Courier New"/>
        </w:rPr>
        <w:t xml:space="preserve"> 9, and Dublin III as a whole. </w:t>
      </w:r>
      <w:r w:rsidR="00CE2F5E">
        <w:rPr>
          <w:rFonts w:ascii="Book Antiqua" w:hAnsi="Book Antiqua" w:cs="Courier New"/>
        </w:rPr>
        <w:t xml:space="preserve"> In doing so, </w:t>
      </w:r>
      <w:r w:rsidR="00CE2F5E" w:rsidRPr="00CE2F5E">
        <w:rPr>
          <w:rFonts w:ascii="Book Antiqua" w:hAnsi="Book Antiqua" w:cs="Courier New"/>
        </w:rPr>
        <w:t>I am not persuaded that weight can be attached to the headings in the directive, contrary to what Mr Lewis submitted. There is no authority cited to me from EU case law that they are an aid to interpretation and given the presence of recitals, it is difficult to discern what their value</w:t>
      </w:r>
      <w:r w:rsidR="00D50985">
        <w:rPr>
          <w:rFonts w:ascii="Book Antiqua" w:hAnsi="Book Antiqua" w:cs="Courier New"/>
        </w:rPr>
        <w:t>, if any,</w:t>
      </w:r>
      <w:r w:rsidR="00CE2F5E" w:rsidRPr="00CE2F5E">
        <w:rPr>
          <w:rFonts w:ascii="Book Antiqua" w:hAnsi="Book Antiqua" w:cs="Courier New"/>
        </w:rPr>
        <w:t xml:space="preserve"> </w:t>
      </w:r>
      <w:r w:rsidR="00D50985">
        <w:rPr>
          <w:rFonts w:ascii="Book Antiqua" w:hAnsi="Book Antiqua" w:cs="Courier New"/>
        </w:rPr>
        <w:t>c</w:t>
      </w:r>
      <w:r w:rsidR="00CE2F5E" w:rsidRPr="00CE2F5E">
        <w:rPr>
          <w:rFonts w:ascii="Book Antiqua" w:hAnsi="Book Antiqua" w:cs="Courier New"/>
        </w:rPr>
        <w:t xml:space="preserve">ould be. Further, as I observed during submissions, the French version has no verb in the heading, nor do the Italian or Spanish versions, each of which is authentic. </w:t>
      </w:r>
    </w:p>
    <w:p w14:paraId="56BD90F5" w14:textId="10F1BB83" w:rsidR="001A7BEF" w:rsidRDefault="003A37E8"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Dublin III</w:t>
      </w:r>
      <w:r w:rsidR="006E0A67">
        <w:rPr>
          <w:rFonts w:ascii="Book Antiqua" w:hAnsi="Book Antiqua" w:cs="Courier New"/>
        </w:rPr>
        <w:t xml:space="preserve">’s </w:t>
      </w:r>
      <w:r>
        <w:rPr>
          <w:rFonts w:ascii="Book Antiqua" w:hAnsi="Book Antiqua" w:cs="Courier New"/>
        </w:rPr>
        <w:t xml:space="preserve">purpose is, as is stated in Article 1, to </w:t>
      </w:r>
      <w:r w:rsidR="008D5FF2">
        <w:rPr>
          <w:rFonts w:ascii="Book Antiqua" w:hAnsi="Book Antiqua" w:cs="Courier New"/>
        </w:rPr>
        <w:t>establish</w:t>
      </w:r>
      <w:r w:rsidR="008D5FF2" w:rsidRPr="008D5FF2">
        <w:rPr>
          <w:rFonts w:ascii="Book Antiqua" w:hAnsi="Book Antiqua" w:cs="Courier New"/>
        </w:rPr>
        <w:t xml:space="preserve"> the criteria and mechanisms for determining the </w:t>
      </w:r>
      <w:r w:rsidR="003A48B0">
        <w:rPr>
          <w:rFonts w:ascii="Book Antiqua" w:hAnsi="Book Antiqua" w:cs="Courier New"/>
        </w:rPr>
        <w:t>m</w:t>
      </w:r>
      <w:r w:rsidR="008D5FF2" w:rsidRPr="008D5FF2">
        <w:rPr>
          <w:rFonts w:ascii="Book Antiqua" w:hAnsi="Book Antiqua" w:cs="Courier New"/>
        </w:rPr>
        <w:t xml:space="preserve">ember </w:t>
      </w:r>
      <w:r w:rsidR="003A48B0">
        <w:rPr>
          <w:rFonts w:ascii="Book Antiqua" w:hAnsi="Book Antiqua" w:cs="Courier New"/>
        </w:rPr>
        <w:t>s</w:t>
      </w:r>
      <w:r w:rsidR="008D5FF2" w:rsidRPr="008D5FF2">
        <w:rPr>
          <w:rFonts w:ascii="Book Antiqua" w:hAnsi="Book Antiqua" w:cs="Courier New"/>
        </w:rPr>
        <w:t xml:space="preserve">tate responsible for examining an application for international protection lodged in one of the </w:t>
      </w:r>
      <w:r w:rsidR="003A48B0">
        <w:rPr>
          <w:rFonts w:ascii="Book Antiqua" w:hAnsi="Book Antiqua" w:cs="Courier New"/>
        </w:rPr>
        <w:t>m</w:t>
      </w:r>
      <w:r w:rsidR="008D5FF2" w:rsidRPr="008D5FF2">
        <w:rPr>
          <w:rFonts w:ascii="Book Antiqua" w:hAnsi="Book Antiqua" w:cs="Courier New"/>
        </w:rPr>
        <w:t xml:space="preserve">ember </w:t>
      </w:r>
      <w:r w:rsidR="003A48B0">
        <w:rPr>
          <w:rFonts w:ascii="Book Antiqua" w:hAnsi="Book Antiqua" w:cs="Courier New"/>
        </w:rPr>
        <w:t>s</w:t>
      </w:r>
      <w:r w:rsidR="008D5FF2" w:rsidRPr="008D5FF2">
        <w:rPr>
          <w:rFonts w:ascii="Book Antiqua" w:hAnsi="Book Antiqua" w:cs="Courier New"/>
        </w:rPr>
        <w:t>tates</w:t>
      </w:r>
      <w:r w:rsidR="008D5FF2">
        <w:rPr>
          <w:rFonts w:ascii="Book Antiqua" w:hAnsi="Book Antiqua" w:cs="Courier New"/>
        </w:rPr>
        <w:t xml:space="preserve">, as confirmed in </w:t>
      </w:r>
      <w:proofErr w:type="spellStart"/>
      <w:r w:rsidR="008D5FF2" w:rsidRPr="008D5FF2">
        <w:rPr>
          <w:rFonts w:ascii="Book Antiqua" w:hAnsi="Book Antiqua" w:cs="Courier New"/>
          <w:u w:val="single"/>
        </w:rPr>
        <w:t>Ghezelbash</w:t>
      </w:r>
      <w:proofErr w:type="spellEnd"/>
      <w:r w:rsidR="003C2868">
        <w:rPr>
          <w:rFonts w:ascii="Book Antiqua" w:hAnsi="Book Antiqua" w:cs="Courier New"/>
        </w:rPr>
        <w:t xml:space="preserve"> </w:t>
      </w:r>
      <w:r w:rsidR="00ED7960">
        <w:rPr>
          <w:rFonts w:ascii="Book Antiqua" w:hAnsi="Book Antiqua" w:cs="Courier New"/>
        </w:rPr>
        <w:t>[201</w:t>
      </w:r>
      <w:r w:rsidR="00D83B3A">
        <w:rPr>
          <w:rFonts w:ascii="Book Antiqua" w:hAnsi="Book Antiqua" w:cs="Courier New"/>
        </w:rPr>
        <w:t>6] EUECJ C-63/15</w:t>
      </w:r>
      <w:r w:rsidR="004760DE">
        <w:rPr>
          <w:rFonts w:ascii="Book Antiqua" w:hAnsi="Book Antiqua" w:cs="Courier New"/>
        </w:rPr>
        <w:t xml:space="preserve"> </w:t>
      </w:r>
      <w:r w:rsidR="003C2868">
        <w:rPr>
          <w:rFonts w:ascii="Book Antiqua" w:hAnsi="Book Antiqua" w:cs="Courier New"/>
        </w:rPr>
        <w:t>where the CJEU held:</w:t>
      </w:r>
    </w:p>
    <w:p w14:paraId="0D317574" w14:textId="288A67B2" w:rsidR="003C2868" w:rsidRPr="00DD267F" w:rsidRDefault="00DD267F" w:rsidP="00DD267F">
      <w:pPr>
        <w:pStyle w:val="c01pointnumerotealtn"/>
        <w:ind w:left="930"/>
        <w:jc w:val="both"/>
        <w:rPr>
          <w:rFonts w:ascii="Book Antiqua" w:hAnsi="Book Antiqua"/>
          <w:sz w:val="22"/>
          <w:szCs w:val="22"/>
        </w:rPr>
      </w:pPr>
      <w:r w:rsidRPr="00DD267F">
        <w:rPr>
          <w:rFonts w:ascii="Book Antiqua" w:hAnsi="Book Antiqua"/>
          <w:sz w:val="22"/>
          <w:szCs w:val="22"/>
        </w:rPr>
        <w:t xml:space="preserve">42. </w:t>
      </w:r>
      <w:r w:rsidR="003C2868" w:rsidRPr="00DD267F">
        <w:rPr>
          <w:rFonts w:ascii="Book Antiqua" w:hAnsi="Book Antiqua"/>
          <w:sz w:val="22"/>
          <w:szCs w:val="22"/>
        </w:rPr>
        <w:t>Thus, according to recitals 4, 5 and 40 of Regulation No 604/2013, the objective of the regulation is to establish a clear and workable method based on objective, fair criteria both for the Member States and for the persons concerned for determining the Member State responsible for examining an asylum application. It follows</w:t>
      </w:r>
      <w:proofErr w:type="gramStart"/>
      <w:r w:rsidR="003C2868" w:rsidRPr="00DD267F">
        <w:rPr>
          <w:rFonts w:ascii="Book Antiqua" w:hAnsi="Book Antiqua"/>
          <w:sz w:val="22"/>
          <w:szCs w:val="22"/>
        </w:rPr>
        <w:t>, in particular, from</w:t>
      </w:r>
      <w:proofErr w:type="gramEnd"/>
      <w:r w:rsidR="003C2868" w:rsidRPr="00DD267F">
        <w:rPr>
          <w:rFonts w:ascii="Book Antiqua" w:hAnsi="Book Antiqua"/>
          <w:sz w:val="22"/>
          <w:szCs w:val="22"/>
        </w:rPr>
        <w:t xml:space="preserve"> Articles 3(1) and 7(1) of the regulation that the Member State responsible is, in principle, </w:t>
      </w:r>
      <w:r w:rsidR="003C2868" w:rsidRPr="00DD267F">
        <w:rPr>
          <w:rFonts w:ascii="Book Antiqua" w:hAnsi="Book Antiqua"/>
          <w:sz w:val="22"/>
          <w:szCs w:val="22"/>
        </w:rPr>
        <w:lastRenderedPageBreak/>
        <w:t xml:space="preserve">the Member State indicated by the criteria set out in Chapter III of the regulation. Moreover, Chapter IV of the regulation identifies specifically the situations in which a Member State may be deemed responsible for examining an asylum application by way of derogation from those criteria. </w:t>
      </w:r>
    </w:p>
    <w:p w14:paraId="3D73AD8B" w14:textId="7515E4E2" w:rsidR="003C2868" w:rsidRPr="00DD267F" w:rsidRDefault="003C2868" w:rsidP="00DD267F">
      <w:pPr>
        <w:pStyle w:val="c01pointnumerotealtn"/>
        <w:ind w:left="930"/>
        <w:jc w:val="both"/>
        <w:rPr>
          <w:rFonts w:ascii="Book Antiqua" w:hAnsi="Book Antiqua"/>
          <w:sz w:val="22"/>
          <w:szCs w:val="22"/>
        </w:rPr>
      </w:pPr>
      <w:bookmarkStart w:id="5" w:name="point43"/>
      <w:r w:rsidRPr="00DD267F">
        <w:rPr>
          <w:rFonts w:ascii="Book Antiqua" w:hAnsi="Book Antiqua"/>
          <w:sz w:val="22"/>
          <w:szCs w:val="22"/>
        </w:rPr>
        <w:t>43</w:t>
      </w:r>
      <w:bookmarkEnd w:id="5"/>
      <w:r w:rsidR="00DD267F" w:rsidRPr="00DD267F">
        <w:rPr>
          <w:rFonts w:ascii="Book Antiqua" w:hAnsi="Book Antiqua"/>
          <w:sz w:val="22"/>
          <w:szCs w:val="22"/>
        </w:rPr>
        <w:t>.</w:t>
      </w:r>
      <w:r w:rsidRPr="00DD267F">
        <w:rPr>
          <w:rFonts w:ascii="Book Antiqua" w:hAnsi="Book Antiqua"/>
          <w:sz w:val="22"/>
          <w:szCs w:val="22"/>
        </w:rPr>
        <w:t xml:space="preserve">  The crucial importance, for the application of Regulation No 604/2013, of the process for determining the Member State responsible on the basis of the criteria laid down in Chapter III of the regulation is confirmed by the fact that Article 21(1) of the regulation provides that it is possible for the Member State with which an application for international protection has been lodged to request another Member State to take charge of an asylum seeker only if the first Member State considers that the second is responsible for the examination of the application. Moreover, under Article 21(3) of the regulation, the request for charge to be taken of the applicant must include evidence enabling the authorities of the Member State requested to check whether it is responsible </w:t>
      </w:r>
      <w:proofErr w:type="gramStart"/>
      <w:r w:rsidRPr="00DD267F">
        <w:rPr>
          <w:rFonts w:ascii="Book Antiqua" w:hAnsi="Book Antiqua"/>
          <w:sz w:val="22"/>
          <w:szCs w:val="22"/>
        </w:rPr>
        <w:t>on the basis of</w:t>
      </w:r>
      <w:proofErr w:type="gramEnd"/>
      <w:r w:rsidRPr="00DD267F">
        <w:rPr>
          <w:rFonts w:ascii="Book Antiqua" w:hAnsi="Book Antiqua"/>
          <w:sz w:val="22"/>
          <w:szCs w:val="22"/>
        </w:rPr>
        <w:t xml:space="preserve"> the criteria laid down in the regulation. Similarly, it is apparent from Article 22 of Regulation No 604/2013 that the response to such a request must be based on an examination of the elements of proof and circumstantial evidence whereby the criteria laid down in Chapter III of the regulation are applied. </w:t>
      </w:r>
    </w:p>
    <w:p w14:paraId="4CA63419" w14:textId="57FF74C4" w:rsidR="000C5B3F" w:rsidRDefault="00CB74BD"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Its purpose must also be seen in </w:t>
      </w:r>
      <w:r w:rsidR="00F04190">
        <w:rPr>
          <w:rFonts w:ascii="Book Antiqua" w:hAnsi="Book Antiqua" w:cs="Courier New"/>
        </w:rPr>
        <w:t>the context</w:t>
      </w:r>
      <w:r>
        <w:rPr>
          <w:rFonts w:ascii="Book Antiqua" w:hAnsi="Book Antiqua" w:cs="Courier New"/>
        </w:rPr>
        <w:t xml:space="preserve"> of the CEAS</w:t>
      </w:r>
      <w:r w:rsidR="00B22FBD">
        <w:rPr>
          <w:rFonts w:ascii="Book Antiqua" w:hAnsi="Book Antiqua" w:cs="Courier New"/>
        </w:rPr>
        <w:t xml:space="preserve"> </w:t>
      </w:r>
      <w:r w:rsidR="00DC1BF2">
        <w:rPr>
          <w:rFonts w:ascii="Book Antiqua" w:hAnsi="Book Antiqua" w:cs="Courier New"/>
        </w:rPr>
        <w:t xml:space="preserve">and EU Immigration </w:t>
      </w:r>
      <w:proofErr w:type="gramStart"/>
      <w:r w:rsidR="00F63223">
        <w:rPr>
          <w:rFonts w:ascii="Book Antiqua" w:hAnsi="Book Antiqua" w:cs="Courier New"/>
        </w:rPr>
        <w:t>law</w:t>
      </w:r>
      <w:r w:rsidR="00496C2E">
        <w:rPr>
          <w:rFonts w:ascii="Book Antiqua" w:hAnsi="Book Antiqua" w:cs="Courier New"/>
        </w:rPr>
        <w:t xml:space="preserve"> </w:t>
      </w:r>
      <w:r w:rsidR="00B22FBD">
        <w:rPr>
          <w:rFonts w:ascii="Book Antiqua" w:hAnsi="Book Antiqua" w:cs="Courier New"/>
        </w:rPr>
        <w:t>as a whol</w:t>
      </w:r>
      <w:r w:rsidR="00496C2E">
        <w:rPr>
          <w:rFonts w:ascii="Book Antiqua" w:hAnsi="Book Antiqua" w:cs="Courier New"/>
        </w:rPr>
        <w:t>e</w:t>
      </w:r>
      <w:proofErr w:type="gramEnd"/>
      <w:r w:rsidR="00496C2E">
        <w:rPr>
          <w:rFonts w:ascii="Book Antiqua" w:hAnsi="Book Antiqua" w:cs="Courier New"/>
        </w:rPr>
        <w:t>. While the UK</w:t>
      </w:r>
      <w:r w:rsidR="0057455B">
        <w:rPr>
          <w:rFonts w:ascii="Book Antiqua" w:hAnsi="Book Antiqua" w:cs="Courier New"/>
        </w:rPr>
        <w:t>, Ireland and Denmark</w:t>
      </w:r>
      <w:r w:rsidR="00496C2E">
        <w:rPr>
          <w:rFonts w:ascii="Book Antiqua" w:hAnsi="Book Antiqua" w:cs="Courier New"/>
        </w:rPr>
        <w:t xml:space="preserve"> opted out of Directive 2003/</w:t>
      </w:r>
      <w:r w:rsidR="005533F5">
        <w:rPr>
          <w:rFonts w:ascii="Book Antiqua" w:hAnsi="Book Antiqua" w:cs="Courier New"/>
        </w:rPr>
        <w:t xml:space="preserve">86/EC </w:t>
      </w:r>
      <w:r w:rsidR="00656B62">
        <w:rPr>
          <w:rFonts w:ascii="Book Antiqua" w:hAnsi="Book Antiqua" w:cs="Courier New"/>
        </w:rPr>
        <w:t>on the rig</w:t>
      </w:r>
      <w:r w:rsidR="00112650">
        <w:rPr>
          <w:rFonts w:ascii="Book Antiqua" w:hAnsi="Book Antiqua" w:cs="Courier New"/>
        </w:rPr>
        <w:t xml:space="preserve">ht </w:t>
      </w:r>
      <w:r w:rsidR="005533F5">
        <w:rPr>
          <w:rFonts w:ascii="Book Antiqua" w:hAnsi="Book Antiqua" w:cs="Courier New"/>
        </w:rPr>
        <w:t>to family</w:t>
      </w:r>
      <w:r w:rsidR="00112650">
        <w:rPr>
          <w:rFonts w:ascii="Book Antiqua" w:hAnsi="Book Antiqua" w:cs="Courier New"/>
        </w:rPr>
        <w:t xml:space="preserve"> reunification</w:t>
      </w:r>
      <w:r w:rsidR="00176D97">
        <w:rPr>
          <w:rFonts w:ascii="Book Antiqua" w:hAnsi="Book Antiqua" w:cs="Courier New"/>
        </w:rPr>
        <w:t xml:space="preserve"> which </w:t>
      </w:r>
      <w:r w:rsidR="005D01BC">
        <w:rPr>
          <w:rFonts w:ascii="Book Antiqua" w:hAnsi="Book Antiqua" w:cs="Courier New"/>
        </w:rPr>
        <w:t>covers refugees and their families</w:t>
      </w:r>
      <w:r w:rsidR="00176D97">
        <w:rPr>
          <w:rFonts w:ascii="Book Antiqua" w:hAnsi="Book Antiqua" w:cs="Courier New"/>
        </w:rPr>
        <w:t>, it is nonetheless part of th</w:t>
      </w:r>
      <w:r w:rsidR="00F04190">
        <w:rPr>
          <w:rFonts w:ascii="Book Antiqua" w:hAnsi="Book Antiqua" w:cs="Courier New"/>
        </w:rPr>
        <w:t>at</w:t>
      </w:r>
      <w:r w:rsidR="002341E6">
        <w:rPr>
          <w:rFonts w:ascii="Book Antiqua" w:hAnsi="Book Antiqua" w:cs="Courier New"/>
        </w:rPr>
        <w:t xml:space="preserve"> context.</w:t>
      </w:r>
      <w:r w:rsidR="0057455B">
        <w:rPr>
          <w:rFonts w:ascii="Book Antiqua" w:hAnsi="Book Antiqua" w:cs="Courier New"/>
        </w:rPr>
        <w:t xml:space="preserve"> </w:t>
      </w:r>
      <w:r w:rsidR="00FF64A3">
        <w:rPr>
          <w:rFonts w:ascii="Book Antiqua" w:hAnsi="Book Antiqua" w:cs="Courier New"/>
        </w:rPr>
        <w:t xml:space="preserve">Article 2 (d) </w:t>
      </w:r>
      <w:r w:rsidR="003525F2">
        <w:rPr>
          <w:rFonts w:ascii="Book Antiqua" w:hAnsi="Book Antiqua" w:cs="Courier New"/>
        </w:rPr>
        <w:t xml:space="preserve">of that directive extends </w:t>
      </w:r>
      <w:r w:rsidR="000C5B3F">
        <w:rPr>
          <w:rFonts w:ascii="Book Antiqua" w:hAnsi="Book Antiqua" w:cs="Courier New"/>
        </w:rPr>
        <w:t xml:space="preserve">its provisions </w:t>
      </w:r>
      <w:r w:rsidR="00FF64A3">
        <w:rPr>
          <w:rFonts w:ascii="Book Antiqua" w:hAnsi="Book Antiqua" w:cs="Courier New"/>
        </w:rPr>
        <w:t>to families</w:t>
      </w:r>
      <w:r w:rsidR="002B2421">
        <w:rPr>
          <w:rFonts w:ascii="Book Antiqua" w:hAnsi="Book Antiqua" w:cs="Courier New"/>
        </w:rPr>
        <w:t xml:space="preserve"> coming into being after a sponsor’s entry into a member state, </w:t>
      </w:r>
      <w:r w:rsidR="008C0959">
        <w:rPr>
          <w:rFonts w:ascii="Book Antiqua" w:hAnsi="Book Antiqua" w:cs="Courier New"/>
        </w:rPr>
        <w:t>and there are wi</w:t>
      </w:r>
      <w:r w:rsidR="00AE2608">
        <w:rPr>
          <w:rFonts w:ascii="Book Antiqua" w:hAnsi="Book Antiqua" w:cs="Courier New"/>
        </w:rPr>
        <w:t>th</w:t>
      </w:r>
      <w:r w:rsidR="008C0959">
        <w:rPr>
          <w:rFonts w:ascii="Book Antiqua" w:hAnsi="Book Antiqua" w:cs="Courier New"/>
        </w:rPr>
        <w:t>in cha</w:t>
      </w:r>
      <w:r w:rsidR="00AE2608">
        <w:rPr>
          <w:rFonts w:ascii="Book Antiqua" w:hAnsi="Book Antiqua" w:cs="Courier New"/>
        </w:rPr>
        <w:t xml:space="preserve">pter V of the Directive special provisions applicable in </w:t>
      </w:r>
      <w:r w:rsidR="000C5B3F">
        <w:rPr>
          <w:rFonts w:ascii="Book Antiqua" w:hAnsi="Book Antiqua" w:cs="Courier New"/>
        </w:rPr>
        <w:t>the case of refugees</w:t>
      </w:r>
      <w:r w:rsidR="00AE2608">
        <w:rPr>
          <w:rFonts w:ascii="Book Antiqua" w:hAnsi="Book Antiqua" w:cs="Courier New"/>
        </w:rPr>
        <w:t xml:space="preserve">. </w:t>
      </w:r>
    </w:p>
    <w:p w14:paraId="2E29EEA2" w14:textId="01AA09A9" w:rsidR="00B5726B" w:rsidRDefault="00912488"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Equally </w:t>
      </w:r>
      <w:r w:rsidR="00EA7434">
        <w:rPr>
          <w:rFonts w:ascii="Book Antiqua" w:hAnsi="Book Antiqua" w:cs="Courier New"/>
        </w:rPr>
        <w:t>o</w:t>
      </w:r>
      <w:r w:rsidR="00AE2608">
        <w:rPr>
          <w:rFonts w:ascii="Book Antiqua" w:hAnsi="Book Antiqua" w:cs="Courier New"/>
        </w:rPr>
        <w:t xml:space="preserve">f note is </w:t>
      </w:r>
      <w:r w:rsidR="00282393">
        <w:rPr>
          <w:rFonts w:ascii="Book Antiqua" w:hAnsi="Book Antiqua" w:cs="Courier New"/>
        </w:rPr>
        <w:t xml:space="preserve">Directive 2003/109/EC concerning the status of third country nationals who are long-term residents which again does not apply to the UK, Ireland and Denmark but is still part of </w:t>
      </w:r>
      <w:r w:rsidR="00EA7434">
        <w:rPr>
          <w:rFonts w:ascii="Book Antiqua" w:hAnsi="Book Antiqua" w:cs="Courier New"/>
        </w:rPr>
        <w:t xml:space="preserve">EU </w:t>
      </w:r>
      <w:r w:rsidR="00196CE3">
        <w:rPr>
          <w:rFonts w:ascii="Book Antiqua" w:hAnsi="Book Antiqua" w:cs="Courier New"/>
        </w:rPr>
        <w:t xml:space="preserve">immigration law. Broadly, it provides </w:t>
      </w:r>
      <w:r w:rsidR="00F55339">
        <w:rPr>
          <w:rFonts w:ascii="Book Antiqua" w:hAnsi="Book Antiqua" w:cs="Courier New"/>
        </w:rPr>
        <w:t>that third-country nationals lawfully resident</w:t>
      </w:r>
      <w:r w:rsidR="00A96E8B">
        <w:rPr>
          <w:rFonts w:ascii="Book Antiqua" w:hAnsi="Book Antiqua" w:cs="Courier New"/>
        </w:rPr>
        <w:t xml:space="preserve"> for a period of 5 years </w:t>
      </w:r>
      <w:r w:rsidR="005367E1">
        <w:rPr>
          <w:rFonts w:ascii="Book Antiqua" w:hAnsi="Book Antiqua" w:cs="Courier New"/>
        </w:rPr>
        <w:t>can (subject to various</w:t>
      </w:r>
      <w:r w:rsidR="00F8785E">
        <w:rPr>
          <w:rFonts w:ascii="Book Antiqua" w:hAnsi="Book Antiqua" w:cs="Courier New"/>
        </w:rPr>
        <w:t xml:space="preserve"> conditions) </w:t>
      </w:r>
      <w:r w:rsidR="00A96E8B">
        <w:rPr>
          <w:rFonts w:ascii="Book Antiqua" w:hAnsi="Book Antiqua" w:cs="Courier New"/>
        </w:rPr>
        <w:t>acquire a status</w:t>
      </w:r>
      <w:r w:rsidR="00245BF0">
        <w:rPr>
          <w:rFonts w:ascii="Book Antiqua" w:hAnsi="Book Antiqua" w:cs="Courier New"/>
        </w:rPr>
        <w:t xml:space="preserve"> which gives them </w:t>
      </w:r>
      <w:r w:rsidR="00913AF2">
        <w:rPr>
          <w:rFonts w:ascii="Book Antiqua" w:hAnsi="Book Antiqua" w:cs="Courier New"/>
        </w:rPr>
        <w:t xml:space="preserve">a bundle of </w:t>
      </w:r>
      <w:r w:rsidR="005828AF">
        <w:rPr>
          <w:rFonts w:ascii="Book Antiqua" w:hAnsi="Book Antiqua" w:cs="Courier New"/>
        </w:rPr>
        <w:t>rights under EU</w:t>
      </w:r>
      <w:r w:rsidR="00957B27">
        <w:rPr>
          <w:rFonts w:ascii="Book Antiqua" w:hAnsi="Book Antiqua" w:cs="Courier New"/>
        </w:rPr>
        <w:t xml:space="preserve"> law </w:t>
      </w:r>
      <w:r w:rsidR="005828AF">
        <w:rPr>
          <w:rFonts w:ascii="Book Antiqua" w:hAnsi="Book Antiqua" w:cs="Courier New"/>
        </w:rPr>
        <w:t xml:space="preserve">including </w:t>
      </w:r>
      <w:r w:rsidR="00366C82">
        <w:rPr>
          <w:rFonts w:ascii="Book Antiqua" w:hAnsi="Book Antiqua" w:cs="Courier New"/>
        </w:rPr>
        <w:t>a conditional right (</w:t>
      </w:r>
      <w:r w:rsidR="00D56B66">
        <w:rPr>
          <w:rFonts w:ascii="Book Antiqua" w:hAnsi="Book Antiqua" w:cs="Courier New"/>
        </w:rPr>
        <w:t>Article</w:t>
      </w:r>
      <w:r w:rsidR="00366C82">
        <w:rPr>
          <w:rFonts w:ascii="Book Antiqua" w:hAnsi="Book Antiqua" w:cs="Courier New"/>
        </w:rPr>
        <w:t xml:space="preserve">s 14- 23) </w:t>
      </w:r>
      <w:r w:rsidR="00B66FB0">
        <w:rPr>
          <w:rFonts w:ascii="Book Antiqua" w:hAnsi="Book Antiqua" w:cs="Courier New"/>
        </w:rPr>
        <w:t xml:space="preserve">to reside to pursue an economic activity, study or </w:t>
      </w:r>
      <w:r w:rsidR="001103BE">
        <w:rPr>
          <w:rFonts w:ascii="Book Antiqua" w:hAnsi="Book Antiqua" w:cs="Courier New"/>
        </w:rPr>
        <w:t xml:space="preserve">“other purposes”.  In the context of </w:t>
      </w:r>
      <w:r w:rsidR="00EE6CBB">
        <w:rPr>
          <w:rFonts w:ascii="Book Antiqua" w:hAnsi="Book Antiqua" w:cs="Courier New"/>
        </w:rPr>
        <w:t xml:space="preserve">Article 9 of Dublin III it is of note </w:t>
      </w:r>
      <w:r w:rsidR="00957B27">
        <w:rPr>
          <w:rFonts w:ascii="Book Antiqua" w:hAnsi="Book Antiqua" w:cs="Courier New"/>
        </w:rPr>
        <w:t xml:space="preserve">that </w:t>
      </w:r>
      <w:r w:rsidR="00B5726B">
        <w:rPr>
          <w:rFonts w:ascii="Book Antiqua" w:hAnsi="Book Antiqua" w:cs="Courier New"/>
        </w:rPr>
        <w:t>the long residence directive applies to those granted international protection</w:t>
      </w:r>
      <w:r w:rsidR="00B86B13">
        <w:rPr>
          <w:rFonts w:ascii="Book Antiqua" w:hAnsi="Book Antiqua" w:cs="Courier New"/>
        </w:rPr>
        <w:t xml:space="preserve"> and thus would permit</w:t>
      </w:r>
      <w:r w:rsidR="001E396A">
        <w:rPr>
          <w:rFonts w:ascii="Book Antiqua" w:hAnsi="Book Antiqua" w:cs="Courier New"/>
        </w:rPr>
        <w:t xml:space="preserve">, as in the scenario set out above, a third-country </w:t>
      </w:r>
      <w:r w:rsidR="004710EE">
        <w:rPr>
          <w:rFonts w:ascii="Book Antiqua" w:hAnsi="Book Antiqua" w:cs="Courier New"/>
        </w:rPr>
        <w:t>national recognised in Belgium to move to live and work in France after acquiring 5 years’ lawful residence</w:t>
      </w:r>
      <w:r w:rsidR="00DB077B">
        <w:rPr>
          <w:rFonts w:ascii="Book Antiqua" w:hAnsi="Book Antiqua" w:cs="Courier New"/>
        </w:rPr>
        <w:t xml:space="preserve"> in Belgium</w:t>
      </w:r>
      <w:r w:rsidR="004710EE">
        <w:rPr>
          <w:rFonts w:ascii="Book Antiqua" w:hAnsi="Book Antiqua" w:cs="Courier New"/>
        </w:rPr>
        <w:t xml:space="preserve">. </w:t>
      </w:r>
      <w:r w:rsidR="005C6B2D">
        <w:rPr>
          <w:rFonts w:ascii="Book Antiqua" w:hAnsi="Book Antiqua" w:cs="Courier New"/>
        </w:rPr>
        <w:t xml:space="preserve"> It is of note that by operation of </w:t>
      </w:r>
      <w:r w:rsidR="00D56B66">
        <w:rPr>
          <w:rFonts w:ascii="Book Antiqua" w:hAnsi="Book Antiqua" w:cs="Courier New"/>
        </w:rPr>
        <w:t>Article</w:t>
      </w:r>
      <w:r w:rsidR="005C6B2D">
        <w:rPr>
          <w:rFonts w:ascii="Book Antiqua" w:hAnsi="Book Antiqua" w:cs="Courier New"/>
        </w:rPr>
        <w:t xml:space="preserve"> 8, any</w:t>
      </w:r>
      <w:r w:rsidR="007C7E5B">
        <w:rPr>
          <w:rFonts w:ascii="Book Antiqua" w:hAnsi="Book Antiqua" w:cs="Courier New"/>
        </w:rPr>
        <w:t xml:space="preserve"> long residence </w:t>
      </w:r>
      <w:r w:rsidR="005C6B2D">
        <w:rPr>
          <w:rFonts w:ascii="Book Antiqua" w:hAnsi="Book Antiqua" w:cs="Courier New"/>
        </w:rPr>
        <w:t>permit</w:t>
      </w:r>
      <w:r w:rsidR="007C7E5B">
        <w:rPr>
          <w:rFonts w:ascii="Book Antiqua" w:hAnsi="Book Antiqua" w:cs="Courier New"/>
        </w:rPr>
        <w:t xml:space="preserve"> issued by the member state recognising a person as entitled to </w:t>
      </w:r>
      <w:r w:rsidR="009B1240">
        <w:rPr>
          <w:rFonts w:ascii="Book Antiqua" w:hAnsi="Book Antiqua" w:cs="Courier New"/>
        </w:rPr>
        <w:t xml:space="preserve">international protection must state that as must any </w:t>
      </w:r>
      <w:r w:rsidR="0046523A">
        <w:rPr>
          <w:rFonts w:ascii="Book Antiqua" w:hAnsi="Book Antiqua" w:cs="Courier New"/>
        </w:rPr>
        <w:t xml:space="preserve">subsequent </w:t>
      </w:r>
      <w:r w:rsidR="001644AF">
        <w:rPr>
          <w:rFonts w:ascii="Book Antiqua" w:hAnsi="Book Antiqua" w:cs="Courier New"/>
        </w:rPr>
        <w:t xml:space="preserve">long residence </w:t>
      </w:r>
      <w:r w:rsidR="009B1240">
        <w:rPr>
          <w:rFonts w:ascii="Book Antiqua" w:hAnsi="Book Antiqua" w:cs="Courier New"/>
        </w:rPr>
        <w:t xml:space="preserve">permit </w:t>
      </w:r>
      <w:r w:rsidR="00A92089">
        <w:rPr>
          <w:rFonts w:ascii="Book Antiqua" w:hAnsi="Book Antiqua" w:cs="Courier New"/>
        </w:rPr>
        <w:t xml:space="preserve">issued </w:t>
      </w:r>
      <w:r w:rsidR="009B1240">
        <w:rPr>
          <w:rFonts w:ascii="Book Antiqua" w:hAnsi="Book Antiqua" w:cs="Courier New"/>
        </w:rPr>
        <w:t xml:space="preserve">by the </w:t>
      </w:r>
      <w:r w:rsidR="00A92089">
        <w:rPr>
          <w:rFonts w:ascii="Book Antiqua" w:hAnsi="Book Antiqua" w:cs="Courier New"/>
        </w:rPr>
        <w:t xml:space="preserve">member state in </w:t>
      </w:r>
      <w:r w:rsidR="00A92089">
        <w:rPr>
          <w:rFonts w:ascii="Book Antiqua" w:hAnsi="Book Antiqua" w:cs="Courier New"/>
        </w:rPr>
        <w:lastRenderedPageBreak/>
        <w:t>which he then takes up residence</w:t>
      </w:r>
      <w:r w:rsidR="001644AF">
        <w:rPr>
          <w:rFonts w:ascii="Book Antiqua" w:hAnsi="Book Antiqua" w:cs="Courier New"/>
        </w:rPr>
        <w:t xml:space="preserve"> and acquires </w:t>
      </w:r>
      <w:r w:rsidR="002D7F01">
        <w:rPr>
          <w:rFonts w:ascii="Book Antiqua" w:hAnsi="Book Antiqua" w:cs="Courier New"/>
        </w:rPr>
        <w:t xml:space="preserve">long residence. </w:t>
      </w:r>
      <w:r w:rsidR="000118B1">
        <w:rPr>
          <w:rFonts w:ascii="Book Antiqua" w:hAnsi="Book Antiqua" w:cs="Courier New"/>
        </w:rPr>
        <w:t>This does not, however transfer responsibility for international protection</w:t>
      </w:r>
      <w:r w:rsidR="00AC599C">
        <w:rPr>
          <w:rFonts w:ascii="Book Antiqua" w:hAnsi="Book Antiqua" w:cs="Courier New"/>
        </w:rPr>
        <w:t xml:space="preserve"> – see recital 9 of Directive 2011/51. </w:t>
      </w:r>
    </w:p>
    <w:p w14:paraId="4092AFA3" w14:textId="23D6CD7F" w:rsidR="00B5726B" w:rsidRDefault="00842AC4"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In this context,</w:t>
      </w:r>
      <w:r w:rsidR="00A838DD" w:rsidRPr="00A838DD">
        <w:rPr>
          <w:rFonts w:ascii="Book Antiqua" w:hAnsi="Book Antiqua" w:cs="Courier New"/>
        </w:rPr>
        <w:t xml:space="preserve"> </w:t>
      </w:r>
      <w:r w:rsidR="00A838DD">
        <w:rPr>
          <w:rFonts w:ascii="Book Antiqua" w:hAnsi="Book Antiqua" w:cs="Courier New"/>
        </w:rPr>
        <w:t>it becomes apparent</w:t>
      </w:r>
      <w:r>
        <w:rPr>
          <w:rFonts w:ascii="Book Antiqua" w:hAnsi="Book Antiqua" w:cs="Courier New"/>
        </w:rPr>
        <w:t xml:space="preserve"> </w:t>
      </w:r>
      <w:r w:rsidR="003B12C6">
        <w:rPr>
          <w:rFonts w:ascii="Book Antiqua" w:hAnsi="Book Antiqua" w:cs="Courier New"/>
        </w:rPr>
        <w:t>th</w:t>
      </w:r>
      <w:r w:rsidR="00A838DD">
        <w:rPr>
          <w:rFonts w:ascii="Book Antiqua" w:hAnsi="Book Antiqua" w:cs="Courier New"/>
        </w:rPr>
        <w:t>at th</w:t>
      </w:r>
      <w:r w:rsidR="003B12C6">
        <w:rPr>
          <w:rFonts w:ascii="Book Antiqua" w:hAnsi="Book Antiqua" w:cs="Courier New"/>
        </w:rPr>
        <w:t xml:space="preserve">e legislative intention </w:t>
      </w:r>
      <w:r w:rsidR="00A838DD">
        <w:rPr>
          <w:rFonts w:ascii="Book Antiqua" w:hAnsi="Book Antiqua" w:cs="Courier New"/>
        </w:rPr>
        <w:t>is</w:t>
      </w:r>
      <w:r w:rsidR="003B12C6">
        <w:rPr>
          <w:rFonts w:ascii="Book Antiqua" w:hAnsi="Book Antiqua" w:cs="Courier New"/>
        </w:rPr>
        <w:t xml:space="preserve"> </w:t>
      </w:r>
      <w:r w:rsidR="00582AAE">
        <w:rPr>
          <w:rFonts w:ascii="Book Antiqua" w:hAnsi="Book Antiqua" w:cs="Courier New"/>
        </w:rPr>
        <w:t xml:space="preserve">that </w:t>
      </w:r>
      <w:r w:rsidR="003B12C6">
        <w:rPr>
          <w:rFonts w:ascii="Book Antiqua" w:hAnsi="Book Antiqua" w:cs="Courier New"/>
        </w:rPr>
        <w:t xml:space="preserve">primary responsibility for </w:t>
      </w:r>
      <w:r w:rsidR="008B0B7D">
        <w:rPr>
          <w:rFonts w:ascii="Book Antiqua" w:hAnsi="Book Antiqua" w:cs="Courier New"/>
        </w:rPr>
        <w:t>those granted international protection</w:t>
      </w:r>
      <w:r w:rsidR="003B12C6">
        <w:rPr>
          <w:rFonts w:ascii="Book Antiqua" w:hAnsi="Book Antiqua" w:cs="Courier New"/>
        </w:rPr>
        <w:t xml:space="preserve"> lies with the </w:t>
      </w:r>
      <w:r w:rsidR="008B0B7D">
        <w:rPr>
          <w:rFonts w:ascii="Book Antiqua" w:hAnsi="Book Antiqua" w:cs="Courier New"/>
        </w:rPr>
        <w:t xml:space="preserve">member state which granted.  </w:t>
      </w:r>
      <w:r w:rsidR="002E03C0">
        <w:rPr>
          <w:rFonts w:ascii="Book Antiqua" w:hAnsi="Book Antiqua" w:cs="Courier New"/>
        </w:rPr>
        <w:t xml:space="preserve">This then explains </w:t>
      </w:r>
      <w:r w:rsidR="0007014E">
        <w:rPr>
          <w:rFonts w:ascii="Book Antiqua" w:hAnsi="Book Antiqua" w:cs="Courier New"/>
        </w:rPr>
        <w:t xml:space="preserve">why, in the scenario </w:t>
      </w:r>
      <w:r w:rsidR="00890106">
        <w:rPr>
          <w:rFonts w:ascii="Book Antiqua" w:hAnsi="Book Antiqua" w:cs="Courier New"/>
        </w:rPr>
        <w:t xml:space="preserve">set out above, it is the member state which first granted a person international protection </w:t>
      </w:r>
      <w:r w:rsidR="00582AAE">
        <w:rPr>
          <w:rFonts w:ascii="Book Antiqua" w:hAnsi="Book Antiqua" w:cs="Courier New"/>
        </w:rPr>
        <w:t xml:space="preserve">which </w:t>
      </w:r>
      <w:r w:rsidR="00890106">
        <w:rPr>
          <w:rFonts w:ascii="Book Antiqua" w:hAnsi="Book Antiqua" w:cs="Courier New"/>
        </w:rPr>
        <w:t xml:space="preserve">remains </w:t>
      </w:r>
      <w:r w:rsidR="00E66F55">
        <w:rPr>
          <w:rFonts w:ascii="Book Antiqua" w:hAnsi="Book Antiqua" w:cs="Courier New"/>
        </w:rPr>
        <w:t>the state responsible for determining claims made by his family members</w:t>
      </w:r>
      <w:r w:rsidR="00572A7B">
        <w:rPr>
          <w:rFonts w:ascii="Book Antiqua" w:hAnsi="Book Antiqua" w:cs="Courier New"/>
        </w:rPr>
        <w:t>.</w:t>
      </w:r>
      <w:r w:rsidR="00A711F7">
        <w:rPr>
          <w:rFonts w:ascii="Book Antiqua" w:hAnsi="Book Antiqua" w:cs="Courier New"/>
        </w:rPr>
        <w:t xml:space="preserve"> </w:t>
      </w:r>
      <w:r w:rsidR="00783FB0">
        <w:rPr>
          <w:rFonts w:ascii="Book Antiqua" w:hAnsi="Book Antiqua" w:cs="Courier New"/>
        </w:rPr>
        <w:t>It</w:t>
      </w:r>
      <w:r w:rsidR="00F9729C">
        <w:rPr>
          <w:rFonts w:ascii="Book Antiqua" w:hAnsi="Book Antiqua" w:cs="Courier New"/>
        </w:rPr>
        <w:t xml:space="preserve"> also </w:t>
      </w:r>
      <w:r w:rsidR="004F79F5">
        <w:rPr>
          <w:rFonts w:ascii="Book Antiqua" w:hAnsi="Book Antiqua" w:cs="Courier New"/>
        </w:rPr>
        <w:t>indicates why recital</w:t>
      </w:r>
      <w:r w:rsidR="000C43BA">
        <w:rPr>
          <w:rFonts w:ascii="Book Antiqua" w:hAnsi="Book Antiqua" w:cs="Courier New"/>
        </w:rPr>
        <w:t xml:space="preserve"> (15) of Dublin III </w:t>
      </w:r>
      <w:r w:rsidR="00783FB0">
        <w:rPr>
          <w:rFonts w:ascii="Book Antiqua" w:hAnsi="Book Antiqua" w:cs="Courier New"/>
        </w:rPr>
        <w:t xml:space="preserve">is more </w:t>
      </w:r>
      <w:r w:rsidR="000C43BA">
        <w:rPr>
          <w:rFonts w:ascii="Book Antiqua" w:hAnsi="Book Antiqua" w:cs="Courier New"/>
        </w:rPr>
        <w:t>rel</w:t>
      </w:r>
      <w:r w:rsidR="00783FB0">
        <w:rPr>
          <w:rFonts w:ascii="Book Antiqua" w:hAnsi="Book Antiqua" w:cs="Courier New"/>
        </w:rPr>
        <w:t xml:space="preserve">evant </w:t>
      </w:r>
      <w:r w:rsidR="000C43BA">
        <w:rPr>
          <w:rFonts w:ascii="Book Antiqua" w:hAnsi="Book Antiqua" w:cs="Courier New"/>
        </w:rPr>
        <w:t xml:space="preserve">to </w:t>
      </w:r>
      <w:r w:rsidR="00D56B66">
        <w:rPr>
          <w:rFonts w:ascii="Book Antiqua" w:hAnsi="Book Antiqua" w:cs="Courier New"/>
        </w:rPr>
        <w:t>Article</w:t>
      </w:r>
      <w:r w:rsidR="000C43BA">
        <w:rPr>
          <w:rFonts w:ascii="Book Antiqua" w:hAnsi="Book Antiqua" w:cs="Courier New"/>
        </w:rPr>
        <w:t xml:space="preserve"> 10. </w:t>
      </w:r>
    </w:p>
    <w:p w14:paraId="5D0124EC" w14:textId="43862399" w:rsidR="00E9047D" w:rsidRDefault="009776CF"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Taking these factors together, </w:t>
      </w:r>
      <w:proofErr w:type="gramStart"/>
      <w:r w:rsidR="00287C77">
        <w:rPr>
          <w:rFonts w:ascii="Book Antiqua" w:hAnsi="Book Antiqua" w:cs="Courier New"/>
        </w:rPr>
        <w:t>it can be seen that the</w:t>
      </w:r>
      <w:proofErr w:type="gramEnd"/>
      <w:r w:rsidR="00287C77">
        <w:rPr>
          <w:rFonts w:ascii="Book Antiqua" w:hAnsi="Book Antiqua" w:cs="Courier New"/>
        </w:rPr>
        <w:t xml:space="preserve"> hier</w:t>
      </w:r>
      <w:r w:rsidR="00D2305C">
        <w:rPr>
          <w:rFonts w:ascii="Book Antiqua" w:hAnsi="Book Antiqua" w:cs="Courier New"/>
        </w:rPr>
        <w:t xml:space="preserve">archy of criteria </w:t>
      </w:r>
      <w:r w:rsidR="00F81C4A">
        <w:rPr>
          <w:rFonts w:ascii="Book Antiqua" w:hAnsi="Book Antiqua" w:cs="Courier New"/>
        </w:rPr>
        <w:t xml:space="preserve">is </w:t>
      </w:r>
      <w:r w:rsidR="0098386A">
        <w:rPr>
          <w:rFonts w:ascii="Book Antiqua" w:hAnsi="Book Antiqua" w:cs="Courier New"/>
        </w:rPr>
        <w:t>not primarily focussed on family reunion. Alth</w:t>
      </w:r>
      <w:r w:rsidR="007E01C5">
        <w:rPr>
          <w:rFonts w:ascii="Book Antiqua" w:hAnsi="Book Antiqua" w:cs="Courier New"/>
        </w:rPr>
        <w:t xml:space="preserve">ough under </w:t>
      </w:r>
      <w:r w:rsidR="00D56B66">
        <w:rPr>
          <w:rFonts w:ascii="Book Antiqua" w:hAnsi="Book Antiqua" w:cs="Courier New"/>
        </w:rPr>
        <w:t>Article</w:t>
      </w:r>
      <w:r w:rsidR="00F81C4A">
        <w:rPr>
          <w:rFonts w:ascii="Book Antiqua" w:hAnsi="Book Antiqua" w:cs="Courier New"/>
        </w:rPr>
        <w:t xml:space="preserve"> 8</w:t>
      </w:r>
      <w:r w:rsidR="00957B27">
        <w:rPr>
          <w:rFonts w:ascii="Book Antiqua" w:hAnsi="Book Antiqua" w:cs="Courier New"/>
        </w:rPr>
        <w:t>,</w:t>
      </w:r>
      <w:r w:rsidR="00F81C4A">
        <w:rPr>
          <w:rFonts w:ascii="Book Antiqua" w:hAnsi="Book Antiqua" w:cs="Courier New"/>
        </w:rPr>
        <w:t xml:space="preserve"> the best interests of </w:t>
      </w:r>
      <w:r w:rsidR="000C6856">
        <w:rPr>
          <w:rFonts w:ascii="Book Antiqua" w:hAnsi="Book Antiqua" w:cs="Courier New"/>
        </w:rPr>
        <w:t xml:space="preserve">minors </w:t>
      </w:r>
      <w:r w:rsidR="004760DE">
        <w:rPr>
          <w:rFonts w:ascii="Book Antiqua" w:hAnsi="Book Antiqua" w:cs="Courier New"/>
        </w:rPr>
        <w:t>are</w:t>
      </w:r>
      <w:r w:rsidR="000C6856">
        <w:rPr>
          <w:rFonts w:ascii="Book Antiqua" w:hAnsi="Book Antiqua" w:cs="Courier New"/>
        </w:rPr>
        <w:t xml:space="preserve"> prioritised, the state in which the minor has a </w:t>
      </w:r>
      <w:r w:rsidR="007D0A66">
        <w:rPr>
          <w:rFonts w:ascii="Book Antiqua" w:hAnsi="Book Antiqua" w:cs="Courier New"/>
        </w:rPr>
        <w:t>family member</w:t>
      </w:r>
      <w:r w:rsidR="000C6856">
        <w:rPr>
          <w:rFonts w:ascii="Book Antiqua" w:hAnsi="Book Antiqua" w:cs="Courier New"/>
        </w:rPr>
        <w:t xml:space="preserve"> who</w:t>
      </w:r>
      <w:r w:rsidR="007D0A66">
        <w:rPr>
          <w:rFonts w:ascii="Book Antiqua" w:hAnsi="Book Antiqua" w:cs="Courier New"/>
        </w:rPr>
        <w:t xml:space="preserve"> is lawfully present and</w:t>
      </w:r>
      <w:r w:rsidR="000C6856">
        <w:rPr>
          <w:rFonts w:ascii="Book Antiqua" w:hAnsi="Book Antiqua" w:cs="Courier New"/>
        </w:rPr>
        <w:t xml:space="preserve"> may even be a citizen</w:t>
      </w:r>
      <w:r w:rsidR="007D0A66">
        <w:rPr>
          <w:rFonts w:ascii="Book Antiqua" w:hAnsi="Book Antiqua" w:cs="Courier New"/>
        </w:rPr>
        <w:t xml:space="preserve">, </w:t>
      </w:r>
      <w:r w:rsidR="00961294">
        <w:rPr>
          <w:rFonts w:ascii="Book Antiqua" w:hAnsi="Book Antiqua" w:cs="Courier New"/>
        </w:rPr>
        <w:t xml:space="preserve">is </w:t>
      </w:r>
      <w:r w:rsidR="007D0A66">
        <w:rPr>
          <w:rFonts w:ascii="Book Antiqua" w:hAnsi="Book Antiqua" w:cs="Courier New"/>
        </w:rPr>
        <w:t>responsible</w:t>
      </w:r>
      <w:r w:rsidR="00961294">
        <w:rPr>
          <w:rFonts w:ascii="Book Antiqua" w:hAnsi="Book Antiqua" w:cs="Courier New"/>
        </w:rPr>
        <w:t xml:space="preserve"> for assessing his claim.</w:t>
      </w:r>
      <w:r w:rsidR="00E9047D">
        <w:rPr>
          <w:rFonts w:ascii="Book Antiqua" w:hAnsi="Book Antiqua" w:cs="Courier New"/>
        </w:rPr>
        <w:t xml:space="preserve"> It is of note given the tenuousness of some</w:t>
      </w:r>
      <w:r w:rsidR="003A48B0">
        <w:rPr>
          <w:rFonts w:ascii="Book Antiqua" w:hAnsi="Book Antiqua" w:cs="Courier New"/>
        </w:rPr>
        <w:t xml:space="preserve"> of</w:t>
      </w:r>
      <w:r w:rsidR="00E9047D">
        <w:rPr>
          <w:rFonts w:ascii="Book Antiqua" w:hAnsi="Book Antiqua" w:cs="Courier New"/>
        </w:rPr>
        <w:t xml:space="preserve"> the </w:t>
      </w:r>
      <w:r w:rsidR="0040472B">
        <w:rPr>
          <w:rFonts w:ascii="Book Antiqua" w:hAnsi="Book Antiqua" w:cs="Courier New"/>
        </w:rPr>
        <w:t xml:space="preserve">relationships that would be covered that there may in some cases be no existing family life between the child and the </w:t>
      </w:r>
      <w:r w:rsidR="005D16CA">
        <w:rPr>
          <w:rFonts w:ascii="Book Antiqua" w:hAnsi="Book Antiqua" w:cs="Courier New"/>
        </w:rPr>
        <w:t xml:space="preserve">relative in the other member state; they may never have met. </w:t>
      </w:r>
      <w:r w:rsidR="00727524">
        <w:rPr>
          <w:rFonts w:ascii="Book Antiqua" w:hAnsi="Book Antiqua" w:cs="Courier New"/>
        </w:rPr>
        <w:t>It must, however, be born</w:t>
      </w:r>
      <w:r w:rsidR="003A48B0">
        <w:rPr>
          <w:rFonts w:ascii="Book Antiqua" w:hAnsi="Book Antiqua" w:cs="Courier New"/>
        </w:rPr>
        <w:t>e</w:t>
      </w:r>
      <w:r w:rsidR="00727524">
        <w:rPr>
          <w:rFonts w:ascii="Book Antiqua" w:hAnsi="Book Antiqua" w:cs="Courier New"/>
        </w:rPr>
        <w:t xml:space="preserve"> in mind in this context</w:t>
      </w:r>
      <w:r w:rsidR="0087064D">
        <w:rPr>
          <w:rFonts w:ascii="Book Antiqua" w:hAnsi="Book Antiqua" w:cs="Courier New"/>
        </w:rPr>
        <w:t xml:space="preserve"> that </w:t>
      </w:r>
      <w:r w:rsidR="00FA7803">
        <w:rPr>
          <w:rFonts w:ascii="Book Antiqua" w:hAnsi="Book Antiqua" w:cs="Courier New"/>
        </w:rPr>
        <w:t>reg</w:t>
      </w:r>
      <w:r w:rsidR="00543182">
        <w:rPr>
          <w:rFonts w:ascii="Book Antiqua" w:hAnsi="Book Antiqua" w:cs="Courier New"/>
        </w:rPr>
        <w:t>s</w:t>
      </w:r>
      <w:r w:rsidR="00FA7803">
        <w:rPr>
          <w:rFonts w:ascii="Book Antiqua" w:hAnsi="Book Antiqua" w:cs="Courier New"/>
        </w:rPr>
        <w:t>.</w:t>
      </w:r>
      <w:r w:rsidR="00962993">
        <w:rPr>
          <w:rFonts w:ascii="Book Antiqua" w:hAnsi="Book Antiqua" w:cs="Courier New"/>
        </w:rPr>
        <w:t xml:space="preserve"> 12.3 and 12.4</w:t>
      </w:r>
      <w:r w:rsidR="0087064D">
        <w:rPr>
          <w:rFonts w:ascii="Book Antiqua" w:hAnsi="Book Antiqua" w:cs="Courier New"/>
        </w:rPr>
        <w:t xml:space="preserve"> in the Implementing Regulations 1560/2003 as amended by Reg </w:t>
      </w:r>
      <w:r w:rsidR="00C56AD7">
        <w:rPr>
          <w:rFonts w:ascii="Book Antiqua" w:hAnsi="Book Antiqua" w:cs="Courier New"/>
        </w:rPr>
        <w:t xml:space="preserve">118/2014, </w:t>
      </w:r>
      <w:r w:rsidR="00957B27">
        <w:rPr>
          <w:rFonts w:ascii="Book Antiqua" w:hAnsi="Book Antiqua" w:cs="Courier New"/>
        </w:rPr>
        <w:t xml:space="preserve">give </w:t>
      </w:r>
      <w:r w:rsidR="00C56AD7">
        <w:rPr>
          <w:rFonts w:ascii="Book Antiqua" w:hAnsi="Book Antiqua" w:cs="Courier New"/>
        </w:rPr>
        <w:t>detailed provisions as to how enquiries about relatives able to care for unaccompanied children</w:t>
      </w:r>
      <w:r w:rsidR="00957B27">
        <w:rPr>
          <w:rFonts w:ascii="Book Antiqua" w:hAnsi="Book Antiqua" w:cs="Courier New"/>
        </w:rPr>
        <w:t xml:space="preserve"> are to be made</w:t>
      </w:r>
      <w:r w:rsidR="00962993">
        <w:rPr>
          <w:rFonts w:ascii="Book Antiqua" w:hAnsi="Book Antiqua" w:cs="Courier New"/>
        </w:rPr>
        <w:t>.</w:t>
      </w:r>
      <w:r w:rsidR="00C56AD7">
        <w:rPr>
          <w:rFonts w:ascii="Book Antiqua" w:hAnsi="Book Antiqua" w:cs="Courier New"/>
        </w:rPr>
        <w:t xml:space="preserve"> </w:t>
      </w:r>
    </w:p>
    <w:p w14:paraId="70CA60B7" w14:textId="7A7F8664" w:rsidR="009776CF" w:rsidRDefault="00F3526B"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A different principle applies in respect of </w:t>
      </w:r>
      <w:r w:rsidR="00D56B66">
        <w:rPr>
          <w:rFonts w:ascii="Book Antiqua" w:hAnsi="Book Antiqua" w:cs="Courier New"/>
        </w:rPr>
        <w:t>Article</w:t>
      </w:r>
      <w:r>
        <w:rPr>
          <w:rFonts w:ascii="Book Antiqua" w:hAnsi="Book Antiqua" w:cs="Courier New"/>
        </w:rPr>
        <w:t xml:space="preserve"> 9; that is, the </w:t>
      </w:r>
      <w:r w:rsidR="00090C81">
        <w:rPr>
          <w:rFonts w:ascii="Book Antiqua" w:hAnsi="Book Antiqua" w:cs="Courier New"/>
        </w:rPr>
        <w:t>continuance</w:t>
      </w:r>
      <w:r>
        <w:rPr>
          <w:rFonts w:ascii="Book Antiqua" w:hAnsi="Book Antiqua" w:cs="Courier New"/>
        </w:rPr>
        <w:t xml:space="preserve"> of responsibility </w:t>
      </w:r>
      <w:r w:rsidR="00090C81">
        <w:rPr>
          <w:rFonts w:ascii="Book Antiqua" w:hAnsi="Book Antiqua" w:cs="Courier New"/>
        </w:rPr>
        <w:t xml:space="preserve">of </w:t>
      </w:r>
      <w:r>
        <w:rPr>
          <w:rFonts w:ascii="Book Antiqua" w:hAnsi="Book Antiqua" w:cs="Courier New"/>
        </w:rPr>
        <w:t xml:space="preserve">the state which initially granted </w:t>
      </w:r>
      <w:r w:rsidR="006A460C">
        <w:rPr>
          <w:rFonts w:ascii="Book Antiqua" w:hAnsi="Book Antiqua" w:cs="Courier New"/>
        </w:rPr>
        <w:t>protection</w:t>
      </w:r>
      <w:r w:rsidR="000901AF">
        <w:rPr>
          <w:rFonts w:ascii="Book Antiqua" w:hAnsi="Book Antiqua" w:cs="Courier New"/>
        </w:rPr>
        <w:t xml:space="preserve"> without any real temporal limit</w:t>
      </w:r>
      <w:r w:rsidR="00E9047D">
        <w:rPr>
          <w:rFonts w:ascii="Book Antiqua" w:hAnsi="Book Antiqua" w:cs="Courier New"/>
        </w:rPr>
        <w:t xml:space="preserve">. There is some degree of </w:t>
      </w:r>
      <w:r w:rsidR="005D16CA">
        <w:rPr>
          <w:rFonts w:ascii="Book Antiqua" w:hAnsi="Book Antiqua" w:cs="Courier New"/>
        </w:rPr>
        <w:t xml:space="preserve">the promotion of </w:t>
      </w:r>
      <w:r w:rsidR="00E9047D">
        <w:rPr>
          <w:rFonts w:ascii="Book Antiqua" w:hAnsi="Book Antiqua" w:cs="Courier New"/>
        </w:rPr>
        <w:t xml:space="preserve">family unity here, </w:t>
      </w:r>
      <w:r w:rsidR="00176BFD">
        <w:rPr>
          <w:rFonts w:ascii="Book Antiqua" w:hAnsi="Book Antiqua" w:cs="Courier New"/>
        </w:rPr>
        <w:t xml:space="preserve">and it is complementary to </w:t>
      </w:r>
      <w:r w:rsidR="00D56B66">
        <w:rPr>
          <w:rFonts w:ascii="Book Antiqua" w:hAnsi="Book Antiqua" w:cs="Courier New"/>
        </w:rPr>
        <w:t>Article</w:t>
      </w:r>
      <w:r w:rsidR="00176BFD">
        <w:rPr>
          <w:rFonts w:ascii="Book Antiqua" w:hAnsi="Book Antiqua" w:cs="Courier New"/>
        </w:rPr>
        <w:t xml:space="preserve"> 10 which applies only when there has yet to be a determination </w:t>
      </w:r>
      <w:r w:rsidR="00A22592">
        <w:rPr>
          <w:rFonts w:ascii="Book Antiqua" w:hAnsi="Book Antiqua" w:cs="Courier New"/>
        </w:rPr>
        <w:t>of status in respect of the family member who first arrived in the EU</w:t>
      </w:r>
      <w:r w:rsidR="00D8520F">
        <w:rPr>
          <w:rFonts w:ascii="Book Antiqua" w:hAnsi="Book Antiqua" w:cs="Courier New"/>
        </w:rPr>
        <w:t xml:space="preserve"> and i</w:t>
      </w:r>
      <w:r w:rsidR="00CC141F">
        <w:rPr>
          <w:rFonts w:ascii="Book Antiqua" w:hAnsi="Book Antiqua" w:cs="Courier New"/>
        </w:rPr>
        <w:t>t</w:t>
      </w:r>
      <w:r w:rsidR="00D8520F">
        <w:rPr>
          <w:rFonts w:ascii="Book Antiqua" w:hAnsi="Book Antiqua" w:cs="Courier New"/>
        </w:rPr>
        <w:t xml:space="preserve"> does not extend to family acquired post-flight from the country of origin.  To that extent it</w:t>
      </w:r>
      <w:r w:rsidR="00575773">
        <w:rPr>
          <w:rFonts w:ascii="Book Antiqua" w:hAnsi="Book Antiqua" w:cs="Courier New"/>
        </w:rPr>
        <w:t xml:space="preserve"> </w:t>
      </w:r>
      <w:r w:rsidR="009975CF">
        <w:rPr>
          <w:rFonts w:ascii="Book Antiqua" w:hAnsi="Book Antiqua" w:cs="Courier New"/>
        </w:rPr>
        <w:t>promotes family unity only to a limited extent; rather</w:t>
      </w:r>
      <w:r w:rsidR="00C0704D">
        <w:rPr>
          <w:rFonts w:ascii="Book Antiqua" w:hAnsi="Book Antiqua" w:cs="Courier New"/>
        </w:rPr>
        <w:t xml:space="preserve">, </w:t>
      </w:r>
      <w:r w:rsidR="00D56B66">
        <w:rPr>
          <w:rFonts w:ascii="Book Antiqua" w:hAnsi="Book Antiqua" w:cs="Courier New"/>
        </w:rPr>
        <w:t>Article</w:t>
      </w:r>
      <w:r w:rsidR="00C0704D">
        <w:rPr>
          <w:rFonts w:ascii="Book Antiqua" w:hAnsi="Book Antiqua" w:cs="Courier New"/>
        </w:rPr>
        <w:t xml:space="preserve"> 10 promotes the efficiency of examining like claims together. </w:t>
      </w:r>
    </w:p>
    <w:p w14:paraId="75356660" w14:textId="1CD9CD08" w:rsidR="00781F0E" w:rsidRDefault="00781F0E"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I </w:t>
      </w:r>
      <w:r w:rsidR="00924529">
        <w:rPr>
          <w:rFonts w:ascii="Book Antiqua" w:hAnsi="Book Antiqua" w:cs="Courier New"/>
        </w:rPr>
        <w:t>remind myself</w:t>
      </w:r>
      <w:r>
        <w:rPr>
          <w:rFonts w:ascii="Book Antiqua" w:hAnsi="Book Antiqua" w:cs="Courier New"/>
        </w:rPr>
        <w:t xml:space="preserve"> that all that is being decided </w:t>
      </w:r>
      <w:r w:rsidR="00481EEE">
        <w:rPr>
          <w:rFonts w:ascii="Book Antiqua" w:hAnsi="Book Antiqua" w:cs="Courier New"/>
        </w:rPr>
        <w:t xml:space="preserve">under Dublin III </w:t>
      </w:r>
      <w:r>
        <w:rPr>
          <w:rFonts w:ascii="Book Antiqua" w:hAnsi="Book Antiqua" w:cs="Courier New"/>
        </w:rPr>
        <w:t xml:space="preserve">is which </w:t>
      </w:r>
      <w:r w:rsidR="00CC141F">
        <w:rPr>
          <w:rFonts w:ascii="Book Antiqua" w:hAnsi="Book Antiqua" w:cs="Courier New"/>
        </w:rPr>
        <w:t xml:space="preserve">member </w:t>
      </w:r>
      <w:r>
        <w:rPr>
          <w:rFonts w:ascii="Book Antiqua" w:hAnsi="Book Antiqua" w:cs="Courier New"/>
        </w:rPr>
        <w:t xml:space="preserve">state is responsible for assessing an asylum claim. </w:t>
      </w:r>
      <w:r w:rsidR="00302263">
        <w:rPr>
          <w:rFonts w:ascii="Book Antiqua" w:hAnsi="Book Antiqua" w:cs="Courier New"/>
        </w:rPr>
        <w:t xml:space="preserve">It need not necessarily follow that the family members who fall within </w:t>
      </w:r>
      <w:r w:rsidR="00D56B66">
        <w:rPr>
          <w:rFonts w:ascii="Book Antiqua" w:hAnsi="Book Antiqua" w:cs="Courier New"/>
        </w:rPr>
        <w:t>Article</w:t>
      </w:r>
      <w:r w:rsidR="00302263">
        <w:rPr>
          <w:rFonts w:ascii="Book Antiqua" w:hAnsi="Book Antiqua" w:cs="Courier New"/>
        </w:rPr>
        <w:t xml:space="preserve"> 9 would be granted international protection or</w:t>
      </w:r>
      <w:r w:rsidR="00277EFF">
        <w:rPr>
          <w:rFonts w:ascii="Book Antiqua" w:hAnsi="Book Antiqua" w:cs="Courier New"/>
        </w:rPr>
        <w:t xml:space="preserve">, failing </w:t>
      </w:r>
      <w:r w:rsidR="00762B12">
        <w:rPr>
          <w:rFonts w:ascii="Book Antiqua" w:hAnsi="Book Antiqua" w:cs="Courier New"/>
        </w:rPr>
        <w:t>that, residence</w:t>
      </w:r>
      <w:r w:rsidR="00302263">
        <w:rPr>
          <w:rFonts w:ascii="Book Antiqua" w:hAnsi="Book Antiqua" w:cs="Courier New"/>
        </w:rPr>
        <w:t xml:space="preserve"> in the member state to which they are transferred</w:t>
      </w:r>
      <w:r w:rsidR="00515D40">
        <w:rPr>
          <w:rFonts w:ascii="Book Antiqua" w:hAnsi="Book Antiqua" w:cs="Courier New"/>
        </w:rPr>
        <w:t xml:space="preserve">, </w:t>
      </w:r>
      <w:r w:rsidR="00515D40">
        <w:rPr>
          <w:rFonts w:ascii="Book Antiqua" w:hAnsi="Book Antiqua" w:cs="Courier New"/>
        </w:rPr>
        <w:lastRenderedPageBreak/>
        <w:t xml:space="preserve">particularly if the sponsor no longer </w:t>
      </w:r>
      <w:r w:rsidR="00277EFF">
        <w:rPr>
          <w:rFonts w:ascii="Book Antiqua" w:hAnsi="Book Antiqua" w:cs="Courier New"/>
        </w:rPr>
        <w:t>resides there. That would not be family reunion</w:t>
      </w:r>
      <w:r w:rsidR="00A229BE">
        <w:rPr>
          <w:rFonts w:ascii="Book Antiqua" w:hAnsi="Book Antiqua" w:cs="Courier New"/>
        </w:rPr>
        <w:t xml:space="preserve">; </w:t>
      </w:r>
      <w:r w:rsidR="00E3151F">
        <w:rPr>
          <w:rFonts w:ascii="Book Antiqua" w:hAnsi="Book Antiqua" w:cs="Courier New"/>
        </w:rPr>
        <w:t>indeed,</w:t>
      </w:r>
      <w:r w:rsidR="00A229BE">
        <w:rPr>
          <w:rFonts w:ascii="Book Antiqua" w:hAnsi="Book Antiqua" w:cs="Courier New"/>
        </w:rPr>
        <w:t xml:space="preserve"> it </w:t>
      </w:r>
      <w:r w:rsidR="00943247">
        <w:rPr>
          <w:rFonts w:ascii="Book Antiqua" w:hAnsi="Book Antiqua" w:cs="Courier New"/>
        </w:rPr>
        <w:t>c</w:t>
      </w:r>
      <w:r w:rsidR="00A229BE">
        <w:rPr>
          <w:rFonts w:ascii="Book Antiqua" w:hAnsi="Book Antiqua" w:cs="Courier New"/>
        </w:rPr>
        <w:t xml:space="preserve">ould </w:t>
      </w:r>
      <w:r w:rsidR="00B2563D">
        <w:rPr>
          <w:rFonts w:ascii="Book Antiqua" w:hAnsi="Book Antiqua" w:cs="Courier New"/>
        </w:rPr>
        <w:t xml:space="preserve">have </w:t>
      </w:r>
      <w:r w:rsidR="00A229BE">
        <w:rPr>
          <w:rFonts w:ascii="Book Antiqua" w:hAnsi="Book Antiqua" w:cs="Courier New"/>
        </w:rPr>
        <w:t>the opposite</w:t>
      </w:r>
      <w:r w:rsidR="00B2563D">
        <w:rPr>
          <w:rFonts w:ascii="Book Antiqua" w:hAnsi="Book Antiqua" w:cs="Courier New"/>
        </w:rPr>
        <w:t xml:space="preserve"> effect</w:t>
      </w:r>
      <w:r w:rsidR="00A229BE">
        <w:rPr>
          <w:rFonts w:ascii="Book Antiqua" w:hAnsi="Book Antiqua" w:cs="Courier New"/>
        </w:rPr>
        <w:t xml:space="preserve">. </w:t>
      </w:r>
      <w:r w:rsidR="00277EFF">
        <w:rPr>
          <w:rFonts w:ascii="Book Antiqua" w:hAnsi="Book Antiqua" w:cs="Courier New"/>
        </w:rPr>
        <w:t xml:space="preserve"> </w:t>
      </w:r>
    </w:p>
    <w:p w14:paraId="468A1FB8" w14:textId="6AD8FA4C" w:rsidR="00E768A0" w:rsidRDefault="00142B93"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Pausing then to </w:t>
      </w:r>
      <w:r w:rsidR="00CB06D1">
        <w:rPr>
          <w:rFonts w:ascii="Book Antiqua" w:hAnsi="Book Antiqua" w:cs="Courier New"/>
        </w:rPr>
        <w:t>take stock</w:t>
      </w:r>
      <w:r>
        <w:rPr>
          <w:rFonts w:ascii="Book Antiqua" w:hAnsi="Book Antiqua" w:cs="Courier New"/>
        </w:rPr>
        <w:t xml:space="preserve">, </w:t>
      </w:r>
      <w:r w:rsidR="00CB06D1">
        <w:rPr>
          <w:rFonts w:ascii="Book Antiqua" w:hAnsi="Book Antiqua" w:cs="Courier New"/>
        </w:rPr>
        <w:t xml:space="preserve">it is apparent from this analysis that </w:t>
      </w:r>
      <w:r>
        <w:rPr>
          <w:rFonts w:ascii="Book Antiqua" w:hAnsi="Book Antiqua" w:cs="Courier New"/>
        </w:rPr>
        <w:t xml:space="preserve">the purpose of </w:t>
      </w:r>
      <w:r w:rsidR="00D56B66">
        <w:rPr>
          <w:rFonts w:ascii="Book Antiqua" w:hAnsi="Book Antiqua" w:cs="Courier New"/>
        </w:rPr>
        <w:t>Article</w:t>
      </w:r>
      <w:r>
        <w:rPr>
          <w:rFonts w:ascii="Book Antiqua" w:hAnsi="Book Antiqua" w:cs="Courier New"/>
        </w:rPr>
        <w:t xml:space="preserve"> 9 within the overall framework of the CEAS is to </w:t>
      </w:r>
      <w:r w:rsidR="00007009">
        <w:rPr>
          <w:rFonts w:ascii="Book Antiqua" w:hAnsi="Book Antiqua" w:cs="Courier New"/>
        </w:rPr>
        <w:t xml:space="preserve">ensure that </w:t>
      </w:r>
      <w:r w:rsidR="00F326A9">
        <w:rPr>
          <w:rFonts w:ascii="Book Antiqua" w:hAnsi="Book Antiqua" w:cs="Courier New"/>
        </w:rPr>
        <w:t xml:space="preserve">the member state which granted a person international protection retains </w:t>
      </w:r>
      <w:r w:rsidR="00FA5598">
        <w:rPr>
          <w:rFonts w:ascii="Book Antiqua" w:hAnsi="Book Antiqua" w:cs="Courier New"/>
        </w:rPr>
        <w:t xml:space="preserve">the responsibility for </w:t>
      </w:r>
      <w:r w:rsidR="005D35C5">
        <w:rPr>
          <w:rFonts w:ascii="Book Antiqua" w:hAnsi="Book Antiqua" w:cs="Courier New"/>
        </w:rPr>
        <w:t xml:space="preserve">assessing the claims </w:t>
      </w:r>
      <w:r w:rsidR="00F355C4">
        <w:rPr>
          <w:rFonts w:ascii="Book Antiqua" w:hAnsi="Book Antiqua" w:cs="Courier New"/>
        </w:rPr>
        <w:t>of that person</w:t>
      </w:r>
      <w:r w:rsidR="000C70E4">
        <w:rPr>
          <w:rFonts w:ascii="Book Antiqua" w:hAnsi="Book Antiqua" w:cs="Courier New"/>
        </w:rPr>
        <w:t>’</w:t>
      </w:r>
      <w:r w:rsidR="00F355C4">
        <w:rPr>
          <w:rFonts w:ascii="Book Antiqua" w:hAnsi="Book Antiqua" w:cs="Courier New"/>
        </w:rPr>
        <w:t xml:space="preserve">s family members.  That responsibility does not diminish over time, or where there is no </w:t>
      </w:r>
      <w:r w:rsidR="00240851">
        <w:rPr>
          <w:rFonts w:ascii="Book Antiqua" w:hAnsi="Book Antiqua" w:cs="Courier New"/>
        </w:rPr>
        <w:t xml:space="preserve">common </w:t>
      </w:r>
      <w:r w:rsidR="00F355C4">
        <w:rPr>
          <w:rFonts w:ascii="Book Antiqua" w:hAnsi="Book Antiqua" w:cs="Courier New"/>
        </w:rPr>
        <w:t xml:space="preserve">nexus </w:t>
      </w:r>
      <w:r w:rsidR="000C70E4">
        <w:rPr>
          <w:rFonts w:ascii="Book Antiqua" w:hAnsi="Book Antiqua" w:cs="Courier New"/>
        </w:rPr>
        <w:t xml:space="preserve">between the claims of the </w:t>
      </w:r>
      <w:r w:rsidR="00240851">
        <w:rPr>
          <w:rFonts w:ascii="Book Antiqua" w:hAnsi="Book Antiqua" w:cs="Courier New"/>
        </w:rPr>
        <w:t>person recognised</w:t>
      </w:r>
      <w:r w:rsidR="000C70E4">
        <w:rPr>
          <w:rFonts w:ascii="Book Antiqua" w:hAnsi="Book Antiqua" w:cs="Courier New"/>
        </w:rPr>
        <w:t xml:space="preserve"> and his family members</w:t>
      </w:r>
      <w:r w:rsidR="00277701">
        <w:rPr>
          <w:rFonts w:ascii="Book Antiqua" w:hAnsi="Book Antiqua" w:cs="Courier New"/>
        </w:rPr>
        <w:t xml:space="preserve">, or when the person </w:t>
      </w:r>
      <w:r w:rsidR="00240851">
        <w:rPr>
          <w:rFonts w:ascii="Book Antiqua" w:hAnsi="Book Antiqua" w:cs="Courier New"/>
        </w:rPr>
        <w:t>recognised</w:t>
      </w:r>
      <w:r w:rsidR="00277701">
        <w:rPr>
          <w:rFonts w:ascii="Book Antiqua" w:hAnsi="Book Antiqua" w:cs="Courier New"/>
        </w:rPr>
        <w:t xml:space="preserve"> has moved to another member state. </w:t>
      </w:r>
      <w:r w:rsidR="00E45C07">
        <w:rPr>
          <w:rFonts w:ascii="Book Antiqua" w:hAnsi="Book Antiqua" w:cs="Courier New"/>
        </w:rPr>
        <w:t xml:space="preserve"> </w:t>
      </w:r>
    </w:p>
    <w:p w14:paraId="4F4DE8AC" w14:textId="4E3CE386" w:rsidR="00F63223" w:rsidRDefault="00F63223"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The respondent’s case is not that a condition that the person in question is still in receipt of international protection can be interpolated into Article 9. It is, rather, that the combination of </w:t>
      </w:r>
      <w:r w:rsidR="00423CE1">
        <w:rPr>
          <w:rFonts w:ascii="Book Antiqua" w:hAnsi="Book Antiqua" w:cs="Courier New"/>
        </w:rPr>
        <w:t>A</w:t>
      </w:r>
      <w:r>
        <w:rPr>
          <w:rFonts w:ascii="Book Antiqua" w:hAnsi="Book Antiqua" w:cs="Courier New"/>
        </w:rPr>
        <w:t xml:space="preserve">rticles 2(f) and 9 has the effect of making it a condition that the person concerned is still in receipt of protection. </w:t>
      </w:r>
    </w:p>
    <w:p w14:paraId="0DA131BF" w14:textId="5444841F" w:rsidR="00F63223" w:rsidRDefault="007D576F"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If the construction the respondent seeks to place on </w:t>
      </w:r>
      <w:r w:rsidR="00D56B66">
        <w:rPr>
          <w:rFonts w:ascii="Book Antiqua" w:hAnsi="Book Antiqua" w:cs="Courier New"/>
        </w:rPr>
        <w:t>Article</w:t>
      </w:r>
      <w:r>
        <w:rPr>
          <w:rFonts w:ascii="Book Antiqua" w:hAnsi="Book Antiqua" w:cs="Courier New"/>
        </w:rPr>
        <w:t xml:space="preserve"> 9 were correct, and </w:t>
      </w:r>
      <w:r w:rsidR="00D86299">
        <w:rPr>
          <w:rFonts w:ascii="Book Antiqua" w:hAnsi="Book Antiqua" w:cs="Courier New"/>
        </w:rPr>
        <w:t>it is engaged only wh</w:t>
      </w:r>
      <w:r w:rsidR="00DF35BE">
        <w:rPr>
          <w:rFonts w:ascii="Book Antiqua" w:hAnsi="Book Antiqua" w:cs="Courier New"/>
        </w:rPr>
        <w:t>ile</w:t>
      </w:r>
      <w:r w:rsidR="00D86299">
        <w:rPr>
          <w:rFonts w:ascii="Book Antiqua" w:hAnsi="Book Antiqua" w:cs="Courier New"/>
        </w:rPr>
        <w:t xml:space="preserve"> the historical fact of a grant of residence </w:t>
      </w:r>
      <w:r w:rsidR="00423CE1">
        <w:rPr>
          <w:rFonts w:ascii="Book Antiqua" w:hAnsi="Book Antiqua" w:cs="Courier New"/>
        </w:rPr>
        <w:t xml:space="preserve">as a beneficiary </w:t>
      </w:r>
      <w:r w:rsidR="00D86299">
        <w:rPr>
          <w:rFonts w:ascii="Book Antiqua" w:hAnsi="Book Antiqua" w:cs="Courier New"/>
        </w:rPr>
        <w:t xml:space="preserve">of international </w:t>
      </w:r>
      <w:r w:rsidR="008D0E7D">
        <w:rPr>
          <w:rFonts w:ascii="Book Antiqua" w:hAnsi="Book Antiqua" w:cs="Courier New"/>
        </w:rPr>
        <w:t xml:space="preserve">protection in a </w:t>
      </w:r>
      <w:r w:rsidR="00BD0030">
        <w:rPr>
          <w:rFonts w:ascii="Book Antiqua" w:hAnsi="Book Antiqua" w:cs="Courier New"/>
        </w:rPr>
        <w:t xml:space="preserve">member </w:t>
      </w:r>
      <w:r w:rsidR="008D0E7D">
        <w:rPr>
          <w:rFonts w:ascii="Book Antiqua" w:hAnsi="Book Antiqua" w:cs="Courier New"/>
        </w:rPr>
        <w:t>state</w:t>
      </w:r>
      <w:r w:rsidR="00BD0030">
        <w:rPr>
          <w:rFonts w:ascii="Book Antiqua" w:hAnsi="Book Antiqua" w:cs="Courier New"/>
        </w:rPr>
        <w:t xml:space="preserve"> is </w:t>
      </w:r>
      <w:r w:rsidR="008D0E7D">
        <w:rPr>
          <w:rFonts w:ascii="Book Antiqua" w:hAnsi="Book Antiqua" w:cs="Courier New"/>
        </w:rPr>
        <w:t>still subsist</w:t>
      </w:r>
      <w:r w:rsidR="00BD0030">
        <w:rPr>
          <w:rFonts w:ascii="Book Antiqua" w:hAnsi="Book Antiqua" w:cs="Courier New"/>
        </w:rPr>
        <w:t>ing</w:t>
      </w:r>
      <w:r w:rsidR="008D0E7D">
        <w:rPr>
          <w:rFonts w:ascii="Book Antiqua" w:hAnsi="Book Antiqua" w:cs="Courier New"/>
        </w:rPr>
        <w:t xml:space="preserve">, </w:t>
      </w:r>
      <w:r w:rsidR="00F9107F">
        <w:rPr>
          <w:rFonts w:ascii="Book Antiqua" w:hAnsi="Book Antiqua" w:cs="Courier New"/>
        </w:rPr>
        <w:t>this would have</w:t>
      </w:r>
      <w:r w:rsidR="00F63223">
        <w:rPr>
          <w:rFonts w:ascii="Book Antiqua" w:hAnsi="Book Antiqua" w:cs="Courier New"/>
        </w:rPr>
        <w:t xml:space="preserve"> the effect of, to take the example of the person recognised in Belgium moving to France, Belgium no longer being responsible. That is contrary to the purpose of Article 9 as identified above.  It is not possible to put different temporal constraints on the separate conditions of a) a grant of residence and b) the basis of that grant of residence such that </w:t>
      </w:r>
      <w:r w:rsidR="000A123F">
        <w:rPr>
          <w:rFonts w:ascii="Book Antiqua" w:hAnsi="Book Antiqua" w:cs="Courier New"/>
        </w:rPr>
        <w:t>A</w:t>
      </w:r>
      <w:r w:rsidR="00F63223">
        <w:rPr>
          <w:rFonts w:ascii="Book Antiqua" w:hAnsi="Book Antiqua" w:cs="Courier New"/>
        </w:rPr>
        <w:t xml:space="preserve">rticle 9 could be read as requiring only the fact of a prior grant of residence but a continuing requirement of the basis of that grant. </w:t>
      </w:r>
    </w:p>
    <w:p w14:paraId="6F9BFBD2" w14:textId="72B7F624" w:rsidR="00031E23" w:rsidRDefault="00031E23"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The acquisition of citizenship of the EU by the grant of citizenship by a member state significantly alters the status of the person concerned, not least as such </w:t>
      </w:r>
      <w:r w:rsidR="009E033A">
        <w:rPr>
          <w:rFonts w:ascii="Book Antiqua" w:hAnsi="Book Antiqua" w:cs="Courier New"/>
        </w:rPr>
        <w:t xml:space="preserve">a </w:t>
      </w:r>
      <w:r>
        <w:rPr>
          <w:rFonts w:ascii="Book Antiqua" w:hAnsi="Book Antiqua" w:cs="Courier New"/>
        </w:rPr>
        <w:t>person cease</w:t>
      </w:r>
      <w:r w:rsidR="009E033A">
        <w:rPr>
          <w:rFonts w:ascii="Book Antiqua" w:hAnsi="Book Antiqua" w:cs="Courier New"/>
        </w:rPr>
        <w:t>s</w:t>
      </w:r>
      <w:r>
        <w:rPr>
          <w:rFonts w:ascii="Book Antiqua" w:hAnsi="Book Antiqua" w:cs="Courier New"/>
        </w:rPr>
        <w:t xml:space="preserve"> to be </w:t>
      </w:r>
      <w:r w:rsidR="009E033A">
        <w:rPr>
          <w:rFonts w:ascii="Book Antiqua" w:hAnsi="Book Antiqua" w:cs="Courier New"/>
        </w:rPr>
        <w:t xml:space="preserve">a </w:t>
      </w:r>
      <w:r>
        <w:rPr>
          <w:rFonts w:ascii="Book Antiqua" w:hAnsi="Book Antiqua" w:cs="Courier New"/>
        </w:rPr>
        <w:t>refugee. But there are other circumstances in which that status can cease. It may be that the circumstances giving rise to the claim no longer apply, in which case the state which granted international protection could cease or revoke it.   While that would not affect</w:t>
      </w:r>
      <w:r w:rsidR="00E60288">
        <w:rPr>
          <w:rFonts w:ascii="Book Antiqua" w:hAnsi="Book Antiqua" w:cs="Courier New"/>
        </w:rPr>
        <w:t xml:space="preserve"> entitlement to</w:t>
      </w:r>
      <w:r>
        <w:rPr>
          <w:rFonts w:ascii="Book Antiqua" w:hAnsi="Book Antiqua" w:cs="Courier New"/>
        </w:rPr>
        <w:t xml:space="preserve"> a long residence permit, it would mean that </w:t>
      </w:r>
      <w:r w:rsidR="00D56B66">
        <w:rPr>
          <w:rFonts w:ascii="Book Antiqua" w:hAnsi="Book Antiqua" w:cs="Courier New"/>
        </w:rPr>
        <w:t>Article</w:t>
      </w:r>
      <w:r>
        <w:rPr>
          <w:rFonts w:ascii="Book Antiqua" w:hAnsi="Book Antiqua" w:cs="Courier New"/>
        </w:rPr>
        <w:t xml:space="preserve"> 9 would operate differently if the respondent’s submission that it can apply only where </w:t>
      </w:r>
      <w:r>
        <w:rPr>
          <w:rFonts w:ascii="Book Antiqua" w:hAnsi="Book Antiqua" w:cs="Courier New"/>
        </w:rPr>
        <w:lastRenderedPageBreak/>
        <w:t xml:space="preserve">the individual in question retains international protection as that interpretation would have to be consistent with change in nationality. </w:t>
      </w:r>
    </w:p>
    <w:p w14:paraId="750BC879" w14:textId="2BFDFE28" w:rsidR="004F0340" w:rsidRDefault="00F63223"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Accordingly, and g</w:t>
      </w:r>
      <w:r w:rsidR="0091283B" w:rsidRPr="005C2747">
        <w:rPr>
          <w:rFonts w:ascii="Book Antiqua" w:hAnsi="Book Antiqua" w:cs="Courier New"/>
        </w:rPr>
        <w:t xml:space="preserve">iven </w:t>
      </w:r>
      <w:r>
        <w:rPr>
          <w:rFonts w:ascii="Book Antiqua" w:hAnsi="Book Antiqua" w:cs="Courier New"/>
        </w:rPr>
        <w:t xml:space="preserve">that </w:t>
      </w:r>
      <w:r w:rsidR="0091283B" w:rsidRPr="005C2747">
        <w:rPr>
          <w:rFonts w:ascii="Book Antiqua" w:hAnsi="Book Antiqua" w:cs="Courier New"/>
        </w:rPr>
        <w:t>only one interpretat</w:t>
      </w:r>
      <w:r w:rsidR="00221BDC" w:rsidRPr="005C2747">
        <w:rPr>
          <w:rFonts w:ascii="Book Antiqua" w:hAnsi="Book Antiqua" w:cs="Courier New"/>
        </w:rPr>
        <w:t xml:space="preserve">ion of </w:t>
      </w:r>
      <w:r w:rsidR="00D56B66">
        <w:rPr>
          <w:rFonts w:ascii="Book Antiqua" w:hAnsi="Book Antiqua" w:cs="Courier New"/>
        </w:rPr>
        <w:t>Article</w:t>
      </w:r>
      <w:r w:rsidR="00221BDC" w:rsidRPr="005C2747">
        <w:rPr>
          <w:rFonts w:ascii="Book Antiqua" w:hAnsi="Book Antiqua" w:cs="Courier New"/>
        </w:rPr>
        <w:t xml:space="preserve"> 9 can apply, it cannot be read </w:t>
      </w:r>
      <w:proofErr w:type="gramStart"/>
      <w:r w:rsidR="00221BDC" w:rsidRPr="005C2747">
        <w:rPr>
          <w:rFonts w:ascii="Book Antiqua" w:hAnsi="Book Antiqua" w:cs="Courier New"/>
        </w:rPr>
        <w:t>so as to</w:t>
      </w:r>
      <w:proofErr w:type="gramEnd"/>
      <w:r w:rsidR="00221BDC" w:rsidRPr="005C2747">
        <w:rPr>
          <w:rFonts w:ascii="Book Antiqua" w:hAnsi="Book Antiqua" w:cs="Courier New"/>
        </w:rPr>
        <w:t xml:space="preserve"> include the scenario </w:t>
      </w:r>
      <w:r>
        <w:rPr>
          <w:rFonts w:ascii="Book Antiqua" w:hAnsi="Book Antiqua" w:cs="Courier New"/>
        </w:rPr>
        <w:t>where a person granted protection lawful</w:t>
      </w:r>
      <w:r w:rsidR="00705143">
        <w:rPr>
          <w:rFonts w:ascii="Book Antiqua" w:hAnsi="Book Antiqua" w:cs="Courier New"/>
        </w:rPr>
        <w:t>l</w:t>
      </w:r>
      <w:r>
        <w:rPr>
          <w:rFonts w:ascii="Book Antiqua" w:hAnsi="Book Antiqua" w:cs="Courier New"/>
        </w:rPr>
        <w:t xml:space="preserve">y goes to another EU state, </w:t>
      </w:r>
      <w:r w:rsidR="00221BDC" w:rsidRPr="005C2747">
        <w:rPr>
          <w:rFonts w:ascii="Book Antiqua" w:hAnsi="Book Antiqua" w:cs="Courier New"/>
        </w:rPr>
        <w:t xml:space="preserve">but exclude the </w:t>
      </w:r>
      <w:r>
        <w:rPr>
          <w:rFonts w:ascii="Book Antiqua" w:hAnsi="Book Antiqua" w:cs="Courier New"/>
        </w:rPr>
        <w:t>scenario</w:t>
      </w:r>
      <w:r w:rsidR="00221BDC" w:rsidRPr="005C2747">
        <w:rPr>
          <w:rFonts w:ascii="Book Antiqua" w:hAnsi="Book Antiqua" w:cs="Courier New"/>
        </w:rPr>
        <w:t xml:space="preserve">, including the </w:t>
      </w:r>
      <w:r w:rsidR="00826CDD" w:rsidRPr="005C2747">
        <w:rPr>
          <w:rFonts w:ascii="Book Antiqua" w:hAnsi="Book Antiqua" w:cs="Courier New"/>
        </w:rPr>
        <w:t xml:space="preserve">acquisition of nationality, without an interpolation to the effect that the situation must still subsist. </w:t>
      </w:r>
      <w:r w:rsidR="005C2747" w:rsidRPr="005C2747">
        <w:rPr>
          <w:rFonts w:ascii="Book Antiqua" w:hAnsi="Book Antiqua" w:cs="Courier New"/>
        </w:rPr>
        <w:t xml:space="preserve"> If, however, and bearing in mind that all that is being done here is the allocation of responsibility, </w:t>
      </w:r>
      <w:r w:rsidR="005C2747">
        <w:rPr>
          <w:rFonts w:ascii="Book Antiqua" w:hAnsi="Book Antiqua" w:cs="Courier New"/>
        </w:rPr>
        <w:t>t</w:t>
      </w:r>
      <w:r w:rsidR="00B02C80" w:rsidRPr="005C2747">
        <w:rPr>
          <w:rFonts w:ascii="Book Antiqua" w:hAnsi="Book Antiqua" w:cs="Courier New"/>
        </w:rPr>
        <w:t xml:space="preserve">he </w:t>
      </w:r>
      <w:r w:rsidR="00D325AA" w:rsidRPr="005C2747">
        <w:rPr>
          <w:rFonts w:ascii="Book Antiqua" w:hAnsi="Book Antiqua" w:cs="Courier New"/>
        </w:rPr>
        <w:t xml:space="preserve">use of the words “has been” </w:t>
      </w:r>
      <w:r w:rsidR="005C2747">
        <w:rPr>
          <w:rFonts w:ascii="Book Antiqua" w:hAnsi="Book Antiqua" w:cs="Courier New"/>
        </w:rPr>
        <w:t xml:space="preserve">is simply construed </w:t>
      </w:r>
      <w:r w:rsidR="0000467E">
        <w:rPr>
          <w:rFonts w:ascii="Book Antiqua" w:hAnsi="Book Antiqua" w:cs="Courier New"/>
        </w:rPr>
        <w:t xml:space="preserve">as </w:t>
      </w:r>
      <w:r w:rsidR="006E04A3">
        <w:rPr>
          <w:rFonts w:ascii="Book Antiqua" w:hAnsi="Book Antiqua" w:cs="Courier New"/>
        </w:rPr>
        <w:t>a requirement that the family member had at a time in the past been granted a right of residence as a beneficiary</w:t>
      </w:r>
      <w:r w:rsidR="00CA4D79">
        <w:rPr>
          <w:rFonts w:ascii="Book Antiqua" w:hAnsi="Book Antiqua" w:cs="Courier New"/>
        </w:rPr>
        <w:t xml:space="preserve"> of international protection</w:t>
      </w:r>
      <w:r w:rsidR="0038061B">
        <w:rPr>
          <w:rFonts w:ascii="Book Antiqua" w:hAnsi="Book Antiqua" w:cs="Courier New"/>
        </w:rPr>
        <w:t>,</w:t>
      </w:r>
      <w:r w:rsidR="00CA4D79">
        <w:rPr>
          <w:rFonts w:ascii="Book Antiqua" w:hAnsi="Book Antiqua" w:cs="Courier New"/>
        </w:rPr>
        <w:t xml:space="preserve"> there is no need to strain the wording to give effect to the purpose of the</w:t>
      </w:r>
      <w:r w:rsidR="00031E23">
        <w:rPr>
          <w:rFonts w:ascii="Book Antiqua" w:hAnsi="Book Antiqua" w:cs="Courier New"/>
        </w:rPr>
        <w:t xml:space="preserve"> provision.</w:t>
      </w:r>
      <w:r w:rsidR="00CA4D79">
        <w:rPr>
          <w:rFonts w:ascii="Book Antiqua" w:hAnsi="Book Antiqua" w:cs="Courier New"/>
        </w:rPr>
        <w:t xml:space="preserve"> </w:t>
      </w:r>
      <w:r w:rsidR="003E30BA">
        <w:rPr>
          <w:rFonts w:ascii="Book Antiqua" w:hAnsi="Book Antiqua" w:cs="Courier New"/>
        </w:rPr>
        <w:t xml:space="preserve">It would also, and this is perhaps marginal, have an ancillary effect of, to a degree, promoting the best interest of children and family unity. </w:t>
      </w:r>
    </w:p>
    <w:p w14:paraId="6016CA02" w14:textId="7356F3E6" w:rsidR="00B96475" w:rsidRPr="006067FA" w:rsidRDefault="007D3F94" w:rsidP="002C56BE">
      <w:pPr>
        <w:numPr>
          <w:ilvl w:val="0"/>
          <w:numId w:val="17"/>
        </w:numPr>
        <w:spacing w:before="240" w:after="240" w:line="360" w:lineRule="auto"/>
        <w:ind w:left="567" w:hanging="567"/>
        <w:jc w:val="both"/>
        <w:rPr>
          <w:rFonts w:ascii="Book Antiqua" w:hAnsi="Book Antiqua" w:cs="Courier New"/>
        </w:rPr>
      </w:pPr>
      <w:r w:rsidRPr="006067FA">
        <w:rPr>
          <w:rFonts w:ascii="Book Antiqua" w:hAnsi="Book Antiqua" w:cs="Courier New"/>
        </w:rPr>
        <w:t xml:space="preserve">I am not persuaded either that </w:t>
      </w:r>
      <w:r w:rsidR="00D56B66">
        <w:rPr>
          <w:rFonts w:ascii="Book Antiqua" w:hAnsi="Book Antiqua" w:cs="Courier New"/>
        </w:rPr>
        <w:t>Article</w:t>
      </w:r>
      <w:r w:rsidRPr="006067FA">
        <w:rPr>
          <w:rFonts w:ascii="Book Antiqua" w:hAnsi="Book Antiqua" w:cs="Courier New"/>
        </w:rPr>
        <w:t xml:space="preserve"> 7 (2) assists the respondent.  As can be seen from </w:t>
      </w:r>
      <w:r w:rsidR="00D56B66">
        <w:rPr>
          <w:rFonts w:ascii="Book Antiqua" w:hAnsi="Book Antiqua" w:cs="Courier New"/>
        </w:rPr>
        <w:t>Article</w:t>
      </w:r>
      <w:r w:rsidRPr="006067FA">
        <w:rPr>
          <w:rFonts w:ascii="Book Antiqua" w:hAnsi="Book Antiqua" w:cs="Courier New"/>
        </w:rPr>
        <w:t xml:space="preserve">s 8 to 15, it is conceivable that, depending on how a family’s different members are distributed, an application of the different </w:t>
      </w:r>
      <w:r w:rsidR="00D56B66">
        <w:rPr>
          <w:rFonts w:ascii="Book Antiqua" w:hAnsi="Book Antiqua" w:cs="Courier New"/>
        </w:rPr>
        <w:t>Article</w:t>
      </w:r>
      <w:r w:rsidRPr="006067FA">
        <w:rPr>
          <w:rFonts w:ascii="Book Antiqua" w:hAnsi="Book Antiqua" w:cs="Courier New"/>
        </w:rPr>
        <w:t xml:space="preserve">s will identify different states as responsible; it is the hierarchy which determines which. As people can and do move around, if a date on which that hierarchy was to be applied </w:t>
      </w:r>
      <w:r w:rsidR="00B96475" w:rsidRPr="006067FA">
        <w:rPr>
          <w:rFonts w:ascii="Book Antiqua" w:hAnsi="Book Antiqua" w:cs="Courier New"/>
        </w:rPr>
        <w:t>was not fixed, application of the criteria would become difficult, and subject to abuse, including for example a marriage of convenience.</w:t>
      </w:r>
      <w:r w:rsidR="00116B34" w:rsidRPr="006067FA">
        <w:rPr>
          <w:rFonts w:ascii="Book Antiqua" w:hAnsi="Book Antiqua" w:cs="Courier New"/>
        </w:rPr>
        <w:t xml:space="preserve"> It is to this that the “situation” referred to </w:t>
      </w:r>
      <w:r w:rsidR="00F80FF4">
        <w:rPr>
          <w:rFonts w:ascii="Book Antiqua" w:hAnsi="Book Antiqua" w:cs="Courier New"/>
        </w:rPr>
        <w:t>in</w:t>
      </w:r>
      <w:r w:rsidR="00116B34" w:rsidRPr="006067FA">
        <w:rPr>
          <w:rFonts w:ascii="Book Antiqua" w:hAnsi="Book Antiqua" w:cs="Courier New"/>
        </w:rPr>
        <w:t xml:space="preserve"> </w:t>
      </w:r>
      <w:r w:rsidR="00D56B66">
        <w:rPr>
          <w:rFonts w:ascii="Book Antiqua" w:hAnsi="Book Antiqua" w:cs="Courier New"/>
        </w:rPr>
        <w:t>Article</w:t>
      </w:r>
      <w:r w:rsidR="00116B34" w:rsidRPr="006067FA">
        <w:rPr>
          <w:rFonts w:ascii="Book Antiqua" w:hAnsi="Book Antiqua" w:cs="Courier New"/>
        </w:rPr>
        <w:t xml:space="preserve"> 7</w:t>
      </w:r>
      <w:r w:rsidR="00F80FF4">
        <w:rPr>
          <w:rFonts w:ascii="Book Antiqua" w:hAnsi="Book Antiqua" w:cs="Courier New"/>
        </w:rPr>
        <w:t>(</w:t>
      </w:r>
      <w:r w:rsidR="00116B34" w:rsidRPr="006067FA">
        <w:rPr>
          <w:rFonts w:ascii="Book Antiqua" w:hAnsi="Book Antiqua" w:cs="Courier New"/>
        </w:rPr>
        <w:t>2</w:t>
      </w:r>
      <w:r w:rsidR="00F80FF4">
        <w:rPr>
          <w:rFonts w:ascii="Book Antiqua" w:hAnsi="Book Antiqua" w:cs="Courier New"/>
        </w:rPr>
        <w:t>)</w:t>
      </w:r>
      <w:r w:rsidR="00116B34" w:rsidRPr="006067FA">
        <w:rPr>
          <w:rFonts w:ascii="Book Antiqua" w:hAnsi="Book Antiqua" w:cs="Courier New"/>
        </w:rPr>
        <w:t xml:space="preserve"> applies.  </w:t>
      </w:r>
    </w:p>
    <w:p w14:paraId="655098E6" w14:textId="01D43F6A" w:rsidR="00B96475" w:rsidRDefault="00383564"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In summary, therefore, albeit for different reasons, I conclude that the interpretation placed on </w:t>
      </w:r>
      <w:r w:rsidR="00D56B66">
        <w:rPr>
          <w:rFonts w:ascii="Book Antiqua" w:hAnsi="Book Antiqua" w:cs="Courier New"/>
        </w:rPr>
        <w:t>Article</w:t>
      </w:r>
      <w:r>
        <w:rPr>
          <w:rFonts w:ascii="Book Antiqua" w:hAnsi="Book Antiqua" w:cs="Courier New"/>
        </w:rPr>
        <w:t xml:space="preserve"> 9 in </w:t>
      </w:r>
      <w:r>
        <w:rPr>
          <w:rFonts w:ascii="Book Antiqua" w:hAnsi="Book Antiqua" w:cs="Courier New"/>
          <w:u w:val="single"/>
        </w:rPr>
        <w:t>HA &amp; Others</w:t>
      </w:r>
      <w:r>
        <w:rPr>
          <w:rFonts w:ascii="Book Antiqua" w:hAnsi="Book Antiqua" w:cs="Courier New"/>
        </w:rPr>
        <w:t xml:space="preserve"> is correct</w:t>
      </w:r>
      <w:r w:rsidR="00574823" w:rsidRPr="001E66E0">
        <w:rPr>
          <w:rFonts w:ascii="Book Antiqua" w:hAnsi="Book Antiqua" w:cs="Courier New"/>
        </w:rPr>
        <w:t xml:space="preserve">. </w:t>
      </w:r>
      <w:r w:rsidR="004D0C2A" w:rsidRPr="001E66E0">
        <w:rPr>
          <w:rFonts w:ascii="Book Antiqua" w:hAnsi="Book Antiqua" w:cs="Courier New"/>
        </w:rPr>
        <w:t xml:space="preserve"> </w:t>
      </w:r>
      <w:r w:rsidR="004D0C2A" w:rsidRPr="001E66E0">
        <w:rPr>
          <w:rFonts w:ascii="Book Antiqua" w:hAnsi="Book Antiqua"/>
          <w:iCs/>
        </w:rPr>
        <w:t xml:space="preserve"> Acquisition of British citizenship by a family member does not alter the fact that he was in receipt of international protection and so </w:t>
      </w:r>
      <w:r w:rsidR="00D56B66">
        <w:rPr>
          <w:rFonts w:ascii="Book Antiqua" w:hAnsi="Book Antiqua"/>
          <w:iCs/>
        </w:rPr>
        <w:t>Article</w:t>
      </w:r>
      <w:r w:rsidR="004D0C2A" w:rsidRPr="001E66E0">
        <w:rPr>
          <w:rFonts w:ascii="Book Antiqua" w:hAnsi="Book Antiqua"/>
          <w:iCs/>
        </w:rPr>
        <w:t xml:space="preserve"> 9 would still apply.</w:t>
      </w:r>
    </w:p>
    <w:p w14:paraId="25C33023" w14:textId="529760C8" w:rsidR="0016328C" w:rsidRDefault="00364437"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The respondent argues that even if that is so, the applicants cannot succeed</w:t>
      </w:r>
      <w:r w:rsidR="00A43BED">
        <w:rPr>
          <w:rFonts w:ascii="Book Antiqua" w:hAnsi="Book Antiqua" w:cs="Courier New"/>
        </w:rPr>
        <w:t xml:space="preserve"> </w:t>
      </w:r>
      <w:r>
        <w:rPr>
          <w:rFonts w:ascii="Book Antiqua" w:hAnsi="Book Antiqua" w:cs="Courier New"/>
        </w:rPr>
        <w:t xml:space="preserve">as </w:t>
      </w:r>
      <w:r w:rsidR="00A43BED">
        <w:rPr>
          <w:rFonts w:ascii="Book Antiqua" w:hAnsi="Book Antiqua" w:cs="Courier New"/>
        </w:rPr>
        <w:t xml:space="preserve">the take charge request </w:t>
      </w:r>
      <w:r w:rsidR="005D44FA">
        <w:rPr>
          <w:rFonts w:ascii="Book Antiqua" w:hAnsi="Book Antiqua" w:cs="Courier New"/>
        </w:rPr>
        <w:t>requires that</w:t>
      </w:r>
      <w:r w:rsidR="00A43BED">
        <w:rPr>
          <w:rFonts w:ascii="Book Antiqua" w:hAnsi="Book Antiqua" w:cs="Courier New"/>
        </w:rPr>
        <w:t xml:space="preserve"> </w:t>
      </w:r>
      <w:r w:rsidR="00517F42">
        <w:rPr>
          <w:rFonts w:ascii="Book Antiqua" w:hAnsi="Book Antiqua" w:cs="Courier New"/>
        </w:rPr>
        <w:t>“</w:t>
      </w:r>
      <w:r w:rsidR="0016328C" w:rsidRPr="00364437">
        <w:rPr>
          <w:rFonts w:ascii="Book Antiqua" w:hAnsi="Book Antiqua" w:cs="Courier New"/>
        </w:rPr>
        <w:t>the persons concerned expressed their desire in writing.</w:t>
      </w:r>
      <w:r w:rsidR="005D44FA">
        <w:rPr>
          <w:rFonts w:ascii="Book Antiqua" w:hAnsi="Book Antiqua" w:cs="Courier New"/>
        </w:rPr>
        <w:t xml:space="preserve">”  This, it is submitted, requires </w:t>
      </w:r>
      <w:r w:rsidR="00221DB0">
        <w:rPr>
          <w:rFonts w:ascii="Book Antiqua" w:hAnsi="Book Antiqua" w:cs="Courier New"/>
        </w:rPr>
        <w:t xml:space="preserve">consent </w:t>
      </w:r>
      <w:r w:rsidR="008C4476">
        <w:rPr>
          <w:rFonts w:ascii="Book Antiqua" w:hAnsi="Book Antiqua" w:cs="Courier New"/>
        </w:rPr>
        <w:t xml:space="preserve">not just from those who are the subject of the TCR but of the family member who, in this case, had </w:t>
      </w:r>
      <w:r w:rsidR="00A81920">
        <w:rPr>
          <w:rFonts w:ascii="Book Antiqua" w:hAnsi="Book Antiqua" w:cs="Courier New"/>
        </w:rPr>
        <w:t xml:space="preserve">been granted protection in the past. </w:t>
      </w:r>
    </w:p>
    <w:p w14:paraId="29BDDDF1" w14:textId="530A7B6F" w:rsidR="00A81920" w:rsidRDefault="00004816" w:rsidP="002C56BE">
      <w:pPr>
        <w:numPr>
          <w:ilvl w:val="0"/>
          <w:numId w:val="17"/>
        </w:numPr>
        <w:spacing w:before="240" w:after="240" w:line="360" w:lineRule="auto"/>
        <w:ind w:left="567" w:hanging="567"/>
        <w:jc w:val="both"/>
        <w:rPr>
          <w:rFonts w:ascii="Book Antiqua" w:hAnsi="Book Antiqua" w:cs="Courier New"/>
        </w:rPr>
      </w:pPr>
      <w:proofErr w:type="gramStart"/>
      <w:r>
        <w:rPr>
          <w:rFonts w:ascii="Book Antiqua" w:hAnsi="Book Antiqua" w:cs="Courier New"/>
        </w:rPr>
        <w:lastRenderedPageBreak/>
        <w:t xml:space="preserve">It is </w:t>
      </w:r>
      <w:r w:rsidR="00290E0A">
        <w:rPr>
          <w:rFonts w:ascii="Book Antiqua" w:hAnsi="Book Antiqua" w:cs="Courier New"/>
        </w:rPr>
        <w:t>clear that the</w:t>
      </w:r>
      <w:proofErr w:type="gramEnd"/>
      <w:r w:rsidR="00290E0A">
        <w:rPr>
          <w:rFonts w:ascii="Book Antiqua" w:hAnsi="Book Antiqua" w:cs="Courier New"/>
        </w:rPr>
        <w:t xml:space="preserve"> written consent of the transferees is required. That is provided for in the standard forms prescribed</w:t>
      </w:r>
      <w:r w:rsidR="00AF6302">
        <w:rPr>
          <w:rFonts w:ascii="Book Antiqua" w:hAnsi="Book Antiqua" w:cs="Courier New"/>
        </w:rPr>
        <w:t xml:space="preserve"> by the implementing Directives</w:t>
      </w:r>
      <w:r w:rsidR="00290E0A">
        <w:rPr>
          <w:rFonts w:ascii="Book Antiqua" w:hAnsi="Book Antiqua" w:cs="Courier New"/>
        </w:rPr>
        <w:t xml:space="preserve">. </w:t>
      </w:r>
      <w:r w:rsidR="00DC7C40">
        <w:rPr>
          <w:rFonts w:ascii="Book Antiqua" w:hAnsi="Book Antiqua" w:cs="Courier New"/>
        </w:rPr>
        <w:t xml:space="preserve"> These, however, do not </w:t>
      </w:r>
      <w:r w:rsidR="008C65FA">
        <w:rPr>
          <w:rFonts w:ascii="Book Antiqua" w:hAnsi="Book Antiqua" w:cs="Courier New"/>
        </w:rPr>
        <w:t xml:space="preserve">expressly </w:t>
      </w:r>
      <w:r w:rsidR="00DC7C40">
        <w:rPr>
          <w:rFonts w:ascii="Book Antiqua" w:hAnsi="Book Antiqua" w:cs="Courier New"/>
        </w:rPr>
        <w:t>provide for the consent of the</w:t>
      </w:r>
      <w:r w:rsidR="005F3C97">
        <w:rPr>
          <w:rFonts w:ascii="Book Antiqua" w:hAnsi="Book Antiqua" w:cs="Courier New"/>
        </w:rPr>
        <w:t xml:space="preserve"> family member who has been granted protection in the past. That is unsurprising given that the form is to be completed </w:t>
      </w:r>
      <w:r w:rsidR="008C65FA">
        <w:rPr>
          <w:rFonts w:ascii="Book Antiqua" w:hAnsi="Book Antiqua" w:cs="Courier New"/>
        </w:rPr>
        <w:t xml:space="preserve">by </w:t>
      </w:r>
      <w:r w:rsidR="00AF6302">
        <w:rPr>
          <w:rFonts w:ascii="Book Antiqua" w:hAnsi="Book Antiqua" w:cs="Courier New"/>
        </w:rPr>
        <w:t xml:space="preserve">the requesting state which may have no </w:t>
      </w:r>
      <w:r w:rsidR="004A358D">
        <w:rPr>
          <w:rFonts w:ascii="Book Antiqua" w:hAnsi="Book Antiqua" w:cs="Courier New"/>
        </w:rPr>
        <w:t xml:space="preserve">means of contact with a person outside its jurisdiction and it is not possible to imply into the scheme any requirement on the requesting state </w:t>
      </w:r>
      <w:r w:rsidR="005C6915">
        <w:rPr>
          <w:rFonts w:ascii="Book Antiqua" w:hAnsi="Book Antiqua" w:cs="Courier New"/>
        </w:rPr>
        <w:t>to provide</w:t>
      </w:r>
      <w:r w:rsidR="000D24EA">
        <w:rPr>
          <w:rFonts w:ascii="Book Antiqua" w:hAnsi="Book Antiqua" w:cs="Courier New"/>
        </w:rPr>
        <w:t xml:space="preserve"> it</w:t>
      </w:r>
      <w:r w:rsidR="005C6915">
        <w:rPr>
          <w:rFonts w:ascii="Book Antiqua" w:hAnsi="Book Antiqua" w:cs="Courier New"/>
        </w:rPr>
        <w:t>. This would cause significant delay and</w:t>
      </w:r>
      <w:r w:rsidR="00A722E1">
        <w:rPr>
          <w:rFonts w:ascii="Book Antiqua" w:hAnsi="Book Antiqua" w:cs="Courier New"/>
        </w:rPr>
        <w:t xml:space="preserve"> add a further layer of complexity and uncertainty,</w:t>
      </w:r>
      <w:r w:rsidR="005C6915">
        <w:rPr>
          <w:rFonts w:ascii="Book Antiqua" w:hAnsi="Book Antiqua" w:cs="Courier New"/>
        </w:rPr>
        <w:t xml:space="preserve"> undermining </w:t>
      </w:r>
      <w:r w:rsidR="0017359C">
        <w:rPr>
          <w:rFonts w:ascii="Book Antiqua" w:hAnsi="Book Antiqua" w:cs="Courier New"/>
        </w:rPr>
        <w:t>the purposes</w:t>
      </w:r>
      <w:r w:rsidR="00A722E1">
        <w:rPr>
          <w:rFonts w:ascii="Book Antiqua" w:hAnsi="Book Antiqua" w:cs="Courier New"/>
        </w:rPr>
        <w:t xml:space="preserve"> of the </w:t>
      </w:r>
      <w:r w:rsidR="0017359C">
        <w:rPr>
          <w:rFonts w:ascii="Book Antiqua" w:hAnsi="Book Antiqua" w:cs="Courier New"/>
        </w:rPr>
        <w:t>Dublin III scheme</w:t>
      </w:r>
      <w:r w:rsidR="000D24EA">
        <w:rPr>
          <w:rFonts w:ascii="Book Antiqua" w:hAnsi="Book Antiqua" w:cs="Courier New"/>
        </w:rPr>
        <w:t>.</w:t>
      </w:r>
    </w:p>
    <w:p w14:paraId="0593E82B" w14:textId="5B07E905" w:rsidR="0017359C" w:rsidRPr="00364437" w:rsidRDefault="0017359C"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The respondent contends that the checking of consent from the person within the jurisdiction is something that he would have done as part of the checks </w:t>
      </w:r>
      <w:r w:rsidR="00487FF5">
        <w:rPr>
          <w:rFonts w:ascii="Book Antiqua" w:hAnsi="Book Antiqua" w:cs="Courier New"/>
        </w:rPr>
        <w:t>required to</w:t>
      </w:r>
      <w:r>
        <w:rPr>
          <w:rFonts w:ascii="Book Antiqua" w:hAnsi="Book Antiqua" w:cs="Courier New"/>
        </w:rPr>
        <w:t xml:space="preserve"> be undertaken</w:t>
      </w:r>
      <w:r w:rsidR="00487FF5">
        <w:rPr>
          <w:rFonts w:ascii="Book Antiqua" w:hAnsi="Book Antiqua" w:cs="Courier New"/>
        </w:rPr>
        <w:t>.  There is, however, no evidence to support this bare assertion</w:t>
      </w:r>
      <w:r w:rsidR="003D6E90">
        <w:rPr>
          <w:rFonts w:ascii="Book Antiqua" w:hAnsi="Book Antiqua" w:cs="Courier New"/>
        </w:rPr>
        <w:t xml:space="preserve"> or </w:t>
      </w:r>
      <w:r w:rsidR="00896915">
        <w:rPr>
          <w:rFonts w:ascii="Book Antiqua" w:hAnsi="Book Antiqua" w:cs="Courier New"/>
        </w:rPr>
        <w:t xml:space="preserve">the </w:t>
      </w:r>
      <w:r w:rsidR="003D6E90">
        <w:rPr>
          <w:rFonts w:ascii="Book Antiqua" w:hAnsi="Book Antiqua" w:cs="Courier New"/>
        </w:rPr>
        <w:t>assertion that checks such as this are done to protect, for example, a wom</w:t>
      </w:r>
      <w:r w:rsidR="000D70BE">
        <w:rPr>
          <w:rFonts w:ascii="Book Antiqua" w:hAnsi="Book Antiqua" w:cs="Courier New"/>
        </w:rPr>
        <w:t>a</w:t>
      </w:r>
      <w:r w:rsidR="003D6E90">
        <w:rPr>
          <w:rFonts w:ascii="Book Antiqua" w:hAnsi="Book Antiqua" w:cs="Courier New"/>
        </w:rPr>
        <w:t>n granted status in the UK</w:t>
      </w:r>
      <w:r w:rsidR="000D70BE">
        <w:rPr>
          <w:rFonts w:ascii="Book Antiqua" w:hAnsi="Book Antiqua" w:cs="Courier New"/>
        </w:rPr>
        <w:t xml:space="preserve"> on grounds of domestic violence from being </w:t>
      </w:r>
      <w:r w:rsidR="00575553">
        <w:rPr>
          <w:rFonts w:ascii="Book Antiqua" w:hAnsi="Book Antiqua" w:cs="Courier New"/>
        </w:rPr>
        <w:t>joined by an abusive husband</w:t>
      </w:r>
      <w:r w:rsidR="00487FF5">
        <w:rPr>
          <w:rFonts w:ascii="Book Antiqua" w:hAnsi="Book Antiqua" w:cs="Courier New"/>
        </w:rPr>
        <w:t xml:space="preserve">. There is nothing that Mr Lewis could take me to in the relevant policy indicating that this would be done, still less any witness statement from a responsible official </w:t>
      </w:r>
      <w:r w:rsidR="00896915">
        <w:rPr>
          <w:rFonts w:ascii="Book Antiqua" w:hAnsi="Book Antiqua" w:cs="Courier New"/>
        </w:rPr>
        <w:t>setting out what is done</w:t>
      </w:r>
      <w:r w:rsidR="00487FF5">
        <w:rPr>
          <w:rFonts w:ascii="Book Antiqua" w:hAnsi="Book Antiqua" w:cs="Courier New"/>
        </w:rPr>
        <w:t xml:space="preserve">. </w:t>
      </w:r>
    </w:p>
    <w:p w14:paraId="06711CE3" w14:textId="7371A918" w:rsidR="00BF240C" w:rsidRDefault="00F52E4E"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I</w:t>
      </w:r>
      <w:r w:rsidR="00BF240C">
        <w:rPr>
          <w:rFonts w:ascii="Book Antiqua" w:hAnsi="Book Antiqua" w:cs="Courier New"/>
        </w:rPr>
        <w:t>f the respondent is correct</w:t>
      </w:r>
      <w:r w:rsidR="00575553">
        <w:rPr>
          <w:rFonts w:ascii="Book Antiqua" w:hAnsi="Book Antiqua" w:cs="Courier New"/>
        </w:rPr>
        <w:t xml:space="preserve"> that consent or acquiescence of the person to be joined is necessary, it does not apply in the case of the relative</w:t>
      </w:r>
      <w:r w:rsidR="00015CF2">
        <w:rPr>
          <w:rFonts w:ascii="Book Antiqua" w:hAnsi="Book Antiqua" w:cs="Courier New"/>
        </w:rPr>
        <w:t xml:space="preserve"> whom a minor will be joining (</w:t>
      </w:r>
      <w:r w:rsidR="00D56B66">
        <w:rPr>
          <w:rFonts w:ascii="Book Antiqua" w:hAnsi="Book Antiqua" w:cs="Courier New"/>
        </w:rPr>
        <w:t>Article</w:t>
      </w:r>
      <w:r w:rsidR="00015CF2">
        <w:rPr>
          <w:rFonts w:ascii="Book Antiqua" w:hAnsi="Book Antiqua" w:cs="Courier New"/>
        </w:rPr>
        <w:t xml:space="preserve"> 8)</w:t>
      </w:r>
      <w:r w:rsidR="00183837">
        <w:rPr>
          <w:rFonts w:ascii="Book Antiqua" w:hAnsi="Book Antiqua" w:cs="Courier New"/>
        </w:rPr>
        <w:t xml:space="preserve"> or to family groups (</w:t>
      </w:r>
      <w:r w:rsidR="00D56B66">
        <w:rPr>
          <w:rFonts w:ascii="Book Antiqua" w:hAnsi="Book Antiqua" w:cs="Courier New"/>
        </w:rPr>
        <w:t>Article</w:t>
      </w:r>
      <w:r w:rsidR="00183837">
        <w:rPr>
          <w:rFonts w:ascii="Book Antiqua" w:hAnsi="Book Antiqua" w:cs="Courier New"/>
        </w:rPr>
        <w:t xml:space="preserve"> 11)</w:t>
      </w:r>
      <w:r w:rsidR="00F207C7">
        <w:rPr>
          <w:rFonts w:ascii="Book Antiqua" w:hAnsi="Book Antiqua" w:cs="Courier New"/>
        </w:rPr>
        <w:t xml:space="preserve">, albeit that the Implementing Regulations make specific provision for </w:t>
      </w:r>
      <w:r w:rsidR="005E1CFC">
        <w:rPr>
          <w:rFonts w:ascii="Book Antiqua" w:hAnsi="Book Antiqua" w:cs="Courier New"/>
        </w:rPr>
        <w:t>unaccompanied minors at r</w:t>
      </w:r>
      <w:r w:rsidR="005E1CFC" w:rsidRPr="005E1CFC">
        <w:rPr>
          <w:rFonts w:ascii="Book Antiqua" w:hAnsi="Book Antiqua" w:cs="Courier New"/>
        </w:rPr>
        <w:t>e</w:t>
      </w:r>
      <w:r w:rsidR="005E1CFC">
        <w:rPr>
          <w:rFonts w:ascii="Book Antiqua" w:hAnsi="Book Antiqua" w:cs="Courier New"/>
        </w:rPr>
        <w:t>g.</w:t>
      </w:r>
      <w:r w:rsidR="005E1CFC" w:rsidRPr="005E1CFC">
        <w:rPr>
          <w:rFonts w:ascii="Book Antiqua" w:hAnsi="Book Antiqua" w:cs="Courier New"/>
        </w:rPr>
        <w:t xml:space="preserve"> 12.3 and 12.4</w:t>
      </w:r>
      <w:r w:rsidR="00183837" w:rsidRPr="005E1CFC">
        <w:rPr>
          <w:rFonts w:ascii="Book Antiqua" w:hAnsi="Book Antiqua" w:cs="Courier New"/>
        </w:rPr>
        <w:t xml:space="preserve">. </w:t>
      </w:r>
      <w:r w:rsidR="00820174" w:rsidRPr="005E1CFC">
        <w:rPr>
          <w:rFonts w:ascii="Book Antiqua" w:hAnsi="Book Antiqua" w:cs="Courier New"/>
        </w:rPr>
        <w:t xml:space="preserve">I consider nothing turns on the use of “persons” in the plural given that it </w:t>
      </w:r>
      <w:proofErr w:type="gramStart"/>
      <w:r w:rsidR="00820174" w:rsidRPr="005E1CFC">
        <w:rPr>
          <w:rFonts w:ascii="Book Antiqua" w:hAnsi="Book Antiqua" w:cs="Courier New"/>
        </w:rPr>
        <w:t>has to</w:t>
      </w:r>
      <w:proofErr w:type="gramEnd"/>
      <w:r w:rsidR="00820174" w:rsidRPr="005E1CFC">
        <w:rPr>
          <w:rFonts w:ascii="Book Antiqua" w:hAnsi="Book Antiqua" w:cs="Courier New"/>
        </w:rPr>
        <w:t xml:space="preserve"> be plural as the TCR may apply to several people. </w:t>
      </w:r>
      <w:r w:rsidR="00182C73" w:rsidRPr="005E1CFC">
        <w:rPr>
          <w:rFonts w:ascii="Book Antiqua" w:hAnsi="Book Antiqua" w:cs="Courier New"/>
        </w:rPr>
        <w:t xml:space="preserve"> </w:t>
      </w:r>
    </w:p>
    <w:p w14:paraId="1A272B2C" w14:textId="77777777" w:rsidR="001509C4" w:rsidRDefault="00BB3602"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In conclusion</w:t>
      </w:r>
      <w:r w:rsidR="001509C4">
        <w:rPr>
          <w:rFonts w:ascii="Book Antiqua" w:hAnsi="Book Antiqua" w:cs="Courier New"/>
        </w:rPr>
        <w:t>:</w:t>
      </w:r>
    </w:p>
    <w:p w14:paraId="6B68DCAF" w14:textId="77777777" w:rsidR="001509C4" w:rsidRDefault="001509C4" w:rsidP="001509C4">
      <w:pPr>
        <w:spacing w:before="240" w:after="240" w:line="360" w:lineRule="auto"/>
        <w:ind w:left="1689" w:hanging="555"/>
        <w:jc w:val="both"/>
        <w:rPr>
          <w:rFonts w:ascii="Book Antiqua" w:hAnsi="Book Antiqua" w:cs="Courier New"/>
        </w:rPr>
      </w:pPr>
      <w:r>
        <w:rPr>
          <w:rFonts w:ascii="Book Antiqua" w:hAnsi="Book Antiqua" w:cs="Courier New"/>
        </w:rPr>
        <w:t>(</w:t>
      </w:r>
      <w:proofErr w:type="spellStart"/>
      <w:r>
        <w:rPr>
          <w:rFonts w:ascii="Book Antiqua" w:hAnsi="Book Antiqua" w:cs="Courier New"/>
        </w:rPr>
        <w:t>i</w:t>
      </w:r>
      <w:proofErr w:type="spellEnd"/>
      <w:r>
        <w:rPr>
          <w:rFonts w:ascii="Book Antiqua" w:hAnsi="Book Antiqua" w:cs="Courier New"/>
        </w:rPr>
        <w:t>)</w:t>
      </w:r>
      <w:r>
        <w:rPr>
          <w:rFonts w:ascii="Book Antiqua" w:hAnsi="Book Antiqua" w:cs="Courier New"/>
        </w:rPr>
        <w:tab/>
      </w:r>
      <w:r w:rsidR="009929FB">
        <w:rPr>
          <w:rFonts w:ascii="Book Antiqua" w:hAnsi="Book Antiqua" w:cs="Courier New"/>
        </w:rPr>
        <w:t xml:space="preserve">the phrase </w:t>
      </w:r>
      <w:r w:rsidR="009929FB">
        <w:rPr>
          <w:rFonts w:ascii="Book Antiqua" w:hAnsi="Book Antiqua"/>
        </w:rPr>
        <w:t>"</w:t>
      </w:r>
      <w:r>
        <w:rPr>
          <w:rFonts w:ascii="Book Antiqua" w:hAnsi="Book Antiqua"/>
        </w:rPr>
        <w:t>family member</w:t>
      </w:r>
      <w:proofErr w:type="gramStart"/>
      <w:r>
        <w:rPr>
          <w:rFonts w:ascii="Book Antiqua" w:hAnsi="Book Antiqua"/>
        </w:rPr>
        <w:t>…..</w:t>
      </w:r>
      <w:proofErr w:type="gramEnd"/>
      <w:r w:rsidR="009929FB">
        <w:rPr>
          <w:rFonts w:ascii="Book Antiqua" w:hAnsi="Book Antiqua"/>
        </w:rPr>
        <w:t xml:space="preserve">who has been allowed to reside as a beneficiary of international protection" in </w:t>
      </w:r>
      <w:r w:rsidR="00BB3602">
        <w:rPr>
          <w:rFonts w:ascii="Book Antiqua" w:hAnsi="Book Antiqua" w:cs="Courier New"/>
        </w:rPr>
        <w:t>Article 9 of Dublin III</w:t>
      </w:r>
      <w:r w:rsidR="008D121B">
        <w:rPr>
          <w:rFonts w:ascii="Book Antiqua" w:hAnsi="Book Antiqua" w:cs="Courier New"/>
        </w:rPr>
        <w:t xml:space="preserve"> </w:t>
      </w:r>
      <w:r w:rsidR="009929FB">
        <w:rPr>
          <w:rFonts w:ascii="Book Antiqua" w:hAnsi="Book Antiqua" w:cs="Courier New"/>
        </w:rPr>
        <w:t xml:space="preserve">is to be interpreted as </w:t>
      </w:r>
      <w:r w:rsidR="0095237B">
        <w:rPr>
          <w:rFonts w:ascii="Book Antiqua" w:hAnsi="Book Antiqua" w:cs="Courier New"/>
        </w:rPr>
        <w:t xml:space="preserve">including </w:t>
      </w:r>
      <w:r>
        <w:rPr>
          <w:rFonts w:ascii="Book Antiqua" w:hAnsi="Book Antiqua" w:cs="Courier New"/>
        </w:rPr>
        <w:t>a</w:t>
      </w:r>
      <w:r w:rsidR="0095237B">
        <w:rPr>
          <w:rFonts w:ascii="Book Antiqua" w:hAnsi="Book Antiqua" w:cs="Courier New"/>
        </w:rPr>
        <w:t xml:space="preserve">  person who has</w:t>
      </w:r>
      <w:r>
        <w:rPr>
          <w:rFonts w:ascii="Book Antiqua" w:hAnsi="Book Antiqua" w:cs="Courier New"/>
        </w:rPr>
        <w:t>, since the grant of international protection, acquired the nationality of the an EU member state; and,</w:t>
      </w:r>
    </w:p>
    <w:p w14:paraId="6A70E20C" w14:textId="19D2B825" w:rsidR="00BB3602" w:rsidRPr="005E1CFC" w:rsidRDefault="001509C4" w:rsidP="001509C4">
      <w:pPr>
        <w:spacing w:before="240" w:after="240" w:line="360" w:lineRule="auto"/>
        <w:ind w:left="1689" w:hanging="555"/>
        <w:jc w:val="both"/>
        <w:rPr>
          <w:rFonts w:ascii="Book Antiqua" w:hAnsi="Book Antiqua" w:cs="Courier New"/>
        </w:rPr>
      </w:pPr>
      <w:r>
        <w:rPr>
          <w:rFonts w:ascii="Book Antiqua" w:hAnsi="Book Antiqua" w:cs="Courier New"/>
        </w:rPr>
        <w:lastRenderedPageBreak/>
        <w:t xml:space="preserve">(ii) </w:t>
      </w:r>
      <w:r>
        <w:rPr>
          <w:rFonts w:ascii="Book Antiqua" w:hAnsi="Book Antiqua" w:cs="Courier New"/>
        </w:rPr>
        <w:tab/>
        <w:t xml:space="preserve">the </w:t>
      </w:r>
      <w:r w:rsidR="00754A83">
        <w:rPr>
          <w:rFonts w:ascii="Book Antiqua" w:hAnsi="Book Antiqua" w:cs="Courier New"/>
        </w:rPr>
        <w:t>“persons concerned” in Article 9 of Dublin III does not include the family member or members previously granted international protection in the requested state.</w:t>
      </w:r>
    </w:p>
    <w:p w14:paraId="458507CE" w14:textId="2AA5E2F0" w:rsidR="00574823" w:rsidRDefault="004D513B"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In conclusion, I am satisfied that first, </w:t>
      </w:r>
      <w:r w:rsidR="00D56B66">
        <w:rPr>
          <w:rFonts w:ascii="Book Antiqua" w:hAnsi="Book Antiqua" w:cs="Courier New"/>
        </w:rPr>
        <w:t>Article</w:t>
      </w:r>
      <w:r>
        <w:rPr>
          <w:rFonts w:ascii="Book Antiqua" w:hAnsi="Book Antiqua" w:cs="Courier New"/>
        </w:rPr>
        <w:t xml:space="preserve"> 9 applies, and second, that the consent or desire to the transfer</w:t>
      </w:r>
      <w:r w:rsidR="00EE4BB6">
        <w:rPr>
          <w:rFonts w:ascii="Book Antiqua" w:hAnsi="Book Antiqua" w:cs="Courier New"/>
        </w:rPr>
        <w:t xml:space="preserve"> </w:t>
      </w:r>
      <w:proofErr w:type="gramStart"/>
      <w:r w:rsidR="00EE4BB6">
        <w:rPr>
          <w:rFonts w:ascii="Book Antiqua" w:hAnsi="Book Antiqua" w:cs="Courier New"/>
        </w:rPr>
        <w:t>has to</w:t>
      </w:r>
      <w:proofErr w:type="gramEnd"/>
      <w:r w:rsidR="00EE4BB6">
        <w:rPr>
          <w:rFonts w:ascii="Book Antiqua" w:hAnsi="Book Antiqua" w:cs="Courier New"/>
        </w:rPr>
        <w:t xml:space="preserve"> be expressed only by those </w:t>
      </w:r>
      <w:r w:rsidR="008B462E">
        <w:rPr>
          <w:rFonts w:ascii="Book Antiqua" w:hAnsi="Book Antiqua" w:cs="Courier New"/>
        </w:rPr>
        <w:t xml:space="preserve">who are its subjects.  </w:t>
      </w:r>
      <w:r w:rsidR="00B90881">
        <w:rPr>
          <w:rFonts w:ascii="Book Antiqua" w:hAnsi="Book Antiqua" w:cs="Courier New"/>
        </w:rPr>
        <w:t xml:space="preserve">The respondent’s decision was therefore unlawful as it proceeded on an incorrect interpretation of the law and I quash that decision. </w:t>
      </w:r>
    </w:p>
    <w:p w14:paraId="76577A75" w14:textId="31A7D5C9" w:rsidR="00B03F5B" w:rsidRPr="00B03F5B" w:rsidRDefault="00B03F5B" w:rsidP="00B03F5B">
      <w:pPr>
        <w:spacing w:before="240" w:after="240" w:line="360" w:lineRule="auto"/>
        <w:ind w:left="567"/>
        <w:jc w:val="both"/>
        <w:rPr>
          <w:rFonts w:ascii="Book Antiqua" w:hAnsi="Book Antiqua" w:cs="Courier New"/>
          <w:b/>
          <w:u w:val="single"/>
        </w:rPr>
      </w:pPr>
      <w:r w:rsidRPr="00B03F5B">
        <w:rPr>
          <w:rFonts w:ascii="Book Antiqua" w:hAnsi="Book Antiqua" w:cs="Courier New"/>
          <w:b/>
          <w:u w:val="single"/>
        </w:rPr>
        <w:t>Grounds 2 to 4</w:t>
      </w:r>
      <w:r w:rsidR="00F63223">
        <w:rPr>
          <w:rFonts w:ascii="Book Antiqua" w:hAnsi="Book Antiqua" w:cs="Courier New"/>
          <w:b/>
          <w:u w:val="single"/>
        </w:rPr>
        <w:t xml:space="preserve"> – the law</w:t>
      </w:r>
    </w:p>
    <w:p w14:paraId="5C277F1F" w14:textId="52A5B722" w:rsidR="00F63223" w:rsidRDefault="00F63223"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Article </w:t>
      </w:r>
      <w:r w:rsidR="002D32D8">
        <w:rPr>
          <w:rFonts w:ascii="Book Antiqua" w:hAnsi="Book Antiqua" w:cs="Courier New"/>
        </w:rPr>
        <w:t>17 (2)</w:t>
      </w:r>
      <w:r>
        <w:rPr>
          <w:rFonts w:ascii="Book Antiqua" w:hAnsi="Book Antiqua" w:cs="Courier New"/>
        </w:rPr>
        <w:t xml:space="preserve"> of Dublin III provides</w:t>
      </w:r>
      <w:r w:rsidR="008D121B">
        <w:rPr>
          <w:rFonts w:ascii="Book Antiqua" w:hAnsi="Book Antiqua" w:cs="Courier New"/>
        </w:rPr>
        <w:t>:</w:t>
      </w:r>
    </w:p>
    <w:p w14:paraId="079B55BA" w14:textId="77777777" w:rsidR="008D121B" w:rsidRDefault="008D121B" w:rsidP="008D121B">
      <w:pPr>
        <w:pStyle w:val="ListParagraph"/>
        <w:ind w:left="930"/>
        <w:jc w:val="both"/>
      </w:pPr>
      <w:r w:rsidRPr="008D121B">
        <w:rPr>
          <w:rFonts w:ascii="Book Antiqua" w:hAnsi="Book Antiqua"/>
        </w:rPr>
        <w:t>Article 17 Discretionary Clauses</w:t>
      </w:r>
    </w:p>
    <w:p w14:paraId="6D34826E" w14:textId="77777777" w:rsidR="008D121B" w:rsidRDefault="008D121B" w:rsidP="008D121B">
      <w:pPr>
        <w:pStyle w:val="ListParagraph"/>
        <w:ind w:left="930"/>
        <w:jc w:val="both"/>
      </w:pPr>
      <w:r w:rsidRPr="008D121B">
        <w:rPr>
          <w:rFonts w:ascii="Book Antiqua" w:hAnsi="Book Antiqua"/>
        </w:rPr>
        <w:t> </w:t>
      </w:r>
    </w:p>
    <w:p w14:paraId="127CA934" w14:textId="62A540FA" w:rsidR="008D121B" w:rsidRDefault="002D32D8" w:rsidP="008D121B">
      <w:pPr>
        <w:pStyle w:val="ListParagraph"/>
        <w:ind w:left="930"/>
        <w:jc w:val="both"/>
      </w:pPr>
      <w:r>
        <w:rPr>
          <w:rFonts w:ascii="Book Antiqua" w:hAnsi="Book Antiqua"/>
        </w:rPr>
        <w:t>17 (2)</w:t>
      </w:r>
      <w:r w:rsidR="008D121B" w:rsidRPr="008D121B">
        <w:rPr>
          <w:rFonts w:ascii="Book Antiqua" w:hAnsi="Book Antiqua"/>
        </w:rPr>
        <w:t>. The Member State in which an application for international protection is made and which is carrying out the process of determining the Member State responsible, or the Member State responsible, may, at any time before a first decision regarding the substance is taken, request another Member State to take charge of an applicant in order to bring together any family relations, on humanitarian grounds based in particular on family or cultural considerations, even where that other Member State is not responsible under the criteria laid down in Articles 8 to 11 and 16. The persons concerned must express their consent in writing.</w:t>
      </w:r>
    </w:p>
    <w:p w14:paraId="5373F174" w14:textId="77777777" w:rsidR="008D121B" w:rsidRDefault="008D121B" w:rsidP="008D121B">
      <w:pPr>
        <w:pStyle w:val="ListParagraph"/>
        <w:ind w:left="930"/>
        <w:jc w:val="both"/>
      </w:pPr>
      <w:r w:rsidRPr="008D121B">
        <w:rPr>
          <w:rFonts w:ascii="Book Antiqua" w:hAnsi="Book Antiqua"/>
        </w:rPr>
        <w:t> </w:t>
      </w:r>
    </w:p>
    <w:p w14:paraId="2202C682" w14:textId="77777777" w:rsidR="008D121B" w:rsidRDefault="008D121B" w:rsidP="008D121B">
      <w:pPr>
        <w:pStyle w:val="ListParagraph"/>
        <w:ind w:left="930"/>
        <w:jc w:val="both"/>
      </w:pPr>
      <w:r w:rsidRPr="008D121B">
        <w:rPr>
          <w:rFonts w:ascii="Book Antiqua" w:hAnsi="Book Antiqua"/>
        </w:rPr>
        <w:t>The request to take charge shall contain all the material in the possession of the requesting Member State to allow the requested Member State to assess the situation. The requested Member State shall carry out any necessary checks to examine the humanitarian grounds cited, and shall reply to the requesting Member State within two months of receipt of the request using the '</w:t>
      </w:r>
      <w:proofErr w:type="spellStart"/>
      <w:r w:rsidRPr="008D121B">
        <w:rPr>
          <w:rFonts w:ascii="Book Antiqua" w:hAnsi="Book Antiqua"/>
        </w:rPr>
        <w:t>DubliNet</w:t>
      </w:r>
      <w:proofErr w:type="spellEnd"/>
      <w:r w:rsidRPr="008D121B">
        <w:rPr>
          <w:rFonts w:ascii="Book Antiqua" w:hAnsi="Book Antiqua"/>
        </w:rPr>
        <w:t xml:space="preserve">' electronic communication network set up under Article 18 of Regulation (EC) No 1560/2003. A reply refusing the request shall state the reasons on which the refusal is based. </w:t>
      </w:r>
    </w:p>
    <w:p w14:paraId="562B0660" w14:textId="1B38D4FA" w:rsidR="00F63223" w:rsidRDefault="00F63223"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In addition, the Dublin Implementing Regulation 1560/2003 provides:</w:t>
      </w:r>
    </w:p>
    <w:p w14:paraId="2645227B" w14:textId="721451AE" w:rsidR="00BB3602" w:rsidRPr="00BB3602" w:rsidRDefault="00BB3602" w:rsidP="00BB3602">
      <w:pPr>
        <w:spacing w:before="100" w:beforeAutospacing="1" w:after="100" w:afterAutospacing="1"/>
        <w:ind w:left="709"/>
        <w:jc w:val="both"/>
        <w:rPr>
          <w:rFonts w:ascii="Book Antiqua" w:hAnsi="Book Antiqua"/>
          <w:b/>
          <w:sz w:val="22"/>
          <w:szCs w:val="22"/>
        </w:rPr>
      </w:pPr>
      <w:r w:rsidRPr="00BB3602">
        <w:rPr>
          <w:rFonts w:ascii="Book Antiqua" w:hAnsi="Book Antiqua"/>
          <w:b/>
          <w:sz w:val="22"/>
          <w:szCs w:val="22"/>
        </w:rPr>
        <w:t xml:space="preserve">Article </w:t>
      </w:r>
      <w:proofErr w:type="gramStart"/>
      <w:r w:rsidRPr="00BB3602">
        <w:rPr>
          <w:rFonts w:ascii="Book Antiqua" w:hAnsi="Book Antiqua"/>
          <w:b/>
          <w:sz w:val="22"/>
          <w:szCs w:val="22"/>
        </w:rPr>
        <w:t>2  Preparation</w:t>
      </w:r>
      <w:proofErr w:type="gramEnd"/>
      <w:r w:rsidRPr="00BB3602">
        <w:rPr>
          <w:rFonts w:ascii="Book Antiqua" w:hAnsi="Book Antiqua"/>
          <w:b/>
          <w:sz w:val="22"/>
          <w:szCs w:val="22"/>
        </w:rPr>
        <w:t xml:space="preserve"> of requests for taking back </w:t>
      </w:r>
    </w:p>
    <w:p w14:paraId="0C901760" w14:textId="77777777" w:rsidR="00BB3602" w:rsidRPr="00BB3602" w:rsidRDefault="00BB3602" w:rsidP="00BB3602">
      <w:pPr>
        <w:spacing w:before="100" w:beforeAutospacing="1" w:after="100" w:afterAutospacing="1"/>
        <w:ind w:left="709"/>
        <w:jc w:val="both"/>
        <w:rPr>
          <w:rFonts w:ascii="Book Antiqua" w:hAnsi="Book Antiqua"/>
          <w:sz w:val="22"/>
          <w:szCs w:val="22"/>
        </w:rPr>
      </w:pPr>
      <w:r w:rsidRPr="00BB3602">
        <w:rPr>
          <w:rFonts w:ascii="Book Antiqua" w:hAnsi="Book Antiqua"/>
          <w:sz w:val="22"/>
          <w:szCs w:val="22"/>
        </w:rPr>
        <w:t xml:space="preserve">Requests for taking back shall be made on a standard form in accordance with the model in Annex III, setting out the nature of the request, the reasons for it and the provisions of Regulation (EU) No 604/2013 of the European Parliament and of the Council (*) on which it is based. </w:t>
      </w:r>
    </w:p>
    <w:p w14:paraId="60F35420" w14:textId="77777777" w:rsidR="00BB3602" w:rsidRPr="00BB3602" w:rsidRDefault="00BB3602" w:rsidP="00BB3602">
      <w:pPr>
        <w:spacing w:before="100" w:beforeAutospacing="1" w:after="100" w:afterAutospacing="1"/>
        <w:ind w:left="709"/>
        <w:jc w:val="both"/>
        <w:rPr>
          <w:rFonts w:ascii="Book Antiqua" w:hAnsi="Book Antiqua"/>
          <w:sz w:val="22"/>
          <w:szCs w:val="22"/>
        </w:rPr>
      </w:pPr>
      <w:r w:rsidRPr="00BB3602">
        <w:rPr>
          <w:rFonts w:ascii="Book Antiqua" w:hAnsi="Book Antiqua"/>
          <w:sz w:val="22"/>
          <w:szCs w:val="22"/>
        </w:rPr>
        <w:t xml:space="preserve">The request shall also include, as applicable: </w:t>
      </w:r>
    </w:p>
    <w:p w14:paraId="71EF286A" w14:textId="77777777" w:rsidR="00BB3602" w:rsidRPr="00BB3602" w:rsidRDefault="00BB3602" w:rsidP="00BB3602">
      <w:pPr>
        <w:spacing w:before="100" w:beforeAutospacing="1" w:after="100" w:afterAutospacing="1"/>
        <w:ind w:left="709"/>
        <w:jc w:val="both"/>
        <w:rPr>
          <w:rFonts w:ascii="Book Antiqua" w:hAnsi="Book Antiqua"/>
          <w:sz w:val="22"/>
          <w:szCs w:val="22"/>
        </w:rPr>
      </w:pPr>
      <w:r w:rsidRPr="00BB3602">
        <w:rPr>
          <w:rFonts w:ascii="Book Antiqua" w:hAnsi="Book Antiqua"/>
          <w:sz w:val="22"/>
          <w:szCs w:val="22"/>
        </w:rPr>
        <w:lastRenderedPageBreak/>
        <w:t>(a) a copy of all the proof and circumstantial evidence showing that the requested Member State is responsible for examining the application for international protection, accompanied, where appropriate, by comments on the circumstances in which it was obtained and the probative value attached to it by the requesting Member State, with reference to the lists of proof and circumstantial evidence referred to in Article 22(3) of Regulation (EU) No 604/2013, which are set out in Annex II to this Regulation;</w:t>
      </w:r>
    </w:p>
    <w:p w14:paraId="738113CC" w14:textId="635D5F66" w:rsidR="00F63223" w:rsidRPr="00BB3602" w:rsidRDefault="00BB3602" w:rsidP="00BB3602">
      <w:pPr>
        <w:spacing w:before="100" w:beforeAutospacing="1" w:after="100" w:afterAutospacing="1"/>
        <w:ind w:left="709"/>
        <w:jc w:val="both"/>
        <w:rPr>
          <w:rFonts w:ascii="Book Antiqua" w:hAnsi="Book Antiqua"/>
          <w:b/>
          <w:sz w:val="22"/>
          <w:szCs w:val="22"/>
        </w:rPr>
      </w:pPr>
      <w:r w:rsidRPr="00BB3602">
        <w:rPr>
          <w:rFonts w:ascii="Book Antiqua" w:hAnsi="Book Antiqua"/>
          <w:b/>
          <w:sz w:val="22"/>
          <w:szCs w:val="22"/>
        </w:rPr>
        <w:t xml:space="preserve"> Article 3 </w:t>
      </w:r>
      <w:r w:rsidR="00F63223" w:rsidRPr="00BB3602">
        <w:rPr>
          <w:rFonts w:ascii="Book Antiqua" w:hAnsi="Book Antiqua"/>
          <w:b/>
          <w:sz w:val="22"/>
          <w:szCs w:val="22"/>
        </w:rPr>
        <w:t>Processing requests for taking charge</w:t>
      </w:r>
    </w:p>
    <w:p w14:paraId="196DCA05" w14:textId="77777777" w:rsidR="00F63223" w:rsidRPr="00967ED3" w:rsidRDefault="00F63223" w:rsidP="00BB3602">
      <w:pPr>
        <w:spacing w:before="100" w:beforeAutospacing="1" w:after="100" w:afterAutospacing="1"/>
        <w:ind w:left="709"/>
        <w:jc w:val="both"/>
        <w:rPr>
          <w:rFonts w:ascii="Book Antiqua" w:hAnsi="Book Antiqua"/>
          <w:sz w:val="22"/>
          <w:szCs w:val="22"/>
        </w:rPr>
      </w:pPr>
      <w:r w:rsidRPr="00967ED3">
        <w:rPr>
          <w:rFonts w:ascii="Book Antiqua" w:hAnsi="Book Antiqua"/>
          <w:sz w:val="22"/>
          <w:szCs w:val="22"/>
        </w:rPr>
        <w:t>1. The arguments in law and in fact set out in the request shall be examined in the light of the provisions of Regulation (EC) No 343/2003 and the lists of proof and circumstantial evidence which are set out in Annex II to the present Regulation.</w:t>
      </w:r>
    </w:p>
    <w:p w14:paraId="2B427A52" w14:textId="77777777" w:rsidR="00F63223" w:rsidRPr="00967ED3" w:rsidRDefault="00F63223" w:rsidP="00BB3602">
      <w:pPr>
        <w:spacing w:before="100" w:beforeAutospacing="1" w:after="100" w:afterAutospacing="1"/>
        <w:ind w:left="709"/>
        <w:jc w:val="both"/>
        <w:rPr>
          <w:rFonts w:ascii="Book Antiqua" w:hAnsi="Book Antiqua"/>
          <w:sz w:val="22"/>
          <w:szCs w:val="22"/>
        </w:rPr>
      </w:pPr>
      <w:r w:rsidRPr="00967ED3">
        <w:rPr>
          <w:rFonts w:ascii="Book Antiqua" w:hAnsi="Book Antiqua"/>
          <w:sz w:val="22"/>
          <w:szCs w:val="22"/>
        </w:rPr>
        <w:t xml:space="preserve">2. Whatever the criteria and provisions of Regulation (EC) No 343/2003 that are relied on, the requested Member State shall, within the time allowed by </w:t>
      </w:r>
      <w:r>
        <w:rPr>
          <w:rFonts w:ascii="Book Antiqua" w:hAnsi="Book Antiqua"/>
          <w:sz w:val="22"/>
          <w:szCs w:val="22"/>
        </w:rPr>
        <w:t>Article</w:t>
      </w:r>
      <w:r w:rsidRPr="00967ED3">
        <w:rPr>
          <w:rFonts w:ascii="Book Antiqua" w:hAnsi="Book Antiqua"/>
          <w:sz w:val="22"/>
          <w:szCs w:val="22"/>
        </w:rPr>
        <w:t xml:space="preserve"> 18(1) and (6) of that Regulation, check exhaustively and objectively, </w:t>
      </w:r>
      <w:proofErr w:type="gramStart"/>
      <w:r w:rsidRPr="00967ED3">
        <w:rPr>
          <w:rFonts w:ascii="Book Antiqua" w:hAnsi="Book Antiqua"/>
          <w:sz w:val="22"/>
          <w:szCs w:val="22"/>
        </w:rPr>
        <w:t>on the basis of</w:t>
      </w:r>
      <w:proofErr w:type="gramEnd"/>
      <w:r w:rsidRPr="00967ED3">
        <w:rPr>
          <w:rFonts w:ascii="Book Antiqua" w:hAnsi="Book Antiqua"/>
          <w:sz w:val="22"/>
          <w:szCs w:val="22"/>
        </w:rPr>
        <w:t xml:space="preserve"> all information directly or indirectly available to it, whether its responsibility for examining the application for asylum is established. If the checks by the requested Member State reveal that it is responsible under at least one of the criteria of that Regulation, it shall acknowledge its responsibility.</w:t>
      </w:r>
    </w:p>
    <w:p w14:paraId="64CC63A3" w14:textId="1CE66C6C" w:rsidR="00B03F5B" w:rsidRPr="00B03F5B" w:rsidRDefault="00405218" w:rsidP="002C56BE">
      <w:pPr>
        <w:numPr>
          <w:ilvl w:val="0"/>
          <w:numId w:val="17"/>
        </w:numPr>
        <w:spacing w:before="240" w:after="240" w:line="360" w:lineRule="auto"/>
        <w:ind w:left="567" w:hanging="567"/>
        <w:jc w:val="both"/>
        <w:rPr>
          <w:rFonts w:ascii="Book Antiqua" w:hAnsi="Book Antiqua" w:cs="Courier New"/>
        </w:rPr>
      </w:pPr>
      <w:r w:rsidRPr="00B03F5B">
        <w:rPr>
          <w:rFonts w:ascii="Book Antiqua" w:hAnsi="Book Antiqua" w:cs="Courier New"/>
        </w:rPr>
        <w:t xml:space="preserve">I turn now to the remaining grounds of appeal. </w:t>
      </w:r>
      <w:r w:rsidR="00B03F5B" w:rsidRPr="00B03F5B">
        <w:rPr>
          <w:rFonts w:ascii="Book Antiqua" w:hAnsi="Book Antiqua" w:cs="Courier New"/>
        </w:rPr>
        <w:t xml:space="preserve">Miss Kilroy submitted that even if the applicant did not fall within Article A9, nonetheless there was a proper Article </w:t>
      </w:r>
      <w:r w:rsidR="002D32D8">
        <w:rPr>
          <w:rFonts w:ascii="Book Antiqua" w:hAnsi="Book Antiqua" w:cs="Courier New"/>
        </w:rPr>
        <w:t>17 (2)</w:t>
      </w:r>
      <w:r w:rsidR="00B03F5B" w:rsidRPr="00B03F5B">
        <w:rPr>
          <w:rFonts w:ascii="Book Antiqua" w:hAnsi="Book Antiqua" w:cs="Courier New"/>
        </w:rPr>
        <w:t xml:space="preserve"> request made in this case which needed to be considered because the information disclosed in the </w:t>
      </w:r>
      <w:r w:rsidR="00E61044">
        <w:rPr>
          <w:rFonts w:ascii="Book Antiqua" w:hAnsi="Book Antiqua" w:cs="Courier New"/>
        </w:rPr>
        <w:t>TCR</w:t>
      </w:r>
      <w:r w:rsidR="00B03F5B" w:rsidRPr="00B03F5B">
        <w:rPr>
          <w:rFonts w:ascii="Book Antiqua" w:hAnsi="Book Antiqua" w:cs="Courier New"/>
        </w:rPr>
        <w:t xml:space="preserve"> was sufficient to create an obligation where, as here, it raised issues of fundamental rights, on the respondent to investigate.  She relied for this submission on </w:t>
      </w:r>
      <w:proofErr w:type="spellStart"/>
      <w:r w:rsidR="00B03F5B" w:rsidRPr="00E61044">
        <w:rPr>
          <w:rFonts w:ascii="Book Antiqua" w:hAnsi="Book Antiqua" w:cs="Courier New"/>
          <w:u w:val="single"/>
        </w:rPr>
        <w:t>Ghezelbash</w:t>
      </w:r>
      <w:proofErr w:type="spellEnd"/>
      <w:r w:rsidR="00B03F5B" w:rsidRPr="00B03F5B">
        <w:rPr>
          <w:rFonts w:ascii="Book Antiqua" w:hAnsi="Book Antiqua" w:cs="Courier New"/>
        </w:rPr>
        <w:t xml:space="preserve"> at [42].  </w:t>
      </w:r>
    </w:p>
    <w:p w14:paraId="10176060" w14:textId="30DC2E1C" w:rsidR="00B03F5B" w:rsidRPr="0012239F" w:rsidRDefault="00B03F5B"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Miss Kilroy submitted</w:t>
      </w:r>
      <w:r>
        <w:rPr>
          <w:rFonts w:ascii="Book Antiqua" w:hAnsi="Book Antiqua" w:cs="Courier New"/>
        </w:rPr>
        <w:t xml:space="preserve"> (</w:t>
      </w:r>
      <w:r w:rsidRPr="0012239F">
        <w:rPr>
          <w:rFonts w:ascii="Book Antiqua" w:hAnsi="Book Antiqua" w:cs="Courier New"/>
        </w:rPr>
        <w:t>although there is no evidence to support this, only her assertion</w:t>
      </w:r>
      <w:r>
        <w:rPr>
          <w:rFonts w:ascii="Book Antiqua" w:hAnsi="Book Antiqua" w:cs="Courier New"/>
        </w:rPr>
        <w:t>)</w:t>
      </w:r>
      <w:r w:rsidRPr="0012239F">
        <w:rPr>
          <w:rFonts w:ascii="Book Antiqua" w:hAnsi="Book Antiqua" w:cs="Courier New"/>
        </w:rPr>
        <w:t xml:space="preserve">, that the </w:t>
      </w:r>
      <w:r w:rsidR="00E61044">
        <w:rPr>
          <w:rFonts w:ascii="Book Antiqua" w:hAnsi="Book Antiqua" w:cs="Courier New"/>
        </w:rPr>
        <w:t>TCR</w:t>
      </w:r>
      <w:r w:rsidRPr="0012239F">
        <w:rPr>
          <w:rFonts w:ascii="Book Antiqua" w:hAnsi="Book Antiqua" w:cs="Courier New"/>
        </w:rPr>
        <w:t xml:space="preserve"> form at Part 1 has a drop-down list permitting the reference to only one Article and that the evidence of how the matter was considered was lacking in any detail.  She submitted f</w:t>
      </w:r>
      <w:r>
        <w:rPr>
          <w:rFonts w:ascii="Book Antiqua" w:hAnsi="Book Antiqua" w:cs="Courier New"/>
        </w:rPr>
        <w:t xml:space="preserve">urther that the decision was defective in that </w:t>
      </w:r>
      <w:r w:rsidRPr="0012239F">
        <w:rPr>
          <w:rFonts w:ascii="Book Antiqua" w:hAnsi="Book Antiqua" w:cs="Courier New"/>
        </w:rPr>
        <w:t>there was no attempt to assess the impact of</w:t>
      </w:r>
      <w:r w:rsidRPr="00E61044">
        <w:rPr>
          <w:rFonts w:ascii="Book Antiqua" w:hAnsi="Book Antiqua" w:cs="Courier New"/>
        </w:rPr>
        <w:t xml:space="preserve"> </w:t>
      </w:r>
      <w:r w:rsidRPr="00E61044">
        <w:rPr>
          <w:rFonts w:ascii="Book Antiqua" w:hAnsi="Book Antiqua" w:cs="Courier New"/>
          <w:u w:val="single"/>
        </w:rPr>
        <w:t>HA</w:t>
      </w:r>
      <w:r w:rsidR="00E61044" w:rsidRPr="00E61044">
        <w:rPr>
          <w:rFonts w:ascii="Book Antiqua" w:hAnsi="Book Antiqua" w:cs="Courier New"/>
          <w:u w:val="single"/>
        </w:rPr>
        <w:t>&amp; others</w:t>
      </w:r>
      <w:r w:rsidRPr="0012239F">
        <w:rPr>
          <w:rFonts w:ascii="Book Antiqua" w:hAnsi="Book Antiqua" w:cs="Courier New"/>
        </w:rPr>
        <w:t xml:space="preserve"> </w:t>
      </w:r>
      <w:r>
        <w:rPr>
          <w:rFonts w:ascii="Book Antiqua" w:hAnsi="Book Antiqua" w:cs="Courier New"/>
        </w:rPr>
        <w:t xml:space="preserve">it being contrary to the rule of law for </w:t>
      </w:r>
      <w:r w:rsidRPr="0012239F">
        <w:rPr>
          <w:rFonts w:ascii="Book Antiqua" w:hAnsi="Book Antiqua" w:cs="Courier New"/>
        </w:rPr>
        <w:t xml:space="preserve">the Secretary of State simply to ignore decisions of the Upper Tribunal and in failing to advise </w:t>
      </w:r>
      <w:r>
        <w:rPr>
          <w:rFonts w:ascii="Book Antiqua" w:hAnsi="Book Antiqua" w:cs="Courier New"/>
        </w:rPr>
        <w:t>the Greek government of the position taken by the courts in the United Kingdom.</w:t>
      </w:r>
      <w:r w:rsidRPr="0012239F">
        <w:rPr>
          <w:rFonts w:ascii="Book Antiqua" w:hAnsi="Book Antiqua" w:cs="Courier New"/>
        </w:rPr>
        <w:t xml:space="preserve">  </w:t>
      </w:r>
    </w:p>
    <w:p w14:paraId="6BD8F586" w14:textId="39290D0A" w:rsidR="00B03F5B" w:rsidRPr="00312A71" w:rsidRDefault="00B03F5B" w:rsidP="002C56BE">
      <w:pPr>
        <w:numPr>
          <w:ilvl w:val="0"/>
          <w:numId w:val="17"/>
        </w:numPr>
        <w:spacing w:before="240" w:after="240" w:line="360" w:lineRule="auto"/>
        <w:ind w:left="567" w:hanging="567"/>
        <w:jc w:val="both"/>
        <w:rPr>
          <w:rFonts w:ascii="Book Antiqua" w:hAnsi="Book Antiqua" w:cs="Courier New"/>
        </w:rPr>
      </w:pPr>
      <w:r w:rsidRPr="00312A71">
        <w:rPr>
          <w:rFonts w:ascii="Book Antiqua" w:hAnsi="Book Antiqua" w:cs="Courier New"/>
        </w:rPr>
        <w:t xml:space="preserve">Miss Kilroy submitted that there was in this case a duty on the Secretary of State to investigate matters </w:t>
      </w:r>
      <w:r w:rsidRPr="00EC6339">
        <w:rPr>
          <w:rFonts w:ascii="Book Antiqua" w:hAnsi="Book Antiqua" w:cs="Courier New"/>
        </w:rPr>
        <w:t xml:space="preserve">properly and to ask for further evidence as identified in </w:t>
      </w:r>
      <w:r w:rsidR="00EC6339" w:rsidRPr="00EC6339">
        <w:rPr>
          <w:rFonts w:ascii="Book Antiqua" w:hAnsi="Book Antiqua"/>
          <w:color w:val="000000"/>
          <w:u w:val="single"/>
        </w:rPr>
        <w:t>R (on the application of MS) (a child by his litigation friend MAS) v Secretary of State for the Home Department (Dublin III; duty to investigate)</w:t>
      </w:r>
      <w:r w:rsidR="00EC6339" w:rsidRPr="00EC6339">
        <w:rPr>
          <w:rFonts w:ascii="Book Antiqua" w:hAnsi="Book Antiqua"/>
          <w:color w:val="000000"/>
        </w:rPr>
        <w:t xml:space="preserve"> [2019] UKUT 00009 (IAC)</w:t>
      </w:r>
      <w:r w:rsidRPr="00EC6339">
        <w:rPr>
          <w:rFonts w:ascii="Book Antiqua" w:hAnsi="Book Antiqua" w:cs="Courier New"/>
        </w:rPr>
        <w:t xml:space="preserve"> and also in </w:t>
      </w:r>
      <w:r w:rsidR="00312A71" w:rsidRPr="00EC6339">
        <w:rPr>
          <w:rFonts w:ascii="Book Antiqua" w:hAnsi="Book Antiqua"/>
          <w:color w:val="000000"/>
          <w:u w:val="single"/>
        </w:rPr>
        <w:t xml:space="preserve">R (on the application of MK, IK (a child by his litigation friend MK) and HK (a child </w:t>
      </w:r>
      <w:r w:rsidR="00312A71" w:rsidRPr="00EC6339">
        <w:rPr>
          <w:rFonts w:ascii="Book Antiqua" w:hAnsi="Book Antiqua"/>
          <w:color w:val="000000"/>
          <w:u w:val="single"/>
        </w:rPr>
        <w:lastRenderedPageBreak/>
        <w:t>by her litigation friend MK) v Secretary of State for the Home Department (Calais; Dublin Regulation - investigative duty)</w:t>
      </w:r>
      <w:r w:rsidR="00312A71" w:rsidRPr="007F203B">
        <w:rPr>
          <w:rFonts w:ascii="Book Antiqua" w:hAnsi="Book Antiqua"/>
          <w:color w:val="000000"/>
        </w:rPr>
        <w:t xml:space="preserve"> IJR</w:t>
      </w:r>
      <w:r w:rsidR="00312A71" w:rsidRPr="00EC6339">
        <w:rPr>
          <w:rFonts w:ascii="Book Antiqua" w:hAnsi="Book Antiqua"/>
          <w:color w:val="000000"/>
        </w:rPr>
        <w:t xml:space="preserve"> [2016] UKUT 231 (IAC</w:t>
      </w:r>
      <w:r w:rsidRPr="00EC6339">
        <w:rPr>
          <w:rFonts w:ascii="Book Antiqua" w:hAnsi="Book Antiqua" w:cs="Courier New"/>
        </w:rPr>
        <w:t>.  Accordingly, on that basis the failure to do that alone rendered the decision</w:t>
      </w:r>
      <w:r w:rsidRPr="00312A71">
        <w:rPr>
          <w:rFonts w:ascii="Book Antiqua" w:hAnsi="Book Antiqua" w:cs="Courier New"/>
        </w:rPr>
        <w:t xml:space="preserve"> unlawful.</w:t>
      </w:r>
    </w:p>
    <w:p w14:paraId="7D500DC9" w14:textId="785B238D" w:rsidR="00B03F5B" w:rsidRDefault="00B03F5B"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 xml:space="preserve">Miss Kilroy </w:t>
      </w:r>
      <w:r w:rsidRPr="003277DA">
        <w:rPr>
          <w:rFonts w:ascii="Book Antiqua" w:hAnsi="Book Antiqua" w:cs="Courier New"/>
        </w:rPr>
        <w:t xml:space="preserve">submitted that in light </w:t>
      </w:r>
      <w:r w:rsidRPr="0064201D">
        <w:rPr>
          <w:rFonts w:ascii="Book Antiqua" w:hAnsi="Book Antiqua" w:cs="Courier New"/>
        </w:rPr>
        <w:t xml:space="preserve">of Article 27 of Dublin III Regulation and following </w:t>
      </w:r>
      <w:r w:rsidRPr="0064201D">
        <w:rPr>
          <w:rFonts w:ascii="Book Antiqua" w:hAnsi="Book Antiqua" w:cs="Courier New"/>
          <w:u w:val="single"/>
        </w:rPr>
        <w:t>MS</w:t>
      </w:r>
      <w:r w:rsidRPr="0064201D">
        <w:rPr>
          <w:rFonts w:ascii="Book Antiqua" w:hAnsi="Book Antiqua" w:cs="Courier New"/>
        </w:rPr>
        <w:t xml:space="preserve">, as well as </w:t>
      </w:r>
      <w:proofErr w:type="spellStart"/>
      <w:r w:rsidRPr="0064201D">
        <w:rPr>
          <w:rFonts w:ascii="Book Antiqua" w:hAnsi="Book Antiqua" w:cs="Courier New"/>
          <w:u w:val="single"/>
        </w:rPr>
        <w:t>Ghezelbash</w:t>
      </w:r>
      <w:proofErr w:type="spellEnd"/>
      <w:r w:rsidRPr="0064201D">
        <w:rPr>
          <w:rFonts w:ascii="Book Antiqua" w:hAnsi="Book Antiqua" w:cs="Courier New"/>
        </w:rPr>
        <w:t xml:space="preserve"> and </w:t>
      </w:r>
      <w:proofErr w:type="spellStart"/>
      <w:r w:rsidRPr="0064201D">
        <w:rPr>
          <w:rFonts w:ascii="Book Antiqua" w:hAnsi="Book Antiqua" w:cs="Courier New"/>
          <w:u w:val="single"/>
        </w:rPr>
        <w:t>Mengesteab</w:t>
      </w:r>
      <w:proofErr w:type="spellEnd"/>
      <w:r w:rsidRPr="0064201D">
        <w:rPr>
          <w:rFonts w:ascii="Book Antiqua" w:hAnsi="Book Antiqua" w:cs="Courier New"/>
        </w:rPr>
        <w:t xml:space="preserve"> </w:t>
      </w:r>
      <w:r w:rsidR="0064201D" w:rsidRPr="0064201D">
        <w:rPr>
          <w:rFonts w:ascii="Book Antiqua" w:hAnsi="Book Antiqua"/>
          <w:color w:val="000000"/>
        </w:rPr>
        <w:t>[2017] EUECJ C-670/16</w:t>
      </w:r>
      <w:r w:rsidRPr="0064201D">
        <w:rPr>
          <w:rFonts w:ascii="Book Antiqua" w:hAnsi="Book Antiqua" w:cs="Courier New"/>
        </w:rPr>
        <w:t>there was on the facts of this case a duty on the Tribunal and the Secretary</w:t>
      </w:r>
      <w:r w:rsidRPr="0012239F">
        <w:rPr>
          <w:rFonts w:ascii="Book Antiqua" w:hAnsi="Book Antiqua" w:cs="Courier New"/>
        </w:rPr>
        <w:t xml:space="preserve"> of State to undertake a full merits review and, where necessary</w:t>
      </w:r>
      <w:r w:rsidR="003277DA">
        <w:rPr>
          <w:rFonts w:ascii="Book Antiqua" w:hAnsi="Book Antiqua" w:cs="Courier New"/>
        </w:rPr>
        <w:t>,</w:t>
      </w:r>
      <w:r w:rsidRPr="0012239F">
        <w:rPr>
          <w:rFonts w:ascii="Book Antiqua" w:hAnsi="Book Antiqua" w:cs="Courier New"/>
        </w:rPr>
        <w:t xml:space="preserve"> take into account evidence which had not been in existence at the time of decision and had not been in front of the Secretary of State.  Miss Kilroy submitted that, having had regard to the appropriate construction of the implementing Regulations particularly Article 3</w:t>
      </w:r>
      <w:r w:rsidR="004428F8">
        <w:rPr>
          <w:rFonts w:ascii="Book Antiqua" w:hAnsi="Book Antiqua" w:cs="Courier New"/>
        </w:rPr>
        <w:t>(</w:t>
      </w:r>
      <w:r w:rsidRPr="0012239F">
        <w:rPr>
          <w:rFonts w:ascii="Book Antiqua" w:hAnsi="Book Antiqua" w:cs="Courier New"/>
        </w:rPr>
        <w:t>2</w:t>
      </w:r>
      <w:r w:rsidR="004428F8">
        <w:rPr>
          <w:rFonts w:ascii="Book Antiqua" w:hAnsi="Book Antiqua" w:cs="Courier New"/>
        </w:rPr>
        <w:t>)</w:t>
      </w:r>
      <w:r w:rsidRPr="0012239F">
        <w:rPr>
          <w:rFonts w:ascii="Book Antiqua" w:hAnsi="Book Antiqua" w:cs="Courier New"/>
        </w:rPr>
        <w:t xml:space="preserve"> in the light of the Articles 21, 22 and 23 of Dublin III</w:t>
      </w:r>
      <w:r w:rsidR="002652FB">
        <w:rPr>
          <w:rFonts w:ascii="Book Antiqua" w:hAnsi="Book Antiqua" w:cs="Courier New"/>
        </w:rPr>
        <w:t>,</w:t>
      </w:r>
      <w:r w:rsidRPr="0012239F">
        <w:rPr>
          <w:rFonts w:ascii="Book Antiqua" w:hAnsi="Book Antiqua" w:cs="Courier New"/>
        </w:rPr>
        <w:t xml:space="preserve"> the Secretary of State was compelled to ask for further evidence.  She submitted further, </w:t>
      </w:r>
      <w:r w:rsidRPr="004428F8">
        <w:rPr>
          <w:rFonts w:ascii="Book Antiqua" w:hAnsi="Book Antiqua" w:cs="Courier New"/>
        </w:rPr>
        <w:t xml:space="preserve">following </w:t>
      </w:r>
      <w:r w:rsidRPr="004428F8">
        <w:rPr>
          <w:rFonts w:ascii="Book Antiqua" w:hAnsi="Book Antiqua" w:cs="Courier New"/>
          <w:u w:val="single"/>
        </w:rPr>
        <w:t>A v Croydon</w:t>
      </w:r>
      <w:r w:rsidRPr="004428F8">
        <w:rPr>
          <w:rFonts w:ascii="Book Antiqua" w:hAnsi="Book Antiqua" w:cs="Courier New"/>
        </w:rPr>
        <w:t xml:space="preserve"> at paragraphs 197 to 209 that this was in effect a precedent fact issue and thus judicial review ought to proceed on that basis.  She submitted that the decisions of the CJ</w:t>
      </w:r>
      <w:r w:rsidR="0052103D">
        <w:rPr>
          <w:rFonts w:ascii="Book Antiqua" w:hAnsi="Book Antiqua" w:cs="Courier New"/>
        </w:rPr>
        <w:t>E</w:t>
      </w:r>
      <w:r w:rsidRPr="004428F8">
        <w:rPr>
          <w:rFonts w:ascii="Book Antiqua" w:hAnsi="Book Antiqua" w:cs="Courier New"/>
        </w:rPr>
        <w:t xml:space="preserve">U in the case of </w:t>
      </w:r>
      <w:proofErr w:type="spellStart"/>
      <w:r w:rsidRPr="004428F8">
        <w:rPr>
          <w:rFonts w:ascii="Book Antiqua" w:hAnsi="Book Antiqua" w:cs="Courier New"/>
          <w:u w:val="single"/>
        </w:rPr>
        <w:t>Ghezelbash</w:t>
      </w:r>
      <w:proofErr w:type="spellEnd"/>
      <w:r w:rsidRPr="004428F8">
        <w:rPr>
          <w:rFonts w:ascii="Book Antiqua" w:hAnsi="Book Antiqua" w:cs="Courier New"/>
        </w:rPr>
        <w:t xml:space="preserve"> and </w:t>
      </w:r>
      <w:proofErr w:type="spellStart"/>
      <w:r w:rsidRPr="004428F8">
        <w:rPr>
          <w:rFonts w:ascii="Book Antiqua" w:hAnsi="Book Antiqua" w:cs="Courier New"/>
          <w:u w:val="single"/>
        </w:rPr>
        <w:t>Mengesteab</w:t>
      </w:r>
      <w:proofErr w:type="spellEnd"/>
      <w:r w:rsidRPr="0012239F">
        <w:rPr>
          <w:rFonts w:ascii="Book Antiqua" w:hAnsi="Book Antiqua" w:cs="Courier New"/>
        </w:rPr>
        <w:t xml:space="preserve"> were supportive of this submission.</w:t>
      </w:r>
    </w:p>
    <w:p w14:paraId="2802709C" w14:textId="327A9802" w:rsidR="00E35C08" w:rsidRDefault="00E35C08"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Mr Lewis submitted that</w:t>
      </w:r>
      <w:r>
        <w:rPr>
          <w:rFonts w:ascii="Book Antiqua" w:hAnsi="Book Antiqua" w:cs="Courier New"/>
        </w:rPr>
        <w:t xml:space="preserve"> a TCR made pursuant to </w:t>
      </w:r>
      <w:r w:rsidRPr="0012239F">
        <w:rPr>
          <w:rFonts w:ascii="Book Antiqua" w:hAnsi="Book Antiqua" w:cs="Courier New"/>
        </w:rPr>
        <w:t xml:space="preserve">Article 17(2) was </w:t>
      </w:r>
      <w:r>
        <w:rPr>
          <w:rFonts w:ascii="Book Antiqua" w:hAnsi="Book Antiqua" w:cs="Courier New"/>
        </w:rPr>
        <w:t xml:space="preserve">of a different character from those made under Articles 8 to 15. </w:t>
      </w:r>
      <w:r w:rsidRPr="0012239F">
        <w:rPr>
          <w:rFonts w:ascii="Book Antiqua" w:hAnsi="Book Antiqua" w:cs="Courier New"/>
        </w:rPr>
        <w:t xml:space="preserve">He submitted further that that was clear from Articles 21.1 and 21.3 as well as 22 and the nature of checks to be undertaken, as well as the </w:t>
      </w:r>
      <w:r>
        <w:rPr>
          <w:rFonts w:ascii="Book Antiqua" w:hAnsi="Book Antiqua" w:cs="Courier New"/>
        </w:rPr>
        <w:t>I</w:t>
      </w:r>
      <w:r w:rsidRPr="0012239F">
        <w:rPr>
          <w:rFonts w:ascii="Book Antiqua" w:hAnsi="Book Antiqua" w:cs="Courier New"/>
        </w:rPr>
        <w:t xml:space="preserve">mplementing Regulations particularly </w:t>
      </w:r>
      <w:r>
        <w:rPr>
          <w:rFonts w:ascii="Book Antiqua" w:hAnsi="Book Antiqua" w:cs="Courier New"/>
        </w:rPr>
        <w:t xml:space="preserve">at Article </w:t>
      </w:r>
      <w:r w:rsidRPr="0012239F">
        <w:rPr>
          <w:rFonts w:ascii="Book Antiqua" w:hAnsi="Book Antiqua" w:cs="Courier New"/>
        </w:rPr>
        <w:t xml:space="preserve">3.2 that there was an obligation for a proper request to seek consent to be made and that it was in effect for the government to set out all the details necessary to trigger an Article </w:t>
      </w:r>
      <w:r w:rsidR="002D32D8">
        <w:rPr>
          <w:rFonts w:ascii="Book Antiqua" w:hAnsi="Book Antiqua" w:cs="Courier New"/>
        </w:rPr>
        <w:t>17 (2)</w:t>
      </w:r>
      <w:r w:rsidRPr="0012239F">
        <w:rPr>
          <w:rFonts w:ascii="Book Antiqua" w:hAnsi="Book Antiqua" w:cs="Courier New"/>
        </w:rPr>
        <w:t xml:space="preserve"> request.  He submitted that there </w:t>
      </w:r>
      <w:r>
        <w:rPr>
          <w:rFonts w:ascii="Book Antiqua" w:hAnsi="Book Antiqua" w:cs="Courier New"/>
        </w:rPr>
        <w:t>wa</w:t>
      </w:r>
      <w:r w:rsidRPr="0012239F">
        <w:rPr>
          <w:rFonts w:ascii="Book Antiqua" w:hAnsi="Book Antiqua" w:cs="Courier New"/>
        </w:rPr>
        <w:t xml:space="preserve">s </w:t>
      </w:r>
      <w:proofErr w:type="gramStart"/>
      <w:r w:rsidRPr="0012239F">
        <w:rPr>
          <w:rFonts w:ascii="Book Antiqua" w:hAnsi="Book Antiqua" w:cs="Courier New"/>
        </w:rPr>
        <w:t>in reality no</w:t>
      </w:r>
      <w:proofErr w:type="gramEnd"/>
      <w:r w:rsidRPr="0012239F">
        <w:rPr>
          <w:rFonts w:ascii="Book Antiqua" w:hAnsi="Book Antiqua" w:cs="Courier New"/>
        </w:rPr>
        <w:t xml:space="preserve"> evidence submitted with the application capable of generating a humanitarian protection argument and that there was no obligation in the circumstances for the Secretary of State to undertake a</w:t>
      </w:r>
      <w:r>
        <w:rPr>
          <w:rFonts w:ascii="Book Antiqua" w:hAnsi="Book Antiqua" w:cs="Courier New"/>
        </w:rPr>
        <w:t xml:space="preserve">n </w:t>
      </w:r>
      <w:r w:rsidRPr="0012239F">
        <w:rPr>
          <w:rFonts w:ascii="Book Antiqua" w:hAnsi="Book Antiqua" w:cs="Courier New"/>
        </w:rPr>
        <w:t xml:space="preserve">examination of any Article 17(2) case which may arise if it had not been made by the requesting state.  I agree.  </w:t>
      </w:r>
    </w:p>
    <w:p w14:paraId="00A6CF51" w14:textId="4EFB6663" w:rsidR="00E35C08" w:rsidRPr="0012239F" w:rsidRDefault="00E35C08"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 xml:space="preserve">Mr Lewis submitted further that having had regard to the procedural aspect with </w:t>
      </w:r>
      <w:proofErr w:type="gramStart"/>
      <w:r w:rsidRPr="0012239F">
        <w:rPr>
          <w:rFonts w:ascii="Book Antiqua" w:hAnsi="Book Antiqua" w:cs="Courier New"/>
        </w:rPr>
        <w:t>particular regard</w:t>
      </w:r>
      <w:proofErr w:type="gramEnd"/>
      <w:r w:rsidRPr="0012239F">
        <w:rPr>
          <w:rFonts w:ascii="Book Antiqua" w:hAnsi="Book Antiqua" w:cs="Courier New"/>
        </w:rPr>
        <w:t xml:space="preserve"> to Article 5 </w:t>
      </w:r>
      <w:r>
        <w:rPr>
          <w:rFonts w:ascii="Book Antiqua" w:hAnsi="Book Antiqua" w:cs="Courier New"/>
        </w:rPr>
        <w:t xml:space="preserve">and </w:t>
      </w:r>
      <w:r w:rsidRPr="0012239F">
        <w:rPr>
          <w:rFonts w:ascii="Book Antiqua" w:hAnsi="Book Antiqua" w:cs="Courier New"/>
        </w:rPr>
        <w:t>what had to be done in respect of a negative reply and checking the evidence submitted, the implementing Regulations indicat</w:t>
      </w:r>
      <w:r w:rsidR="00BE07F6">
        <w:rPr>
          <w:rFonts w:ascii="Book Antiqua" w:hAnsi="Book Antiqua" w:cs="Courier New"/>
        </w:rPr>
        <w:t>e</w:t>
      </w:r>
      <w:r w:rsidRPr="0012239F">
        <w:rPr>
          <w:rFonts w:ascii="Book Antiqua" w:hAnsi="Book Antiqua" w:cs="Courier New"/>
        </w:rPr>
        <w:t xml:space="preserve"> the type of evidence that was required and this </w:t>
      </w:r>
      <w:r>
        <w:rPr>
          <w:rFonts w:ascii="Book Antiqua" w:hAnsi="Book Antiqua" w:cs="Courier New"/>
        </w:rPr>
        <w:t>wa</w:t>
      </w:r>
      <w:r w:rsidRPr="0012239F">
        <w:rPr>
          <w:rFonts w:ascii="Book Antiqua" w:hAnsi="Book Antiqua" w:cs="Courier New"/>
        </w:rPr>
        <w:t xml:space="preserve">s intended to be a streamlined process, the Secretary of State’s decision was correct.  Mr Lewis submitted further that this case </w:t>
      </w:r>
      <w:r w:rsidRPr="0012239F">
        <w:rPr>
          <w:rFonts w:ascii="Book Antiqua" w:hAnsi="Book Antiqua" w:cs="Courier New"/>
        </w:rPr>
        <w:lastRenderedPageBreak/>
        <w:t xml:space="preserve">could be clearly distinguished </w:t>
      </w:r>
      <w:r w:rsidRPr="002652FB">
        <w:rPr>
          <w:rFonts w:ascii="Book Antiqua" w:hAnsi="Book Antiqua" w:cs="Courier New"/>
        </w:rPr>
        <w:t xml:space="preserve">from </w:t>
      </w:r>
      <w:r w:rsidRPr="002652FB">
        <w:rPr>
          <w:rFonts w:ascii="Book Antiqua" w:hAnsi="Book Antiqua" w:cs="Courier New"/>
          <w:u w:val="single"/>
        </w:rPr>
        <w:t>MS</w:t>
      </w:r>
      <w:r w:rsidRPr="002652FB">
        <w:rPr>
          <w:rFonts w:ascii="Book Antiqua" w:hAnsi="Book Antiqua" w:cs="Courier New"/>
        </w:rPr>
        <w:t xml:space="preserve"> at</w:t>
      </w:r>
      <w:r w:rsidRPr="0012239F">
        <w:rPr>
          <w:rFonts w:ascii="Book Antiqua" w:hAnsi="Book Antiqua" w:cs="Courier New"/>
        </w:rPr>
        <w:t xml:space="preserve"> paragraphs 171 to 201, particularly 193 as this was not a hard-edged question unlike the question put there.  Article </w:t>
      </w:r>
      <w:r w:rsidR="002D32D8">
        <w:rPr>
          <w:rFonts w:ascii="Book Antiqua" w:hAnsi="Book Antiqua" w:cs="Courier New"/>
        </w:rPr>
        <w:t>17(2)</w:t>
      </w:r>
      <w:r w:rsidRPr="0012239F">
        <w:rPr>
          <w:rFonts w:ascii="Book Antiqua" w:hAnsi="Book Antiqua" w:cs="Courier New"/>
        </w:rPr>
        <w:t xml:space="preserve"> is clearly not hard-edged as it required an evaluation and balancing of factors and thus is subject to judicial review of the exercise discretion as opposed to the hard-edge question which may be susceptible to a hard-edge precedent fact analysis that (see </w:t>
      </w:r>
      <w:r w:rsidRPr="004A41C0">
        <w:rPr>
          <w:rFonts w:ascii="Book Antiqua" w:hAnsi="Book Antiqua" w:cs="Courier New"/>
          <w:u w:val="single"/>
        </w:rPr>
        <w:t>MS</w:t>
      </w:r>
      <w:r w:rsidRPr="004A41C0">
        <w:rPr>
          <w:rFonts w:ascii="Book Antiqua" w:hAnsi="Book Antiqua" w:cs="Courier New"/>
        </w:rPr>
        <w:t xml:space="preserve"> </w:t>
      </w:r>
      <w:r w:rsidRPr="0012239F">
        <w:rPr>
          <w:rFonts w:ascii="Book Antiqua" w:hAnsi="Book Antiqua" w:cs="Courier New"/>
        </w:rPr>
        <w:t>200, 208 and 209</w:t>
      </w:r>
      <w:r w:rsidR="004A41C0">
        <w:rPr>
          <w:rFonts w:ascii="Book Antiqua" w:hAnsi="Book Antiqua" w:cs="Courier New"/>
        </w:rPr>
        <w:t>)</w:t>
      </w:r>
      <w:r w:rsidRPr="0012239F">
        <w:rPr>
          <w:rFonts w:ascii="Book Antiqua" w:hAnsi="Book Antiqua" w:cs="Courier New"/>
        </w:rPr>
        <w:t>, was a proper construction.  In short, he submitted that there was in fact no duty on the Secretary of State o</w:t>
      </w:r>
      <w:r w:rsidR="004A41C0">
        <w:rPr>
          <w:rFonts w:ascii="Book Antiqua" w:hAnsi="Book Antiqua" w:cs="Courier New"/>
        </w:rPr>
        <w:t>n</w:t>
      </w:r>
      <w:r w:rsidRPr="0012239F">
        <w:rPr>
          <w:rFonts w:ascii="Book Antiqua" w:hAnsi="Book Antiqua" w:cs="Courier New"/>
        </w:rPr>
        <w:t xml:space="preserve"> the facts of this case </w:t>
      </w:r>
      <w:r w:rsidR="004A41C0">
        <w:rPr>
          <w:rFonts w:ascii="Book Antiqua" w:hAnsi="Book Antiqua" w:cs="Courier New"/>
        </w:rPr>
        <w:t>m</w:t>
      </w:r>
      <w:r w:rsidRPr="0012239F">
        <w:rPr>
          <w:rFonts w:ascii="Book Antiqua" w:hAnsi="Book Antiqua" w:cs="Courier New"/>
        </w:rPr>
        <w:t xml:space="preserve">ake a formal assessment and that the Secretary of State was </w:t>
      </w:r>
      <w:r w:rsidRPr="0005434C">
        <w:rPr>
          <w:rFonts w:ascii="Book Antiqua" w:hAnsi="Book Antiqua" w:cs="Courier New"/>
          <w:i/>
        </w:rPr>
        <w:t xml:space="preserve">functus </w:t>
      </w:r>
      <w:r w:rsidR="0005434C" w:rsidRPr="0005434C">
        <w:rPr>
          <w:rFonts w:ascii="Book Antiqua" w:hAnsi="Book Antiqua" w:cs="Courier New"/>
          <w:i/>
        </w:rPr>
        <w:t>officio</w:t>
      </w:r>
      <w:r w:rsidR="0005434C">
        <w:rPr>
          <w:rFonts w:ascii="Book Antiqua" w:hAnsi="Book Antiqua" w:cs="Courier New"/>
        </w:rPr>
        <w:t xml:space="preserve"> </w:t>
      </w:r>
      <w:r w:rsidRPr="0012239F">
        <w:rPr>
          <w:rFonts w:ascii="Book Antiqua" w:hAnsi="Book Antiqua" w:cs="Courier New"/>
        </w:rPr>
        <w:t xml:space="preserve">having made a decision on the Article 9 issue which is the only issue engaged by the Greek </w:t>
      </w:r>
      <w:r w:rsidR="0005434C">
        <w:rPr>
          <w:rFonts w:ascii="Book Antiqua" w:hAnsi="Book Antiqua" w:cs="Courier New"/>
        </w:rPr>
        <w:t>authorities</w:t>
      </w:r>
      <w:r w:rsidRPr="0012239F">
        <w:rPr>
          <w:rFonts w:ascii="Book Antiqua" w:hAnsi="Book Antiqua" w:cs="Courier New"/>
        </w:rPr>
        <w:t>.</w:t>
      </w:r>
    </w:p>
    <w:p w14:paraId="1A6C0436" w14:textId="4909CA02" w:rsidR="00E35C08" w:rsidRPr="0012239F" w:rsidRDefault="00E35C08"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 xml:space="preserve">Mr Lewis submitted that it was fanciful in the absence of any humanitarian grounds cited by the </w:t>
      </w:r>
      <w:r w:rsidR="000E2ED0">
        <w:rPr>
          <w:rFonts w:ascii="Book Antiqua" w:hAnsi="Book Antiqua" w:cs="Courier New"/>
        </w:rPr>
        <w:t xml:space="preserve">Greek authorities that </w:t>
      </w:r>
      <w:r w:rsidRPr="0012239F">
        <w:rPr>
          <w:rFonts w:ascii="Book Antiqua" w:hAnsi="Book Antiqua" w:cs="Courier New"/>
        </w:rPr>
        <w:t xml:space="preserve">the Secretary of State </w:t>
      </w:r>
      <w:r w:rsidR="00BB42D1">
        <w:rPr>
          <w:rFonts w:ascii="Book Antiqua" w:hAnsi="Book Antiqua" w:cs="Courier New"/>
        </w:rPr>
        <w:t xml:space="preserve">should </w:t>
      </w:r>
      <w:r w:rsidRPr="0012239F">
        <w:rPr>
          <w:rFonts w:ascii="Book Antiqua" w:hAnsi="Book Antiqua" w:cs="Courier New"/>
        </w:rPr>
        <w:t xml:space="preserve">somehow magic up an Article </w:t>
      </w:r>
      <w:r w:rsidR="002D32D8">
        <w:rPr>
          <w:rFonts w:ascii="Book Antiqua" w:hAnsi="Book Antiqua" w:cs="Courier New"/>
        </w:rPr>
        <w:t>17(2)</w:t>
      </w:r>
      <w:r w:rsidRPr="0012239F">
        <w:rPr>
          <w:rFonts w:ascii="Book Antiqua" w:hAnsi="Book Antiqua" w:cs="Courier New"/>
        </w:rPr>
        <w:t xml:space="preserve"> issue.  It simply could not be said that there was a</w:t>
      </w:r>
      <w:r>
        <w:rPr>
          <w:rFonts w:ascii="Book Antiqua" w:hAnsi="Book Antiqua" w:cs="Courier New"/>
        </w:rPr>
        <w:t>n Article</w:t>
      </w:r>
      <w:r w:rsidRPr="0012239F">
        <w:rPr>
          <w:rFonts w:ascii="Book Antiqua" w:hAnsi="Book Antiqua" w:cs="Courier New"/>
        </w:rPr>
        <w:t xml:space="preserve"> </w:t>
      </w:r>
      <w:r w:rsidR="002D32D8">
        <w:rPr>
          <w:rFonts w:ascii="Book Antiqua" w:hAnsi="Book Antiqua" w:cs="Courier New"/>
        </w:rPr>
        <w:t>17(2)</w:t>
      </w:r>
      <w:r w:rsidRPr="0012239F">
        <w:rPr>
          <w:rFonts w:ascii="Book Antiqua" w:hAnsi="Book Antiqua" w:cs="Courier New"/>
        </w:rPr>
        <w:t xml:space="preserve"> request here or that if there was any basis in which it could be argued that the Secretary of State’s duty is extended to, although not being the requested state (note to self and how could she actually do this given she is not the state </w:t>
      </w:r>
      <w:r>
        <w:rPr>
          <w:rFonts w:ascii="Book Antiqua" w:hAnsi="Book Antiqua" w:cs="Courier New"/>
        </w:rPr>
        <w:t xml:space="preserve">in which </w:t>
      </w:r>
      <w:r w:rsidRPr="0012239F">
        <w:rPr>
          <w:rFonts w:ascii="Book Antiqua" w:hAnsi="Book Antiqua" w:cs="Courier New"/>
        </w:rPr>
        <w:t>people are</w:t>
      </w:r>
      <w:r>
        <w:rPr>
          <w:rFonts w:ascii="Book Antiqua" w:hAnsi="Book Antiqua" w:cs="Courier New"/>
        </w:rPr>
        <w:t xml:space="preserve"> not located</w:t>
      </w:r>
      <w:r w:rsidRPr="0012239F">
        <w:rPr>
          <w:rFonts w:ascii="Book Antiqua" w:hAnsi="Book Antiqua" w:cs="Courier New"/>
        </w:rPr>
        <w:t xml:space="preserve">) to undertake a full means appraisal.  </w:t>
      </w:r>
    </w:p>
    <w:p w14:paraId="3CEA3E6C" w14:textId="77777777" w:rsidR="00E35C08" w:rsidRPr="0012239F" w:rsidRDefault="00E35C08"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t xml:space="preserve">With respect to grounds 3 and 4, Mr Lewis submitted that the Secretary of State’s decision could not be faulted on the very </w:t>
      </w:r>
      <w:r>
        <w:rPr>
          <w:rFonts w:ascii="Book Antiqua" w:hAnsi="Book Antiqua" w:cs="Courier New"/>
        </w:rPr>
        <w:t>limited</w:t>
      </w:r>
      <w:r w:rsidRPr="0012239F">
        <w:rPr>
          <w:rFonts w:ascii="Book Antiqua" w:hAnsi="Book Antiqua" w:cs="Courier New"/>
        </w:rPr>
        <w:t xml:space="preserve"> evidence </w:t>
      </w:r>
      <w:r>
        <w:rPr>
          <w:rFonts w:ascii="Book Antiqua" w:hAnsi="Book Antiqua" w:cs="Courier New"/>
        </w:rPr>
        <w:t>put before him</w:t>
      </w:r>
      <w:r w:rsidRPr="0012239F">
        <w:rPr>
          <w:rFonts w:ascii="Book Antiqua" w:hAnsi="Book Antiqua" w:cs="Courier New"/>
        </w:rPr>
        <w:t xml:space="preserve"> as to the best interests of the children. It could not be argued that the Secretary of State must undertake a wide ranging and broad enquiry on these facts as to the situation of the children</w:t>
      </w:r>
      <w:r>
        <w:rPr>
          <w:rFonts w:ascii="Book Antiqua" w:hAnsi="Book Antiqua" w:cs="Courier New"/>
        </w:rPr>
        <w:t>.</w:t>
      </w:r>
    </w:p>
    <w:p w14:paraId="01697A0F" w14:textId="1EA95C66" w:rsidR="00E35C08" w:rsidRDefault="00E35C08"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Mr Lewis submitted </w:t>
      </w:r>
      <w:r w:rsidRPr="0012239F">
        <w:rPr>
          <w:rFonts w:ascii="Book Antiqua" w:hAnsi="Book Antiqua" w:cs="Courier New"/>
        </w:rPr>
        <w:t>further that there was no general duty under Dublin III to reunite families the legal reality being different</w:t>
      </w:r>
      <w:r w:rsidR="00325515">
        <w:rPr>
          <w:rFonts w:ascii="Book Antiqua" w:hAnsi="Book Antiqua" w:cs="Courier New"/>
        </w:rPr>
        <w:t>;</w:t>
      </w:r>
      <w:r w:rsidRPr="0012239F">
        <w:rPr>
          <w:rFonts w:ascii="Book Antiqua" w:hAnsi="Book Antiqua" w:cs="Courier New"/>
        </w:rPr>
        <w:t xml:space="preserve"> it </w:t>
      </w:r>
      <w:r w:rsidR="00325515">
        <w:rPr>
          <w:rFonts w:ascii="Book Antiqua" w:hAnsi="Book Antiqua" w:cs="Courier New"/>
        </w:rPr>
        <w:t>was</w:t>
      </w:r>
      <w:r w:rsidRPr="0012239F">
        <w:rPr>
          <w:rFonts w:ascii="Book Antiqua" w:hAnsi="Book Antiqua" w:cs="Courier New"/>
        </w:rPr>
        <w:t xml:space="preserve"> simply a </w:t>
      </w:r>
      <w:r>
        <w:rPr>
          <w:rFonts w:ascii="Book Antiqua" w:hAnsi="Book Antiqua" w:cs="Courier New"/>
        </w:rPr>
        <w:t xml:space="preserve">means </w:t>
      </w:r>
      <w:r w:rsidRPr="0012239F">
        <w:rPr>
          <w:rFonts w:ascii="Book Antiqua" w:hAnsi="Book Antiqua" w:cs="Courier New"/>
        </w:rPr>
        <w:t xml:space="preserve">by which the </w:t>
      </w:r>
      <w:r>
        <w:rPr>
          <w:rFonts w:ascii="Book Antiqua" w:hAnsi="Book Antiqua" w:cs="Courier New"/>
        </w:rPr>
        <w:t xml:space="preserve">EU Member States </w:t>
      </w:r>
      <w:r w:rsidRPr="0012239F">
        <w:rPr>
          <w:rFonts w:ascii="Book Antiqua" w:hAnsi="Book Antiqua" w:cs="Courier New"/>
        </w:rPr>
        <w:t xml:space="preserve">had agreed to adopt the criteria as to who would assess asylum claims.  </w:t>
      </w:r>
      <w:r>
        <w:rPr>
          <w:rFonts w:ascii="Book Antiqua" w:hAnsi="Book Antiqua" w:cs="Courier New"/>
        </w:rPr>
        <w:t>H</w:t>
      </w:r>
      <w:r w:rsidRPr="0012239F">
        <w:rPr>
          <w:rFonts w:ascii="Book Antiqua" w:hAnsi="Book Antiqua" w:cs="Courier New"/>
        </w:rPr>
        <w:t xml:space="preserve">e submitted further that the children are not </w:t>
      </w:r>
      <w:r>
        <w:rPr>
          <w:rFonts w:ascii="Book Antiqua" w:hAnsi="Book Antiqua" w:cs="Courier New"/>
        </w:rPr>
        <w:t>un</w:t>
      </w:r>
      <w:r w:rsidRPr="0012239F">
        <w:rPr>
          <w:rFonts w:ascii="Book Antiqua" w:hAnsi="Book Antiqua" w:cs="Courier New"/>
        </w:rPr>
        <w:t xml:space="preserve">accompanied </w:t>
      </w:r>
      <w:r>
        <w:rPr>
          <w:rFonts w:ascii="Book Antiqua" w:hAnsi="Book Antiqua" w:cs="Courier New"/>
        </w:rPr>
        <w:t xml:space="preserve">and although </w:t>
      </w:r>
      <w:r w:rsidRPr="0012239F">
        <w:rPr>
          <w:rFonts w:ascii="Book Antiqua" w:hAnsi="Book Antiqua" w:cs="Courier New"/>
        </w:rPr>
        <w:t xml:space="preserve">their situation was bad, they were looked after by their mother in stable accommodation and the evidence which had not yet </w:t>
      </w:r>
      <w:r w:rsidR="00325515">
        <w:rPr>
          <w:rFonts w:ascii="Book Antiqua" w:hAnsi="Book Antiqua" w:cs="Courier New"/>
        </w:rPr>
        <w:t xml:space="preserve">been </w:t>
      </w:r>
      <w:r w:rsidRPr="0012239F">
        <w:rPr>
          <w:rFonts w:ascii="Book Antiqua" w:hAnsi="Book Antiqua" w:cs="Courier New"/>
        </w:rPr>
        <w:t>admitted indic</w:t>
      </w:r>
      <w:r>
        <w:rPr>
          <w:rFonts w:ascii="Book Antiqua" w:hAnsi="Book Antiqua" w:cs="Courier New"/>
        </w:rPr>
        <w:t>a</w:t>
      </w:r>
      <w:r w:rsidRPr="0012239F">
        <w:rPr>
          <w:rFonts w:ascii="Book Antiqua" w:hAnsi="Book Antiqua" w:cs="Courier New"/>
        </w:rPr>
        <w:t xml:space="preserve">ted their situation was better.  It could not be said that they were in any great difficulties or met the necessary high Article 8 threshold.  </w:t>
      </w:r>
    </w:p>
    <w:p w14:paraId="3DAB2F1B" w14:textId="6A406E5E" w:rsidR="00F844E5" w:rsidRPr="0012239F" w:rsidRDefault="00F844E5" w:rsidP="002C56BE">
      <w:pPr>
        <w:numPr>
          <w:ilvl w:val="0"/>
          <w:numId w:val="17"/>
        </w:numPr>
        <w:spacing w:before="240" w:after="240" w:line="360" w:lineRule="auto"/>
        <w:ind w:left="567" w:hanging="567"/>
        <w:jc w:val="both"/>
        <w:rPr>
          <w:rFonts w:ascii="Book Antiqua" w:hAnsi="Book Antiqua" w:cs="Courier New"/>
        </w:rPr>
      </w:pPr>
      <w:r w:rsidRPr="0012239F">
        <w:rPr>
          <w:rFonts w:ascii="Book Antiqua" w:hAnsi="Book Antiqua" w:cs="Courier New"/>
        </w:rPr>
        <w:lastRenderedPageBreak/>
        <w:t xml:space="preserve">In response Miss Kilroy submitted that it was necessary to have regard to how this case had developed and how the Secretary of State’s case has changed to incorporate an assertion that </w:t>
      </w:r>
      <w:r w:rsidR="002D32D8">
        <w:rPr>
          <w:rFonts w:ascii="Book Antiqua" w:hAnsi="Book Antiqua" w:cs="Courier New"/>
        </w:rPr>
        <w:t>17 (2)</w:t>
      </w:r>
      <w:r w:rsidRPr="0012239F">
        <w:rPr>
          <w:rFonts w:ascii="Book Antiqua" w:hAnsi="Book Antiqua" w:cs="Courier New"/>
        </w:rPr>
        <w:t xml:space="preserve"> had not been raised and </w:t>
      </w:r>
      <w:r>
        <w:rPr>
          <w:rFonts w:ascii="Book Antiqua" w:hAnsi="Book Antiqua" w:cs="Courier New"/>
        </w:rPr>
        <w:t>raising doubts as to the nature of the</w:t>
      </w:r>
      <w:r w:rsidRPr="0012239F">
        <w:rPr>
          <w:rFonts w:ascii="Book Antiqua" w:hAnsi="Book Antiqua" w:cs="Courier New"/>
        </w:rPr>
        <w:t xml:space="preserve"> relationships.  </w:t>
      </w:r>
    </w:p>
    <w:p w14:paraId="4D0650A5" w14:textId="3AD0A914" w:rsidR="00F844E5" w:rsidRPr="00F63223" w:rsidRDefault="00F844E5" w:rsidP="002C56BE">
      <w:pPr>
        <w:numPr>
          <w:ilvl w:val="0"/>
          <w:numId w:val="17"/>
        </w:numPr>
        <w:spacing w:before="240" w:after="240" w:line="360" w:lineRule="auto"/>
        <w:ind w:left="567" w:hanging="567"/>
        <w:jc w:val="both"/>
        <w:rPr>
          <w:rFonts w:ascii="Book Antiqua" w:hAnsi="Book Antiqua" w:cs="Courier New"/>
          <w:b/>
          <w:u w:val="single"/>
        </w:rPr>
      </w:pPr>
      <w:r w:rsidRPr="00F63223">
        <w:rPr>
          <w:rFonts w:ascii="Book Antiqua" w:hAnsi="Book Antiqua" w:cs="Courier New"/>
        </w:rPr>
        <w:t xml:space="preserve">Miss Kilroy submitted that there was a duty on the Secretary of State to consider an Article </w:t>
      </w:r>
      <w:r w:rsidR="002D32D8">
        <w:rPr>
          <w:rFonts w:ascii="Book Antiqua" w:hAnsi="Book Antiqua" w:cs="Courier New"/>
        </w:rPr>
        <w:t>17 (2)</w:t>
      </w:r>
      <w:r w:rsidRPr="00F63223">
        <w:rPr>
          <w:rFonts w:ascii="Book Antiqua" w:hAnsi="Book Antiqua" w:cs="Courier New"/>
        </w:rPr>
        <w:t xml:space="preserve"> issue and, in failing to do so, and indeed to make any comments whatsoever, this required the Tribunal to make a full finding on this issue applying the most intense level of review as indicated in </w:t>
      </w:r>
      <w:r w:rsidRPr="00103063">
        <w:rPr>
          <w:rFonts w:ascii="Book Antiqua" w:hAnsi="Book Antiqua" w:cs="Courier New"/>
          <w:u w:val="single"/>
        </w:rPr>
        <w:t>HA and Others</w:t>
      </w:r>
      <w:r w:rsidRPr="00103063">
        <w:rPr>
          <w:rFonts w:ascii="Book Antiqua" w:hAnsi="Book Antiqua" w:cs="Courier New"/>
        </w:rPr>
        <w:t>.</w:t>
      </w:r>
      <w:r w:rsidR="00F63223" w:rsidRPr="00103063">
        <w:rPr>
          <w:rFonts w:ascii="Book Antiqua" w:hAnsi="Book Antiqua" w:cs="Courier New"/>
        </w:rPr>
        <w:t xml:space="preserve"> </w:t>
      </w:r>
      <w:r w:rsidRPr="00103063">
        <w:rPr>
          <w:rFonts w:ascii="Book Antiqua" w:hAnsi="Book Antiqua" w:cs="Courier New"/>
        </w:rPr>
        <w:t>She</w:t>
      </w:r>
      <w:r w:rsidRPr="00F63223">
        <w:rPr>
          <w:rFonts w:ascii="Book Antiqua" w:hAnsi="Book Antiqua" w:cs="Courier New"/>
        </w:rPr>
        <w:t xml:space="preserve"> submitted also that in not allowing the children to be reunited with their father that there was an unjustified breach of Articles 7 and</w:t>
      </w:r>
      <w:r w:rsidR="00103063">
        <w:rPr>
          <w:rFonts w:ascii="Book Antiqua" w:hAnsi="Book Antiqua" w:cs="Courier New"/>
        </w:rPr>
        <w:t>/</w:t>
      </w:r>
      <w:r w:rsidRPr="00F63223">
        <w:rPr>
          <w:rFonts w:ascii="Book Antiqua" w:hAnsi="Book Antiqua" w:cs="Courier New"/>
        </w:rPr>
        <w:t xml:space="preserve">or 8, given a proper understanding of what the right of family life and respecting the best interests of children required. </w:t>
      </w:r>
    </w:p>
    <w:p w14:paraId="34C67CB6" w14:textId="4C8758A3" w:rsidR="00F844E5" w:rsidRPr="00F63223" w:rsidRDefault="00F844E5" w:rsidP="00F844E5">
      <w:pPr>
        <w:spacing w:before="240" w:after="240" w:line="360" w:lineRule="auto"/>
        <w:ind w:left="567"/>
        <w:jc w:val="both"/>
        <w:rPr>
          <w:rFonts w:ascii="Book Antiqua" w:hAnsi="Book Antiqua" w:cs="Courier New"/>
          <w:b/>
          <w:u w:val="single"/>
        </w:rPr>
      </w:pPr>
      <w:r w:rsidRPr="00F63223">
        <w:rPr>
          <w:rFonts w:ascii="Book Antiqua" w:hAnsi="Book Antiqua" w:cs="Courier New"/>
          <w:b/>
          <w:u w:val="single"/>
        </w:rPr>
        <w:t>Discussion</w:t>
      </w:r>
    </w:p>
    <w:p w14:paraId="5622C3EA" w14:textId="77F0F66A" w:rsidR="00B90881" w:rsidRPr="00BB3602" w:rsidRDefault="00EF129A" w:rsidP="002C56BE">
      <w:pPr>
        <w:numPr>
          <w:ilvl w:val="0"/>
          <w:numId w:val="17"/>
        </w:numPr>
        <w:spacing w:before="240" w:after="240" w:line="360" w:lineRule="auto"/>
        <w:ind w:left="567" w:hanging="567"/>
        <w:jc w:val="both"/>
        <w:rPr>
          <w:rFonts w:ascii="Book Antiqua" w:hAnsi="Book Antiqua" w:cs="Courier New"/>
        </w:rPr>
      </w:pPr>
      <w:r w:rsidRPr="00BB3602">
        <w:rPr>
          <w:rFonts w:ascii="Book Antiqua" w:hAnsi="Book Antiqua" w:cs="Courier New"/>
        </w:rPr>
        <w:t>The applicants assert that the TCR should have been considered</w:t>
      </w:r>
      <w:r w:rsidR="00F31904" w:rsidRPr="00BB3602">
        <w:rPr>
          <w:rFonts w:ascii="Book Antiqua" w:hAnsi="Book Antiqua" w:cs="Courier New"/>
        </w:rPr>
        <w:t xml:space="preserve"> as a request made under </w:t>
      </w:r>
      <w:r w:rsidR="00D56B66" w:rsidRPr="00BB3602">
        <w:rPr>
          <w:rFonts w:ascii="Book Antiqua" w:hAnsi="Book Antiqua" w:cs="Courier New"/>
        </w:rPr>
        <w:t>Article</w:t>
      </w:r>
      <w:r w:rsidR="00F31904" w:rsidRPr="00BB3602">
        <w:rPr>
          <w:rFonts w:ascii="Book Antiqua" w:hAnsi="Book Antiqua" w:cs="Courier New"/>
        </w:rPr>
        <w:t xml:space="preserve"> </w:t>
      </w:r>
      <w:r w:rsidR="002D32D8">
        <w:rPr>
          <w:rFonts w:ascii="Book Antiqua" w:hAnsi="Book Antiqua" w:cs="Courier New"/>
        </w:rPr>
        <w:t>17 (2)</w:t>
      </w:r>
      <w:r w:rsidR="00F31904" w:rsidRPr="00BB3602">
        <w:rPr>
          <w:rFonts w:ascii="Book Antiqua" w:hAnsi="Book Antiqua" w:cs="Courier New"/>
        </w:rPr>
        <w:t xml:space="preserve"> of Dublin III, </w:t>
      </w:r>
      <w:r w:rsidR="00F63223" w:rsidRPr="00BB3602">
        <w:rPr>
          <w:rFonts w:ascii="Book Antiqua" w:hAnsi="Book Antiqua" w:cs="Courier New"/>
        </w:rPr>
        <w:t xml:space="preserve">as that is required under </w:t>
      </w:r>
      <w:r w:rsidR="00D56B66" w:rsidRPr="00BB3602">
        <w:rPr>
          <w:rFonts w:ascii="Book Antiqua" w:hAnsi="Book Antiqua" w:cs="Courier New"/>
        </w:rPr>
        <w:t>Article</w:t>
      </w:r>
      <w:r w:rsidR="00E969AC" w:rsidRPr="00BB3602">
        <w:rPr>
          <w:rFonts w:ascii="Book Antiqua" w:hAnsi="Book Antiqua" w:cs="Courier New"/>
        </w:rPr>
        <w:t xml:space="preserve"> 3 (2) of the </w:t>
      </w:r>
      <w:r w:rsidR="00F63223" w:rsidRPr="00BB3602">
        <w:rPr>
          <w:rFonts w:ascii="Book Antiqua" w:hAnsi="Book Antiqua" w:cs="Courier New"/>
        </w:rPr>
        <w:t>Implementing Directive.</w:t>
      </w:r>
      <w:r w:rsidR="00BB3602" w:rsidRPr="00BB3602">
        <w:rPr>
          <w:rFonts w:ascii="Book Antiqua" w:hAnsi="Book Antiqua" w:cs="Courier New"/>
        </w:rPr>
        <w:t xml:space="preserve"> </w:t>
      </w:r>
      <w:r w:rsidR="004A4A3D" w:rsidRPr="00BB3602">
        <w:rPr>
          <w:rFonts w:ascii="Book Antiqua" w:hAnsi="Book Antiqua" w:cs="Courier New"/>
        </w:rPr>
        <w:t xml:space="preserve">I accept that provision requires the requested </w:t>
      </w:r>
      <w:r w:rsidR="0061175C">
        <w:rPr>
          <w:rFonts w:ascii="Book Antiqua" w:hAnsi="Book Antiqua" w:cs="Courier New"/>
        </w:rPr>
        <w:t>member state</w:t>
      </w:r>
      <w:r w:rsidR="004A4A3D" w:rsidRPr="00BB3602">
        <w:rPr>
          <w:rFonts w:ascii="Book Antiqua" w:hAnsi="Book Antiqua" w:cs="Courier New"/>
        </w:rPr>
        <w:t xml:space="preserve"> to consider if</w:t>
      </w:r>
      <w:r w:rsidR="00FD3063" w:rsidRPr="00BB3602">
        <w:rPr>
          <w:rFonts w:ascii="Book Antiqua" w:hAnsi="Book Antiqua" w:cs="Courier New"/>
        </w:rPr>
        <w:t xml:space="preserve">, </w:t>
      </w:r>
      <w:proofErr w:type="gramStart"/>
      <w:r w:rsidR="00FD3063" w:rsidRPr="00BB3602">
        <w:rPr>
          <w:rFonts w:ascii="Book Antiqua" w:hAnsi="Book Antiqua" w:cs="Courier New"/>
        </w:rPr>
        <w:t>on the basis of</w:t>
      </w:r>
      <w:proofErr w:type="gramEnd"/>
      <w:r w:rsidR="00FD3063" w:rsidRPr="00BB3602">
        <w:rPr>
          <w:rFonts w:ascii="Book Antiqua" w:hAnsi="Book Antiqua" w:cs="Courier New"/>
        </w:rPr>
        <w:t xml:space="preserve"> the information it has from the requesting state or as a result of its checks, </w:t>
      </w:r>
      <w:r w:rsidR="00A01CC0" w:rsidRPr="00BB3602">
        <w:rPr>
          <w:rFonts w:ascii="Book Antiqua" w:hAnsi="Book Antiqua" w:cs="Courier New"/>
        </w:rPr>
        <w:t>and applying the hierarchy of criteria</w:t>
      </w:r>
      <w:r w:rsidR="00AF30BD" w:rsidRPr="00BB3602">
        <w:rPr>
          <w:rFonts w:ascii="Book Antiqua" w:hAnsi="Book Antiqua" w:cs="Courier New"/>
        </w:rPr>
        <w:t xml:space="preserve">, it is responsible. That is what occurred here, the respondent considering whether </w:t>
      </w:r>
      <w:r w:rsidR="00D56B66" w:rsidRPr="00BB3602">
        <w:rPr>
          <w:rFonts w:ascii="Book Antiqua" w:hAnsi="Book Antiqua" w:cs="Courier New"/>
        </w:rPr>
        <w:t>Article</w:t>
      </w:r>
      <w:r w:rsidR="00AF30BD" w:rsidRPr="00BB3602">
        <w:rPr>
          <w:rFonts w:ascii="Book Antiqua" w:hAnsi="Book Antiqua" w:cs="Courier New"/>
        </w:rPr>
        <w:t xml:space="preserve"> 10 was engaged</w:t>
      </w:r>
      <w:r w:rsidR="00DE1D54" w:rsidRPr="00BB3602">
        <w:rPr>
          <w:rFonts w:ascii="Book Antiqua" w:hAnsi="Book Antiqua" w:cs="Courier New"/>
        </w:rPr>
        <w:t xml:space="preserve"> and concluding that it was not. </w:t>
      </w:r>
    </w:p>
    <w:p w14:paraId="45ED04A3" w14:textId="3ACCEED1" w:rsidR="009747E6" w:rsidRPr="00BB3602" w:rsidRDefault="00A6308D" w:rsidP="002C56BE">
      <w:pPr>
        <w:numPr>
          <w:ilvl w:val="0"/>
          <w:numId w:val="17"/>
        </w:numPr>
        <w:spacing w:before="240" w:after="240" w:line="360" w:lineRule="auto"/>
        <w:ind w:left="567" w:hanging="567"/>
        <w:jc w:val="both"/>
        <w:rPr>
          <w:rFonts w:ascii="Book Antiqua" w:hAnsi="Book Antiqua" w:cs="Courier New"/>
        </w:rPr>
      </w:pPr>
      <w:r w:rsidRPr="00BB3602">
        <w:rPr>
          <w:rFonts w:ascii="Book Antiqua" w:hAnsi="Book Antiqua" w:cs="Courier New"/>
        </w:rPr>
        <w:t>The</w:t>
      </w:r>
      <w:r w:rsidR="00967ED3" w:rsidRPr="00BB3602">
        <w:rPr>
          <w:rFonts w:ascii="Book Antiqua" w:hAnsi="Book Antiqua" w:cs="Courier New"/>
        </w:rPr>
        <w:t xml:space="preserve"> applicant</w:t>
      </w:r>
      <w:r w:rsidR="00634454" w:rsidRPr="00BB3602">
        <w:rPr>
          <w:rFonts w:ascii="Book Antiqua" w:hAnsi="Book Antiqua" w:cs="Courier New"/>
        </w:rPr>
        <w:t xml:space="preserve"> emphasises </w:t>
      </w:r>
      <w:r w:rsidR="00D56B66" w:rsidRPr="00BB3602">
        <w:rPr>
          <w:rFonts w:ascii="Book Antiqua" w:hAnsi="Book Antiqua" w:cs="Courier New"/>
        </w:rPr>
        <w:t>Article</w:t>
      </w:r>
      <w:r w:rsidR="00634454" w:rsidRPr="00BB3602">
        <w:rPr>
          <w:rFonts w:ascii="Book Antiqua" w:hAnsi="Book Antiqua" w:cs="Courier New"/>
        </w:rPr>
        <w:t xml:space="preserve"> 3</w:t>
      </w:r>
      <w:r w:rsidR="0061175C">
        <w:rPr>
          <w:rFonts w:ascii="Book Antiqua" w:hAnsi="Book Antiqua" w:cs="Courier New"/>
        </w:rPr>
        <w:t>(</w:t>
      </w:r>
      <w:r w:rsidR="00634454" w:rsidRPr="00BB3602">
        <w:rPr>
          <w:rFonts w:ascii="Book Antiqua" w:hAnsi="Book Antiqua" w:cs="Courier New"/>
        </w:rPr>
        <w:t>2</w:t>
      </w:r>
      <w:r w:rsidR="0061175C">
        <w:rPr>
          <w:rFonts w:ascii="Book Antiqua" w:hAnsi="Book Antiqua" w:cs="Courier New"/>
        </w:rPr>
        <w:t>)</w:t>
      </w:r>
      <w:r w:rsidR="00634454" w:rsidRPr="00BB3602">
        <w:rPr>
          <w:rFonts w:ascii="Book Antiqua" w:hAnsi="Book Antiqua" w:cs="Courier New"/>
        </w:rPr>
        <w:t xml:space="preserve"> but it cannot be severed from </w:t>
      </w:r>
      <w:r w:rsidR="00D56B66" w:rsidRPr="00BB3602">
        <w:rPr>
          <w:rFonts w:ascii="Book Antiqua" w:hAnsi="Book Antiqua" w:cs="Courier New"/>
        </w:rPr>
        <w:t>Article</w:t>
      </w:r>
      <w:r w:rsidR="00634454" w:rsidRPr="00BB3602">
        <w:rPr>
          <w:rFonts w:ascii="Book Antiqua" w:hAnsi="Book Antiqua" w:cs="Courier New"/>
        </w:rPr>
        <w:t xml:space="preserve"> 3</w:t>
      </w:r>
      <w:r w:rsidR="0061175C">
        <w:rPr>
          <w:rFonts w:ascii="Book Antiqua" w:hAnsi="Book Antiqua" w:cs="Courier New"/>
        </w:rPr>
        <w:t>(</w:t>
      </w:r>
      <w:r w:rsidR="00634454" w:rsidRPr="00BB3602">
        <w:rPr>
          <w:rFonts w:ascii="Book Antiqua" w:hAnsi="Book Antiqua" w:cs="Courier New"/>
        </w:rPr>
        <w:t>1</w:t>
      </w:r>
      <w:r w:rsidR="0061175C">
        <w:rPr>
          <w:rFonts w:ascii="Book Antiqua" w:hAnsi="Book Antiqua" w:cs="Courier New"/>
        </w:rPr>
        <w:t>)</w:t>
      </w:r>
      <w:r w:rsidR="00634454" w:rsidRPr="00BB3602">
        <w:rPr>
          <w:rFonts w:ascii="Book Antiqua" w:hAnsi="Book Antiqua" w:cs="Courier New"/>
        </w:rPr>
        <w:t xml:space="preserve"> which provides the context of what </w:t>
      </w:r>
      <w:r w:rsidR="00262DC3" w:rsidRPr="00BB3602">
        <w:rPr>
          <w:rFonts w:ascii="Book Antiqua" w:hAnsi="Book Antiqua" w:cs="Courier New"/>
        </w:rPr>
        <w:t xml:space="preserve">is to be considered, that is, the evidence supplied by the requesting state. </w:t>
      </w:r>
      <w:r w:rsidR="005E1CFC" w:rsidRPr="00BB3602">
        <w:rPr>
          <w:rFonts w:ascii="Book Antiqua" w:hAnsi="Book Antiqua" w:cs="Courier New"/>
        </w:rPr>
        <w:t xml:space="preserve">Nor for that matter can it be divorced from </w:t>
      </w:r>
      <w:r w:rsidR="00D56B66" w:rsidRPr="00BB3602">
        <w:rPr>
          <w:rFonts w:ascii="Book Antiqua" w:hAnsi="Book Antiqua" w:cs="Courier New"/>
        </w:rPr>
        <w:t>Article</w:t>
      </w:r>
      <w:r w:rsidR="005E1CFC" w:rsidRPr="00BB3602">
        <w:rPr>
          <w:rFonts w:ascii="Book Antiqua" w:hAnsi="Book Antiqua" w:cs="Courier New"/>
        </w:rPr>
        <w:t xml:space="preserve"> 2</w:t>
      </w:r>
      <w:r w:rsidR="00BB3602" w:rsidRPr="00BB3602">
        <w:rPr>
          <w:rFonts w:ascii="Book Antiqua" w:hAnsi="Book Antiqua" w:cs="Courier New"/>
        </w:rPr>
        <w:t xml:space="preserve"> (as amended)</w:t>
      </w:r>
      <w:r w:rsidR="00BB3602">
        <w:rPr>
          <w:rFonts w:ascii="Book Antiqua" w:hAnsi="Book Antiqua" w:cs="Courier New"/>
        </w:rPr>
        <w:t xml:space="preserve">. </w:t>
      </w:r>
      <w:r w:rsidR="00EC6DDB" w:rsidRPr="00BB3602">
        <w:rPr>
          <w:rFonts w:ascii="Book Antiqua" w:hAnsi="Book Antiqua" w:cs="Courier New"/>
        </w:rPr>
        <w:t xml:space="preserve">It is </w:t>
      </w:r>
      <w:r w:rsidR="00846535" w:rsidRPr="00BB3602">
        <w:rPr>
          <w:rFonts w:ascii="Book Antiqua" w:hAnsi="Book Antiqua" w:cs="Courier New"/>
        </w:rPr>
        <w:t>of note</w:t>
      </w:r>
      <w:r w:rsidR="00EC6DDB" w:rsidRPr="00BB3602">
        <w:rPr>
          <w:rFonts w:ascii="Book Antiqua" w:hAnsi="Book Antiqua" w:cs="Courier New"/>
        </w:rPr>
        <w:t xml:space="preserve"> that in both </w:t>
      </w:r>
      <w:r w:rsidR="00D56B66" w:rsidRPr="00BB3602">
        <w:rPr>
          <w:rFonts w:ascii="Book Antiqua" w:hAnsi="Book Antiqua" w:cs="Courier New"/>
        </w:rPr>
        <w:t>Article</w:t>
      </w:r>
      <w:r w:rsidR="00EC6DDB" w:rsidRPr="00BB3602">
        <w:rPr>
          <w:rFonts w:ascii="Book Antiqua" w:hAnsi="Book Antiqua" w:cs="Courier New"/>
        </w:rPr>
        <w:t xml:space="preserve">s </w:t>
      </w:r>
      <w:r w:rsidR="00BE4C14" w:rsidRPr="00BB3602">
        <w:rPr>
          <w:rFonts w:ascii="Book Antiqua" w:hAnsi="Book Antiqua" w:cs="Courier New"/>
        </w:rPr>
        <w:t xml:space="preserve">2 and 3, the phrase “that the requested Member Stated </w:t>
      </w:r>
      <w:r w:rsidR="00BE4C14" w:rsidRPr="00BB3602">
        <w:rPr>
          <w:rFonts w:ascii="Book Antiqua" w:hAnsi="Book Antiqua" w:cs="Courier New"/>
          <w:b/>
          <w:i/>
        </w:rPr>
        <w:t>is</w:t>
      </w:r>
      <w:r w:rsidR="00DF57B1" w:rsidRPr="00BB3602">
        <w:rPr>
          <w:rFonts w:ascii="Book Antiqua" w:hAnsi="Book Antiqua" w:cs="Courier New"/>
        </w:rPr>
        <w:t xml:space="preserve"> [emphasis added] responsible” is used</w:t>
      </w:r>
      <w:r w:rsidR="003F0BD4" w:rsidRPr="00BB3602">
        <w:rPr>
          <w:rFonts w:ascii="Book Antiqua" w:hAnsi="Book Antiqua" w:cs="Courier New"/>
        </w:rPr>
        <w:t xml:space="preserve"> given that </w:t>
      </w:r>
      <w:r w:rsidR="00D56B66" w:rsidRPr="00BB3602">
        <w:rPr>
          <w:rFonts w:ascii="Book Antiqua" w:hAnsi="Book Antiqua" w:cs="Courier New"/>
        </w:rPr>
        <w:t>Article</w:t>
      </w:r>
      <w:r w:rsidR="003F0BD4" w:rsidRPr="00BB3602">
        <w:rPr>
          <w:rFonts w:ascii="Book Antiqua" w:hAnsi="Book Antiqua" w:cs="Courier New"/>
        </w:rPr>
        <w:t xml:space="preserve"> </w:t>
      </w:r>
      <w:r w:rsidR="002D32D8">
        <w:rPr>
          <w:rFonts w:ascii="Book Antiqua" w:hAnsi="Book Antiqua" w:cs="Courier New"/>
        </w:rPr>
        <w:t>17(2)</w:t>
      </w:r>
      <w:r w:rsidR="003F0BD4" w:rsidRPr="00BB3602">
        <w:rPr>
          <w:rFonts w:ascii="Book Antiqua" w:hAnsi="Book Antiqua" w:cs="Courier New"/>
        </w:rPr>
        <w:t xml:space="preserve"> is expressed to allow the requesting state to make a request when the requested state is not responsible</w:t>
      </w:r>
      <w:r w:rsidR="00931707" w:rsidRPr="00BB3602">
        <w:rPr>
          <w:rFonts w:ascii="Book Antiqua" w:hAnsi="Book Antiqua" w:cs="Courier New"/>
        </w:rPr>
        <w:t xml:space="preserve"> under </w:t>
      </w:r>
      <w:r w:rsidR="00D56B66" w:rsidRPr="00BB3602">
        <w:rPr>
          <w:rFonts w:ascii="Book Antiqua" w:hAnsi="Book Antiqua" w:cs="Courier New"/>
        </w:rPr>
        <w:t>Article</w:t>
      </w:r>
      <w:r w:rsidR="00931707" w:rsidRPr="00BB3602">
        <w:rPr>
          <w:rFonts w:ascii="Book Antiqua" w:hAnsi="Book Antiqua" w:cs="Courier New"/>
        </w:rPr>
        <w:t>s 8 to 11 and 16</w:t>
      </w:r>
      <w:r w:rsidR="003F0BD4" w:rsidRPr="00BB3602">
        <w:rPr>
          <w:rFonts w:ascii="Book Antiqua" w:hAnsi="Book Antiqua" w:cs="Courier New"/>
        </w:rPr>
        <w:t>.</w:t>
      </w:r>
    </w:p>
    <w:p w14:paraId="45FCA0F4" w14:textId="104338BE" w:rsidR="000656EA" w:rsidRDefault="007C28CB"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Th</w:t>
      </w:r>
      <w:r w:rsidR="00397A89">
        <w:rPr>
          <w:rFonts w:ascii="Book Antiqua" w:hAnsi="Book Antiqua" w:cs="Courier New"/>
        </w:rPr>
        <w:t xml:space="preserve">ere is no real indication that the Greek authorities who had primary responsibility for evaluating the position of A1 to A4 considered </w:t>
      </w:r>
      <w:r w:rsidR="00C57404">
        <w:rPr>
          <w:rFonts w:ascii="Book Antiqua" w:hAnsi="Book Antiqua" w:cs="Courier New"/>
        </w:rPr>
        <w:t xml:space="preserve">an exercise of their discretion under </w:t>
      </w:r>
      <w:r w:rsidR="00D56B66">
        <w:rPr>
          <w:rFonts w:ascii="Book Antiqua" w:hAnsi="Book Antiqua" w:cs="Courier New"/>
        </w:rPr>
        <w:t>Article</w:t>
      </w:r>
      <w:r w:rsidR="00C57404">
        <w:rPr>
          <w:rFonts w:ascii="Book Antiqua" w:hAnsi="Book Antiqua" w:cs="Courier New"/>
        </w:rPr>
        <w:t xml:space="preserve"> </w:t>
      </w:r>
      <w:r w:rsidR="002D32D8">
        <w:rPr>
          <w:rFonts w:ascii="Book Antiqua" w:hAnsi="Book Antiqua" w:cs="Courier New"/>
        </w:rPr>
        <w:t>17(2)</w:t>
      </w:r>
      <w:r w:rsidR="00DC23DC">
        <w:rPr>
          <w:rFonts w:ascii="Book Antiqua" w:hAnsi="Book Antiqua" w:cs="Courier New"/>
        </w:rPr>
        <w:t xml:space="preserve">. While it is submitted by Miss Kilroy that the electronically generated form used permits only one </w:t>
      </w:r>
      <w:r w:rsidR="00D56B66">
        <w:rPr>
          <w:rFonts w:ascii="Book Antiqua" w:hAnsi="Book Antiqua" w:cs="Courier New"/>
        </w:rPr>
        <w:t>Article</w:t>
      </w:r>
      <w:r w:rsidR="00DC23DC">
        <w:rPr>
          <w:rFonts w:ascii="Book Antiqua" w:hAnsi="Book Antiqua" w:cs="Courier New"/>
        </w:rPr>
        <w:t xml:space="preserve"> </w:t>
      </w:r>
      <w:r w:rsidR="000656EA">
        <w:rPr>
          <w:rFonts w:ascii="Book Antiqua" w:hAnsi="Book Antiqua" w:cs="Courier New"/>
        </w:rPr>
        <w:t xml:space="preserve">of Dublin III to be identified, there is nothing </w:t>
      </w:r>
      <w:r w:rsidR="000656EA">
        <w:rPr>
          <w:rFonts w:ascii="Book Antiqua" w:hAnsi="Book Antiqua" w:cs="Courier New"/>
        </w:rPr>
        <w:lastRenderedPageBreak/>
        <w:t xml:space="preserve">beyond </w:t>
      </w:r>
      <w:r w:rsidR="00A30C87">
        <w:rPr>
          <w:rFonts w:ascii="Book Antiqua" w:hAnsi="Book Antiqua" w:cs="Courier New"/>
        </w:rPr>
        <w:t>her</w:t>
      </w:r>
      <w:r w:rsidR="000656EA">
        <w:rPr>
          <w:rFonts w:ascii="Book Antiqua" w:hAnsi="Book Antiqua" w:cs="Courier New"/>
        </w:rPr>
        <w:t xml:space="preserve"> submission to show that is so, and there is clearly in the form space for the requesting state to make additional comments. No proper reason is advanced as to why that could not include an </w:t>
      </w:r>
      <w:r w:rsidR="00D56B66">
        <w:rPr>
          <w:rFonts w:ascii="Book Antiqua" w:hAnsi="Book Antiqua" w:cs="Courier New"/>
        </w:rPr>
        <w:t>Article</w:t>
      </w:r>
      <w:r w:rsidR="000656EA">
        <w:rPr>
          <w:rFonts w:ascii="Book Antiqua" w:hAnsi="Book Antiqua" w:cs="Courier New"/>
        </w:rPr>
        <w:t xml:space="preserve"> </w:t>
      </w:r>
      <w:r w:rsidR="002D32D8">
        <w:rPr>
          <w:rFonts w:ascii="Book Antiqua" w:hAnsi="Book Antiqua" w:cs="Courier New"/>
        </w:rPr>
        <w:t>17(2)</w:t>
      </w:r>
      <w:r w:rsidR="000656EA">
        <w:rPr>
          <w:rFonts w:ascii="Book Antiqua" w:hAnsi="Book Antiqua" w:cs="Courier New"/>
        </w:rPr>
        <w:t xml:space="preserve"> request. </w:t>
      </w:r>
    </w:p>
    <w:p w14:paraId="60069827" w14:textId="72B53BA9" w:rsidR="007D3F94" w:rsidRDefault="002B333E"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I do not accept the submission that the nature of the request made here and the limited information provided </w:t>
      </w:r>
      <w:r w:rsidR="005F15F4">
        <w:rPr>
          <w:rFonts w:ascii="Book Antiqua" w:hAnsi="Book Antiqua" w:cs="Courier New"/>
        </w:rPr>
        <w:t xml:space="preserve">invoked even arguably a humanitarian or human rights claim. </w:t>
      </w:r>
      <w:r w:rsidR="00472F9A">
        <w:rPr>
          <w:rFonts w:ascii="Book Antiqua" w:hAnsi="Book Antiqua" w:cs="Courier New"/>
        </w:rPr>
        <w:t xml:space="preserve">The reference to </w:t>
      </w:r>
      <w:r w:rsidR="00F16E88">
        <w:rPr>
          <w:rFonts w:ascii="Book Antiqua" w:hAnsi="Book Antiqua" w:cs="Courier New"/>
        </w:rPr>
        <w:t>A</w:t>
      </w:r>
      <w:r w:rsidR="00472F9A">
        <w:rPr>
          <w:rFonts w:ascii="Book Antiqua" w:hAnsi="Book Antiqua" w:cs="Courier New"/>
        </w:rPr>
        <w:t xml:space="preserve">1 having kidney problems is lacking in any detail, and the submission that Greece had considered matters beyond </w:t>
      </w:r>
      <w:r w:rsidR="00D56B66">
        <w:rPr>
          <w:rFonts w:ascii="Book Antiqua" w:hAnsi="Book Antiqua" w:cs="Courier New"/>
        </w:rPr>
        <w:t>Article</w:t>
      </w:r>
      <w:r w:rsidR="00472F9A">
        <w:rPr>
          <w:rFonts w:ascii="Book Antiqua" w:hAnsi="Book Antiqua" w:cs="Courier New"/>
        </w:rPr>
        <w:t xml:space="preserve"> 9 is not borne out, not least as no medical evidence was produced. </w:t>
      </w:r>
      <w:r w:rsidR="00FA4A3C">
        <w:rPr>
          <w:rFonts w:ascii="Book Antiqua" w:hAnsi="Book Antiqua" w:cs="Courier New"/>
        </w:rPr>
        <w:t>The interpretation the applicants see</w:t>
      </w:r>
      <w:r w:rsidR="0061175C">
        <w:rPr>
          <w:rFonts w:ascii="Book Antiqua" w:hAnsi="Book Antiqua" w:cs="Courier New"/>
        </w:rPr>
        <w:t>k</w:t>
      </w:r>
      <w:r w:rsidR="00FA4A3C">
        <w:rPr>
          <w:rFonts w:ascii="Book Antiqua" w:hAnsi="Book Antiqua" w:cs="Courier New"/>
        </w:rPr>
        <w:t xml:space="preserve"> to make are</w:t>
      </w:r>
      <w:proofErr w:type="gramStart"/>
      <w:r w:rsidR="00472F9A">
        <w:rPr>
          <w:rFonts w:ascii="Book Antiqua" w:hAnsi="Book Antiqua" w:cs="Courier New"/>
        </w:rPr>
        <w:t xml:space="preserve">, in reality, </w:t>
      </w:r>
      <w:r w:rsidR="00AE26B8">
        <w:rPr>
          <w:rFonts w:ascii="Book Antiqua" w:hAnsi="Book Antiqua" w:cs="Courier New"/>
        </w:rPr>
        <w:t>contrary</w:t>
      </w:r>
      <w:proofErr w:type="gramEnd"/>
      <w:r w:rsidR="00AE26B8">
        <w:rPr>
          <w:rFonts w:ascii="Book Antiqua" w:hAnsi="Book Antiqua" w:cs="Courier New"/>
        </w:rPr>
        <w:t xml:space="preserve"> to the scheme of Dublin III which is to </w:t>
      </w:r>
      <w:r w:rsidR="00AA06E0">
        <w:rPr>
          <w:rFonts w:ascii="Book Antiqua" w:hAnsi="Book Antiqua" w:cs="Courier New"/>
        </w:rPr>
        <w:t>provide</w:t>
      </w:r>
      <w:r w:rsidR="00D538B9">
        <w:rPr>
          <w:rFonts w:ascii="Book Antiqua" w:hAnsi="Book Antiqua" w:cs="Courier New"/>
        </w:rPr>
        <w:t xml:space="preserve"> an efficient and </w:t>
      </w:r>
      <w:r w:rsidR="000C4179">
        <w:rPr>
          <w:rFonts w:ascii="Book Antiqua" w:hAnsi="Book Antiqua" w:cs="Courier New"/>
        </w:rPr>
        <w:t>rapid determination of the state responsible for</w:t>
      </w:r>
      <w:r w:rsidR="00F16E88">
        <w:rPr>
          <w:rFonts w:ascii="Book Antiqua" w:hAnsi="Book Antiqua" w:cs="Courier New"/>
        </w:rPr>
        <w:t xml:space="preserve"> assessing a protection claim. </w:t>
      </w:r>
      <w:r w:rsidR="00912D56">
        <w:rPr>
          <w:rFonts w:ascii="Book Antiqua" w:hAnsi="Book Antiqua" w:cs="Courier New"/>
        </w:rPr>
        <w:t xml:space="preserve"> Further, it cannot in that context be argued that, as the applicants seek to do, the respondent was on notice </w:t>
      </w:r>
      <w:r w:rsidR="005A49F0">
        <w:rPr>
          <w:rFonts w:ascii="Book Antiqua" w:hAnsi="Book Antiqua" w:cs="Courier New"/>
        </w:rPr>
        <w:t xml:space="preserve">such </w:t>
      </w:r>
      <w:r w:rsidR="00F04B48">
        <w:rPr>
          <w:rFonts w:ascii="Book Antiqua" w:hAnsi="Book Antiqua" w:cs="Courier New"/>
        </w:rPr>
        <w:t xml:space="preserve">that </w:t>
      </w:r>
      <w:r w:rsidR="005A49F0">
        <w:rPr>
          <w:rFonts w:ascii="Book Antiqua" w:hAnsi="Book Antiqua" w:cs="Courier New"/>
        </w:rPr>
        <w:t xml:space="preserve">he was under a duty to carry out further investigations. While there may be merit in that submission with respect to unaccompanied minors, there is no actual support for that proposition within the scheme. </w:t>
      </w:r>
      <w:r w:rsidR="00AC7E58">
        <w:rPr>
          <w:rFonts w:ascii="Book Antiqua" w:hAnsi="Book Antiqua" w:cs="Courier New"/>
        </w:rPr>
        <w:t xml:space="preserve"> There was no requirement for him to seek out the medical and other evidence now presented. </w:t>
      </w:r>
    </w:p>
    <w:p w14:paraId="70A66859" w14:textId="7362F752" w:rsidR="00C3714C" w:rsidRPr="00BB3602" w:rsidRDefault="00C3714C" w:rsidP="0094792C">
      <w:pPr>
        <w:spacing w:before="240" w:after="240" w:line="360" w:lineRule="auto"/>
        <w:ind w:left="567"/>
        <w:jc w:val="both"/>
        <w:rPr>
          <w:rFonts w:ascii="Book Antiqua" w:hAnsi="Book Antiqua" w:cs="Courier New"/>
          <w:u w:val="single"/>
        </w:rPr>
      </w:pPr>
      <w:r w:rsidRPr="00BB3602">
        <w:rPr>
          <w:rFonts w:ascii="Book Antiqua" w:hAnsi="Book Antiqua" w:cs="Courier New"/>
          <w:u w:val="single"/>
        </w:rPr>
        <w:t>Ground</w:t>
      </w:r>
      <w:r w:rsidR="007D6BE8" w:rsidRPr="00BB3602">
        <w:rPr>
          <w:rFonts w:ascii="Book Antiqua" w:hAnsi="Book Antiqua" w:cs="Courier New"/>
          <w:u w:val="single"/>
        </w:rPr>
        <w:t>s</w:t>
      </w:r>
      <w:r w:rsidRPr="00BB3602">
        <w:rPr>
          <w:rFonts w:ascii="Book Antiqua" w:hAnsi="Book Antiqua" w:cs="Courier New"/>
          <w:u w:val="single"/>
        </w:rPr>
        <w:t xml:space="preserve"> </w:t>
      </w:r>
      <w:r w:rsidR="007D6BE8" w:rsidRPr="00BB3602">
        <w:rPr>
          <w:rFonts w:ascii="Book Antiqua" w:hAnsi="Book Antiqua" w:cs="Courier New"/>
          <w:u w:val="single"/>
        </w:rPr>
        <w:t>3 and 4</w:t>
      </w:r>
      <w:r w:rsidRPr="00BB3602">
        <w:rPr>
          <w:rFonts w:ascii="Book Antiqua" w:hAnsi="Book Antiqua" w:cs="Courier New"/>
          <w:u w:val="single"/>
        </w:rPr>
        <w:t>:</w:t>
      </w:r>
    </w:p>
    <w:p w14:paraId="18E9E9A4" w14:textId="090A2057" w:rsidR="00274335" w:rsidRPr="00B96475" w:rsidRDefault="00274335"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I am not persuaded that the new evidence put forward by the applicants should be admitted.</w:t>
      </w:r>
      <w:r w:rsidR="009B44B8">
        <w:rPr>
          <w:rFonts w:ascii="Book Antiqua" w:hAnsi="Book Antiqua" w:cs="Courier New"/>
        </w:rPr>
        <w:t xml:space="preserve"> I do not accept that the admission and consideration of new evidence not before either the Greek authorities or the respondent must be taken into account, nor that </w:t>
      </w:r>
      <w:proofErr w:type="spellStart"/>
      <w:r w:rsidR="009B44B8" w:rsidRPr="00E27FF7">
        <w:rPr>
          <w:rFonts w:ascii="Book Antiqua" w:hAnsi="Book Antiqua" w:cs="Courier New"/>
          <w:u w:val="single"/>
        </w:rPr>
        <w:t>Ghezelbash</w:t>
      </w:r>
      <w:proofErr w:type="spellEnd"/>
      <w:r w:rsidR="009B44B8">
        <w:rPr>
          <w:rFonts w:ascii="Book Antiqua" w:hAnsi="Book Antiqua" w:cs="Courier New"/>
        </w:rPr>
        <w:t xml:space="preserve"> </w:t>
      </w:r>
      <w:r w:rsidR="00E27FF7">
        <w:rPr>
          <w:rFonts w:ascii="Book Antiqua" w:hAnsi="Book Antiqua" w:cs="Courier New"/>
        </w:rPr>
        <w:t xml:space="preserve">requires that. </w:t>
      </w:r>
      <w:r w:rsidR="007E0DF6">
        <w:rPr>
          <w:rFonts w:ascii="Book Antiqua" w:hAnsi="Book Antiqua" w:cs="Courier New"/>
        </w:rPr>
        <w:t xml:space="preserve"> As was held in </w:t>
      </w:r>
      <w:r w:rsidR="00012B39" w:rsidRPr="00012B39">
        <w:rPr>
          <w:rFonts w:ascii="Book Antiqua" w:hAnsi="Book Antiqua"/>
          <w:color w:val="000000"/>
          <w:u w:val="single"/>
        </w:rPr>
        <w:t xml:space="preserve">R (on the application of RM) v Secretary of State for the Home Department (Dublin; </w:t>
      </w:r>
      <w:r w:rsidR="00D56B66">
        <w:rPr>
          <w:rFonts w:ascii="Book Antiqua" w:hAnsi="Book Antiqua"/>
          <w:color w:val="000000"/>
          <w:u w:val="single"/>
        </w:rPr>
        <w:t>Article</w:t>
      </w:r>
      <w:r w:rsidR="00012B39" w:rsidRPr="00012B39">
        <w:rPr>
          <w:rFonts w:ascii="Book Antiqua" w:hAnsi="Book Antiqua"/>
          <w:color w:val="000000"/>
          <w:u w:val="single"/>
        </w:rPr>
        <w:t xml:space="preserve"> 27(1); procedure)</w:t>
      </w:r>
      <w:r w:rsidR="00012B39">
        <w:rPr>
          <w:rFonts w:ascii="Book Antiqua" w:hAnsi="Book Antiqua"/>
          <w:color w:val="000000"/>
        </w:rPr>
        <w:t xml:space="preserve"> [2017] UKUT 00260 (IAC)</w:t>
      </w:r>
      <w:r w:rsidR="00697AF1">
        <w:rPr>
          <w:rFonts w:ascii="Book Antiqua" w:hAnsi="Book Antiqua"/>
          <w:color w:val="000000"/>
        </w:rPr>
        <w:t xml:space="preserve"> </w:t>
      </w:r>
      <w:r w:rsidR="008861C9">
        <w:rPr>
          <w:rFonts w:ascii="Book Antiqua" w:hAnsi="Book Antiqua" w:cs="Courier New"/>
        </w:rPr>
        <w:t>at [52] and [53]</w:t>
      </w:r>
    </w:p>
    <w:p w14:paraId="6E0DB82F" w14:textId="3652FF97" w:rsidR="005968CE" w:rsidRPr="005968CE" w:rsidRDefault="005968CE" w:rsidP="005968CE">
      <w:pPr>
        <w:pStyle w:val="p"/>
        <w:ind w:left="930"/>
        <w:jc w:val="both"/>
        <w:rPr>
          <w:rFonts w:ascii="Book Antiqua" w:hAnsi="Book Antiqua"/>
          <w:sz w:val="22"/>
          <w:szCs w:val="22"/>
        </w:rPr>
      </w:pPr>
      <w:r w:rsidRPr="005968CE">
        <w:rPr>
          <w:rFonts w:ascii="Book Antiqua" w:hAnsi="Book Antiqua"/>
          <w:sz w:val="22"/>
          <w:szCs w:val="22"/>
        </w:rPr>
        <w:t xml:space="preserve">(52) . For all the reasons given above, and having considered </w:t>
      </w:r>
      <w:r w:rsidR="00D56B66">
        <w:rPr>
          <w:rFonts w:ascii="Book Antiqua" w:hAnsi="Book Antiqua"/>
          <w:sz w:val="22"/>
          <w:szCs w:val="22"/>
        </w:rPr>
        <w:t>Article</w:t>
      </w:r>
      <w:r w:rsidRPr="005968CE">
        <w:rPr>
          <w:rFonts w:ascii="Book Antiqua" w:hAnsi="Book Antiqua"/>
          <w:sz w:val="22"/>
          <w:szCs w:val="22"/>
        </w:rPr>
        <w:t xml:space="preserve"> 27(1) of Dublin III in the context of the wording of the Regulation as a whole, its general scheme, its objectives and its context, I conclude, as Advocate General </w:t>
      </w:r>
      <w:proofErr w:type="spellStart"/>
      <w:r w:rsidRPr="005968CE">
        <w:rPr>
          <w:rFonts w:ascii="Book Antiqua" w:hAnsi="Book Antiqua"/>
          <w:sz w:val="22"/>
          <w:szCs w:val="22"/>
        </w:rPr>
        <w:t>Sharpston</w:t>
      </w:r>
      <w:proofErr w:type="spellEnd"/>
      <w:r w:rsidRPr="005968CE">
        <w:rPr>
          <w:rFonts w:ascii="Book Antiqua" w:hAnsi="Book Antiqua"/>
          <w:sz w:val="22"/>
          <w:szCs w:val="22"/>
        </w:rPr>
        <w:t xml:space="preserve"> did in </w:t>
      </w:r>
      <w:r w:rsidRPr="005968CE">
        <w:rPr>
          <w:rFonts w:ascii="Book Antiqua" w:hAnsi="Book Antiqua"/>
          <w:sz w:val="22"/>
          <w:szCs w:val="22"/>
          <w:u w:val="single"/>
        </w:rPr>
        <w:t>Karim</w:t>
      </w:r>
      <w:r w:rsidRPr="005968CE">
        <w:rPr>
          <w:rFonts w:ascii="Book Antiqua" w:hAnsi="Book Antiqua"/>
          <w:sz w:val="22"/>
          <w:szCs w:val="22"/>
        </w:rPr>
        <w:t xml:space="preserve"> (at [AG44]) that the, </w:t>
      </w:r>
      <w:r w:rsidRPr="005968CE">
        <w:rPr>
          <w:rFonts w:ascii="Book Antiqua" w:hAnsi="Book Antiqua"/>
          <w:i/>
          <w:iCs/>
          <w:sz w:val="22"/>
          <w:szCs w:val="22"/>
        </w:rPr>
        <w:t>“intensity of any appeal or review process is not laid down in the [Dublin III] regulation and must therefore be a matter for national procedural rules...”</w:t>
      </w:r>
      <w:r w:rsidRPr="005968CE">
        <w:rPr>
          <w:rFonts w:ascii="Book Antiqua" w:hAnsi="Book Antiqua"/>
          <w:sz w:val="22"/>
          <w:szCs w:val="22"/>
        </w:rPr>
        <w:t xml:space="preserve">. </w:t>
      </w:r>
    </w:p>
    <w:p w14:paraId="1F5FE4A1" w14:textId="5B0A4B0E" w:rsidR="005968CE" w:rsidRPr="005968CE" w:rsidRDefault="005968CE" w:rsidP="005968CE">
      <w:pPr>
        <w:pStyle w:val="p"/>
        <w:ind w:left="930"/>
        <w:jc w:val="both"/>
        <w:rPr>
          <w:rFonts w:ascii="Book Antiqua" w:hAnsi="Book Antiqua"/>
          <w:sz w:val="22"/>
          <w:szCs w:val="22"/>
        </w:rPr>
      </w:pPr>
      <w:r w:rsidRPr="005968CE">
        <w:rPr>
          <w:rFonts w:ascii="Book Antiqua" w:hAnsi="Book Antiqua"/>
          <w:sz w:val="22"/>
          <w:szCs w:val="22"/>
        </w:rPr>
        <w:t xml:space="preserve">(53)      I am satisfied that adherence of the Tribunal to traditional principles of judicial review does not, either in this case or more generally in challenges brought to decisions made in relation to the second sub-paragraph of </w:t>
      </w:r>
      <w:r w:rsidR="00D56B66">
        <w:rPr>
          <w:rFonts w:ascii="Book Antiqua" w:hAnsi="Book Antiqua"/>
          <w:sz w:val="22"/>
          <w:szCs w:val="22"/>
        </w:rPr>
        <w:t>Article</w:t>
      </w:r>
      <w:r w:rsidRPr="005968CE">
        <w:rPr>
          <w:rFonts w:ascii="Book Antiqua" w:hAnsi="Book Antiqua"/>
          <w:sz w:val="22"/>
          <w:szCs w:val="22"/>
        </w:rPr>
        <w:t xml:space="preserve"> 19(2), result in a breach of either </w:t>
      </w:r>
      <w:r w:rsidR="00D56B66">
        <w:rPr>
          <w:rFonts w:ascii="Book Antiqua" w:hAnsi="Book Antiqua"/>
          <w:sz w:val="22"/>
          <w:szCs w:val="22"/>
        </w:rPr>
        <w:t>Article</w:t>
      </w:r>
      <w:r w:rsidRPr="005968CE">
        <w:rPr>
          <w:rFonts w:ascii="Book Antiqua" w:hAnsi="Book Antiqua"/>
          <w:sz w:val="22"/>
          <w:szCs w:val="22"/>
        </w:rPr>
        <w:t xml:space="preserve"> 27 of Dublin III or </w:t>
      </w:r>
      <w:r w:rsidR="00D56B66">
        <w:rPr>
          <w:rFonts w:ascii="Book Antiqua" w:hAnsi="Book Antiqua"/>
          <w:sz w:val="22"/>
          <w:szCs w:val="22"/>
        </w:rPr>
        <w:t>Article</w:t>
      </w:r>
      <w:r w:rsidRPr="005968CE">
        <w:rPr>
          <w:rFonts w:ascii="Book Antiqua" w:hAnsi="Book Antiqua"/>
          <w:sz w:val="22"/>
          <w:szCs w:val="22"/>
        </w:rPr>
        <w:t xml:space="preserve"> 47 of the Charter.</w:t>
      </w:r>
    </w:p>
    <w:p w14:paraId="6EDFC087" w14:textId="0A7B767D" w:rsidR="00274335" w:rsidRDefault="00960CE3"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lastRenderedPageBreak/>
        <w:t>In short,</w:t>
      </w:r>
      <w:r w:rsidR="00CE2688">
        <w:rPr>
          <w:rFonts w:ascii="Book Antiqua" w:hAnsi="Book Antiqua" w:cs="Courier New"/>
        </w:rPr>
        <w:t xml:space="preserve"> </w:t>
      </w:r>
      <w:proofErr w:type="gramStart"/>
      <w:r w:rsidR="00CE2688">
        <w:rPr>
          <w:rFonts w:ascii="Book Antiqua" w:hAnsi="Book Antiqua" w:cs="Courier New"/>
        </w:rPr>
        <w:t>whether or not</w:t>
      </w:r>
      <w:proofErr w:type="gramEnd"/>
      <w:r w:rsidR="00CE2688">
        <w:rPr>
          <w:rFonts w:ascii="Book Antiqua" w:hAnsi="Book Antiqua" w:cs="Courier New"/>
        </w:rPr>
        <w:t xml:space="preserve"> new evidence should be admitted is </w:t>
      </w:r>
      <w:r w:rsidR="00697AF1">
        <w:rPr>
          <w:rFonts w:ascii="Book Antiqua" w:hAnsi="Book Antiqua" w:cs="Courier New"/>
        </w:rPr>
        <w:t xml:space="preserve">a matter for domestic procedural law. </w:t>
      </w:r>
      <w:r w:rsidR="008E6A55">
        <w:rPr>
          <w:rFonts w:ascii="Book Antiqua" w:hAnsi="Book Antiqua" w:cs="Courier New"/>
        </w:rPr>
        <w:t xml:space="preserve">It is, </w:t>
      </w:r>
      <w:r w:rsidR="00F04B48">
        <w:rPr>
          <w:rFonts w:ascii="Book Antiqua" w:hAnsi="Book Antiqua" w:cs="Courier New"/>
        </w:rPr>
        <w:t xml:space="preserve">I </w:t>
      </w:r>
      <w:r w:rsidR="008E6A55">
        <w:rPr>
          <w:rFonts w:ascii="Book Antiqua" w:hAnsi="Book Antiqua" w:cs="Courier New"/>
        </w:rPr>
        <w:t>accept, permissible to adduce in some circumstances evidence to show that a mistake of fact arose, or in certain precedent fact cases, but that is not applicable here. What the applicants are seeking to do is to transform a challenge brought by judicial review into a full merits appeal</w:t>
      </w:r>
      <w:r w:rsidR="00E70CD3">
        <w:rPr>
          <w:rFonts w:ascii="Book Antiqua" w:hAnsi="Book Antiqua" w:cs="Courier New"/>
        </w:rPr>
        <w:t xml:space="preserve"> assessed as at the date of hearing. That is not arguable and in the circumstances, I reject the application to adduce further material. </w:t>
      </w:r>
      <w:r w:rsidR="00697AF1">
        <w:rPr>
          <w:rFonts w:ascii="Book Antiqua" w:hAnsi="Book Antiqua" w:cs="Courier New"/>
        </w:rPr>
        <w:t xml:space="preserve"> </w:t>
      </w:r>
    </w:p>
    <w:p w14:paraId="53817B91" w14:textId="33038B7E" w:rsidR="00C3714C" w:rsidRDefault="00C3714C"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Contrary to what is submitted by the applicants, it cannot be argued that he Greek authorities have determined that it is in the </w:t>
      </w:r>
      <w:r w:rsidR="00582BDD">
        <w:rPr>
          <w:rFonts w:ascii="Book Antiqua" w:hAnsi="Book Antiqua" w:cs="Courier New"/>
        </w:rPr>
        <w:t xml:space="preserve">children’s best interests to be transferred to the United Kingdom. There is </w:t>
      </w:r>
      <w:r w:rsidR="00AA1EF1">
        <w:rPr>
          <w:rFonts w:ascii="Book Antiqua" w:hAnsi="Book Antiqua" w:cs="Courier New"/>
        </w:rPr>
        <w:t xml:space="preserve">insufficient </w:t>
      </w:r>
      <w:r w:rsidR="00582BDD">
        <w:rPr>
          <w:rFonts w:ascii="Book Antiqua" w:hAnsi="Book Antiqua" w:cs="Courier New"/>
        </w:rPr>
        <w:t xml:space="preserve">evidence that they </w:t>
      </w:r>
      <w:r w:rsidR="00AA1EF1">
        <w:rPr>
          <w:rFonts w:ascii="Book Antiqua" w:hAnsi="Book Antiqua" w:cs="Courier New"/>
        </w:rPr>
        <w:t xml:space="preserve">made such an analysis over and above a conclusion that </w:t>
      </w:r>
      <w:r w:rsidR="00D56B66">
        <w:rPr>
          <w:rFonts w:ascii="Book Antiqua" w:hAnsi="Book Antiqua" w:cs="Courier New"/>
        </w:rPr>
        <w:t>Article</w:t>
      </w:r>
      <w:r w:rsidR="00AA1EF1">
        <w:rPr>
          <w:rFonts w:ascii="Book Antiqua" w:hAnsi="Book Antiqua" w:cs="Courier New"/>
        </w:rPr>
        <w:t xml:space="preserve"> 9 was engaged and that the mother consented to the transfer. </w:t>
      </w:r>
      <w:r w:rsidR="0084545F">
        <w:rPr>
          <w:rFonts w:ascii="Book Antiqua" w:hAnsi="Book Antiqua" w:cs="Courier New"/>
        </w:rPr>
        <w:t xml:space="preserve"> Fu</w:t>
      </w:r>
      <w:r w:rsidR="008A1E7E">
        <w:rPr>
          <w:rFonts w:ascii="Book Antiqua" w:hAnsi="Book Antiqua" w:cs="Courier New"/>
        </w:rPr>
        <w:t>r</w:t>
      </w:r>
      <w:r w:rsidR="0084545F">
        <w:rPr>
          <w:rFonts w:ascii="Book Antiqua" w:hAnsi="Book Antiqua" w:cs="Courier New"/>
        </w:rPr>
        <w:t xml:space="preserve">ther, and in any event, there was little or no evidence upon which the respondent could have </w:t>
      </w:r>
      <w:proofErr w:type="gramStart"/>
      <w:r w:rsidR="0084545F">
        <w:rPr>
          <w:rFonts w:ascii="Book Antiqua" w:hAnsi="Book Antiqua" w:cs="Courier New"/>
        </w:rPr>
        <w:t>made a determination</w:t>
      </w:r>
      <w:proofErr w:type="gramEnd"/>
      <w:r w:rsidR="0084545F">
        <w:rPr>
          <w:rFonts w:ascii="Book Antiqua" w:hAnsi="Book Antiqua" w:cs="Courier New"/>
        </w:rPr>
        <w:t xml:space="preserve"> of the children’s best interests</w:t>
      </w:r>
      <w:r w:rsidR="00262700">
        <w:rPr>
          <w:rFonts w:ascii="Book Antiqua" w:hAnsi="Book Antiqua" w:cs="Courier New"/>
        </w:rPr>
        <w:t xml:space="preserve">, nor was there sufficient evidence for them to determine whether the children are British Citizens.  That is a process entirely separate from and </w:t>
      </w:r>
      <w:proofErr w:type="spellStart"/>
      <w:r w:rsidR="00262700">
        <w:rPr>
          <w:rFonts w:ascii="Book Antiqua" w:hAnsi="Book Antiqua" w:cs="Courier New"/>
        </w:rPr>
        <w:t>outwith</w:t>
      </w:r>
      <w:proofErr w:type="spellEnd"/>
      <w:r w:rsidR="00262700">
        <w:rPr>
          <w:rFonts w:ascii="Book Antiqua" w:hAnsi="Book Antiqua" w:cs="Courier New"/>
        </w:rPr>
        <w:t xml:space="preserve"> a Dublin III consideration. It was and still is open to the applicants to apply for British passports for the children. </w:t>
      </w:r>
    </w:p>
    <w:p w14:paraId="068C660A" w14:textId="229F3FEB" w:rsidR="0084545F" w:rsidRDefault="00A05251"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Essentially, the submissions </w:t>
      </w:r>
      <w:r w:rsidR="00EB1C5D">
        <w:rPr>
          <w:rFonts w:ascii="Book Antiqua" w:hAnsi="Book Antiqua" w:cs="Courier New"/>
        </w:rPr>
        <w:t>set out in grounds 2 to 4</w:t>
      </w:r>
      <w:r>
        <w:rPr>
          <w:rFonts w:ascii="Book Antiqua" w:hAnsi="Book Antiqua" w:cs="Courier New"/>
        </w:rPr>
        <w:t xml:space="preserve"> seek to impose as part of the Dublin III process </w:t>
      </w:r>
      <w:r w:rsidR="0042490C">
        <w:rPr>
          <w:rFonts w:ascii="Book Antiqua" w:hAnsi="Book Antiqua" w:cs="Courier New"/>
        </w:rPr>
        <w:t>a duty on the respondent to make investigations in respect of children not within the jurisdiction of the United Kingdom</w:t>
      </w:r>
      <w:r w:rsidR="00A14599">
        <w:rPr>
          <w:rFonts w:ascii="Book Antiqua" w:hAnsi="Book Antiqua" w:cs="Courier New"/>
        </w:rPr>
        <w:t xml:space="preserve"> as to their best interests, and to seek out evidence which may show that the United Kingdom is </w:t>
      </w:r>
      <w:r w:rsidR="006F2EEE">
        <w:rPr>
          <w:rFonts w:ascii="Book Antiqua" w:hAnsi="Book Antiqua" w:cs="Courier New"/>
        </w:rPr>
        <w:t xml:space="preserve">responsible for them and should allow them to come here. </w:t>
      </w:r>
      <w:r w:rsidR="00732370">
        <w:rPr>
          <w:rFonts w:ascii="Book Antiqua" w:hAnsi="Book Antiqua" w:cs="Courier New"/>
        </w:rPr>
        <w:t xml:space="preserve">While it is correct that </w:t>
      </w:r>
      <w:r w:rsidR="0094792C">
        <w:rPr>
          <w:rFonts w:ascii="Book Antiqua" w:hAnsi="Book Antiqua" w:cs="Courier New"/>
        </w:rPr>
        <w:t xml:space="preserve">Dublin III and indeed EU and domestic law </w:t>
      </w:r>
      <w:r w:rsidR="00F31284">
        <w:rPr>
          <w:rFonts w:ascii="Book Antiqua" w:hAnsi="Book Antiqua" w:cs="Courier New"/>
        </w:rPr>
        <w:t xml:space="preserve">emphasises the best interests of children, that is not sufficient on the material put before the respondent to engage any duty to conduct </w:t>
      </w:r>
      <w:r w:rsidR="00E460F8">
        <w:rPr>
          <w:rFonts w:ascii="Book Antiqua" w:hAnsi="Book Antiqua" w:cs="Courier New"/>
        </w:rPr>
        <w:t xml:space="preserve">an investigation to determine if they should be admitted if </w:t>
      </w:r>
      <w:r w:rsidR="00D56B66">
        <w:rPr>
          <w:rFonts w:ascii="Book Antiqua" w:hAnsi="Book Antiqua" w:cs="Courier New"/>
        </w:rPr>
        <w:t>Article</w:t>
      </w:r>
      <w:r w:rsidR="00E460F8">
        <w:rPr>
          <w:rFonts w:ascii="Book Antiqua" w:hAnsi="Book Antiqua" w:cs="Courier New"/>
        </w:rPr>
        <w:t xml:space="preserve"> 9 was not made out and the Greek authorities had made no express request under </w:t>
      </w:r>
      <w:r w:rsidR="00D56B66">
        <w:rPr>
          <w:rFonts w:ascii="Book Antiqua" w:hAnsi="Book Antiqua" w:cs="Courier New"/>
        </w:rPr>
        <w:t>Article</w:t>
      </w:r>
      <w:r w:rsidR="00E460F8">
        <w:rPr>
          <w:rFonts w:ascii="Book Antiqua" w:hAnsi="Book Antiqua" w:cs="Courier New"/>
        </w:rPr>
        <w:t xml:space="preserve"> 17</w:t>
      </w:r>
      <w:r w:rsidR="00F04B48">
        <w:rPr>
          <w:rFonts w:ascii="Book Antiqua" w:hAnsi="Book Antiqua" w:cs="Courier New"/>
        </w:rPr>
        <w:t>(</w:t>
      </w:r>
      <w:r w:rsidR="0000749B">
        <w:rPr>
          <w:rFonts w:ascii="Book Antiqua" w:hAnsi="Book Antiqua" w:cs="Courier New"/>
        </w:rPr>
        <w:t>2</w:t>
      </w:r>
      <w:r w:rsidR="00F04B48">
        <w:rPr>
          <w:rFonts w:ascii="Book Antiqua" w:hAnsi="Book Antiqua" w:cs="Courier New"/>
        </w:rPr>
        <w:t>)</w:t>
      </w:r>
      <w:r w:rsidR="00E460F8">
        <w:rPr>
          <w:rFonts w:ascii="Book Antiqua" w:hAnsi="Book Antiqua" w:cs="Courier New"/>
        </w:rPr>
        <w:t xml:space="preserve">. </w:t>
      </w:r>
      <w:r w:rsidR="00DC40D1">
        <w:rPr>
          <w:rFonts w:ascii="Book Antiqua" w:hAnsi="Book Antiqua" w:cs="Courier New"/>
        </w:rPr>
        <w:t xml:space="preserve"> </w:t>
      </w:r>
    </w:p>
    <w:p w14:paraId="48CBE1D1" w14:textId="5263ED2B" w:rsidR="00290E70" w:rsidRDefault="00290E70"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For these reasons, I conclude that </w:t>
      </w:r>
      <w:proofErr w:type="gramStart"/>
      <w:r>
        <w:rPr>
          <w:rFonts w:ascii="Book Antiqua" w:hAnsi="Book Antiqua" w:cs="Courier New"/>
        </w:rPr>
        <w:t>on the basis of</w:t>
      </w:r>
      <w:proofErr w:type="gramEnd"/>
      <w:r>
        <w:rPr>
          <w:rFonts w:ascii="Book Antiqua" w:hAnsi="Book Antiqua" w:cs="Courier New"/>
        </w:rPr>
        <w:t xml:space="preserve"> the very limited evidence put before the respondent, he did not </w:t>
      </w:r>
      <w:r w:rsidR="000438ED">
        <w:rPr>
          <w:rFonts w:ascii="Book Antiqua" w:hAnsi="Book Antiqua" w:cs="Courier New"/>
        </w:rPr>
        <w:t xml:space="preserve">err in failing to consider whether an </w:t>
      </w:r>
      <w:r w:rsidR="00D56B66">
        <w:rPr>
          <w:rFonts w:ascii="Book Antiqua" w:hAnsi="Book Antiqua" w:cs="Courier New"/>
        </w:rPr>
        <w:t>Article</w:t>
      </w:r>
      <w:r w:rsidR="000438ED">
        <w:rPr>
          <w:rFonts w:ascii="Book Antiqua" w:hAnsi="Book Antiqua" w:cs="Courier New"/>
        </w:rPr>
        <w:t xml:space="preserve"> </w:t>
      </w:r>
      <w:r w:rsidR="002D32D8">
        <w:rPr>
          <w:rFonts w:ascii="Book Antiqua" w:hAnsi="Book Antiqua" w:cs="Courier New"/>
        </w:rPr>
        <w:t>17(2)</w:t>
      </w:r>
      <w:r w:rsidR="000438ED">
        <w:rPr>
          <w:rFonts w:ascii="Book Antiqua" w:hAnsi="Book Antiqua" w:cs="Courier New"/>
        </w:rPr>
        <w:t xml:space="preserve"> request had been made, or in failing to have proper regard to the childr</w:t>
      </w:r>
      <w:r w:rsidR="00EB1C5D">
        <w:rPr>
          <w:rFonts w:ascii="Book Antiqua" w:hAnsi="Book Antiqua" w:cs="Courier New"/>
        </w:rPr>
        <w:t>e</w:t>
      </w:r>
      <w:r w:rsidR="000438ED">
        <w:rPr>
          <w:rFonts w:ascii="Book Antiqua" w:hAnsi="Book Antiqua" w:cs="Courier New"/>
        </w:rPr>
        <w:t xml:space="preserve">n’s best interests; or, </w:t>
      </w:r>
      <w:r w:rsidR="00F03F2B">
        <w:rPr>
          <w:rFonts w:ascii="Book Antiqua" w:hAnsi="Book Antiqua" w:cs="Courier New"/>
        </w:rPr>
        <w:t xml:space="preserve">the right to family life. </w:t>
      </w:r>
    </w:p>
    <w:p w14:paraId="54A9AF92" w14:textId="7ABB80E5" w:rsidR="00F03F2B" w:rsidRPr="002521BA" w:rsidRDefault="00F03F2B" w:rsidP="002521BA">
      <w:pPr>
        <w:spacing w:before="240" w:after="240" w:line="360" w:lineRule="auto"/>
        <w:ind w:left="567"/>
        <w:jc w:val="both"/>
        <w:rPr>
          <w:rFonts w:ascii="Book Antiqua" w:hAnsi="Book Antiqua" w:cs="Courier New"/>
          <w:u w:val="single"/>
        </w:rPr>
      </w:pPr>
      <w:r w:rsidRPr="002521BA">
        <w:rPr>
          <w:rFonts w:ascii="Book Antiqua" w:hAnsi="Book Antiqua" w:cs="Courier New"/>
          <w:u w:val="single"/>
        </w:rPr>
        <w:lastRenderedPageBreak/>
        <w:t>Conclusions</w:t>
      </w:r>
    </w:p>
    <w:p w14:paraId="064CD751" w14:textId="7262AD8E" w:rsidR="00F03F2B" w:rsidRDefault="00F03F2B"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While I find for the applicants in respect of Ground 1, I find that grounds 2 to 4 are not made out. </w:t>
      </w:r>
    </w:p>
    <w:p w14:paraId="4EA91B3E" w14:textId="61706A80" w:rsidR="00F03F2B" w:rsidRDefault="00F03F2B"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I quash the decision </w:t>
      </w:r>
      <w:r w:rsidR="002521BA">
        <w:rPr>
          <w:rFonts w:ascii="Book Antiqua" w:hAnsi="Book Antiqua" w:cs="Courier New"/>
        </w:rPr>
        <w:t xml:space="preserve">under challenge. </w:t>
      </w:r>
    </w:p>
    <w:p w14:paraId="30B28FE3" w14:textId="637EA753" w:rsidR="00EB1C5D" w:rsidRDefault="00EB1C5D" w:rsidP="002C56BE">
      <w:pPr>
        <w:numPr>
          <w:ilvl w:val="0"/>
          <w:numId w:val="17"/>
        </w:numPr>
        <w:spacing w:before="240" w:after="240" w:line="360" w:lineRule="auto"/>
        <w:ind w:left="567" w:hanging="567"/>
        <w:jc w:val="both"/>
        <w:rPr>
          <w:rFonts w:ascii="Book Antiqua" w:hAnsi="Book Antiqua" w:cs="Courier New"/>
        </w:rPr>
      </w:pPr>
      <w:r>
        <w:rPr>
          <w:rFonts w:ascii="Book Antiqua" w:hAnsi="Book Antiqua" w:cs="Courier New"/>
        </w:rPr>
        <w:t xml:space="preserve">I am satisfied that it is appropriate to make an anonymity order, given the circumstances of the child applicants and </w:t>
      </w:r>
      <w:r w:rsidR="00EC37C0">
        <w:rPr>
          <w:rFonts w:ascii="Book Antiqua" w:hAnsi="Book Antiqua" w:cs="Courier New"/>
        </w:rPr>
        <w:t>as applicants 1 to 4 are claiming asylum.</w:t>
      </w:r>
    </w:p>
    <w:p w14:paraId="7DF7DD78" w14:textId="414CAF1E" w:rsidR="009F6978" w:rsidRDefault="009F6978" w:rsidP="000D1AF7">
      <w:pPr>
        <w:spacing w:before="240" w:after="240" w:line="360" w:lineRule="auto"/>
        <w:jc w:val="both"/>
        <w:rPr>
          <w:rFonts w:ascii="Book Antiqua" w:hAnsi="Book Antiqua" w:cs="Courier New"/>
        </w:rPr>
      </w:pPr>
      <w:r w:rsidRPr="009F6978">
        <w:rPr>
          <w:rFonts w:ascii="Book Antiqua" w:hAnsi="Book Antiqua" w:cs="Arial"/>
          <w:noProof/>
          <w:color w:val="000000"/>
          <w:lang w:bidi="sa-IN"/>
        </w:rPr>
        <w:drawing>
          <wp:inline distT="0" distB="0" distL="0" distR="0" wp14:anchorId="35E6EE70" wp14:editId="7755FEAC">
            <wp:extent cx="2047875" cy="8001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14:paraId="57011D07" w14:textId="497AEF9E" w:rsidR="009F6978" w:rsidRDefault="009F6978" w:rsidP="009F6978">
      <w:pPr>
        <w:spacing w:before="240"/>
        <w:jc w:val="both"/>
        <w:rPr>
          <w:rFonts w:ascii="Book Antiqua" w:hAnsi="Book Antiqua" w:cs="Courier New"/>
        </w:rPr>
      </w:pPr>
      <w:r>
        <w:rPr>
          <w:rFonts w:ascii="Book Antiqua" w:hAnsi="Book Antiqua" w:cs="Courier New"/>
        </w:rPr>
        <w:t>Upper Tribunal Judge Rintoul</w:t>
      </w:r>
    </w:p>
    <w:p w14:paraId="0C476B06" w14:textId="0AEF9DEC" w:rsidR="009F6978" w:rsidRDefault="009F6978" w:rsidP="009F6978">
      <w:pPr>
        <w:spacing w:after="360"/>
        <w:jc w:val="both"/>
        <w:rPr>
          <w:rFonts w:ascii="Book Antiqua" w:hAnsi="Book Antiqua" w:cs="Courier New"/>
        </w:rPr>
      </w:pPr>
      <w:r>
        <w:rPr>
          <w:rFonts w:ascii="Book Antiqua" w:hAnsi="Book Antiqua" w:cs="Courier New"/>
        </w:rPr>
        <w:t>11 January 2019</w:t>
      </w:r>
    </w:p>
    <w:p w14:paraId="4A64741A" w14:textId="77777777" w:rsidR="000D1AF7" w:rsidRDefault="000D1AF7" w:rsidP="000D1AF7">
      <w:pPr>
        <w:spacing w:before="240" w:after="240" w:line="360" w:lineRule="auto"/>
        <w:jc w:val="both"/>
        <w:rPr>
          <w:rFonts w:ascii="Book Antiqua" w:hAnsi="Book Antiqua" w:cs="Courier New"/>
        </w:rPr>
      </w:pPr>
    </w:p>
    <w:p w14:paraId="17DD9897" w14:textId="77777777" w:rsidR="000513EA" w:rsidRPr="000513EA" w:rsidRDefault="000513EA" w:rsidP="007D3AAA">
      <w:pPr>
        <w:spacing w:before="240" w:after="240" w:line="360" w:lineRule="auto"/>
        <w:jc w:val="both"/>
        <w:rPr>
          <w:rFonts w:ascii="Book Antiqua" w:hAnsi="Book Antiqua" w:cs="Courier New"/>
        </w:rPr>
      </w:pPr>
    </w:p>
    <w:p w14:paraId="2B33A3DC" w14:textId="77777777" w:rsidR="000513EA" w:rsidRPr="0012239F" w:rsidRDefault="000513EA" w:rsidP="007D3AAA">
      <w:pPr>
        <w:spacing w:before="240" w:after="240" w:line="360" w:lineRule="auto"/>
        <w:jc w:val="both"/>
        <w:rPr>
          <w:rFonts w:ascii="Book Antiqua" w:hAnsi="Book Antiqua" w:cs="Courier New"/>
        </w:rPr>
      </w:pPr>
    </w:p>
    <w:sectPr w:rsidR="000513EA" w:rsidRPr="0012239F" w:rsidSect="00C63923">
      <w:headerReference w:type="default" r:id="rId9"/>
      <w:footerReference w:type="default" r:id="rId10"/>
      <w:footerReference w:type="first" r:id="rId11"/>
      <w:pgSz w:w="11906" w:h="16838"/>
      <w:pgMar w:top="567"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27B36" w14:textId="77777777" w:rsidR="00EA10BB" w:rsidRDefault="00EA10BB">
      <w:r>
        <w:separator/>
      </w:r>
    </w:p>
  </w:endnote>
  <w:endnote w:type="continuationSeparator" w:id="0">
    <w:p w14:paraId="1B0A815D" w14:textId="77777777" w:rsidR="00EA10BB" w:rsidRDefault="00EA10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AFC2EC" w14:textId="23671F65" w:rsidR="000A769E" w:rsidRPr="00A34D04" w:rsidRDefault="000A769E" w:rsidP="00593795">
    <w:pPr>
      <w:pStyle w:val="Footer"/>
      <w:jc w:val="center"/>
      <w:rPr>
        <w:rFonts w:ascii="Book Antiqua" w:hAnsi="Book Antiqua" w:cs="Courier New"/>
      </w:rPr>
    </w:pPr>
    <w:r w:rsidRPr="00A34D04">
      <w:rPr>
        <w:rStyle w:val="PageNumber"/>
        <w:rFonts w:ascii="Book Antiqua" w:hAnsi="Book Antiqua" w:cs="Courier New"/>
      </w:rPr>
      <w:fldChar w:fldCharType="begin"/>
    </w:r>
    <w:r w:rsidRPr="00A34D04">
      <w:rPr>
        <w:rStyle w:val="PageNumber"/>
        <w:rFonts w:ascii="Book Antiqua" w:hAnsi="Book Antiqua" w:cs="Courier New"/>
      </w:rPr>
      <w:instrText xml:space="preserve"> PAGE </w:instrText>
    </w:r>
    <w:r w:rsidRPr="00A34D04">
      <w:rPr>
        <w:rStyle w:val="PageNumber"/>
        <w:rFonts w:ascii="Book Antiqua" w:hAnsi="Book Antiqua" w:cs="Courier New"/>
      </w:rPr>
      <w:fldChar w:fldCharType="separate"/>
    </w:r>
    <w:r w:rsidR="00F65EB9">
      <w:rPr>
        <w:rStyle w:val="PageNumber"/>
        <w:rFonts w:ascii="Book Antiqua" w:hAnsi="Book Antiqua" w:cs="Courier New"/>
        <w:noProof/>
      </w:rPr>
      <w:t>6</w:t>
    </w:r>
    <w:r w:rsidRPr="00A34D04">
      <w:rPr>
        <w:rStyle w:val="PageNumber"/>
        <w:rFonts w:ascii="Book Antiqua" w:hAnsi="Book Antiqua" w:cs="Courier New"/>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4F79CE" w14:textId="364E30FF" w:rsidR="000A769E" w:rsidRPr="00EE61BD" w:rsidRDefault="000A769E" w:rsidP="00EA3503">
    <w:pPr>
      <w:jc w:val="center"/>
      <w:rPr>
        <w:rFonts w:ascii="Book Antiqua" w:hAnsi="Book Antiqua" w:cs="Arial"/>
        <w:b/>
      </w:rPr>
    </w:pPr>
    <w:r w:rsidRPr="00AE22BD">
      <w:rPr>
        <w:rFonts w:ascii="Book Antiqua" w:hAnsi="Book Antiqua" w:cs="Arial"/>
        <w:b/>
        <w:spacing w:val="-6"/>
      </w:rPr>
      <w:t>©</w:t>
    </w:r>
    <w:r w:rsidR="009849BD">
      <w:rPr>
        <w:rFonts w:ascii="Book Antiqua" w:hAnsi="Book Antiqua" w:cs="Arial"/>
        <w:b/>
      </w:rPr>
      <w:t xml:space="preserve"> CROWN COPYRIGHT 201</w:t>
    </w:r>
    <w:r w:rsidR="002C56BE">
      <w:rPr>
        <w:rFonts w:ascii="Book Antiqua" w:hAnsi="Book Antiqua" w:cs="Arial"/>
        <w:b/>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69345C" w14:textId="77777777" w:rsidR="00EA10BB" w:rsidRDefault="00EA10BB">
      <w:r>
        <w:separator/>
      </w:r>
    </w:p>
  </w:footnote>
  <w:footnote w:type="continuationSeparator" w:id="0">
    <w:p w14:paraId="5ACB264A" w14:textId="77777777" w:rsidR="00EA10BB" w:rsidRDefault="00EA10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A0A614" w14:textId="63A0B214" w:rsidR="000A769E" w:rsidRPr="00EE61BD" w:rsidRDefault="000A769E" w:rsidP="00593795">
    <w:pPr>
      <w:pStyle w:val="Header"/>
      <w:jc w:val="right"/>
      <w:rPr>
        <w:rFonts w:ascii="Book Antiqua" w:hAnsi="Book Antiqua"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3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B531C"/>
    <w:multiLevelType w:val="multilevel"/>
    <w:tmpl w:val="F542A9B6"/>
    <w:lvl w:ilvl="0">
      <w:start w:val="2"/>
      <w:numFmt w:val="decimal"/>
      <w:lvlText w:val="%1."/>
      <w:lvlJc w:val="left"/>
      <w:pPr>
        <w:tabs>
          <w:tab w:val="num" w:pos="930"/>
        </w:tabs>
        <w:ind w:left="930" w:hanging="570"/>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14413853"/>
    <w:multiLevelType w:val="hybridMultilevel"/>
    <w:tmpl w:val="2012BAF6"/>
    <w:lvl w:ilvl="0" w:tplc="EBD04BD8">
      <w:start w:val="1"/>
      <w:numFmt w:val="decimal"/>
      <w:lvlText w:val="%1."/>
      <w:lvlJc w:val="left"/>
      <w:pPr>
        <w:tabs>
          <w:tab w:val="num" w:pos="930"/>
        </w:tabs>
        <w:ind w:left="930" w:hanging="570"/>
      </w:pPr>
      <w:rPr>
        <w:rFonts w:hint="default"/>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2332A69E">
      <w:start w:val="1"/>
      <w:numFmt w:val="lowerRoman"/>
      <w:lvlText w:val="(%4)"/>
      <w:lvlJc w:val="right"/>
      <w:pPr>
        <w:ind w:left="2880" w:hanging="360"/>
      </w:pPr>
      <w:rPr>
        <w:rFonts w:hint="default"/>
        <w:color w:val="000000" w:themeColor="text1"/>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CF4947"/>
    <w:multiLevelType w:val="hybridMultilevel"/>
    <w:tmpl w:val="7D2CA2BC"/>
    <w:lvl w:ilvl="0" w:tplc="58CE5D5E">
      <w:start w:val="1"/>
      <w:numFmt w:val="decimal"/>
      <w:lvlText w:val="(%1)"/>
      <w:lvlJc w:val="left"/>
      <w:pPr>
        <w:ind w:left="1080" w:hanging="720"/>
      </w:pPr>
      <w:rPr>
        <w:rFonts w:hint="default"/>
        <w:color w:val="00000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A46549"/>
    <w:multiLevelType w:val="multilevel"/>
    <w:tmpl w:val="1708D9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23896CE9"/>
    <w:multiLevelType w:val="hybridMultilevel"/>
    <w:tmpl w:val="DBE80860"/>
    <w:lvl w:ilvl="0" w:tplc="7260719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58935B3"/>
    <w:multiLevelType w:val="hybridMultilevel"/>
    <w:tmpl w:val="7A9E8226"/>
    <w:lvl w:ilvl="0" w:tplc="174C3592">
      <w:start w:val="1"/>
      <w:numFmt w:val="decimal"/>
      <w:lvlText w:val="(%1)"/>
      <w:lvlJc w:val="left"/>
      <w:pPr>
        <w:ind w:left="1287" w:hanging="720"/>
      </w:pPr>
      <w:rPr>
        <w:rFonts w:hint="default"/>
        <w:i/>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28032DEA"/>
    <w:multiLevelType w:val="multilevel"/>
    <w:tmpl w:val="EA6E04A0"/>
    <w:lvl w:ilvl="0">
      <w:start w:val="2"/>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2AF52812"/>
    <w:multiLevelType w:val="hybridMultilevel"/>
    <w:tmpl w:val="E3E430B4"/>
    <w:lvl w:ilvl="0" w:tplc="EEFA935A">
      <w:start w:val="2"/>
      <w:numFmt w:val="decimal"/>
      <w:lvlText w:val="%1."/>
      <w:lvlJc w:val="left"/>
      <w:pPr>
        <w:tabs>
          <w:tab w:val="num" w:pos="930"/>
        </w:tabs>
        <w:ind w:left="930" w:hanging="570"/>
      </w:pPr>
      <w:rPr>
        <w:rFonts w:hint="default"/>
        <w:b w:val="0"/>
      </w:rPr>
    </w:lvl>
    <w:lvl w:ilvl="1" w:tplc="B4FCA1D8">
      <w:start w:val="1"/>
      <w:numFmt w:val="lowerLetter"/>
      <w:lvlText w:val="(%2)"/>
      <w:lvlJc w:val="left"/>
      <w:pPr>
        <w:tabs>
          <w:tab w:val="num" w:pos="1134"/>
        </w:tabs>
        <w:ind w:left="1134" w:hanging="567"/>
      </w:pPr>
      <w:rPr>
        <w:rFonts w:hint="default"/>
      </w:rPr>
    </w:lvl>
    <w:lvl w:ilvl="2" w:tplc="E3E2E544">
      <w:start w:val="1"/>
      <w:numFmt w:val="lowerRoman"/>
      <w:lvlText w:val="(%3)"/>
      <w:lvlJc w:val="left"/>
      <w:pPr>
        <w:tabs>
          <w:tab w:val="num" w:pos="1701"/>
        </w:tabs>
        <w:ind w:left="1701" w:hanging="567"/>
      </w:pPr>
      <w:rPr>
        <w:rFonts w:hint="default"/>
      </w:rPr>
    </w:lvl>
    <w:lvl w:ilvl="3" w:tplc="FF2A7214">
      <w:start w:val="1"/>
      <w:numFmt w:val="lowerRoman"/>
      <w:lvlText w:val="(%4)"/>
      <w:lvlJc w:val="left"/>
      <w:pPr>
        <w:tabs>
          <w:tab w:val="num" w:pos="2268"/>
        </w:tabs>
        <w:ind w:left="2268" w:hanging="567"/>
      </w:pPr>
      <w:rPr>
        <w:rFonts w:ascii="Book Antiqua" w:eastAsia="Times New Roman" w:hAnsi="Book Antiqua" w:cs="Courier New" w:hint="default"/>
        <w:color w:val="000000" w:themeColor="text1"/>
      </w:r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3F0724EF"/>
    <w:multiLevelType w:val="hybridMultilevel"/>
    <w:tmpl w:val="F0988988"/>
    <w:lvl w:ilvl="0" w:tplc="3F9E09A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53F2733"/>
    <w:multiLevelType w:val="hybridMultilevel"/>
    <w:tmpl w:val="1708D9E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7122569"/>
    <w:multiLevelType w:val="hybridMultilevel"/>
    <w:tmpl w:val="DBE80860"/>
    <w:lvl w:ilvl="0" w:tplc="7260719C">
      <w:start w:val="1"/>
      <w:numFmt w:val="lowerRoman"/>
      <w:lvlText w:val="(%1)"/>
      <w:lvlJc w:val="left"/>
      <w:pPr>
        <w:ind w:left="1287" w:hanging="72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2" w15:restartNumberingAfterBreak="0">
    <w:nsid w:val="5883640B"/>
    <w:multiLevelType w:val="hybridMultilevel"/>
    <w:tmpl w:val="272C3EB6"/>
    <w:lvl w:ilvl="0" w:tplc="DAF0BA1A">
      <w:start w:val="37"/>
      <w:numFmt w:val="decimal"/>
      <w:lvlText w:val="(%1)"/>
      <w:lvlJc w:val="left"/>
      <w:pPr>
        <w:ind w:left="800" w:hanging="440"/>
      </w:pPr>
      <w:rPr>
        <w:rFonts w:hint="default"/>
        <w:sz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BEA32C5"/>
    <w:multiLevelType w:val="multilevel"/>
    <w:tmpl w:val="355EA072"/>
    <w:lvl w:ilvl="0">
      <w:start w:val="2"/>
      <w:numFmt w:val="decimal"/>
      <w:lvlText w:val="%1."/>
      <w:lvlJc w:val="left"/>
      <w:pPr>
        <w:tabs>
          <w:tab w:val="num" w:pos="930"/>
        </w:tabs>
        <w:ind w:left="930" w:hanging="570"/>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722C5182"/>
    <w:multiLevelType w:val="multilevel"/>
    <w:tmpl w:val="1708D9E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765B4FFF"/>
    <w:multiLevelType w:val="hybridMultilevel"/>
    <w:tmpl w:val="0024E5B2"/>
    <w:lvl w:ilvl="0" w:tplc="C366C2F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B00740B"/>
    <w:multiLevelType w:val="multilevel"/>
    <w:tmpl w:val="3ECC6C88"/>
    <w:lvl w:ilvl="0">
      <w:start w:val="2"/>
      <w:numFmt w:val="decimal"/>
      <w:lvlText w:val="%1."/>
      <w:lvlJc w:val="left"/>
      <w:pPr>
        <w:tabs>
          <w:tab w:val="num" w:pos="930"/>
        </w:tabs>
        <w:ind w:left="930" w:hanging="570"/>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0"/>
  </w:num>
  <w:num w:numId="2">
    <w:abstractNumId w:val="14"/>
  </w:num>
  <w:num w:numId="3">
    <w:abstractNumId w:val="4"/>
  </w:num>
  <w:num w:numId="4">
    <w:abstractNumId w:val="8"/>
  </w:num>
  <w:num w:numId="5">
    <w:abstractNumId w:val="7"/>
  </w:num>
  <w:num w:numId="6">
    <w:abstractNumId w:val="16"/>
  </w:num>
  <w:num w:numId="7">
    <w:abstractNumId w:val="13"/>
  </w:num>
  <w:num w:numId="8">
    <w:abstractNumId w:val="1"/>
  </w:num>
  <w:num w:numId="9">
    <w:abstractNumId w:val="3"/>
  </w:num>
  <w:num w:numId="10">
    <w:abstractNumId w:val="6"/>
  </w:num>
  <w:num w:numId="11">
    <w:abstractNumId w:val="0"/>
  </w:num>
  <w:num w:numId="12">
    <w:abstractNumId w:val="12"/>
  </w:num>
  <w:num w:numId="13">
    <w:abstractNumId w:val="15"/>
  </w:num>
  <w:num w:numId="14">
    <w:abstractNumId w:val="9"/>
  </w:num>
  <w:num w:numId="15">
    <w:abstractNumId w:val="5"/>
  </w:num>
  <w:num w:numId="16">
    <w:abstractNumId w:val="11"/>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28B"/>
    <w:rsid w:val="00000621"/>
    <w:rsid w:val="00002E2C"/>
    <w:rsid w:val="00002EFA"/>
    <w:rsid w:val="000036C2"/>
    <w:rsid w:val="0000467E"/>
    <w:rsid w:val="00004816"/>
    <w:rsid w:val="00007009"/>
    <w:rsid w:val="0000749B"/>
    <w:rsid w:val="0001012F"/>
    <w:rsid w:val="000118B1"/>
    <w:rsid w:val="00012B39"/>
    <w:rsid w:val="00014E65"/>
    <w:rsid w:val="00015CF2"/>
    <w:rsid w:val="00020255"/>
    <w:rsid w:val="00020A3F"/>
    <w:rsid w:val="00031629"/>
    <w:rsid w:val="00031E23"/>
    <w:rsid w:val="00033D3D"/>
    <w:rsid w:val="00042514"/>
    <w:rsid w:val="000438ED"/>
    <w:rsid w:val="00044C49"/>
    <w:rsid w:val="0004714E"/>
    <w:rsid w:val="000513EA"/>
    <w:rsid w:val="0005434C"/>
    <w:rsid w:val="0005732B"/>
    <w:rsid w:val="000623AB"/>
    <w:rsid w:val="00062F02"/>
    <w:rsid w:val="000644A4"/>
    <w:rsid w:val="000656EA"/>
    <w:rsid w:val="00066589"/>
    <w:rsid w:val="000667F0"/>
    <w:rsid w:val="00066E95"/>
    <w:rsid w:val="0007014E"/>
    <w:rsid w:val="00071A7E"/>
    <w:rsid w:val="000739F8"/>
    <w:rsid w:val="000746C0"/>
    <w:rsid w:val="00074C71"/>
    <w:rsid w:val="00074D1D"/>
    <w:rsid w:val="00075C60"/>
    <w:rsid w:val="00077F90"/>
    <w:rsid w:val="00082EA7"/>
    <w:rsid w:val="000901AF"/>
    <w:rsid w:val="00090C81"/>
    <w:rsid w:val="00092580"/>
    <w:rsid w:val="000926B4"/>
    <w:rsid w:val="00093D4D"/>
    <w:rsid w:val="00095731"/>
    <w:rsid w:val="000A123F"/>
    <w:rsid w:val="000A3D78"/>
    <w:rsid w:val="000A58AD"/>
    <w:rsid w:val="000A769E"/>
    <w:rsid w:val="000B27D8"/>
    <w:rsid w:val="000C4179"/>
    <w:rsid w:val="000C43BA"/>
    <w:rsid w:val="000C5B3F"/>
    <w:rsid w:val="000C6856"/>
    <w:rsid w:val="000C70E4"/>
    <w:rsid w:val="000D057B"/>
    <w:rsid w:val="000D1AF7"/>
    <w:rsid w:val="000D24EA"/>
    <w:rsid w:val="000D5D94"/>
    <w:rsid w:val="000D70BE"/>
    <w:rsid w:val="000E08FB"/>
    <w:rsid w:val="000E2892"/>
    <w:rsid w:val="000E2ED0"/>
    <w:rsid w:val="000E41DF"/>
    <w:rsid w:val="000E6801"/>
    <w:rsid w:val="000E7330"/>
    <w:rsid w:val="000F171D"/>
    <w:rsid w:val="000F1A0E"/>
    <w:rsid w:val="000F5EBC"/>
    <w:rsid w:val="000F7335"/>
    <w:rsid w:val="00103063"/>
    <w:rsid w:val="001036B1"/>
    <w:rsid w:val="00103D0E"/>
    <w:rsid w:val="00105CF1"/>
    <w:rsid w:val="001103BE"/>
    <w:rsid w:val="00110CAD"/>
    <w:rsid w:val="00112650"/>
    <w:rsid w:val="00113C42"/>
    <w:rsid w:val="00114401"/>
    <w:rsid w:val="001165A7"/>
    <w:rsid w:val="00116B34"/>
    <w:rsid w:val="00122206"/>
    <w:rsid w:val="0012239F"/>
    <w:rsid w:val="00125837"/>
    <w:rsid w:val="00127BA0"/>
    <w:rsid w:val="00131317"/>
    <w:rsid w:val="001332EB"/>
    <w:rsid w:val="0013362B"/>
    <w:rsid w:val="001376A7"/>
    <w:rsid w:val="00141B24"/>
    <w:rsid w:val="00142A7F"/>
    <w:rsid w:val="00142B93"/>
    <w:rsid w:val="001467C2"/>
    <w:rsid w:val="001509C4"/>
    <w:rsid w:val="00153194"/>
    <w:rsid w:val="001629B0"/>
    <w:rsid w:val="0016328C"/>
    <w:rsid w:val="001644AF"/>
    <w:rsid w:val="00167D3A"/>
    <w:rsid w:val="001731A7"/>
    <w:rsid w:val="0017359C"/>
    <w:rsid w:val="00176BFD"/>
    <w:rsid w:val="00176D97"/>
    <w:rsid w:val="00177DDF"/>
    <w:rsid w:val="00182C73"/>
    <w:rsid w:val="00183837"/>
    <w:rsid w:val="00193BA6"/>
    <w:rsid w:val="00194FF9"/>
    <w:rsid w:val="00196CE3"/>
    <w:rsid w:val="001A3082"/>
    <w:rsid w:val="001A7BEF"/>
    <w:rsid w:val="001B186A"/>
    <w:rsid w:val="001B2947"/>
    <w:rsid w:val="001B2F75"/>
    <w:rsid w:val="001B4681"/>
    <w:rsid w:val="001B6960"/>
    <w:rsid w:val="001C1984"/>
    <w:rsid w:val="001C6462"/>
    <w:rsid w:val="001D015D"/>
    <w:rsid w:val="001D1E75"/>
    <w:rsid w:val="001D1EF9"/>
    <w:rsid w:val="001D4327"/>
    <w:rsid w:val="001D48CF"/>
    <w:rsid w:val="001E396A"/>
    <w:rsid w:val="001E66E0"/>
    <w:rsid w:val="001F2716"/>
    <w:rsid w:val="001F7A1D"/>
    <w:rsid w:val="00203661"/>
    <w:rsid w:val="00207617"/>
    <w:rsid w:val="00212361"/>
    <w:rsid w:val="00221BDC"/>
    <w:rsid w:val="00221DB0"/>
    <w:rsid w:val="002247CE"/>
    <w:rsid w:val="00226381"/>
    <w:rsid w:val="0023134B"/>
    <w:rsid w:val="0023295B"/>
    <w:rsid w:val="002341E6"/>
    <w:rsid w:val="002367F1"/>
    <w:rsid w:val="00236E39"/>
    <w:rsid w:val="00240851"/>
    <w:rsid w:val="00245BF0"/>
    <w:rsid w:val="00246042"/>
    <w:rsid w:val="002514F6"/>
    <w:rsid w:val="002521BA"/>
    <w:rsid w:val="00262700"/>
    <w:rsid w:val="00262DC3"/>
    <w:rsid w:val="002631C3"/>
    <w:rsid w:val="002652FB"/>
    <w:rsid w:val="0027050A"/>
    <w:rsid w:val="00274335"/>
    <w:rsid w:val="002762FE"/>
    <w:rsid w:val="00277701"/>
    <w:rsid w:val="00277EFF"/>
    <w:rsid w:val="00282393"/>
    <w:rsid w:val="00283659"/>
    <w:rsid w:val="00286456"/>
    <w:rsid w:val="00287C77"/>
    <w:rsid w:val="00290E0A"/>
    <w:rsid w:val="00290E70"/>
    <w:rsid w:val="00297776"/>
    <w:rsid w:val="002A6F09"/>
    <w:rsid w:val="002B19E3"/>
    <w:rsid w:val="002B2421"/>
    <w:rsid w:val="002B333E"/>
    <w:rsid w:val="002C56BE"/>
    <w:rsid w:val="002C6BD4"/>
    <w:rsid w:val="002D035C"/>
    <w:rsid w:val="002D32D8"/>
    <w:rsid w:val="002D5A03"/>
    <w:rsid w:val="002D68BF"/>
    <w:rsid w:val="002D7F01"/>
    <w:rsid w:val="002E0305"/>
    <w:rsid w:val="002E03C0"/>
    <w:rsid w:val="002F0996"/>
    <w:rsid w:val="002F6B98"/>
    <w:rsid w:val="002F7E56"/>
    <w:rsid w:val="00301114"/>
    <w:rsid w:val="00302263"/>
    <w:rsid w:val="003028E2"/>
    <w:rsid w:val="00312A71"/>
    <w:rsid w:val="00315A53"/>
    <w:rsid w:val="00322305"/>
    <w:rsid w:val="00324A31"/>
    <w:rsid w:val="00325515"/>
    <w:rsid w:val="00326206"/>
    <w:rsid w:val="003277DA"/>
    <w:rsid w:val="003330F2"/>
    <w:rsid w:val="00336CBF"/>
    <w:rsid w:val="0034250B"/>
    <w:rsid w:val="00343FE3"/>
    <w:rsid w:val="003440DA"/>
    <w:rsid w:val="00346909"/>
    <w:rsid w:val="00352304"/>
    <w:rsid w:val="003525F2"/>
    <w:rsid w:val="003546C8"/>
    <w:rsid w:val="00356140"/>
    <w:rsid w:val="00364437"/>
    <w:rsid w:val="00366C82"/>
    <w:rsid w:val="0036710D"/>
    <w:rsid w:val="00373BA7"/>
    <w:rsid w:val="00376AE8"/>
    <w:rsid w:val="0037774D"/>
    <w:rsid w:val="0038061B"/>
    <w:rsid w:val="00380790"/>
    <w:rsid w:val="00383564"/>
    <w:rsid w:val="0039087E"/>
    <w:rsid w:val="0039181A"/>
    <w:rsid w:val="00397A89"/>
    <w:rsid w:val="003A3227"/>
    <w:rsid w:val="003A37E8"/>
    <w:rsid w:val="003A48B0"/>
    <w:rsid w:val="003A7CF2"/>
    <w:rsid w:val="003B12C6"/>
    <w:rsid w:val="003B3CEE"/>
    <w:rsid w:val="003B7900"/>
    <w:rsid w:val="003C2868"/>
    <w:rsid w:val="003C28CE"/>
    <w:rsid w:val="003C5CE5"/>
    <w:rsid w:val="003D11D5"/>
    <w:rsid w:val="003D6E90"/>
    <w:rsid w:val="003D79C9"/>
    <w:rsid w:val="003D7F02"/>
    <w:rsid w:val="003E267B"/>
    <w:rsid w:val="003E30BA"/>
    <w:rsid w:val="003E7CD1"/>
    <w:rsid w:val="003E7FEF"/>
    <w:rsid w:val="003F0BD4"/>
    <w:rsid w:val="003F1F16"/>
    <w:rsid w:val="003F7A3A"/>
    <w:rsid w:val="00402B9E"/>
    <w:rsid w:val="00403E7B"/>
    <w:rsid w:val="0040472B"/>
    <w:rsid w:val="00405218"/>
    <w:rsid w:val="00417BEA"/>
    <w:rsid w:val="00421A2D"/>
    <w:rsid w:val="00422E29"/>
    <w:rsid w:val="00422F22"/>
    <w:rsid w:val="00423CE1"/>
    <w:rsid w:val="0042490C"/>
    <w:rsid w:val="004249CB"/>
    <w:rsid w:val="004331FE"/>
    <w:rsid w:val="0044127D"/>
    <w:rsid w:val="004428F8"/>
    <w:rsid w:val="004448DB"/>
    <w:rsid w:val="00444AB3"/>
    <w:rsid w:val="00445A38"/>
    <w:rsid w:val="00446C9A"/>
    <w:rsid w:val="00452F2B"/>
    <w:rsid w:val="004645BB"/>
    <w:rsid w:val="0046523A"/>
    <w:rsid w:val="00465701"/>
    <w:rsid w:val="004710EE"/>
    <w:rsid w:val="00472F9A"/>
    <w:rsid w:val="00472FAA"/>
    <w:rsid w:val="004760DE"/>
    <w:rsid w:val="00477193"/>
    <w:rsid w:val="00481EEE"/>
    <w:rsid w:val="004826B8"/>
    <w:rsid w:val="00482C8E"/>
    <w:rsid w:val="004835D9"/>
    <w:rsid w:val="00483609"/>
    <w:rsid w:val="00483E7F"/>
    <w:rsid w:val="004848F7"/>
    <w:rsid w:val="00485D0C"/>
    <w:rsid w:val="00487FF5"/>
    <w:rsid w:val="00495D70"/>
    <w:rsid w:val="004968EE"/>
    <w:rsid w:val="00496C2E"/>
    <w:rsid w:val="004A025B"/>
    <w:rsid w:val="004A1848"/>
    <w:rsid w:val="004A2FA7"/>
    <w:rsid w:val="004A358D"/>
    <w:rsid w:val="004A41C0"/>
    <w:rsid w:val="004A49D2"/>
    <w:rsid w:val="004A4A3D"/>
    <w:rsid w:val="004A4D0A"/>
    <w:rsid w:val="004A6F4A"/>
    <w:rsid w:val="004B05FB"/>
    <w:rsid w:val="004B56F1"/>
    <w:rsid w:val="004C1B73"/>
    <w:rsid w:val="004D01A3"/>
    <w:rsid w:val="004D0C2A"/>
    <w:rsid w:val="004D2C05"/>
    <w:rsid w:val="004D477E"/>
    <w:rsid w:val="004D513B"/>
    <w:rsid w:val="004D523A"/>
    <w:rsid w:val="004D5BA3"/>
    <w:rsid w:val="004E1276"/>
    <w:rsid w:val="004E4717"/>
    <w:rsid w:val="004F0340"/>
    <w:rsid w:val="004F0588"/>
    <w:rsid w:val="004F79F5"/>
    <w:rsid w:val="00500DF2"/>
    <w:rsid w:val="00503B49"/>
    <w:rsid w:val="00507FEC"/>
    <w:rsid w:val="00510F0E"/>
    <w:rsid w:val="00513E8B"/>
    <w:rsid w:val="00515D40"/>
    <w:rsid w:val="00517F42"/>
    <w:rsid w:val="00520B70"/>
    <w:rsid w:val="0052103D"/>
    <w:rsid w:val="005216C1"/>
    <w:rsid w:val="00527F60"/>
    <w:rsid w:val="005367E1"/>
    <w:rsid w:val="00536973"/>
    <w:rsid w:val="00542B71"/>
    <w:rsid w:val="00543182"/>
    <w:rsid w:val="00544DCD"/>
    <w:rsid w:val="00546EED"/>
    <w:rsid w:val="005479E1"/>
    <w:rsid w:val="00553029"/>
    <w:rsid w:val="005533F5"/>
    <w:rsid w:val="00553A11"/>
    <w:rsid w:val="00553CEC"/>
    <w:rsid w:val="00553E0A"/>
    <w:rsid w:val="00556616"/>
    <w:rsid w:val="005570FD"/>
    <w:rsid w:val="005575EA"/>
    <w:rsid w:val="00562ADB"/>
    <w:rsid w:val="00565498"/>
    <w:rsid w:val="00572A7B"/>
    <w:rsid w:val="0057455B"/>
    <w:rsid w:val="00574823"/>
    <w:rsid w:val="00575553"/>
    <w:rsid w:val="00575773"/>
    <w:rsid w:val="0057628D"/>
    <w:rsid w:val="00577288"/>
    <w:rsid w:val="0057790C"/>
    <w:rsid w:val="005828AF"/>
    <w:rsid w:val="00582AAE"/>
    <w:rsid w:val="00582BDD"/>
    <w:rsid w:val="005873E3"/>
    <w:rsid w:val="00593795"/>
    <w:rsid w:val="005968CE"/>
    <w:rsid w:val="005A035D"/>
    <w:rsid w:val="005A49F0"/>
    <w:rsid w:val="005A4FD4"/>
    <w:rsid w:val="005A75FF"/>
    <w:rsid w:val="005A777A"/>
    <w:rsid w:val="005B02FE"/>
    <w:rsid w:val="005B4642"/>
    <w:rsid w:val="005C2747"/>
    <w:rsid w:val="005C4D1B"/>
    <w:rsid w:val="005C5B57"/>
    <w:rsid w:val="005C65F2"/>
    <w:rsid w:val="005C6915"/>
    <w:rsid w:val="005C6A27"/>
    <w:rsid w:val="005C6B2D"/>
    <w:rsid w:val="005C7221"/>
    <w:rsid w:val="005C7EAE"/>
    <w:rsid w:val="005D01BC"/>
    <w:rsid w:val="005D10AB"/>
    <w:rsid w:val="005D16CA"/>
    <w:rsid w:val="005D35C5"/>
    <w:rsid w:val="005D44FA"/>
    <w:rsid w:val="005D5845"/>
    <w:rsid w:val="005E1CFC"/>
    <w:rsid w:val="005E321E"/>
    <w:rsid w:val="005F15F4"/>
    <w:rsid w:val="005F3C97"/>
    <w:rsid w:val="005F428B"/>
    <w:rsid w:val="005F55A2"/>
    <w:rsid w:val="00601D8F"/>
    <w:rsid w:val="006067FA"/>
    <w:rsid w:val="0061175C"/>
    <w:rsid w:val="00613DC1"/>
    <w:rsid w:val="006236C7"/>
    <w:rsid w:val="00624857"/>
    <w:rsid w:val="00630C40"/>
    <w:rsid w:val="00631F1A"/>
    <w:rsid w:val="006320DE"/>
    <w:rsid w:val="00634454"/>
    <w:rsid w:val="0064201D"/>
    <w:rsid w:val="00645950"/>
    <w:rsid w:val="00645D37"/>
    <w:rsid w:val="006464BA"/>
    <w:rsid w:val="00646855"/>
    <w:rsid w:val="00646A10"/>
    <w:rsid w:val="006478A6"/>
    <w:rsid w:val="00647EFB"/>
    <w:rsid w:val="00653E97"/>
    <w:rsid w:val="00655437"/>
    <w:rsid w:val="00656B62"/>
    <w:rsid w:val="00662152"/>
    <w:rsid w:val="00667D31"/>
    <w:rsid w:val="006720E5"/>
    <w:rsid w:val="00673BEC"/>
    <w:rsid w:val="00674879"/>
    <w:rsid w:val="006757C1"/>
    <w:rsid w:val="00684A74"/>
    <w:rsid w:val="006856E2"/>
    <w:rsid w:val="00685D85"/>
    <w:rsid w:val="00690B8A"/>
    <w:rsid w:val="0069555D"/>
    <w:rsid w:val="00697AF1"/>
    <w:rsid w:val="006A2D82"/>
    <w:rsid w:val="006A460C"/>
    <w:rsid w:val="006A7B48"/>
    <w:rsid w:val="006B5D5D"/>
    <w:rsid w:val="006C1AFD"/>
    <w:rsid w:val="006C2042"/>
    <w:rsid w:val="006D0877"/>
    <w:rsid w:val="006D3800"/>
    <w:rsid w:val="006D6F16"/>
    <w:rsid w:val="006E04A3"/>
    <w:rsid w:val="006E0A67"/>
    <w:rsid w:val="006E1952"/>
    <w:rsid w:val="006E35E7"/>
    <w:rsid w:val="006E5968"/>
    <w:rsid w:val="006F2AB4"/>
    <w:rsid w:val="006F2CF1"/>
    <w:rsid w:val="006F2EEE"/>
    <w:rsid w:val="007032C2"/>
    <w:rsid w:val="007038ED"/>
    <w:rsid w:val="00703BC3"/>
    <w:rsid w:val="00704B61"/>
    <w:rsid w:val="00705143"/>
    <w:rsid w:val="00727524"/>
    <w:rsid w:val="00731084"/>
    <w:rsid w:val="00732370"/>
    <w:rsid w:val="00734415"/>
    <w:rsid w:val="007410B0"/>
    <w:rsid w:val="00750793"/>
    <w:rsid w:val="00751F92"/>
    <w:rsid w:val="00754A83"/>
    <w:rsid w:val="007552A9"/>
    <w:rsid w:val="00756928"/>
    <w:rsid w:val="00757CAA"/>
    <w:rsid w:val="00761858"/>
    <w:rsid w:val="00762B12"/>
    <w:rsid w:val="00762D6C"/>
    <w:rsid w:val="00767D59"/>
    <w:rsid w:val="007744BB"/>
    <w:rsid w:val="00776E97"/>
    <w:rsid w:val="00777D29"/>
    <w:rsid w:val="00780F86"/>
    <w:rsid w:val="0078121F"/>
    <w:rsid w:val="00781637"/>
    <w:rsid w:val="00781F0E"/>
    <w:rsid w:val="00783FB0"/>
    <w:rsid w:val="007868DC"/>
    <w:rsid w:val="00786ED7"/>
    <w:rsid w:val="007912AD"/>
    <w:rsid w:val="007913CF"/>
    <w:rsid w:val="00792C71"/>
    <w:rsid w:val="007A05D8"/>
    <w:rsid w:val="007A32E3"/>
    <w:rsid w:val="007A59C6"/>
    <w:rsid w:val="007B0824"/>
    <w:rsid w:val="007B1F6B"/>
    <w:rsid w:val="007B5D3C"/>
    <w:rsid w:val="007B6525"/>
    <w:rsid w:val="007B7FC8"/>
    <w:rsid w:val="007C114E"/>
    <w:rsid w:val="007C2744"/>
    <w:rsid w:val="007C28CB"/>
    <w:rsid w:val="007C39D2"/>
    <w:rsid w:val="007C628B"/>
    <w:rsid w:val="007C78C3"/>
    <w:rsid w:val="007C7E5B"/>
    <w:rsid w:val="007D0A66"/>
    <w:rsid w:val="007D3AAA"/>
    <w:rsid w:val="007D3F94"/>
    <w:rsid w:val="007D576F"/>
    <w:rsid w:val="007D6BE8"/>
    <w:rsid w:val="007E01C5"/>
    <w:rsid w:val="007E0DF6"/>
    <w:rsid w:val="007E4077"/>
    <w:rsid w:val="007E4B8C"/>
    <w:rsid w:val="007F203B"/>
    <w:rsid w:val="007F342E"/>
    <w:rsid w:val="0080778E"/>
    <w:rsid w:val="00816275"/>
    <w:rsid w:val="00817262"/>
    <w:rsid w:val="00820174"/>
    <w:rsid w:val="00821B72"/>
    <w:rsid w:val="00823EF2"/>
    <w:rsid w:val="00824D9C"/>
    <w:rsid w:val="00826CDD"/>
    <w:rsid w:val="008303B8"/>
    <w:rsid w:val="00831063"/>
    <w:rsid w:val="00831CC4"/>
    <w:rsid w:val="00833C3D"/>
    <w:rsid w:val="00833DCE"/>
    <w:rsid w:val="00835A2C"/>
    <w:rsid w:val="008370FC"/>
    <w:rsid w:val="00841495"/>
    <w:rsid w:val="00842AC4"/>
    <w:rsid w:val="0084545F"/>
    <w:rsid w:val="00846535"/>
    <w:rsid w:val="00856F32"/>
    <w:rsid w:val="00861FBF"/>
    <w:rsid w:val="0086249E"/>
    <w:rsid w:val="008646ED"/>
    <w:rsid w:val="008660D0"/>
    <w:rsid w:val="0087064D"/>
    <w:rsid w:val="00871D34"/>
    <w:rsid w:val="00871DC9"/>
    <w:rsid w:val="00873E97"/>
    <w:rsid w:val="008770B8"/>
    <w:rsid w:val="008817C5"/>
    <w:rsid w:val="008861C9"/>
    <w:rsid w:val="00886DC2"/>
    <w:rsid w:val="00890106"/>
    <w:rsid w:val="00891ABC"/>
    <w:rsid w:val="00896915"/>
    <w:rsid w:val="008A1E7E"/>
    <w:rsid w:val="008A2EAA"/>
    <w:rsid w:val="008A326F"/>
    <w:rsid w:val="008B0002"/>
    <w:rsid w:val="008B0B7D"/>
    <w:rsid w:val="008B1F8D"/>
    <w:rsid w:val="008B270C"/>
    <w:rsid w:val="008B462E"/>
    <w:rsid w:val="008B5078"/>
    <w:rsid w:val="008B6719"/>
    <w:rsid w:val="008B7013"/>
    <w:rsid w:val="008C0959"/>
    <w:rsid w:val="008C2053"/>
    <w:rsid w:val="008C2AD2"/>
    <w:rsid w:val="008C3D3D"/>
    <w:rsid w:val="008C4007"/>
    <w:rsid w:val="008C4476"/>
    <w:rsid w:val="008C65FA"/>
    <w:rsid w:val="008C6B1E"/>
    <w:rsid w:val="008D0E7D"/>
    <w:rsid w:val="008D121B"/>
    <w:rsid w:val="008D1540"/>
    <w:rsid w:val="008D1731"/>
    <w:rsid w:val="008D2D3C"/>
    <w:rsid w:val="008D4131"/>
    <w:rsid w:val="008D52A2"/>
    <w:rsid w:val="008D5FF2"/>
    <w:rsid w:val="008D73C7"/>
    <w:rsid w:val="008E0D1E"/>
    <w:rsid w:val="008E6A55"/>
    <w:rsid w:val="008E7E89"/>
    <w:rsid w:val="008F1932"/>
    <w:rsid w:val="00900ECF"/>
    <w:rsid w:val="00902616"/>
    <w:rsid w:val="0090446C"/>
    <w:rsid w:val="00906510"/>
    <w:rsid w:val="00907D87"/>
    <w:rsid w:val="00912488"/>
    <w:rsid w:val="0091283B"/>
    <w:rsid w:val="00912D56"/>
    <w:rsid w:val="00913AF2"/>
    <w:rsid w:val="00914D09"/>
    <w:rsid w:val="009157DB"/>
    <w:rsid w:val="0091798E"/>
    <w:rsid w:val="00921062"/>
    <w:rsid w:val="00922A19"/>
    <w:rsid w:val="00924529"/>
    <w:rsid w:val="00925777"/>
    <w:rsid w:val="009265A6"/>
    <w:rsid w:val="00931707"/>
    <w:rsid w:val="00932840"/>
    <w:rsid w:val="0093367A"/>
    <w:rsid w:val="0093611A"/>
    <w:rsid w:val="00936457"/>
    <w:rsid w:val="00943247"/>
    <w:rsid w:val="009433CC"/>
    <w:rsid w:val="00943B16"/>
    <w:rsid w:val="0094792C"/>
    <w:rsid w:val="0095101B"/>
    <w:rsid w:val="0095237B"/>
    <w:rsid w:val="00956665"/>
    <w:rsid w:val="00957A4C"/>
    <w:rsid w:val="00957B27"/>
    <w:rsid w:val="00960CE3"/>
    <w:rsid w:val="00961294"/>
    <w:rsid w:val="00962993"/>
    <w:rsid w:val="00964982"/>
    <w:rsid w:val="00967ED3"/>
    <w:rsid w:val="0097069E"/>
    <w:rsid w:val="0097089B"/>
    <w:rsid w:val="00971B71"/>
    <w:rsid w:val="009722BC"/>
    <w:rsid w:val="009727A3"/>
    <w:rsid w:val="009747E6"/>
    <w:rsid w:val="009776CF"/>
    <w:rsid w:val="0098386A"/>
    <w:rsid w:val="009849BD"/>
    <w:rsid w:val="0098649A"/>
    <w:rsid w:val="00987774"/>
    <w:rsid w:val="0099092B"/>
    <w:rsid w:val="00991A0F"/>
    <w:rsid w:val="009929FB"/>
    <w:rsid w:val="00993DDC"/>
    <w:rsid w:val="00995BBD"/>
    <w:rsid w:val="009975CF"/>
    <w:rsid w:val="009A11E8"/>
    <w:rsid w:val="009B1240"/>
    <w:rsid w:val="009B44B8"/>
    <w:rsid w:val="009C5029"/>
    <w:rsid w:val="009D1DD1"/>
    <w:rsid w:val="009D33D0"/>
    <w:rsid w:val="009D5465"/>
    <w:rsid w:val="009D594C"/>
    <w:rsid w:val="009E033A"/>
    <w:rsid w:val="009F00E8"/>
    <w:rsid w:val="009F343C"/>
    <w:rsid w:val="009F4467"/>
    <w:rsid w:val="009F5220"/>
    <w:rsid w:val="009F5A2C"/>
    <w:rsid w:val="009F6978"/>
    <w:rsid w:val="00A01CC0"/>
    <w:rsid w:val="00A03219"/>
    <w:rsid w:val="00A03AFF"/>
    <w:rsid w:val="00A05251"/>
    <w:rsid w:val="00A14599"/>
    <w:rsid w:val="00A15234"/>
    <w:rsid w:val="00A201AB"/>
    <w:rsid w:val="00A20F12"/>
    <w:rsid w:val="00A2155F"/>
    <w:rsid w:val="00A22592"/>
    <w:rsid w:val="00A229BE"/>
    <w:rsid w:val="00A2709F"/>
    <w:rsid w:val="00A30796"/>
    <w:rsid w:val="00A30C87"/>
    <w:rsid w:val="00A30E6A"/>
    <w:rsid w:val="00A31C8B"/>
    <w:rsid w:val="00A324D8"/>
    <w:rsid w:val="00A33C24"/>
    <w:rsid w:val="00A33D31"/>
    <w:rsid w:val="00A348EC"/>
    <w:rsid w:val="00A34D04"/>
    <w:rsid w:val="00A43BED"/>
    <w:rsid w:val="00A509FA"/>
    <w:rsid w:val="00A6308D"/>
    <w:rsid w:val="00A64678"/>
    <w:rsid w:val="00A711F7"/>
    <w:rsid w:val="00A722E1"/>
    <w:rsid w:val="00A73242"/>
    <w:rsid w:val="00A74290"/>
    <w:rsid w:val="00A744A0"/>
    <w:rsid w:val="00A75949"/>
    <w:rsid w:val="00A81920"/>
    <w:rsid w:val="00A838DD"/>
    <w:rsid w:val="00A845DC"/>
    <w:rsid w:val="00A9043C"/>
    <w:rsid w:val="00A92089"/>
    <w:rsid w:val="00A92726"/>
    <w:rsid w:val="00A92DD9"/>
    <w:rsid w:val="00A95B51"/>
    <w:rsid w:val="00A9667A"/>
    <w:rsid w:val="00A96E8B"/>
    <w:rsid w:val="00AA01E2"/>
    <w:rsid w:val="00AA06E0"/>
    <w:rsid w:val="00AA1EF1"/>
    <w:rsid w:val="00AB3FB3"/>
    <w:rsid w:val="00AC080E"/>
    <w:rsid w:val="00AC599C"/>
    <w:rsid w:val="00AC5B01"/>
    <w:rsid w:val="00AC5E4B"/>
    <w:rsid w:val="00AC6BC2"/>
    <w:rsid w:val="00AC739F"/>
    <w:rsid w:val="00AC7E58"/>
    <w:rsid w:val="00AD52A0"/>
    <w:rsid w:val="00AD5751"/>
    <w:rsid w:val="00AD5AFE"/>
    <w:rsid w:val="00AE1C0C"/>
    <w:rsid w:val="00AE2608"/>
    <w:rsid w:val="00AE26B8"/>
    <w:rsid w:val="00AF007F"/>
    <w:rsid w:val="00AF30BD"/>
    <w:rsid w:val="00AF5CD5"/>
    <w:rsid w:val="00AF6302"/>
    <w:rsid w:val="00AF732D"/>
    <w:rsid w:val="00B02C80"/>
    <w:rsid w:val="00B030BA"/>
    <w:rsid w:val="00B03F5B"/>
    <w:rsid w:val="00B1244F"/>
    <w:rsid w:val="00B131EE"/>
    <w:rsid w:val="00B1429B"/>
    <w:rsid w:val="00B16367"/>
    <w:rsid w:val="00B22FBD"/>
    <w:rsid w:val="00B252B5"/>
    <w:rsid w:val="00B2563D"/>
    <w:rsid w:val="00B26AA2"/>
    <w:rsid w:val="00B33F38"/>
    <w:rsid w:val="00B3524D"/>
    <w:rsid w:val="00B40F69"/>
    <w:rsid w:val="00B41758"/>
    <w:rsid w:val="00B46616"/>
    <w:rsid w:val="00B5726B"/>
    <w:rsid w:val="00B653A4"/>
    <w:rsid w:val="00B66417"/>
    <w:rsid w:val="00B66FB0"/>
    <w:rsid w:val="00B676F2"/>
    <w:rsid w:val="00B677F2"/>
    <w:rsid w:val="00B7040A"/>
    <w:rsid w:val="00B70571"/>
    <w:rsid w:val="00B72548"/>
    <w:rsid w:val="00B73C61"/>
    <w:rsid w:val="00B76A3C"/>
    <w:rsid w:val="00B80019"/>
    <w:rsid w:val="00B83391"/>
    <w:rsid w:val="00B8455A"/>
    <w:rsid w:val="00B86B13"/>
    <w:rsid w:val="00B90881"/>
    <w:rsid w:val="00B95326"/>
    <w:rsid w:val="00B96475"/>
    <w:rsid w:val="00B96858"/>
    <w:rsid w:val="00BA484B"/>
    <w:rsid w:val="00BB2907"/>
    <w:rsid w:val="00BB3602"/>
    <w:rsid w:val="00BB42D1"/>
    <w:rsid w:val="00BC228D"/>
    <w:rsid w:val="00BC3819"/>
    <w:rsid w:val="00BC5314"/>
    <w:rsid w:val="00BC5687"/>
    <w:rsid w:val="00BD0030"/>
    <w:rsid w:val="00BD4196"/>
    <w:rsid w:val="00BD5822"/>
    <w:rsid w:val="00BE07F6"/>
    <w:rsid w:val="00BE1504"/>
    <w:rsid w:val="00BE4C14"/>
    <w:rsid w:val="00BF22CA"/>
    <w:rsid w:val="00BF23BB"/>
    <w:rsid w:val="00BF240C"/>
    <w:rsid w:val="00BF3AAC"/>
    <w:rsid w:val="00BF53D4"/>
    <w:rsid w:val="00C0704D"/>
    <w:rsid w:val="00C13BE3"/>
    <w:rsid w:val="00C26032"/>
    <w:rsid w:val="00C31B5C"/>
    <w:rsid w:val="00C345E1"/>
    <w:rsid w:val="00C3714C"/>
    <w:rsid w:val="00C43BFD"/>
    <w:rsid w:val="00C454E4"/>
    <w:rsid w:val="00C4570B"/>
    <w:rsid w:val="00C46D5B"/>
    <w:rsid w:val="00C56AD7"/>
    <w:rsid w:val="00C56C28"/>
    <w:rsid w:val="00C57404"/>
    <w:rsid w:val="00C62DDA"/>
    <w:rsid w:val="00C630B5"/>
    <w:rsid w:val="00C638C4"/>
    <w:rsid w:val="00C63923"/>
    <w:rsid w:val="00C641DB"/>
    <w:rsid w:val="00C64FC4"/>
    <w:rsid w:val="00C674D2"/>
    <w:rsid w:val="00C703F1"/>
    <w:rsid w:val="00C719FE"/>
    <w:rsid w:val="00C749B5"/>
    <w:rsid w:val="00C77C50"/>
    <w:rsid w:val="00C85695"/>
    <w:rsid w:val="00C91446"/>
    <w:rsid w:val="00C924F8"/>
    <w:rsid w:val="00CA40A2"/>
    <w:rsid w:val="00CA4D79"/>
    <w:rsid w:val="00CA5583"/>
    <w:rsid w:val="00CA574B"/>
    <w:rsid w:val="00CB06D1"/>
    <w:rsid w:val="00CB1FDE"/>
    <w:rsid w:val="00CB563E"/>
    <w:rsid w:val="00CB6E35"/>
    <w:rsid w:val="00CB74BD"/>
    <w:rsid w:val="00CB7EDB"/>
    <w:rsid w:val="00CC0E31"/>
    <w:rsid w:val="00CC141F"/>
    <w:rsid w:val="00CC6F22"/>
    <w:rsid w:val="00CE0EFE"/>
    <w:rsid w:val="00CE1A46"/>
    <w:rsid w:val="00CE2688"/>
    <w:rsid w:val="00CE2A26"/>
    <w:rsid w:val="00CE2D57"/>
    <w:rsid w:val="00CE2F5E"/>
    <w:rsid w:val="00CF0277"/>
    <w:rsid w:val="00CF1A99"/>
    <w:rsid w:val="00CF3892"/>
    <w:rsid w:val="00D00025"/>
    <w:rsid w:val="00D141B2"/>
    <w:rsid w:val="00D20757"/>
    <w:rsid w:val="00D2126C"/>
    <w:rsid w:val="00D22636"/>
    <w:rsid w:val="00D2305C"/>
    <w:rsid w:val="00D23BD2"/>
    <w:rsid w:val="00D325AA"/>
    <w:rsid w:val="00D36ADF"/>
    <w:rsid w:val="00D36D13"/>
    <w:rsid w:val="00D40FD9"/>
    <w:rsid w:val="00D471C4"/>
    <w:rsid w:val="00D50985"/>
    <w:rsid w:val="00D53769"/>
    <w:rsid w:val="00D538B9"/>
    <w:rsid w:val="00D55885"/>
    <w:rsid w:val="00D5664A"/>
    <w:rsid w:val="00D56B66"/>
    <w:rsid w:val="00D56B95"/>
    <w:rsid w:val="00D57CB7"/>
    <w:rsid w:val="00D61080"/>
    <w:rsid w:val="00D61D37"/>
    <w:rsid w:val="00D62773"/>
    <w:rsid w:val="00D63773"/>
    <w:rsid w:val="00D71186"/>
    <w:rsid w:val="00D7364D"/>
    <w:rsid w:val="00D82EFF"/>
    <w:rsid w:val="00D839CC"/>
    <w:rsid w:val="00D83B3A"/>
    <w:rsid w:val="00D8520F"/>
    <w:rsid w:val="00D85C13"/>
    <w:rsid w:val="00D86299"/>
    <w:rsid w:val="00D86E24"/>
    <w:rsid w:val="00D9111A"/>
    <w:rsid w:val="00D91BE3"/>
    <w:rsid w:val="00D925FB"/>
    <w:rsid w:val="00D94469"/>
    <w:rsid w:val="00D94AFC"/>
    <w:rsid w:val="00DA6D9E"/>
    <w:rsid w:val="00DB077B"/>
    <w:rsid w:val="00DB70AE"/>
    <w:rsid w:val="00DC1BF2"/>
    <w:rsid w:val="00DC23DC"/>
    <w:rsid w:val="00DC40D1"/>
    <w:rsid w:val="00DC59AD"/>
    <w:rsid w:val="00DC76E6"/>
    <w:rsid w:val="00DC777B"/>
    <w:rsid w:val="00DC7C40"/>
    <w:rsid w:val="00DC7E0E"/>
    <w:rsid w:val="00DD267F"/>
    <w:rsid w:val="00DD30F6"/>
    <w:rsid w:val="00DD38A2"/>
    <w:rsid w:val="00DD4F41"/>
    <w:rsid w:val="00DD5071"/>
    <w:rsid w:val="00DD5C39"/>
    <w:rsid w:val="00DD7257"/>
    <w:rsid w:val="00DE1500"/>
    <w:rsid w:val="00DE1D54"/>
    <w:rsid w:val="00DE53E6"/>
    <w:rsid w:val="00DE5E5D"/>
    <w:rsid w:val="00DE7DB7"/>
    <w:rsid w:val="00DF1811"/>
    <w:rsid w:val="00DF1AEB"/>
    <w:rsid w:val="00DF35BE"/>
    <w:rsid w:val="00DF3624"/>
    <w:rsid w:val="00DF57B1"/>
    <w:rsid w:val="00E00A0A"/>
    <w:rsid w:val="00E00BD5"/>
    <w:rsid w:val="00E0440C"/>
    <w:rsid w:val="00E066BD"/>
    <w:rsid w:val="00E066DE"/>
    <w:rsid w:val="00E067FE"/>
    <w:rsid w:val="00E07F57"/>
    <w:rsid w:val="00E1417D"/>
    <w:rsid w:val="00E15B04"/>
    <w:rsid w:val="00E25E48"/>
    <w:rsid w:val="00E27FF7"/>
    <w:rsid w:val="00E30683"/>
    <w:rsid w:val="00E3151F"/>
    <w:rsid w:val="00E35230"/>
    <w:rsid w:val="00E35C08"/>
    <w:rsid w:val="00E37640"/>
    <w:rsid w:val="00E4356E"/>
    <w:rsid w:val="00E44132"/>
    <w:rsid w:val="00E4417E"/>
    <w:rsid w:val="00E453D8"/>
    <w:rsid w:val="00E45C07"/>
    <w:rsid w:val="00E460F8"/>
    <w:rsid w:val="00E50BCE"/>
    <w:rsid w:val="00E51EAB"/>
    <w:rsid w:val="00E53211"/>
    <w:rsid w:val="00E574BF"/>
    <w:rsid w:val="00E60288"/>
    <w:rsid w:val="00E61044"/>
    <w:rsid w:val="00E61292"/>
    <w:rsid w:val="00E62F6A"/>
    <w:rsid w:val="00E6589E"/>
    <w:rsid w:val="00E66F55"/>
    <w:rsid w:val="00E670D2"/>
    <w:rsid w:val="00E679E3"/>
    <w:rsid w:val="00E70CD3"/>
    <w:rsid w:val="00E7383D"/>
    <w:rsid w:val="00E768A0"/>
    <w:rsid w:val="00E77C4D"/>
    <w:rsid w:val="00E805EA"/>
    <w:rsid w:val="00E81D01"/>
    <w:rsid w:val="00E86F55"/>
    <w:rsid w:val="00E9047D"/>
    <w:rsid w:val="00E92A44"/>
    <w:rsid w:val="00E93FDA"/>
    <w:rsid w:val="00E95040"/>
    <w:rsid w:val="00E95E3E"/>
    <w:rsid w:val="00E969AC"/>
    <w:rsid w:val="00EA10BB"/>
    <w:rsid w:val="00EA3503"/>
    <w:rsid w:val="00EA7434"/>
    <w:rsid w:val="00EB1C5D"/>
    <w:rsid w:val="00EB2DAF"/>
    <w:rsid w:val="00EB5A89"/>
    <w:rsid w:val="00EB66DF"/>
    <w:rsid w:val="00EC37C0"/>
    <w:rsid w:val="00EC4C05"/>
    <w:rsid w:val="00EC6339"/>
    <w:rsid w:val="00EC6B9D"/>
    <w:rsid w:val="00EC6DDB"/>
    <w:rsid w:val="00ED0876"/>
    <w:rsid w:val="00ED4DED"/>
    <w:rsid w:val="00ED7960"/>
    <w:rsid w:val="00EE1C13"/>
    <w:rsid w:val="00EE28A2"/>
    <w:rsid w:val="00EE45D8"/>
    <w:rsid w:val="00EE4BB6"/>
    <w:rsid w:val="00EE61BD"/>
    <w:rsid w:val="00EE6764"/>
    <w:rsid w:val="00EE6CBB"/>
    <w:rsid w:val="00EF129A"/>
    <w:rsid w:val="00F00337"/>
    <w:rsid w:val="00F03F2B"/>
    <w:rsid w:val="00F03FDD"/>
    <w:rsid w:val="00F04190"/>
    <w:rsid w:val="00F04B48"/>
    <w:rsid w:val="00F104C0"/>
    <w:rsid w:val="00F14A62"/>
    <w:rsid w:val="00F1538F"/>
    <w:rsid w:val="00F16E88"/>
    <w:rsid w:val="00F207C7"/>
    <w:rsid w:val="00F22EDA"/>
    <w:rsid w:val="00F246FF"/>
    <w:rsid w:val="00F258C0"/>
    <w:rsid w:val="00F25D2A"/>
    <w:rsid w:val="00F31284"/>
    <w:rsid w:val="00F31904"/>
    <w:rsid w:val="00F326A9"/>
    <w:rsid w:val="00F341D4"/>
    <w:rsid w:val="00F3526B"/>
    <w:rsid w:val="00F355C4"/>
    <w:rsid w:val="00F52E4E"/>
    <w:rsid w:val="00F55339"/>
    <w:rsid w:val="00F55440"/>
    <w:rsid w:val="00F61152"/>
    <w:rsid w:val="00F615E2"/>
    <w:rsid w:val="00F63223"/>
    <w:rsid w:val="00F65EB9"/>
    <w:rsid w:val="00F73FA0"/>
    <w:rsid w:val="00F75113"/>
    <w:rsid w:val="00F768D1"/>
    <w:rsid w:val="00F77307"/>
    <w:rsid w:val="00F80FF4"/>
    <w:rsid w:val="00F81C4A"/>
    <w:rsid w:val="00F844E5"/>
    <w:rsid w:val="00F84DA5"/>
    <w:rsid w:val="00F8785E"/>
    <w:rsid w:val="00F9107F"/>
    <w:rsid w:val="00F95ADF"/>
    <w:rsid w:val="00F96307"/>
    <w:rsid w:val="00F9729C"/>
    <w:rsid w:val="00F976DE"/>
    <w:rsid w:val="00FA4A3C"/>
    <w:rsid w:val="00FA4CA3"/>
    <w:rsid w:val="00FA5598"/>
    <w:rsid w:val="00FA7803"/>
    <w:rsid w:val="00FD3063"/>
    <w:rsid w:val="00FD40AA"/>
    <w:rsid w:val="00FD52D9"/>
    <w:rsid w:val="00FD7DD2"/>
    <w:rsid w:val="00FE0B85"/>
    <w:rsid w:val="00FE2CE8"/>
    <w:rsid w:val="00FE2D2E"/>
    <w:rsid w:val="00FE31CD"/>
    <w:rsid w:val="00FF1967"/>
    <w:rsid w:val="00FF64A3"/>
    <w:rsid w:val="00FF78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DB610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 w:type="paragraph" w:styleId="ListParagraph">
    <w:name w:val="List Paragraph"/>
    <w:basedOn w:val="Normal"/>
    <w:uiPriority w:val="34"/>
    <w:qFormat/>
    <w:rsid w:val="00631F1A"/>
    <w:pPr>
      <w:ind w:left="720"/>
      <w:contextualSpacing/>
    </w:pPr>
  </w:style>
  <w:style w:type="paragraph" w:styleId="NormalWeb">
    <w:name w:val="Normal (Web)"/>
    <w:basedOn w:val="Normal"/>
    <w:uiPriority w:val="99"/>
    <w:unhideWhenUsed/>
    <w:rsid w:val="00E93FDA"/>
    <w:pPr>
      <w:spacing w:before="100" w:beforeAutospacing="1" w:after="100" w:afterAutospacing="1"/>
    </w:pPr>
    <w:rPr>
      <w:rFonts w:eastAsiaTheme="minorEastAsia"/>
    </w:rPr>
  </w:style>
  <w:style w:type="character" w:styleId="Emphasis">
    <w:name w:val="Emphasis"/>
    <w:basedOn w:val="DefaultParagraphFont"/>
    <w:uiPriority w:val="20"/>
    <w:qFormat/>
    <w:rsid w:val="00CA5583"/>
    <w:rPr>
      <w:i/>
      <w:iCs/>
    </w:rPr>
  </w:style>
  <w:style w:type="paragraph" w:customStyle="1" w:styleId="c01pointnumerotealtn">
    <w:name w:val="c01pointnumerotealtn"/>
    <w:basedOn w:val="Normal"/>
    <w:rsid w:val="003C2868"/>
    <w:pPr>
      <w:spacing w:before="100" w:beforeAutospacing="1" w:after="100" w:afterAutospacing="1"/>
    </w:pPr>
  </w:style>
  <w:style w:type="paragraph" w:customStyle="1" w:styleId="CM1">
    <w:name w:val="CM1"/>
    <w:basedOn w:val="Normal"/>
    <w:next w:val="Normal"/>
    <w:uiPriority w:val="99"/>
    <w:rsid w:val="009747E6"/>
    <w:pPr>
      <w:autoSpaceDE w:val="0"/>
      <w:autoSpaceDN w:val="0"/>
      <w:adjustRightInd w:val="0"/>
    </w:pPr>
    <w:rPr>
      <w:rFonts w:ascii="EUAlbertina" w:hAnsi="EUAlbertina"/>
    </w:rPr>
  </w:style>
  <w:style w:type="paragraph" w:customStyle="1" w:styleId="CM3">
    <w:name w:val="CM3"/>
    <w:basedOn w:val="Normal"/>
    <w:next w:val="Normal"/>
    <w:uiPriority w:val="99"/>
    <w:rsid w:val="009747E6"/>
    <w:pPr>
      <w:autoSpaceDE w:val="0"/>
      <w:autoSpaceDN w:val="0"/>
      <w:adjustRightInd w:val="0"/>
    </w:pPr>
    <w:rPr>
      <w:rFonts w:ascii="EUAlbertina" w:hAnsi="EUAlbertina"/>
    </w:rPr>
  </w:style>
  <w:style w:type="paragraph" w:customStyle="1" w:styleId="CM4">
    <w:name w:val="CM4"/>
    <w:basedOn w:val="Normal"/>
    <w:next w:val="Normal"/>
    <w:uiPriority w:val="99"/>
    <w:rsid w:val="009747E6"/>
    <w:pPr>
      <w:autoSpaceDE w:val="0"/>
      <w:autoSpaceDN w:val="0"/>
      <w:adjustRightInd w:val="0"/>
    </w:pPr>
    <w:rPr>
      <w:rFonts w:ascii="EUAlbertina" w:hAnsi="EUAlbertina"/>
    </w:rPr>
  </w:style>
  <w:style w:type="paragraph" w:customStyle="1" w:styleId="p">
    <w:name w:val="p"/>
    <w:basedOn w:val="Normal"/>
    <w:rsid w:val="005968CE"/>
    <w:pPr>
      <w:spacing w:before="100" w:beforeAutospacing="1" w:after="100" w:afterAutospacing="1"/>
    </w:pPr>
  </w:style>
  <w:style w:type="paragraph" w:customStyle="1" w:styleId="BodyA">
    <w:name w:val="Body A"/>
    <w:rsid w:val="00C63923"/>
    <w:pPr>
      <w:spacing w:after="160" w:line="256" w:lineRule="auto"/>
    </w:pPr>
    <w:rPr>
      <w:rFonts w:ascii="Calibri" w:eastAsia="Calibri" w:hAnsi="Calibri" w:cs="Calibri"/>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8161734">
      <w:bodyDiv w:val="1"/>
      <w:marLeft w:val="0"/>
      <w:marRight w:val="0"/>
      <w:marTop w:val="0"/>
      <w:marBottom w:val="0"/>
      <w:divBdr>
        <w:top w:val="none" w:sz="0" w:space="0" w:color="auto"/>
        <w:left w:val="none" w:sz="0" w:space="0" w:color="auto"/>
        <w:bottom w:val="none" w:sz="0" w:space="0" w:color="auto"/>
        <w:right w:val="none" w:sz="0" w:space="0" w:color="auto"/>
      </w:divBdr>
    </w:div>
    <w:div w:id="708845136">
      <w:bodyDiv w:val="1"/>
      <w:marLeft w:val="0"/>
      <w:marRight w:val="0"/>
      <w:marTop w:val="0"/>
      <w:marBottom w:val="0"/>
      <w:divBdr>
        <w:top w:val="none" w:sz="0" w:space="0" w:color="auto"/>
        <w:left w:val="none" w:sz="0" w:space="0" w:color="auto"/>
        <w:bottom w:val="none" w:sz="0" w:space="0" w:color="auto"/>
        <w:right w:val="none" w:sz="0" w:space="0" w:color="auto"/>
      </w:divBdr>
    </w:div>
    <w:div w:id="874973640">
      <w:bodyDiv w:val="1"/>
      <w:marLeft w:val="0"/>
      <w:marRight w:val="0"/>
      <w:marTop w:val="0"/>
      <w:marBottom w:val="0"/>
      <w:divBdr>
        <w:top w:val="none" w:sz="0" w:space="0" w:color="auto"/>
        <w:left w:val="none" w:sz="0" w:space="0" w:color="auto"/>
        <w:bottom w:val="none" w:sz="0" w:space="0" w:color="auto"/>
        <w:right w:val="none" w:sz="0" w:space="0" w:color="auto"/>
      </w:divBdr>
    </w:div>
    <w:div w:id="120980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10985</Words>
  <Characters>53415</Characters>
  <Application>Microsoft Office Word</Application>
  <DocSecurity>0</DocSecurity>
  <Lines>445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2019-02-19T13:22:00Z</dcterms:created>
  <dcterms:modified xsi:type="dcterms:W3CDTF">2019-02-19T13:39:00Z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