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F92FD" w14:textId="77777777" w:rsidR="0073310B" w:rsidRPr="0073310B" w:rsidRDefault="0073310B" w:rsidP="0073310B">
      <w:pPr>
        <w:spacing w:line="360" w:lineRule="auto"/>
        <w:jc w:val="center"/>
        <w:rPr>
          <w:rFonts w:ascii="Book Antiqua" w:hAnsi="Book Antiqua" w:cs="Courier New"/>
          <w:b/>
        </w:rPr>
      </w:pPr>
      <w:r w:rsidRPr="0073310B">
        <w:rPr>
          <w:rFonts w:ascii="Book Antiqua" w:hAnsi="Book Antiqua" w:cs="Courier New"/>
          <w:b/>
        </w:rPr>
        <w:t>IN THE UPPER TRIBUNAL</w:t>
      </w:r>
    </w:p>
    <w:p w14:paraId="37483A8E" w14:textId="77777777" w:rsidR="0073310B" w:rsidRDefault="0073310B" w:rsidP="003A7AE8">
      <w:pPr>
        <w:spacing w:after="0" w:line="240" w:lineRule="auto"/>
        <w:jc w:val="both"/>
        <w:rPr>
          <w:rFonts w:ascii="Book Antiqua" w:hAnsi="Book Antiqua" w:cs="Courier New"/>
        </w:rPr>
      </w:pPr>
      <w:bookmarkStart w:id="0" w:name="_Hlk519697987"/>
    </w:p>
    <w:p w14:paraId="668166CE" w14:textId="48D7B082" w:rsidR="00DF4F44" w:rsidRDefault="00DF4F44" w:rsidP="003A7AE8">
      <w:pPr>
        <w:spacing w:after="0" w:line="240" w:lineRule="auto"/>
        <w:jc w:val="both"/>
        <w:rPr>
          <w:rFonts w:ascii="Book Antiqua" w:hAnsi="Book Antiqua" w:cs="Courier New"/>
        </w:rPr>
      </w:pPr>
      <w:r>
        <w:rPr>
          <w:rFonts w:ascii="Book Antiqua" w:hAnsi="Book Antiqua" w:cs="Courier New"/>
        </w:rPr>
        <w:t>R</w:t>
      </w:r>
      <w:r w:rsidR="003A7AE8">
        <w:rPr>
          <w:rFonts w:ascii="Book Antiqua" w:hAnsi="Book Antiqua" w:cs="Courier New"/>
        </w:rPr>
        <w:t xml:space="preserve"> </w:t>
      </w:r>
      <w:r>
        <w:rPr>
          <w:rFonts w:ascii="Book Antiqua" w:hAnsi="Book Antiqua" w:cs="Courier New"/>
        </w:rPr>
        <w:t>(o</w:t>
      </w:r>
      <w:r w:rsidR="003A7AE8">
        <w:rPr>
          <w:rFonts w:ascii="Book Antiqua" w:hAnsi="Book Antiqua" w:cs="Courier New"/>
        </w:rPr>
        <w:t>n the application of the Secretary of State for the Home Department</w:t>
      </w:r>
      <w:r>
        <w:rPr>
          <w:rFonts w:ascii="Book Antiqua" w:hAnsi="Book Antiqua" w:cs="Courier New"/>
        </w:rPr>
        <w:t>) v F</w:t>
      </w:r>
      <w:r w:rsidR="003A7AE8">
        <w:rPr>
          <w:rFonts w:ascii="Book Antiqua" w:hAnsi="Book Antiqua" w:cs="Courier New"/>
        </w:rPr>
        <w:t>irst-tier Tribunal (Immigration and Asylum Chamber)</w:t>
      </w:r>
      <w:r>
        <w:rPr>
          <w:rFonts w:ascii="Book Antiqua" w:hAnsi="Book Antiqua" w:cs="Courier New"/>
        </w:rPr>
        <w:t xml:space="preserve"> (Litigation Pri</w:t>
      </w:r>
      <w:r w:rsidR="003A7AE8">
        <w:rPr>
          <w:rFonts w:ascii="Book Antiqua" w:hAnsi="Book Antiqua" w:cs="Courier New"/>
        </w:rPr>
        <w:t xml:space="preserve">vilege; First-tier Tribunal) [2018] UKUT </w:t>
      </w:r>
      <w:r w:rsidR="0073310B">
        <w:rPr>
          <w:rFonts w:ascii="Book Antiqua" w:hAnsi="Book Antiqua" w:cs="Courier New"/>
        </w:rPr>
        <w:t>00243</w:t>
      </w:r>
      <w:r w:rsidR="003A7AE8">
        <w:rPr>
          <w:rFonts w:ascii="Book Antiqua" w:hAnsi="Book Antiqua" w:cs="Courier New"/>
        </w:rPr>
        <w:t xml:space="preserve"> (IAC)</w:t>
      </w:r>
    </w:p>
    <w:bookmarkEnd w:id="0"/>
    <w:p w14:paraId="2DA2CF5C" w14:textId="77777777" w:rsidR="003A7AE8" w:rsidRPr="0073310B" w:rsidRDefault="003A7AE8" w:rsidP="003A7AE8">
      <w:pPr>
        <w:spacing w:line="360" w:lineRule="auto"/>
        <w:jc w:val="center"/>
        <w:rPr>
          <w:rFonts w:ascii="Book Antiqua" w:hAnsi="Book Antiqua" w:cs="Courier New"/>
          <w:b/>
        </w:rPr>
      </w:pPr>
    </w:p>
    <w:p w14:paraId="40FCF8F2" w14:textId="5C7BC99A" w:rsidR="00673252" w:rsidRPr="0073310B" w:rsidRDefault="00673252" w:rsidP="00673252">
      <w:pPr>
        <w:spacing w:after="0" w:line="240" w:lineRule="auto"/>
        <w:jc w:val="right"/>
        <w:rPr>
          <w:rFonts w:ascii="Book Antiqua" w:hAnsi="Book Antiqua" w:cs="Courier New"/>
          <w:b/>
          <w:color w:val="000000"/>
        </w:rPr>
      </w:pPr>
      <w:r w:rsidRPr="0073310B">
        <w:rPr>
          <w:rFonts w:ascii="Book Antiqua" w:hAnsi="Book Antiqua" w:cs="Courier New"/>
          <w:b/>
          <w:caps/>
          <w:color w:val="000000"/>
        </w:rPr>
        <w:t>F</w:t>
      </w:r>
      <w:r w:rsidR="003A7AE8" w:rsidRPr="0073310B">
        <w:rPr>
          <w:rFonts w:ascii="Book Antiqua" w:hAnsi="Book Antiqua" w:cs="Courier New"/>
          <w:b/>
          <w:color w:val="000000"/>
        </w:rPr>
        <w:t>ield House</w:t>
      </w:r>
    </w:p>
    <w:p w14:paraId="1A5EC3C2" w14:textId="77777777" w:rsidR="00673252" w:rsidRPr="0073310B" w:rsidRDefault="00673252" w:rsidP="00673252">
      <w:pPr>
        <w:spacing w:after="0" w:line="240" w:lineRule="auto"/>
        <w:jc w:val="right"/>
        <w:rPr>
          <w:rFonts w:ascii="Book Antiqua" w:hAnsi="Book Antiqua" w:cs="Courier New"/>
          <w:b/>
          <w:color w:val="000000"/>
        </w:rPr>
      </w:pPr>
      <w:r w:rsidRPr="0073310B">
        <w:rPr>
          <w:rFonts w:ascii="Book Antiqua" w:hAnsi="Book Antiqua" w:cs="Courier New"/>
          <w:b/>
          <w:color w:val="000000"/>
        </w:rPr>
        <w:t>London</w:t>
      </w:r>
    </w:p>
    <w:p w14:paraId="57108ABF" w14:textId="46F8784A" w:rsidR="00673252" w:rsidRPr="0073310B" w:rsidRDefault="00673252" w:rsidP="00673252">
      <w:pPr>
        <w:spacing w:after="0" w:line="240" w:lineRule="auto"/>
        <w:jc w:val="right"/>
        <w:rPr>
          <w:rFonts w:ascii="Book Antiqua" w:hAnsi="Book Antiqua" w:cs="Courier New"/>
          <w:b/>
        </w:rPr>
      </w:pPr>
      <w:r w:rsidRPr="0073310B">
        <w:rPr>
          <w:rFonts w:ascii="Book Antiqua" w:hAnsi="Book Antiqua" w:cs="Courier New"/>
          <w:b/>
        </w:rPr>
        <w:t>8,</w:t>
      </w:r>
      <w:r w:rsidR="003A7AE8" w:rsidRPr="0073310B">
        <w:rPr>
          <w:rFonts w:ascii="Book Antiqua" w:hAnsi="Book Antiqua" w:cs="Courier New"/>
          <w:b/>
        </w:rPr>
        <w:t xml:space="preserve"> </w:t>
      </w:r>
      <w:r w:rsidRPr="0073310B">
        <w:rPr>
          <w:rFonts w:ascii="Book Antiqua" w:hAnsi="Book Antiqua" w:cs="Courier New"/>
          <w:b/>
        </w:rPr>
        <w:t>9 February and 30 April 2018</w:t>
      </w:r>
    </w:p>
    <w:p w14:paraId="30A7AC63" w14:textId="77777777" w:rsidR="00673252" w:rsidRDefault="00673252" w:rsidP="00673252">
      <w:pPr>
        <w:spacing w:line="360" w:lineRule="auto"/>
        <w:jc w:val="center"/>
        <w:rPr>
          <w:rFonts w:ascii="Book Antiqua" w:hAnsi="Book Antiqua" w:cs="Courier New"/>
          <w:b/>
          <w:caps/>
        </w:rPr>
      </w:pPr>
    </w:p>
    <w:p w14:paraId="2B8D1421" w14:textId="0E433E82" w:rsidR="00673252" w:rsidRDefault="0073310B" w:rsidP="00673252">
      <w:pPr>
        <w:spacing w:line="360" w:lineRule="auto"/>
        <w:jc w:val="center"/>
        <w:rPr>
          <w:rFonts w:ascii="Book Antiqua" w:hAnsi="Book Antiqua" w:cs="Courier New"/>
          <w:b/>
        </w:rPr>
      </w:pPr>
      <w:r w:rsidRPr="000A5273">
        <w:rPr>
          <w:rFonts w:ascii="Book Antiqua" w:hAnsi="Book Antiqua" w:cs="Courier New"/>
          <w:b/>
        </w:rPr>
        <w:t>Before</w:t>
      </w:r>
    </w:p>
    <w:p w14:paraId="44C1C1D1" w14:textId="77777777" w:rsidR="0073310B" w:rsidRPr="000A5273" w:rsidRDefault="0073310B" w:rsidP="0073310B">
      <w:pPr>
        <w:spacing w:after="0" w:line="240" w:lineRule="auto"/>
        <w:jc w:val="center"/>
        <w:rPr>
          <w:rFonts w:ascii="Book Antiqua" w:hAnsi="Book Antiqua" w:cs="Courier New"/>
          <w:b/>
          <w:caps/>
        </w:rPr>
      </w:pPr>
    </w:p>
    <w:p w14:paraId="5E49F860" w14:textId="77777777" w:rsidR="00673252" w:rsidRDefault="00731DBD" w:rsidP="0073310B">
      <w:pPr>
        <w:spacing w:after="0" w:line="240" w:lineRule="auto"/>
        <w:jc w:val="center"/>
        <w:rPr>
          <w:rFonts w:ascii="Book Antiqua" w:hAnsi="Book Antiqua" w:cs="Courier New"/>
          <w:b/>
          <w:color w:val="000000"/>
        </w:rPr>
      </w:pPr>
      <w:r>
        <w:rPr>
          <w:rFonts w:ascii="Book Antiqua" w:hAnsi="Book Antiqua" w:cs="Courier New"/>
          <w:b/>
          <w:color w:val="000000"/>
        </w:rPr>
        <w:t xml:space="preserve">MR JUSTICE LANE, </w:t>
      </w:r>
      <w:r w:rsidR="00673252">
        <w:rPr>
          <w:rFonts w:ascii="Book Antiqua" w:hAnsi="Book Antiqua" w:cs="Courier New"/>
          <w:b/>
          <w:color w:val="000000"/>
        </w:rPr>
        <w:t>PRESIDENT OF THE UPPER TRIBUNAL</w:t>
      </w:r>
    </w:p>
    <w:p w14:paraId="56CA522A" w14:textId="77777777" w:rsidR="00673252" w:rsidRDefault="00673252" w:rsidP="0073310B">
      <w:pPr>
        <w:spacing w:after="0" w:line="240" w:lineRule="auto"/>
        <w:jc w:val="center"/>
        <w:rPr>
          <w:rFonts w:ascii="Book Antiqua" w:hAnsi="Book Antiqua" w:cs="Courier New"/>
          <w:b/>
          <w:caps/>
          <w:color w:val="000000"/>
        </w:rPr>
      </w:pPr>
      <w:r w:rsidRPr="000A5273">
        <w:rPr>
          <w:rFonts w:ascii="Book Antiqua" w:hAnsi="Book Antiqua" w:cs="Courier New"/>
          <w:b/>
          <w:color w:val="000000"/>
        </w:rPr>
        <w:t xml:space="preserve">UPPER TRIBUNAL JUDGE </w:t>
      </w:r>
      <w:r w:rsidRPr="000A5273">
        <w:rPr>
          <w:rFonts w:ascii="Book Antiqua" w:hAnsi="Book Antiqua" w:cs="Courier New"/>
          <w:b/>
          <w:caps/>
          <w:color w:val="000000"/>
        </w:rPr>
        <w:t>rintoul</w:t>
      </w:r>
    </w:p>
    <w:p w14:paraId="1528D003" w14:textId="77777777" w:rsidR="0073310B" w:rsidRDefault="0073310B" w:rsidP="00AB3A33">
      <w:pPr>
        <w:spacing w:line="360" w:lineRule="auto"/>
        <w:jc w:val="center"/>
        <w:rPr>
          <w:rFonts w:ascii="Book Antiqua" w:hAnsi="Book Antiqua" w:cs="Courier New"/>
          <w:b/>
        </w:rPr>
      </w:pPr>
    </w:p>
    <w:p w14:paraId="2ABF068D" w14:textId="49A42C46" w:rsidR="00673252" w:rsidRDefault="00673252" w:rsidP="00AB3A33">
      <w:pPr>
        <w:spacing w:line="360" w:lineRule="auto"/>
        <w:jc w:val="center"/>
        <w:rPr>
          <w:rFonts w:ascii="Book Antiqua" w:hAnsi="Book Antiqua" w:cs="Courier New"/>
          <w:b/>
        </w:rPr>
      </w:pPr>
      <w:r w:rsidRPr="000A5273">
        <w:rPr>
          <w:rFonts w:ascii="Book Antiqua" w:hAnsi="Book Antiqua" w:cs="Courier New"/>
          <w:b/>
        </w:rPr>
        <w:t>Between</w:t>
      </w:r>
    </w:p>
    <w:p w14:paraId="3A4348DB" w14:textId="77777777" w:rsidR="0073310B" w:rsidRPr="000A5273" w:rsidRDefault="0073310B" w:rsidP="0073310B">
      <w:pPr>
        <w:spacing w:after="0" w:line="240" w:lineRule="auto"/>
        <w:jc w:val="center"/>
        <w:rPr>
          <w:rFonts w:ascii="Book Antiqua" w:hAnsi="Book Antiqua" w:cs="Courier New"/>
          <w:b/>
        </w:rPr>
      </w:pPr>
    </w:p>
    <w:p w14:paraId="7D6B1B45" w14:textId="77777777" w:rsidR="00673252" w:rsidRPr="000A5273" w:rsidRDefault="00673252" w:rsidP="0073310B">
      <w:pPr>
        <w:spacing w:after="0" w:line="240" w:lineRule="auto"/>
        <w:jc w:val="center"/>
        <w:rPr>
          <w:rFonts w:ascii="Book Antiqua" w:hAnsi="Book Antiqua" w:cs="Courier New"/>
          <w:b/>
        </w:rPr>
      </w:pPr>
      <w:r>
        <w:rPr>
          <w:rFonts w:ascii="Book Antiqua" w:hAnsi="Book Antiqua" w:cs="Courier New"/>
          <w:b/>
          <w:caps/>
          <w:color w:val="000000"/>
        </w:rPr>
        <w:t>SECRETARY OF STATE FOR THE HOME DEPARTMENT</w:t>
      </w:r>
    </w:p>
    <w:p w14:paraId="11023449" w14:textId="77777777" w:rsidR="00673252" w:rsidRPr="0073310B" w:rsidRDefault="00673252" w:rsidP="0073310B">
      <w:pPr>
        <w:spacing w:after="0" w:line="240" w:lineRule="auto"/>
        <w:jc w:val="right"/>
        <w:rPr>
          <w:rFonts w:ascii="Book Antiqua" w:hAnsi="Book Antiqua" w:cs="Courier New"/>
          <w:u w:val="single"/>
        </w:rPr>
      </w:pPr>
      <w:r w:rsidRPr="0073310B">
        <w:rPr>
          <w:rFonts w:ascii="Book Antiqua" w:hAnsi="Book Antiqua" w:cs="Courier New"/>
          <w:u w:val="single"/>
        </w:rPr>
        <w:t>Applicant</w:t>
      </w:r>
    </w:p>
    <w:p w14:paraId="1C9C7EB5" w14:textId="77777777" w:rsidR="00673252" w:rsidRDefault="00673252" w:rsidP="00673252">
      <w:pPr>
        <w:spacing w:line="360" w:lineRule="auto"/>
        <w:jc w:val="center"/>
        <w:rPr>
          <w:rFonts w:ascii="Book Antiqua" w:hAnsi="Book Antiqua" w:cs="Courier New"/>
          <w:b/>
        </w:rPr>
      </w:pPr>
    </w:p>
    <w:p w14:paraId="3AB5A358" w14:textId="77777777" w:rsidR="00673252" w:rsidRPr="000A5273" w:rsidRDefault="00673252" w:rsidP="00673252">
      <w:pPr>
        <w:spacing w:after="0" w:line="240" w:lineRule="auto"/>
        <w:jc w:val="center"/>
        <w:rPr>
          <w:rFonts w:ascii="Book Antiqua" w:hAnsi="Book Antiqua" w:cs="Courier New"/>
          <w:b/>
        </w:rPr>
      </w:pPr>
      <w:r w:rsidRPr="000A5273">
        <w:rPr>
          <w:rFonts w:ascii="Book Antiqua" w:hAnsi="Book Antiqua" w:cs="Courier New"/>
          <w:b/>
        </w:rPr>
        <w:t>and</w:t>
      </w:r>
    </w:p>
    <w:p w14:paraId="65484CA5" w14:textId="1BF3211A" w:rsidR="00673252" w:rsidRDefault="00673252" w:rsidP="00673252">
      <w:pPr>
        <w:spacing w:after="0" w:line="240" w:lineRule="auto"/>
        <w:jc w:val="center"/>
        <w:rPr>
          <w:rFonts w:ascii="Book Antiqua" w:hAnsi="Book Antiqua" w:cs="Courier New"/>
          <w:b/>
        </w:rPr>
      </w:pPr>
    </w:p>
    <w:p w14:paraId="5949B397" w14:textId="77777777" w:rsidR="0073310B" w:rsidRDefault="0073310B" w:rsidP="00673252">
      <w:pPr>
        <w:spacing w:after="0" w:line="240" w:lineRule="auto"/>
        <w:jc w:val="center"/>
        <w:rPr>
          <w:rFonts w:ascii="Book Antiqua" w:hAnsi="Book Antiqua" w:cs="Courier New"/>
          <w:b/>
        </w:rPr>
      </w:pPr>
    </w:p>
    <w:p w14:paraId="284E9D21" w14:textId="57853A6E" w:rsidR="00673252" w:rsidRPr="000A5273" w:rsidRDefault="00673252" w:rsidP="00673252">
      <w:pPr>
        <w:spacing w:after="0" w:line="240" w:lineRule="auto"/>
        <w:jc w:val="center"/>
        <w:rPr>
          <w:rFonts w:ascii="Book Antiqua" w:hAnsi="Book Antiqua" w:cs="Courier New"/>
          <w:b/>
        </w:rPr>
      </w:pPr>
      <w:r>
        <w:rPr>
          <w:rFonts w:ascii="Book Antiqua" w:hAnsi="Book Antiqua" w:cs="Courier New"/>
          <w:b/>
        </w:rPr>
        <w:t>FIRST-TIER TRIBUNAL</w:t>
      </w:r>
      <w:r w:rsidR="003A7AE8">
        <w:rPr>
          <w:rFonts w:ascii="Book Antiqua" w:hAnsi="Book Antiqua" w:cs="Courier New"/>
          <w:b/>
        </w:rPr>
        <w:t xml:space="preserve"> </w:t>
      </w:r>
      <w:r>
        <w:rPr>
          <w:rFonts w:ascii="Book Antiqua" w:hAnsi="Book Antiqua" w:cs="Courier New"/>
          <w:b/>
        </w:rPr>
        <w:t>(IMMIGRATION AND ASYLUM CHAMBER)</w:t>
      </w:r>
    </w:p>
    <w:p w14:paraId="6AEEB7AE" w14:textId="77777777" w:rsidR="00673252" w:rsidRPr="0073310B" w:rsidRDefault="00673252" w:rsidP="00673252">
      <w:pPr>
        <w:spacing w:after="0" w:line="240" w:lineRule="auto"/>
        <w:jc w:val="right"/>
        <w:rPr>
          <w:rFonts w:ascii="Book Antiqua" w:hAnsi="Book Antiqua" w:cs="Courier New"/>
          <w:u w:val="single"/>
        </w:rPr>
      </w:pPr>
      <w:r w:rsidRPr="0073310B">
        <w:rPr>
          <w:rFonts w:ascii="Book Antiqua" w:hAnsi="Book Antiqua" w:cs="Courier New"/>
          <w:u w:val="single"/>
        </w:rPr>
        <w:t>Respondent</w:t>
      </w:r>
    </w:p>
    <w:p w14:paraId="63096CFE" w14:textId="77777777" w:rsidR="00673252" w:rsidRDefault="00673252" w:rsidP="00673252">
      <w:pPr>
        <w:spacing w:after="0" w:line="240" w:lineRule="auto"/>
        <w:jc w:val="right"/>
        <w:rPr>
          <w:rFonts w:ascii="Book Antiqua" w:hAnsi="Book Antiqua" w:cs="Courier New"/>
        </w:rPr>
      </w:pPr>
    </w:p>
    <w:p w14:paraId="7BA743EE" w14:textId="77777777" w:rsidR="00673252" w:rsidRDefault="00673252" w:rsidP="00673252">
      <w:pPr>
        <w:spacing w:after="0" w:line="240" w:lineRule="auto"/>
        <w:jc w:val="right"/>
        <w:rPr>
          <w:rFonts w:ascii="Book Antiqua" w:hAnsi="Book Antiqua" w:cs="Courier New"/>
        </w:rPr>
      </w:pPr>
    </w:p>
    <w:p w14:paraId="5AE604BC" w14:textId="273BA8E3" w:rsidR="00673252" w:rsidRDefault="00673252" w:rsidP="000F04A4">
      <w:pPr>
        <w:spacing w:after="0" w:line="240" w:lineRule="auto"/>
        <w:jc w:val="center"/>
        <w:rPr>
          <w:rFonts w:ascii="Book Antiqua" w:hAnsi="Book Antiqua" w:cs="Courier New"/>
          <w:b/>
        </w:rPr>
      </w:pPr>
      <w:r w:rsidRPr="000F04A4">
        <w:rPr>
          <w:rFonts w:ascii="Book Antiqua" w:hAnsi="Book Antiqua" w:cs="Courier New"/>
          <w:b/>
        </w:rPr>
        <w:t>W</w:t>
      </w:r>
      <w:r w:rsidR="007F4504">
        <w:rPr>
          <w:rFonts w:ascii="Book Antiqua" w:hAnsi="Book Antiqua" w:cs="Courier New"/>
          <w:b/>
        </w:rPr>
        <w:t>M</w:t>
      </w:r>
    </w:p>
    <w:p w14:paraId="45508321" w14:textId="03D48AE6" w:rsidR="00673252" w:rsidRPr="0073310B" w:rsidRDefault="0073310B" w:rsidP="000F04A4">
      <w:pPr>
        <w:spacing w:after="0" w:line="240" w:lineRule="auto"/>
        <w:jc w:val="center"/>
        <w:rPr>
          <w:rFonts w:ascii="Book Antiqua" w:hAnsi="Book Antiqua" w:cs="Courier New"/>
        </w:rPr>
      </w:pPr>
      <w:r w:rsidRPr="0073310B">
        <w:rPr>
          <w:rFonts w:ascii="Book Antiqua" w:hAnsi="Book Antiqua" w:cs="Courier New"/>
        </w:rPr>
        <w:t>(ANONYMITY ORDER MADE)</w:t>
      </w:r>
    </w:p>
    <w:p w14:paraId="3CC352DE" w14:textId="77777777" w:rsidR="00673252" w:rsidRPr="0073310B" w:rsidRDefault="00673252" w:rsidP="00673252">
      <w:pPr>
        <w:spacing w:after="0" w:line="240" w:lineRule="auto"/>
        <w:jc w:val="right"/>
        <w:rPr>
          <w:rFonts w:ascii="Book Antiqua" w:hAnsi="Book Antiqua" w:cs="Courier New"/>
          <w:u w:val="single"/>
        </w:rPr>
      </w:pPr>
      <w:r w:rsidRPr="0073310B">
        <w:rPr>
          <w:rFonts w:ascii="Book Antiqua" w:hAnsi="Book Antiqua" w:cs="Courier New"/>
          <w:u w:val="single"/>
        </w:rPr>
        <w:t>Interested Party</w:t>
      </w:r>
    </w:p>
    <w:p w14:paraId="2C4EEC3C" w14:textId="77777777" w:rsidR="00673252" w:rsidRDefault="00673252" w:rsidP="00673252">
      <w:pPr>
        <w:tabs>
          <w:tab w:val="center" w:pos="4585"/>
        </w:tabs>
        <w:suppressAutoHyphens/>
        <w:spacing w:after="0" w:line="240" w:lineRule="auto"/>
        <w:jc w:val="center"/>
        <w:rPr>
          <w:rFonts w:ascii="Book Antiqua" w:hAnsi="Book Antiqua" w:cs="Courier New"/>
        </w:rPr>
      </w:pPr>
    </w:p>
    <w:p w14:paraId="6AC98E9D" w14:textId="77777777" w:rsidR="00673252" w:rsidRPr="000A5273" w:rsidRDefault="00673252" w:rsidP="00673252">
      <w:pPr>
        <w:tabs>
          <w:tab w:val="center" w:pos="4585"/>
        </w:tabs>
        <w:suppressAutoHyphens/>
        <w:spacing w:after="0" w:line="240" w:lineRule="auto"/>
        <w:jc w:val="center"/>
        <w:rPr>
          <w:rFonts w:ascii="Book Antiqua" w:hAnsi="Book Antiqua" w:cs="Courier New"/>
        </w:rPr>
      </w:pPr>
    </w:p>
    <w:p w14:paraId="51710E8D" w14:textId="77777777" w:rsidR="00673252" w:rsidRPr="000A5273" w:rsidRDefault="00673252" w:rsidP="00494A84">
      <w:pPr>
        <w:tabs>
          <w:tab w:val="left" w:pos="-720"/>
        </w:tabs>
        <w:suppressAutoHyphens/>
        <w:spacing w:after="0" w:line="240" w:lineRule="auto"/>
        <w:jc w:val="both"/>
        <w:rPr>
          <w:rFonts w:ascii="Book Antiqua" w:hAnsi="Book Antiqua" w:cs="Courier New"/>
        </w:rPr>
      </w:pPr>
      <w:r>
        <w:rPr>
          <w:rFonts w:ascii="Book Antiqua" w:hAnsi="Book Antiqua" w:cs="Courier New"/>
        </w:rPr>
        <w:t xml:space="preserve">Ms C Patry and Mr M </w:t>
      </w:r>
      <w:r w:rsidR="007B305C">
        <w:rPr>
          <w:rFonts w:ascii="Book Antiqua" w:hAnsi="Book Antiqua" w:cs="Courier New"/>
        </w:rPr>
        <w:t>Henderson</w:t>
      </w:r>
      <w:r w:rsidRPr="000A5273">
        <w:rPr>
          <w:rFonts w:ascii="Book Antiqua" w:hAnsi="Book Antiqua" w:cs="Courier New"/>
        </w:rPr>
        <w:t xml:space="preserve"> instructed by </w:t>
      </w:r>
      <w:r>
        <w:rPr>
          <w:rFonts w:ascii="Book Antiqua" w:hAnsi="Book Antiqua" w:cs="Courier New"/>
        </w:rPr>
        <w:t xml:space="preserve">the Government Legal Department, </w:t>
      </w:r>
      <w:r w:rsidRPr="000A5273">
        <w:rPr>
          <w:rFonts w:ascii="Book Antiqua" w:hAnsi="Book Antiqua" w:cs="Courier New"/>
        </w:rPr>
        <w:t>on behalf of the Applicant.</w:t>
      </w:r>
    </w:p>
    <w:p w14:paraId="79481840" w14:textId="77777777" w:rsidR="007B305C" w:rsidRDefault="007B305C" w:rsidP="00494A84">
      <w:pPr>
        <w:tabs>
          <w:tab w:val="left" w:pos="-720"/>
        </w:tabs>
        <w:suppressAutoHyphens/>
        <w:spacing w:after="0" w:line="240" w:lineRule="auto"/>
        <w:jc w:val="both"/>
        <w:rPr>
          <w:rFonts w:ascii="Book Antiqua" w:hAnsi="Book Antiqua" w:cs="Courier New"/>
        </w:rPr>
      </w:pPr>
    </w:p>
    <w:p w14:paraId="5DD75811" w14:textId="1C910273" w:rsidR="00673252" w:rsidRDefault="00673252" w:rsidP="00494A84">
      <w:pPr>
        <w:tabs>
          <w:tab w:val="left" w:pos="-720"/>
        </w:tabs>
        <w:suppressAutoHyphens/>
        <w:spacing w:after="0" w:line="240" w:lineRule="auto"/>
        <w:jc w:val="both"/>
        <w:rPr>
          <w:rFonts w:ascii="Book Antiqua" w:hAnsi="Book Antiqua" w:cs="Courier New"/>
        </w:rPr>
      </w:pPr>
      <w:r>
        <w:rPr>
          <w:rFonts w:ascii="Book Antiqua" w:hAnsi="Book Antiqua" w:cs="Courier New"/>
        </w:rPr>
        <w:t>Ms S Harrison QC and Mr</w:t>
      </w:r>
      <w:r w:rsidR="00E704FC">
        <w:rPr>
          <w:rFonts w:ascii="Book Antiqua" w:hAnsi="Book Antiqua" w:cs="Courier New"/>
        </w:rPr>
        <w:t xml:space="preserve"> E Grieves</w:t>
      </w:r>
      <w:r w:rsidRPr="000A5273">
        <w:rPr>
          <w:rFonts w:ascii="Book Antiqua" w:hAnsi="Book Antiqua" w:cs="Courier New"/>
        </w:rPr>
        <w:t xml:space="preserve">, instructed by </w:t>
      </w:r>
      <w:r>
        <w:rPr>
          <w:rFonts w:ascii="Book Antiqua" w:hAnsi="Book Antiqua" w:cs="Courier New"/>
        </w:rPr>
        <w:t>Birnberg Pe</w:t>
      </w:r>
      <w:r w:rsidR="007F4504">
        <w:rPr>
          <w:rFonts w:ascii="Book Antiqua" w:hAnsi="Book Antiqua" w:cs="Courier New"/>
        </w:rPr>
        <w:t>i</w:t>
      </w:r>
      <w:r>
        <w:rPr>
          <w:rFonts w:ascii="Book Antiqua" w:hAnsi="Book Antiqua" w:cs="Courier New"/>
        </w:rPr>
        <w:t xml:space="preserve">rce solicitors </w:t>
      </w:r>
      <w:r w:rsidRPr="000A5273">
        <w:rPr>
          <w:rFonts w:ascii="Book Antiqua" w:hAnsi="Book Antiqua" w:cs="Courier New"/>
        </w:rPr>
        <w:t xml:space="preserve">on behalf of the </w:t>
      </w:r>
      <w:r>
        <w:rPr>
          <w:rFonts w:ascii="Book Antiqua" w:hAnsi="Book Antiqua" w:cs="Courier New"/>
        </w:rPr>
        <w:t>Interested Party</w:t>
      </w:r>
    </w:p>
    <w:p w14:paraId="295A7817" w14:textId="77777777" w:rsidR="00673252" w:rsidRDefault="00673252" w:rsidP="00494A84">
      <w:pPr>
        <w:tabs>
          <w:tab w:val="left" w:pos="-720"/>
        </w:tabs>
        <w:suppressAutoHyphens/>
        <w:spacing w:after="0" w:line="240" w:lineRule="auto"/>
        <w:jc w:val="both"/>
        <w:rPr>
          <w:rFonts w:ascii="Book Antiqua" w:hAnsi="Book Antiqua" w:cs="Courier New"/>
        </w:rPr>
      </w:pPr>
    </w:p>
    <w:p w14:paraId="0EBDE41F" w14:textId="77777777" w:rsidR="00673252" w:rsidRPr="000A5273" w:rsidRDefault="00673252" w:rsidP="00494A84">
      <w:pPr>
        <w:tabs>
          <w:tab w:val="left" w:pos="-720"/>
        </w:tabs>
        <w:suppressAutoHyphens/>
        <w:spacing w:after="0" w:line="240" w:lineRule="auto"/>
        <w:jc w:val="both"/>
        <w:rPr>
          <w:rFonts w:ascii="Book Antiqua" w:hAnsi="Book Antiqua" w:cs="Courier New"/>
        </w:rPr>
      </w:pPr>
      <w:r>
        <w:rPr>
          <w:rFonts w:ascii="Book Antiqua" w:hAnsi="Book Antiqua" w:cs="Courier New"/>
        </w:rPr>
        <w:t>The Respondent was not represented</w:t>
      </w:r>
    </w:p>
    <w:p w14:paraId="25E543F8" w14:textId="03A83CD2" w:rsidR="00673252" w:rsidRDefault="00673252" w:rsidP="00673252">
      <w:pPr>
        <w:tabs>
          <w:tab w:val="left" w:pos="2835"/>
          <w:tab w:val="center" w:pos="4585"/>
        </w:tabs>
        <w:suppressAutoHyphens/>
        <w:jc w:val="center"/>
        <w:rPr>
          <w:rFonts w:ascii="Book Antiqua" w:hAnsi="Book Antiqua" w:cs="Courier New"/>
        </w:rPr>
      </w:pPr>
    </w:p>
    <w:p w14:paraId="403249E5" w14:textId="77777777" w:rsidR="00494A84" w:rsidRPr="00DF4F44" w:rsidRDefault="00494A84" w:rsidP="00494A84">
      <w:pPr>
        <w:pStyle w:val="ListParagraph"/>
        <w:numPr>
          <w:ilvl w:val="0"/>
          <w:numId w:val="8"/>
        </w:numPr>
        <w:ind w:hanging="720"/>
        <w:jc w:val="both"/>
        <w:rPr>
          <w:i/>
        </w:rPr>
      </w:pPr>
      <w:bookmarkStart w:id="1" w:name="_Hlk519698062"/>
      <w:r w:rsidRPr="00DF4F44">
        <w:rPr>
          <w:rFonts w:ascii="Book Antiqua" w:hAnsi="Book Antiqua"/>
          <w:i/>
          <w:sz w:val="24"/>
          <w:szCs w:val="24"/>
        </w:rPr>
        <w:t xml:space="preserve">Whether or not to entertain an application for judicial review is a matter that falls within the Upper Tribunal’s discretion, applying well-known principles that apply also in the High Court. Where there is an alternative remedy it would only be in the rarest </w:t>
      </w:r>
      <w:r w:rsidRPr="00DF4F44">
        <w:rPr>
          <w:rFonts w:ascii="Book Antiqua" w:hAnsi="Book Antiqua"/>
          <w:i/>
          <w:sz w:val="24"/>
          <w:szCs w:val="24"/>
        </w:rPr>
        <w:lastRenderedPageBreak/>
        <w:t>of cases that the Upper Tribunal would consider exercising its jurisdiction to grant permission to bring judicial review proceedings.</w:t>
      </w:r>
    </w:p>
    <w:p w14:paraId="6449A610" w14:textId="77777777" w:rsidR="00494A84" w:rsidRPr="00DF4F44" w:rsidRDefault="00494A84" w:rsidP="00494A84">
      <w:pPr>
        <w:pStyle w:val="ListParagraph"/>
        <w:jc w:val="both"/>
        <w:rPr>
          <w:i/>
        </w:rPr>
      </w:pPr>
    </w:p>
    <w:p w14:paraId="7874A5C6" w14:textId="509963F3" w:rsidR="00494A84" w:rsidRDefault="00494A84" w:rsidP="00494A84">
      <w:pPr>
        <w:pStyle w:val="ListParagraph"/>
        <w:numPr>
          <w:ilvl w:val="0"/>
          <w:numId w:val="8"/>
        </w:numPr>
        <w:ind w:hanging="720"/>
        <w:jc w:val="both"/>
        <w:rPr>
          <w:rFonts w:ascii="Book Antiqua" w:hAnsi="Book Antiqua"/>
          <w:i/>
          <w:sz w:val="24"/>
          <w:szCs w:val="24"/>
        </w:rPr>
      </w:pPr>
      <w:r w:rsidRPr="00DF4F44">
        <w:rPr>
          <w:rFonts w:ascii="Book Antiqua" w:hAnsi="Book Antiqua"/>
          <w:i/>
          <w:sz w:val="24"/>
          <w:szCs w:val="24"/>
        </w:rPr>
        <w:t>There is a high threshold to be overcome before the Upper Tribunal will entertain an application for judicial review in challenging a</w:t>
      </w:r>
      <w:r>
        <w:rPr>
          <w:rFonts w:ascii="Book Antiqua" w:hAnsi="Book Antiqua"/>
          <w:i/>
          <w:sz w:val="24"/>
          <w:szCs w:val="24"/>
        </w:rPr>
        <w:t>n interlocutory</w:t>
      </w:r>
      <w:r w:rsidRPr="00DF4F44">
        <w:rPr>
          <w:rFonts w:ascii="Book Antiqua" w:hAnsi="Book Antiqua"/>
          <w:i/>
          <w:sz w:val="24"/>
          <w:szCs w:val="24"/>
        </w:rPr>
        <w:t xml:space="preserve"> decision of the FtT. Once the very high threshold is met </w:t>
      </w:r>
      <w:r>
        <w:rPr>
          <w:rFonts w:ascii="Book Antiqua" w:hAnsi="Book Antiqua"/>
          <w:i/>
          <w:sz w:val="24"/>
          <w:szCs w:val="24"/>
        </w:rPr>
        <w:t>it</w:t>
      </w:r>
      <w:r w:rsidRPr="00DF4F44">
        <w:rPr>
          <w:rFonts w:ascii="Book Antiqua" w:hAnsi="Book Antiqua"/>
          <w:i/>
          <w:sz w:val="24"/>
          <w:szCs w:val="24"/>
        </w:rPr>
        <w:t xml:space="preserve"> is not necessary for each of the grounds to reach that threshold</w:t>
      </w:r>
      <w:r>
        <w:rPr>
          <w:rFonts w:ascii="Book Antiqua" w:hAnsi="Book Antiqua"/>
          <w:i/>
          <w:sz w:val="24"/>
          <w:szCs w:val="24"/>
        </w:rPr>
        <w:t>.</w:t>
      </w:r>
    </w:p>
    <w:p w14:paraId="2E08A7B3" w14:textId="77777777" w:rsidR="00494A84" w:rsidRPr="00DF4F44" w:rsidRDefault="00494A84" w:rsidP="00494A84">
      <w:pPr>
        <w:pStyle w:val="ListParagraph"/>
        <w:jc w:val="both"/>
        <w:rPr>
          <w:rFonts w:ascii="Book Antiqua" w:hAnsi="Book Antiqua"/>
          <w:i/>
          <w:sz w:val="24"/>
          <w:szCs w:val="24"/>
        </w:rPr>
      </w:pPr>
    </w:p>
    <w:p w14:paraId="1D1640CA" w14:textId="279C4FB9" w:rsidR="00494A84" w:rsidRPr="00DF4F44" w:rsidRDefault="00494A84" w:rsidP="00494A84">
      <w:pPr>
        <w:pStyle w:val="ListParagraph"/>
        <w:numPr>
          <w:ilvl w:val="0"/>
          <w:numId w:val="8"/>
        </w:numPr>
        <w:ind w:hanging="720"/>
        <w:jc w:val="both"/>
        <w:rPr>
          <w:rFonts w:ascii="Book Antiqua" w:hAnsi="Book Antiqua"/>
          <w:i/>
          <w:sz w:val="24"/>
          <w:szCs w:val="24"/>
        </w:rPr>
      </w:pPr>
      <w:r w:rsidRPr="00DF4F44">
        <w:rPr>
          <w:rFonts w:ascii="Book Antiqua" w:hAnsi="Book Antiqua"/>
          <w:i/>
          <w:sz w:val="24"/>
          <w:szCs w:val="24"/>
        </w:rPr>
        <w:t>Litigation privilege attaches to communications between a client and/or his lawyer and third parties for the purpose of litigation. It entitles the privileged party not to disclose information even if it is relevant to the issues to be determined in a court or tribunal. Proceedings in the First-tier Tribunal are sufficiently adversarial in nature to give rise to litigation privilege. The fact that human rights issues are in play does not mean litigation privilege has to be balanced against those issues</w:t>
      </w:r>
    </w:p>
    <w:p w14:paraId="6831EEB2" w14:textId="77777777" w:rsidR="00494A84" w:rsidRDefault="00494A84" w:rsidP="00494A84">
      <w:pPr>
        <w:tabs>
          <w:tab w:val="left" w:pos="2835"/>
          <w:tab w:val="center" w:pos="4585"/>
        </w:tabs>
        <w:suppressAutoHyphens/>
        <w:jc w:val="both"/>
        <w:rPr>
          <w:rFonts w:ascii="Book Antiqua" w:hAnsi="Book Antiqua" w:cs="Courier New"/>
        </w:rPr>
      </w:pPr>
    </w:p>
    <w:bookmarkEnd w:id="1"/>
    <w:p w14:paraId="676D383D" w14:textId="77777777" w:rsidR="00673252" w:rsidRPr="00ED048F" w:rsidRDefault="00673252" w:rsidP="00673252">
      <w:pPr>
        <w:tabs>
          <w:tab w:val="left" w:pos="2835"/>
          <w:tab w:val="center" w:pos="4585"/>
        </w:tabs>
        <w:suppressAutoHyphens/>
        <w:jc w:val="center"/>
        <w:rPr>
          <w:rFonts w:ascii="Book Antiqua" w:hAnsi="Book Antiqua" w:cs="Courier New"/>
        </w:rPr>
      </w:pP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r>
    </w:p>
    <w:p w14:paraId="6413705F" w14:textId="77777777" w:rsidR="00673252" w:rsidRPr="00ED048F" w:rsidRDefault="00673252" w:rsidP="00673252">
      <w:pPr>
        <w:jc w:val="center"/>
        <w:rPr>
          <w:rFonts w:ascii="Book Antiqua" w:hAnsi="Book Antiqua" w:cs="Courier New"/>
          <w:b/>
        </w:rPr>
      </w:pPr>
      <w:r w:rsidRPr="000A5273">
        <w:rPr>
          <w:rFonts w:ascii="Book Antiqua" w:hAnsi="Book Antiqua" w:cs="Courier New"/>
          <w:b/>
        </w:rPr>
        <w:t>JUDGMENT</w:t>
      </w:r>
    </w:p>
    <w:p w14:paraId="58CAE226" w14:textId="77777777" w:rsidR="00673252" w:rsidRPr="000A5273" w:rsidRDefault="00673252" w:rsidP="00673252">
      <w:pPr>
        <w:tabs>
          <w:tab w:val="left" w:pos="2835"/>
          <w:tab w:val="center" w:pos="4585"/>
        </w:tabs>
        <w:suppressAutoHyphens/>
        <w:spacing w:after="0"/>
        <w:jc w:val="center"/>
        <w:rPr>
          <w:rFonts w:ascii="Book Antiqua" w:hAnsi="Book Antiqua" w:cs="Courier New"/>
        </w:rPr>
      </w:pP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t xml:space="preserve"> </w:t>
      </w:r>
      <w:r w:rsidRPr="000A5273">
        <w:rPr>
          <w:rFonts w:ascii="Book Antiqua" w:hAnsi="Book Antiqua" w:cs="Courier New"/>
        </w:rPr>
        <w:noBreakHyphen/>
      </w:r>
    </w:p>
    <w:p w14:paraId="7A52AC62" w14:textId="27B33287" w:rsidR="00C257CC" w:rsidRPr="00E81916" w:rsidRDefault="00C257CC" w:rsidP="00E81916">
      <w:pPr>
        <w:jc w:val="both"/>
        <w:rPr>
          <w:rFonts w:ascii="Book Antiqua" w:hAnsi="Book Antiqua"/>
          <w:sz w:val="24"/>
          <w:szCs w:val="24"/>
        </w:rPr>
      </w:pPr>
    </w:p>
    <w:p w14:paraId="30D524B1" w14:textId="77E6F121" w:rsidR="002879AC" w:rsidRPr="002879AC" w:rsidRDefault="002879AC" w:rsidP="002879AC">
      <w:pPr>
        <w:spacing w:line="240" w:lineRule="auto"/>
        <w:jc w:val="both"/>
        <w:rPr>
          <w:rFonts w:ascii="Book Antiqua" w:hAnsi="Book Antiqua"/>
          <w:b/>
          <w:sz w:val="24"/>
          <w:szCs w:val="24"/>
          <w:u w:val="single"/>
        </w:rPr>
      </w:pPr>
      <w:r w:rsidRPr="002879AC">
        <w:rPr>
          <w:rFonts w:ascii="Book Antiqua" w:hAnsi="Book Antiqua"/>
          <w:b/>
          <w:sz w:val="24"/>
          <w:szCs w:val="24"/>
          <w:u w:val="single"/>
        </w:rPr>
        <w:t>Introduction</w:t>
      </w:r>
    </w:p>
    <w:p w14:paraId="78DFA695" w14:textId="1A2C4EBB" w:rsidR="009C696E" w:rsidRPr="00575884" w:rsidRDefault="003444FE"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This case concerns the circumstances in which the Upper Tribunal should, when exercising its judicial review powers, entertain a challenge to an interlocutory decision made by the First-tier Tribunal in the course of a statutory appeal; and, whether litigation privilege applies in proceedings before the First-tier Tribunal. </w:t>
      </w:r>
    </w:p>
    <w:p w14:paraId="37069213" w14:textId="48179CC9" w:rsidR="009C696E" w:rsidRPr="00575884" w:rsidRDefault="009C696E"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During the hearing of the </w:t>
      </w:r>
      <w:r w:rsidR="008A7BF2">
        <w:rPr>
          <w:rFonts w:ascii="Book Antiqua" w:hAnsi="Book Antiqua"/>
          <w:sz w:val="24"/>
          <w:szCs w:val="24"/>
        </w:rPr>
        <w:t>i</w:t>
      </w:r>
      <w:r w:rsidRPr="00575884">
        <w:rPr>
          <w:rFonts w:ascii="Book Antiqua" w:hAnsi="Book Antiqua"/>
          <w:sz w:val="24"/>
          <w:szCs w:val="24"/>
        </w:rPr>
        <w:t xml:space="preserve">nterested </w:t>
      </w:r>
      <w:r w:rsidR="008A7BF2">
        <w:rPr>
          <w:rFonts w:ascii="Book Antiqua" w:hAnsi="Book Antiqua"/>
          <w:sz w:val="24"/>
          <w:szCs w:val="24"/>
        </w:rPr>
        <w:t>p</w:t>
      </w:r>
      <w:r w:rsidRPr="00575884">
        <w:rPr>
          <w:rFonts w:ascii="Book Antiqua" w:hAnsi="Book Antiqua"/>
          <w:sz w:val="24"/>
          <w:szCs w:val="24"/>
        </w:rPr>
        <w:t xml:space="preserve">arty’s appeal against </w:t>
      </w:r>
      <w:r w:rsidR="00AF658F" w:rsidRPr="00575884">
        <w:rPr>
          <w:rFonts w:ascii="Book Antiqua" w:hAnsi="Book Antiqua"/>
          <w:sz w:val="24"/>
          <w:szCs w:val="24"/>
        </w:rPr>
        <w:t xml:space="preserve">a decision of </w:t>
      </w:r>
      <w:r w:rsidRPr="00575884">
        <w:rPr>
          <w:rFonts w:ascii="Book Antiqua" w:hAnsi="Book Antiqua"/>
          <w:sz w:val="24"/>
          <w:szCs w:val="24"/>
        </w:rPr>
        <w:t>the</w:t>
      </w:r>
      <w:r w:rsidR="008A7BF2">
        <w:rPr>
          <w:rFonts w:ascii="Book Antiqua" w:hAnsi="Book Antiqua"/>
          <w:sz w:val="24"/>
          <w:szCs w:val="24"/>
        </w:rPr>
        <w:t xml:space="preserve"> applicant</w:t>
      </w:r>
      <w:r w:rsidRPr="00575884">
        <w:rPr>
          <w:rFonts w:ascii="Book Antiqua" w:hAnsi="Book Antiqua"/>
          <w:sz w:val="24"/>
          <w:szCs w:val="24"/>
        </w:rPr>
        <w:t xml:space="preserve"> Secretary of State</w:t>
      </w:r>
      <w:r w:rsidR="00417AA3" w:rsidRPr="00575884">
        <w:rPr>
          <w:rFonts w:ascii="Book Antiqua" w:hAnsi="Book Antiqua"/>
          <w:sz w:val="24"/>
          <w:szCs w:val="24"/>
        </w:rPr>
        <w:t xml:space="preserve"> to deport him</w:t>
      </w:r>
      <w:r w:rsidR="00AF658F" w:rsidRPr="00575884">
        <w:rPr>
          <w:rFonts w:ascii="Book Antiqua" w:hAnsi="Book Antiqua"/>
          <w:sz w:val="24"/>
          <w:szCs w:val="24"/>
        </w:rPr>
        <w:t>, the First-tier Tribunal ordered</w:t>
      </w:r>
      <w:r w:rsidR="008A7BF2">
        <w:rPr>
          <w:rFonts w:ascii="Book Antiqua" w:hAnsi="Book Antiqua"/>
          <w:sz w:val="24"/>
          <w:szCs w:val="24"/>
        </w:rPr>
        <w:t xml:space="preserve"> full</w:t>
      </w:r>
      <w:r w:rsidR="00AF658F" w:rsidRPr="00575884">
        <w:rPr>
          <w:rFonts w:ascii="Book Antiqua" w:hAnsi="Book Antiqua"/>
          <w:sz w:val="24"/>
          <w:szCs w:val="24"/>
        </w:rPr>
        <w:t xml:space="preserve"> disclosure</w:t>
      </w:r>
      <w:r w:rsidR="008A7BF2">
        <w:rPr>
          <w:rFonts w:ascii="Book Antiqua" w:hAnsi="Book Antiqua"/>
          <w:sz w:val="24"/>
          <w:szCs w:val="24"/>
        </w:rPr>
        <w:t xml:space="preserve"> to the interested party</w:t>
      </w:r>
      <w:r w:rsidR="00AF658F" w:rsidRPr="00575884">
        <w:rPr>
          <w:rFonts w:ascii="Book Antiqua" w:hAnsi="Book Antiqua"/>
          <w:sz w:val="24"/>
          <w:szCs w:val="24"/>
        </w:rPr>
        <w:t xml:space="preserve"> of </w:t>
      </w:r>
      <w:r w:rsidR="00B82AFE" w:rsidRPr="00575884">
        <w:rPr>
          <w:rFonts w:ascii="Book Antiqua" w:hAnsi="Book Antiqua"/>
          <w:sz w:val="24"/>
          <w:szCs w:val="24"/>
        </w:rPr>
        <w:t>a partially redacted email between two officials in the Foreign &amp; Commonwealth Office</w:t>
      </w:r>
      <w:r w:rsidR="000858AD">
        <w:rPr>
          <w:rFonts w:ascii="Book Antiqua" w:hAnsi="Book Antiqua"/>
          <w:sz w:val="24"/>
          <w:szCs w:val="24"/>
        </w:rPr>
        <w:t xml:space="preserve"> (“FCO”)</w:t>
      </w:r>
      <w:r w:rsidR="00B82AFE" w:rsidRPr="00575884">
        <w:rPr>
          <w:rFonts w:ascii="Book Antiqua" w:hAnsi="Book Antiqua"/>
          <w:sz w:val="24"/>
          <w:szCs w:val="24"/>
        </w:rPr>
        <w:t xml:space="preserve">. </w:t>
      </w:r>
      <w:r w:rsidR="002C5800" w:rsidRPr="00575884">
        <w:rPr>
          <w:rFonts w:ascii="Book Antiqua" w:hAnsi="Book Antiqua"/>
          <w:sz w:val="24"/>
          <w:szCs w:val="24"/>
        </w:rPr>
        <w:t xml:space="preserve"> The </w:t>
      </w:r>
      <w:r w:rsidR="008A7BF2">
        <w:rPr>
          <w:rFonts w:ascii="Book Antiqua" w:hAnsi="Book Antiqua"/>
          <w:sz w:val="24"/>
          <w:szCs w:val="24"/>
        </w:rPr>
        <w:t xml:space="preserve">applicant </w:t>
      </w:r>
      <w:r w:rsidR="002C5800" w:rsidRPr="00575884">
        <w:rPr>
          <w:rFonts w:ascii="Book Antiqua" w:hAnsi="Book Antiqua"/>
          <w:sz w:val="24"/>
          <w:szCs w:val="24"/>
        </w:rPr>
        <w:t xml:space="preserve">challenges that decision; the interested party seeks to support it. </w:t>
      </w:r>
      <w:r w:rsidR="00417AA3" w:rsidRPr="00575884">
        <w:rPr>
          <w:rFonts w:ascii="Book Antiqua" w:hAnsi="Book Antiqua"/>
          <w:sz w:val="24"/>
          <w:szCs w:val="24"/>
        </w:rPr>
        <w:t>The First-tier Tribunal has taken no part in the proceedings.</w:t>
      </w:r>
    </w:p>
    <w:p w14:paraId="121EA4C4" w14:textId="469765DF" w:rsidR="00B2309F" w:rsidRPr="00575884" w:rsidRDefault="00417AA3"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The </w:t>
      </w:r>
      <w:r w:rsidR="008A7BF2">
        <w:rPr>
          <w:rFonts w:ascii="Book Antiqua" w:hAnsi="Book Antiqua"/>
          <w:sz w:val="24"/>
          <w:szCs w:val="24"/>
        </w:rPr>
        <w:t>applicant</w:t>
      </w:r>
      <w:r w:rsidRPr="00575884">
        <w:rPr>
          <w:rFonts w:ascii="Book Antiqua" w:hAnsi="Book Antiqua"/>
          <w:sz w:val="24"/>
          <w:szCs w:val="24"/>
        </w:rPr>
        <w:t xml:space="preserve"> asserts that the redacted parts of the document are protected by litigation privilege which has been properly claimed and that the FtT erred in law </w:t>
      </w:r>
      <w:r w:rsidR="003444FE" w:rsidRPr="00575884">
        <w:rPr>
          <w:rFonts w:ascii="Book Antiqua" w:hAnsi="Book Antiqua"/>
          <w:sz w:val="24"/>
          <w:szCs w:val="24"/>
        </w:rPr>
        <w:t xml:space="preserve">both </w:t>
      </w:r>
      <w:r w:rsidRPr="00575884">
        <w:rPr>
          <w:rFonts w:ascii="Book Antiqua" w:hAnsi="Book Antiqua"/>
          <w:sz w:val="24"/>
          <w:szCs w:val="24"/>
        </w:rPr>
        <w:t xml:space="preserve">in </w:t>
      </w:r>
      <w:r w:rsidR="00B2309F" w:rsidRPr="00575884">
        <w:rPr>
          <w:rFonts w:ascii="Book Antiqua" w:hAnsi="Book Antiqua"/>
          <w:sz w:val="24"/>
          <w:szCs w:val="24"/>
        </w:rPr>
        <w:t xml:space="preserve">concluding that litigation privilege did not apply and in </w:t>
      </w:r>
      <w:r w:rsidRPr="00575884">
        <w:rPr>
          <w:rFonts w:ascii="Book Antiqua" w:hAnsi="Book Antiqua"/>
          <w:sz w:val="24"/>
          <w:szCs w:val="24"/>
        </w:rPr>
        <w:t xml:space="preserve">ordering disclosure. </w:t>
      </w:r>
      <w:r w:rsidR="00B2309F" w:rsidRPr="00575884">
        <w:rPr>
          <w:rFonts w:ascii="Book Antiqua" w:hAnsi="Book Antiqua"/>
          <w:sz w:val="24"/>
          <w:szCs w:val="24"/>
        </w:rPr>
        <w:t xml:space="preserve"> It is also argued that the reas</w:t>
      </w:r>
      <w:r w:rsidR="00FF44A7">
        <w:rPr>
          <w:rFonts w:ascii="Book Antiqua" w:hAnsi="Book Antiqua"/>
          <w:sz w:val="24"/>
          <w:szCs w:val="24"/>
        </w:rPr>
        <w:t xml:space="preserve">ons given for the decision are </w:t>
      </w:r>
      <w:r w:rsidR="00B2309F" w:rsidRPr="00575884">
        <w:rPr>
          <w:rFonts w:ascii="Book Antiqua" w:hAnsi="Book Antiqua"/>
          <w:sz w:val="24"/>
          <w:szCs w:val="24"/>
        </w:rPr>
        <w:t xml:space="preserve">flawed. </w:t>
      </w:r>
    </w:p>
    <w:p w14:paraId="3CA3C015" w14:textId="65BA46EB" w:rsidR="00B2309F" w:rsidRPr="00575884" w:rsidRDefault="00417AA3"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The </w:t>
      </w:r>
      <w:r w:rsidR="008A7BF2">
        <w:rPr>
          <w:rFonts w:ascii="Book Antiqua" w:hAnsi="Book Antiqua"/>
          <w:sz w:val="24"/>
          <w:szCs w:val="24"/>
        </w:rPr>
        <w:t>i</w:t>
      </w:r>
      <w:r w:rsidRPr="00575884">
        <w:rPr>
          <w:rFonts w:ascii="Book Antiqua" w:hAnsi="Book Antiqua"/>
          <w:sz w:val="24"/>
          <w:szCs w:val="24"/>
        </w:rPr>
        <w:t xml:space="preserve">nterested </w:t>
      </w:r>
      <w:r w:rsidR="008A7BF2">
        <w:rPr>
          <w:rFonts w:ascii="Book Antiqua" w:hAnsi="Book Antiqua"/>
          <w:sz w:val="24"/>
          <w:szCs w:val="24"/>
        </w:rPr>
        <w:t>p</w:t>
      </w:r>
      <w:r w:rsidRPr="00575884">
        <w:rPr>
          <w:rFonts w:ascii="Book Antiqua" w:hAnsi="Book Antiqua"/>
          <w:sz w:val="24"/>
          <w:szCs w:val="24"/>
        </w:rPr>
        <w:t xml:space="preserve">arty submits </w:t>
      </w:r>
      <w:r w:rsidR="00B2309F" w:rsidRPr="00575884">
        <w:rPr>
          <w:rFonts w:ascii="Book Antiqua" w:hAnsi="Book Antiqua"/>
          <w:sz w:val="24"/>
          <w:szCs w:val="24"/>
        </w:rPr>
        <w:t>first that the Upper Tribunal should not entertain the action as the applicant has an alternative remedy in pursuing an appeal to the Upper Tribunal against the final decision</w:t>
      </w:r>
      <w:r w:rsidR="00C559A6" w:rsidRPr="00575884">
        <w:rPr>
          <w:rFonts w:ascii="Book Antiqua" w:hAnsi="Book Antiqua"/>
          <w:sz w:val="24"/>
          <w:szCs w:val="24"/>
        </w:rPr>
        <w:t>. He also submits that even if that</w:t>
      </w:r>
      <w:r w:rsidR="00FF44A7">
        <w:rPr>
          <w:rFonts w:ascii="Book Antiqua" w:hAnsi="Book Antiqua"/>
          <w:sz w:val="24"/>
          <w:szCs w:val="24"/>
        </w:rPr>
        <w:t xml:space="preserve"> is not an alternative remedy, </w:t>
      </w:r>
      <w:r w:rsidR="00C559A6" w:rsidRPr="00575884">
        <w:rPr>
          <w:rFonts w:ascii="Book Antiqua" w:hAnsi="Book Antiqua"/>
          <w:sz w:val="24"/>
          <w:szCs w:val="24"/>
        </w:rPr>
        <w:t xml:space="preserve">the applicant has not met the very high threshold </w:t>
      </w:r>
      <w:r w:rsidR="008A7BF2">
        <w:rPr>
          <w:rFonts w:ascii="Book Antiqua" w:hAnsi="Book Antiqua"/>
          <w:sz w:val="24"/>
          <w:szCs w:val="24"/>
        </w:rPr>
        <w:t>required before</w:t>
      </w:r>
      <w:r w:rsidR="00C559A6" w:rsidRPr="00575884">
        <w:rPr>
          <w:rFonts w:ascii="Book Antiqua" w:hAnsi="Book Antiqua"/>
          <w:sz w:val="24"/>
          <w:szCs w:val="24"/>
        </w:rPr>
        <w:t xml:space="preserve"> the Upper Tribunal would interfere with the decision. </w:t>
      </w:r>
    </w:p>
    <w:p w14:paraId="710CA70A" w14:textId="71BD8209" w:rsidR="00417AA3" w:rsidRPr="00575884" w:rsidRDefault="00C559A6"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lastRenderedPageBreak/>
        <w:t xml:space="preserve">The interested party argues </w:t>
      </w:r>
      <w:r w:rsidR="00417AA3" w:rsidRPr="00575884">
        <w:rPr>
          <w:rFonts w:ascii="Book Antiqua" w:hAnsi="Book Antiqua"/>
          <w:sz w:val="24"/>
          <w:szCs w:val="24"/>
        </w:rPr>
        <w:t>that litigation privilege does not apply in the First-tier Tribunal</w:t>
      </w:r>
      <w:r w:rsidR="00B2309F" w:rsidRPr="00575884">
        <w:rPr>
          <w:rFonts w:ascii="Book Antiqua" w:hAnsi="Book Antiqua"/>
          <w:sz w:val="24"/>
          <w:szCs w:val="24"/>
        </w:rPr>
        <w:t>; and, that if it does, it is not properly claimed here, either because it does not extend to communications between or within a third party</w:t>
      </w:r>
      <w:r w:rsidR="000858AD">
        <w:rPr>
          <w:rFonts w:ascii="Book Antiqua" w:hAnsi="Book Antiqua"/>
          <w:sz w:val="24"/>
          <w:szCs w:val="24"/>
        </w:rPr>
        <w:t>, in this case the</w:t>
      </w:r>
      <w:r w:rsidR="002879AC">
        <w:rPr>
          <w:rFonts w:ascii="Book Antiqua" w:hAnsi="Book Antiqua"/>
          <w:sz w:val="24"/>
          <w:szCs w:val="24"/>
        </w:rPr>
        <w:t xml:space="preserve"> </w:t>
      </w:r>
      <w:r w:rsidR="00B2309F" w:rsidRPr="00575884">
        <w:rPr>
          <w:rFonts w:ascii="Book Antiqua" w:hAnsi="Book Antiqua"/>
          <w:sz w:val="24"/>
          <w:szCs w:val="24"/>
        </w:rPr>
        <w:t xml:space="preserve">FCO, or because it has not been made out on the facts. It is also submitted that </w:t>
      </w:r>
      <w:r w:rsidRPr="00575884">
        <w:rPr>
          <w:rFonts w:ascii="Book Antiqua" w:hAnsi="Book Antiqua"/>
          <w:sz w:val="24"/>
          <w:szCs w:val="24"/>
        </w:rPr>
        <w:t xml:space="preserve">in any event, by producing the document, even in a redacted form, the applicant has waived privilege. </w:t>
      </w:r>
    </w:p>
    <w:p w14:paraId="0D711A6E" w14:textId="77777777" w:rsidR="00C559A6" w:rsidRPr="00575884" w:rsidRDefault="00642F6B"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We turn first to </w:t>
      </w:r>
      <w:r w:rsidR="00C559A6" w:rsidRPr="00575884">
        <w:rPr>
          <w:rFonts w:ascii="Book Antiqua" w:hAnsi="Book Antiqua"/>
          <w:sz w:val="24"/>
          <w:szCs w:val="24"/>
        </w:rPr>
        <w:t xml:space="preserve">how, why and in what context the email </w:t>
      </w:r>
      <w:r w:rsidR="004625BA" w:rsidRPr="00575884">
        <w:rPr>
          <w:rFonts w:ascii="Book Antiqua" w:hAnsi="Book Antiqua"/>
          <w:sz w:val="24"/>
          <w:szCs w:val="24"/>
        </w:rPr>
        <w:t xml:space="preserve">in issue </w:t>
      </w:r>
      <w:r w:rsidR="00C559A6" w:rsidRPr="00575884">
        <w:rPr>
          <w:rFonts w:ascii="Book Antiqua" w:hAnsi="Book Antiqua"/>
          <w:sz w:val="24"/>
          <w:szCs w:val="24"/>
        </w:rPr>
        <w:t>was pro</w:t>
      </w:r>
      <w:r w:rsidRPr="00575884">
        <w:rPr>
          <w:rFonts w:ascii="Book Antiqua" w:hAnsi="Book Antiqua"/>
          <w:sz w:val="24"/>
          <w:szCs w:val="24"/>
        </w:rPr>
        <w:t xml:space="preserve">duced. </w:t>
      </w:r>
    </w:p>
    <w:p w14:paraId="3DBC96D8" w14:textId="40D6D57A" w:rsidR="00417AA3" w:rsidRPr="002879AC" w:rsidRDefault="000F04A4" w:rsidP="000F04A4">
      <w:pPr>
        <w:spacing w:before="240"/>
        <w:jc w:val="both"/>
        <w:rPr>
          <w:rFonts w:ascii="Book Antiqua" w:hAnsi="Book Antiqua"/>
          <w:b/>
          <w:sz w:val="24"/>
          <w:szCs w:val="24"/>
          <w:u w:val="single"/>
        </w:rPr>
      </w:pPr>
      <w:r w:rsidRPr="002879AC">
        <w:rPr>
          <w:rFonts w:ascii="Book Antiqua" w:hAnsi="Book Antiqua"/>
          <w:b/>
          <w:sz w:val="24"/>
          <w:szCs w:val="24"/>
          <w:u w:val="single"/>
        </w:rPr>
        <w:t>Chronology</w:t>
      </w:r>
    </w:p>
    <w:p w14:paraId="06F3A561" w14:textId="3FEB6AAA" w:rsidR="00417AA3" w:rsidRPr="00E81916" w:rsidRDefault="00E0524C"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In February 2008 the interested party, WM, was convicted of offences under the Terrorism Act 2000 and under the</w:t>
      </w:r>
      <w:r w:rsidR="00FF44A7">
        <w:rPr>
          <w:rFonts w:ascii="Book Antiqua" w:hAnsi="Book Antiqua"/>
          <w:sz w:val="24"/>
          <w:szCs w:val="24"/>
        </w:rPr>
        <w:t xml:space="preserve"> Criminal Law Act 1967 arising </w:t>
      </w:r>
      <w:r w:rsidRPr="00E81916">
        <w:rPr>
          <w:rFonts w:ascii="Book Antiqua" w:hAnsi="Book Antiqua"/>
          <w:sz w:val="24"/>
          <w:szCs w:val="24"/>
        </w:rPr>
        <w:t>out of the failed 21 July 2005 bombings in London. He was sentenced to 17 years’ imprisonment</w:t>
      </w:r>
      <w:r w:rsidR="008A7BF2">
        <w:rPr>
          <w:rFonts w:ascii="Book Antiqua" w:hAnsi="Book Antiqua"/>
          <w:sz w:val="24"/>
          <w:szCs w:val="24"/>
        </w:rPr>
        <w:t>,</w:t>
      </w:r>
      <w:r w:rsidRPr="00E81916">
        <w:rPr>
          <w:rFonts w:ascii="Book Antiqua" w:hAnsi="Book Antiqua"/>
          <w:sz w:val="24"/>
          <w:szCs w:val="24"/>
        </w:rPr>
        <w:t xml:space="preserve"> reduced to 1</w:t>
      </w:r>
      <w:r w:rsidR="007F4504">
        <w:rPr>
          <w:rFonts w:ascii="Book Antiqua" w:hAnsi="Book Antiqua"/>
          <w:sz w:val="24"/>
          <w:szCs w:val="24"/>
        </w:rPr>
        <w:t>3</w:t>
      </w:r>
      <w:r w:rsidRPr="00E81916">
        <w:rPr>
          <w:rFonts w:ascii="Book Antiqua" w:hAnsi="Book Antiqua"/>
          <w:sz w:val="24"/>
          <w:szCs w:val="24"/>
        </w:rPr>
        <w:t xml:space="preserve"> years on appeal. On 20 June 2013, the </w:t>
      </w:r>
      <w:r w:rsidR="007F4504">
        <w:rPr>
          <w:rFonts w:ascii="Book Antiqua" w:hAnsi="Book Antiqua"/>
          <w:sz w:val="24"/>
          <w:szCs w:val="24"/>
        </w:rPr>
        <w:t>a</w:t>
      </w:r>
      <w:r w:rsidRPr="00E81916">
        <w:rPr>
          <w:rFonts w:ascii="Book Antiqua" w:hAnsi="Book Antiqua"/>
          <w:sz w:val="24"/>
          <w:szCs w:val="24"/>
        </w:rPr>
        <w:t>pplicant made a deportation order against him</w:t>
      </w:r>
      <w:r w:rsidR="00326FBC" w:rsidRPr="00E81916">
        <w:rPr>
          <w:rFonts w:ascii="Book Antiqua" w:hAnsi="Book Antiqua"/>
          <w:sz w:val="24"/>
          <w:szCs w:val="24"/>
        </w:rPr>
        <w:t>, seeking to remove him to Somaliland. That decision was</w:t>
      </w:r>
      <w:r w:rsidRPr="00E81916">
        <w:rPr>
          <w:rFonts w:ascii="Book Antiqua" w:hAnsi="Book Antiqua"/>
          <w:sz w:val="24"/>
          <w:szCs w:val="24"/>
        </w:rPr>
        <w:t xml:space="preserve"> appea</w:t>
      </w:r>
      <w:r w:rsidR="001A2AF9" w:rsidRPr="00E81916">
        <w:rPr>
          <w:rFonts w:ascii="Book Antiqua" w:hAnsi="Book Antiqua"/>
          <w:sz w:val="24"/>
          <w:szCs w:val="24"/>
        </w:rPr>
        <w:t xml:space="preserve">led to the First-tier Tribunal. There have been, we understand, numerous delays in the matter coming to trial and there has been a significant disclosure exercise undertaken.  </w:t>
      </w:r>
    </w:p>
    <w:p w14:paraId="4C1C2399" w14:textId="3BD05C60" w:rsidR="001A2AF9" w:rsidRPr="00E81916" w:rsidRDefault="001A2AF9"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The applicant relies in the proceedings before the First-tier</w:t>
      </w:r>
      <w:r w:rsidR="00326FBC" w:rsidRPr="00E81916">
        <w:rPr>
          <w:rFonts w:ascii="Book Antiqua" w:hAnsi="Book Antiqua"/>
          <w:sz w:val="24"/>
          <w:szCs w:val="24"/>
        </w:rPr>
        <w:t xml:space="preserve"> Tribunal on the evidence of KR who works in the British Embassy in Ethiopia. In her supplement</w:t>
      </w:r>
      <w:r w:rsidR="00FF44A7">
        <w:rPr>
          <w:rFonts w:ascii="Book Antiqua" w:hAnsi="Book Antiqua"/>
          <w:sz w:val="24"/>
          <w:szCs w:val="24"/>
        </w:rPr>
        <w:t xml:space="preserve">ary statement of 3 March 2017, </w:t>
      </w:r>
      <w:r w:rsidR="00326FBC" w:rsidRPr="00E81916">
        <w:rPr>
          <w:rFonts w:ascii="Book Antiqua" w:hAnsi="Book Antiqua"/>
          <w:sz w:val="24"/>
          <w:szCs w:val="24"/>
        </w:rPr>
        <w:t xml:space="preserve">she explained that she had been made aware of an email between the FCO and the Home Office regarding a conversation between a British Embassy officer and the former Somaliland Minister of the Interior.  </w:t>
      </w:r>
    </w:p>
    <w:p w14:paraId="6E8E889C" w14:textId="6C2055AB" w:rsidR="00C73675" w:rsidRPr="00E81916" w:rsidRDefault="001A2AF9"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As part of the disc</w:t>
      </w:r>
      <w:r w:rsidR="00326FBC" w:rsidRPr="00E81916">
        <w:rPr>
          <w:rFonts w:ascii="Book Antiqua" w:hAnsi="Book Antiqua"/>
          <w:sz w:val="24"/>
          <w:szCs w:val="24"/>
        </w:rPr>
        <w:t>losure exercise, and in response to a request from the interested party’s solicitors, the applicant disclosed a copy of the email, redacted on the grounds that litigation privilege attached to it.  That is confirmed by a witness statement by Mr James Eke of the FCO in which it is said that the email was sent with the dominant purpose of gathering evidence for finalising a Safety on Return Assessment (“SOR”) served on 10 June 2016. Mr Eke maintain</w:t>
      </w:r>
      <w:r w:rsidR="000858AD">
        <w:rPr>
          <w:rFonts w:ascii="Book Antiqua" w:hAnsi="Book Antiqua"/>
          <w:sz w:val="24"/>
          <w:szCs w:val="24"/>
        </w:rPr>
        <w:t>ed in his statement</w:t>
      </w:r>
      <w:r w:rsidR="00326FBC" w:rsidRPr="00E81916">
        <w:rPr>
          <w:rFonts w:ascii="Book Antiqua" w:hAnsi="Book Antiqua"/>
          <w:sz w:val="24"/>
          <w:szCs w:val="24"/>
        </w:rPr>
        <w:t xml:space="preserve"> that </w:t>
      </w:r>
      <w:r w:rsidR="003F0A99" w:rsidRPr="00E81916">
        <w:rPr>
          <w:rFonts w:ascii="Book Antiqua" w:hAnsi="Book Antiqua"/>
          <w:sz w:val="24"/>
          <w:szCs w:val="24"/>
        </w:rPr>
        <w:t>while part of the email might not attract litigation privilege, as it set</w:t>
      </w:r>
      <w:r w:rsidR="00C73675" w:rsidRPr="00E81916">
        <w:rPr>
          <w:rFonts w:ascii="Book Antiqua" w:hAnsi="Book Antiqua"/>
          <w:sz w:val="24"/>
          <w:szCs w:val="24"/>
        </w:rPr>
        <w:t xml:space="preserve"> out the reporting </w:t>
      </w:r>
      <w:r w:rsidR="003F0A99" w:rsidRPr="00E81916">
        <w:rPr>
          <w:rFonts w:ascii="Book Antiqua" w:hAnsi="Book Antiqua"/>
          <w:sz w:val="24"/>
          <w:szCs w:val="24"/>
        </w:rPr>
        <w:t xml:space="preserve">of the conversation, the remaining parts did attract litigation privilege and </w:t>
      </w:r>
      <w:r w:rsidR="00C73675" w:rsidRPr="00E81916">
        <w:rPr>
          <w:rFonts w:ascii="Book Antiqua" w:hAnsi="Book Antiqua"/>
          <w:sz w:val="24"/>
          <w:szCs w:val="24"/>
        </w:rPr>
        <w:t xml:space="preserve">that privilege was not waived.  </w:t>
      </w:r>
    </w:p>
    <w:p w14:paraId="6D1BB551" w14:textId="77777777" w:rsidR="006141B1" w:rsidRPr="00E81916" w:rsidRDefault="00E81916"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We note in passing that, as Ms Harrison submitted, the redacted email now provided in the bundle is not that served previously</w:t>
      </w:r>
      <w:r w:rsidR="00D7040F">
        <w:rPr>
          <w:rFonts w:ascii="Book Antiqua" w:hAnsi="Book Antiqua"/>
          <w:sz w:val="24"/>
          <w:szCs w:val="24"/>
        </w:rPr>
        <w:t>. Although the redactions are the same, the original one</w:t>
      </w:r>
      <w:r w:rsidRPr="00E81916">
        <w:rPr>
          <w:rFonts w:ascii="Book Antiqua" w:hAnsi="Book Antiqua"/>
          <w:sz w:val="24"/>
          <w:szCs w:val="24"/>
        </w:rPr>
        <w:t xml:space="preserve"> </w:t>
      </w:r>
      <w:r w:rsidR="00D7040F">
        <w:rPr>
          <w:rFonts w:ascii="Book Antiqua" w:hAnsi="Book Antiqua"/>
          <w:sz w:val="24"/>
          <w:szCs w:val="24"/>
        </w:rPr>
        <w:t>asserted that</w:t>
      </w:r>
      <w:r w:rsidRPr="00E81916">
        <w:rPr>
          <w:rFonts w:ascii="Book Antiqua" w:hAnsi="Book Antiqua"/>
          <w:sz w:val="24"/>
          <w:szCs w:val="24"/>
        </w:rPr>
        <w:t xml:space="preserve"> the redactions </w:t>
      </w:r>
      <w:r w:rsidR="00D7040F">
        <w:rPr>
          <w:rFonts w:ascii="Book Antiqua" w:hAnsi="Book Antiqua"/>
          <w:sz w:val="24"/>
          <w:szCs w:val="24"/>
        </w:rPr>
        <w:t>were</w:t>
      </w:r>
      <w:r w:rsidRPr="00E81916">
        <w:rPr>
          <w:rFonts w:ascii="Book Antiqua" w:hAnsi="Book Antiqua"/>
          <w:sz w:val="24"/>
          <w:szCs w:val="24"/>
        </w:rPr>
        <w:t xml:space="preserve"> “irrelevant material”</w:t>
      </w:r>
      <w:r w:rsidR="00D7040F">
        <w:rPr>
          <w:rFonts w:ascii="Book Antiqua" w:hAnsi="Book Antiqua"/>
          <w:sz w:val="24"/>
          <w:szCs w:val="24"/>
        </w:rPr>
        <w:t>.</w:t>
      </w:r>
    </w:p>
    <w:p w14:paraId="5B07CCF3" w14:textId="6252E6EA" w:rsidR="00C73675" w:rsidRPr="00E81916" w:rsidRDefault="00C73675"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The interested party objected to the redactions and sought an order from the First-tier Tribunal that an unredacted copy be served. Following submissions by the parties, the First-tier Tribunal ordered on 14 November 2017, that unredacted copies be provided to the Tribu</w:t>
      </w:r>
      <w:r w:rsidR="00FF44A7">
        <w:rPr>
          <w:rFonts w:ascii="Book Antiqua" w:hAnsi="Book Antiqua"/>
          <w:sz w:val="24"/>
          <w:szCs w:val="24"/>
        </w:rPr>
        <w:t xml:space="preserve">nal by 4pm on 17 November 2017 </w:t>
      </w:r>
      <w:r w:rsidRPr="00E81916">
        <w:rPr>
          <w:rFonts w:ascii="Book Antiqua" w:hAnsi="Book Antiqua"/>
          <w:sz w:val="24"/>
          <w:szCs w:val="24"/>
        </w:rPr>
        <w:t xml:space="preserve">and that it would then disclose them to the </w:t>
      </w:r>
      <w:r w:rsidR="007F4504">
        <w:rPr>
          <w:rFonts w:ascii="Book Antiqua" w:hAnsi="Book Antiqua"/>
          <w:sz w:val="24"/>
          <w:szCs w:val="24"/>
        </w:rPr>
        <w:t>i</w:t>
      </w:r>
      <w:r w:rsidRPr="00E81916">
        <w:rPr>
          <w:rFonts w:ascii="Book Antiqua" w:hAnsi="Book Antiqua"/>
          <w:sz w:val="24"/>
          <w:szCs w:val="24"/>
        </w:rPr>
        <w:t xml:space="preserve">nterested </w:t>
      </w:r>
      <w:r w:rsidR="007F4504">
        <w:rPr>
          <w:rFonts w:ascii="Book Antiqua" w:hAnsi="Book Antiqua"/>
          <w:sz w:val="24"/>
          <w:szCs w:val="24"/>
        </w:rPr>
        <w:t>p</w:t>
      </w:r>
      <w:r w:rsidRPr="00E81916">
        <w:rPr>
          <w:rFonts w:ascii="Book Antiqua" w:hAnsi="Book Antiqua"/>
          <w:sz w:val="24"/>
          <w:szCs w:val="24"/>
        </w:rPr>
        <w:t xml:space="preserve">arty unless they agreed that the redactions were justified. </w:t>
      </w:r>
    </w:p>
    <w:p w14:paraId="554E6F1A" w14:textId="77777777" w:rsidR="00C73675" w:rsidRPr="00E81916" w:rsidRDefault="001F7B7A"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lastRenderedPageBreak/>
        <w:t>The applicant then applied to the First-tier Tribunal for that order to be set aside. In response, the FtT agreed to hear further oral submissions on 4 December 2017.  The FtT then, on that date, withdrew the order of 14 November 2017, and ordered disclosure of the email</w:t>
      </w:r>
      <w:r w:rsidR="00D77A90" w:rsidRPr="00E81916">
        <w:rPr>
          <w:rFonts w:ascii="Book Antiqua" w:hAnsi="Book Antiqua"/>
          <w:sz w:val="24"/>
          <w:szCs w:val="24"/>
        </w:rPr>
        <w:t xml:space="preserve">, it being open to the applicant to withdraw </w:t>
      </w:r>
      <w:r w:rsidR="00D7040F">
        <w:rPr>
          <w:rFonts w:ascii="Book Antiqua" w:hAnsi="Book Antiqua"/>
          <w:sz w:val="24"/>
          <w:szCs w:val="24"/>
        </w:rPr>
        <w:t>reliance on it in the appeal.</w:t>
      </w:r>
    </w:p>
    <w:p w14:paraId="3D0916B5" w14:textId="77777777" w:rsidR="00D77A90" w:rsidRPr="00E81916" w:rsidRDefault="00D77A90"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 xml:space="preserve">On 19 December 2017, the applicant commenced these proceedings, seeking the quashing of the order of 4 December 2017, expedition, and a stay on the FtT’s order in the interim. </w:t>
      </w:r>
    </w:p>
    <w:p w14:paraId="20B8E490" w14:textId="1DFB978B" w:rsidR="00D77A90" w:rsidRPr="00E81916" w:rsidRDefault="00D77A90"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A limited stay until 22 December 2017 was ordered, and following submissions by th</w:t>
      </w:r>
      <w:r w:rsidR="00FF44A7">
        <w:rPr>
          <w:rFonts w:ascii="Book Antiqua" w:hAnsi="Book Antiqua"/>
          <w:sz w:val="24"/>
          <w:szCs w:val="24"/>
        </w:rPr>
        <w:t xml:space="preserve">e parties on that day, </w:t>
      </w:r>
      <w:r w:rsidRPr="00E81916">
        <w:rPr>
          <w:rFonts w:ascii="Book Antiqua" w:hAnsi="Book Antiqua"/>
          <w:sz w:val="24"/>
          <w:szCs w:val="24"/>
        </w:rPr>
        <w:t>Upper Tribunal Judge Rintoul ordered a rolled-up hearing. The stay was not continued, th</w:t>
      </w:r>
      <w:r w:rsidR="00D7040F">
        <w:rPr>
          <w:rFonts w:ascii="Book Antiqua" w:hAnsi="Book Antiqua"/>
          <w:sz w:val="24"/>
          <w:szCs w:val="24"/>
        </w:rPr>
        <w:t>e</w:t>
      </w:r>
      <w:r w:rsidRPr="00E81916">
        <w:rPr>
          <w:rFonts w:ascii="Book Antiqua" w:hAnsi="Book Antiqua"/>
          <w:sz w:val="24"/>
          <w:szCs w:val="24"/>
        </w:rPr>
        <w:t xml:space="preserve"> FtT having undertaken to maintain a stay on its order pending resolution of these proceedings. </w:t>
      </w:r>
    </w:p>
    <w:p w14:paraId="5E651AFD" w14:textId="2475AA4F" w:rsidR="00417AA3" w:rsidRPr="002879AC" w:rsidRDefault="000F04A4" w:rsidP="000F04A4">
      <w:pPr>
        <w:spacing w:before="240"/>
        <w:jc w:val="both"/>
        <w:rPr>
          <w:rFonts w:ascii="Book Antiqua" w:hAnsi="Book Antiqua"/>
          <w:b/>
          <w:sz w:val="24"/>
          <w:szCs w:val="24"/>
          <w:u w:val="single"/>
        </w:rPr>
      </w:pPr>
      <w:r w:rsidRPr="002879AC">
        <w:rPr>
          <w:rFonts w:ascii="Book Antiqua" w:hAnsi="Book Antiqua"/>
          <w:b/>
          <w:sz w:val="24"/>
          <w:szCs w:val="24"/>
          <w:u w:val="single"/>
        </w:rPr>
        <w:t>The Decision of the FtT</w:t>
      </w:r>
    </w:p>
    <w:p w14:paraId="67C93E24" w14:textId="50837E59" w:rsidR="00417AA3" w:rsidRPr="00E81916" w:rsidRDefault="000E70D1"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 xml:space="preserve">The FtT’s </w:t>
      </w:r>
      <w:r w:rsidR="00B27912" w:rsidRPr="00E81916">
        <w:rPr>
          <w:rFonts w:ascii="Book Antiqua" w:hAnsi="Book Antiqua"/>
          <w:sz w:val="24"/>
          <w:szCs w:val="24"/>
        </w:rPr>
        <w:t>decision</w:t>
      </w:r>
      <w:r w:rsidRPr="00E81916">
        <w:rPr>
          <w:rFonts w:ascii="Book Antiqua" w:hAnsi="Book Antiqua"/>
          <w:sz w:val="24"/>
          <w:szCs w:val="24"/>
        </w:rPr>
        <w:t xml:space="preserve"> was given orally</w:t>
      </w:r>
      <w:r w:rsidR="004625BA">
        <w:rPr>
          <w:rFonts w:ascii="Book Antiqua" w:hAnsi="Book Antiqua"/>
          <w:sz w:val="24"/>
          <w:szCs w:val="24"/>
        </w:rPr>
        <w:t xml:space="preserve"> following submissions by </w:t>
      </w:r>
      <w:r w:rsidR="00E33BA7">
        <w:rPr>
          <w:rFonts w:ascii="Book Antiqua" w:hAnsi="Book Antiqua"/>
          <w:sz w:val="24"/>
          <w:szCs w:val="24"/>
        </w:rPr>
        <w:t>Mr Grieves</w:t>
      </w:r>
      <w:r w:rsidR="004625BA">
        <w:rPr>
          <w:rFonts w:ascii="Book Antiqua" w:hAnsi="Book Antiqua"/>
          <w:sz w:val="24"/>
          <w:szCs w:val="24"/>
        </w:rPr>
        <w:t xml:space="preserve"> and Ms Patry</w:t>
      </w:r>
      <w:r w:rsidR="00D7040F">
        <w:rPr>
          <w:rFonts w:ascii="Book Antiqua" w:hAnsi="Book Antiqua"/>
          <w:sz w:val="24"/>
          <w:szCs w:val="24"/>
        </w:rPr>
        <w:t>,</w:t>
      </w:r>
      <w:r w:rsidR="004625BA">
        <w:rPr>
          <w:rFonts w:ascii="Book Antiqua" w:hAnsi="Book Antiqua"/>
          <w:sz w:val="24"/>
          <w:szCs w:val="24"/>
        </w:rPr>
        <w:t xml:space="preserve"> who appeared before the FtT as they did before us. T</w:t>
      </w:r>
      <w:r w:rsidR="00D33996" w:rsidRPr="00E81916">
        <w:rPr>
          <w:rFonts w:ascii="Book Antiqua" w:hAnsi="Book Antiqua"/>
          <w:sz w:val="24"/>
          <w:szCs w:val="24"/>
        </w:rPr>
        <w:t xml:space="preserve">he parties do not dispute the accuracy of the note of the decision drafted by the applicant’s counsel. </w:t>
      </w:r>
    </w:p>
    <w:p w14:paraId="2E61C9F0" w14:textId="77777777" w:rsidR="00D33996" w:rsidRPr="00E81916" w:rsidRDefault="00D33996"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So far as is relevant, the FtT held</w:t>
      </w:r>
      <w:r w:rsidR="004625BA">
        <w:rPr>
          <w:rFonts w:ascii="Book Antiqua" w:hAnsi="Book Antiqua"/>
          <w:sz w:val="24"/>
          <w:szCs w:val="24"/>
        </w:rPr>
        <w:t>:</w:t>
      </w:r>
    </w:p>
    <w:p w14:paraId="788CD460" w14:textId="77777777" w:rsidR="004F3294" w:rsidRPr="00E81916" w:rsidRDefault="004F3294" w:rsidP="00575884">
      <w:pPr>
        <w:ind w:left="851"/>
        <w:jc w:val="both"/>
        <w:rPr>
          <w:rFonts w:ascii="Book Antiqua" w:hAnsi="Book Antiqua"/>
        </w:rPr>
      </w:pPr>
      <w:r w:rsidRPr="00E81916">
        <w:rPr>
          <w:rFonts w:ascii="Book Antiqua" w:hAnsi="Book Antiqua"/>
        </w:rPr>
        <w:t xml:space="preserve">As far as litigation privilege is concerned, we observe that is no precedent for </w:t>
      </w:r>
      <w:r w:rsidR="00D7040F">
        <w:rPr>
          <w:rFonts w:ascii="Book Antiqua" w:hAnsi="Book Antiqua"/>
        </w:rPr>
        <w:t>its</w:t>
      </w:r>
      <w:r w:rsidRPr="00E81916">
        <w:rPr>
          <w:rFonts w:ascii="Book Antiqua" w:hAnsi="Book Antiqua"/>
        </w:rPr>
        <w:t xml:space="preserve"> application in this Tribunal. No authorities have b</w:t>
      </w:r>
      <w:r w:rsidR="00D7040F">
        <w:rPr>
          <w:rFonts w:ascii="Book Antiqua" w:hAnsi="Book Antiqua"/>
        </w:rPr>
        <w:t>ee</w:t>
      </w:r>
      <w:r w:rsidRPr="00E81916">
        <w:rPr>
          <w:rFonts w:ascii="Book Antiqua" w:hAnsi="Book Antiqua"/>
        </w:rPr>
        <w:t>n submitted and this has been confirmed today by counsel. We cannot definitively say why that may be but it may be because fundamental human rights obligations are at stake in this tribunal.</w:t>
      </w:r>
    </w:p>
    <w:p w14:paraId="4DBC5F0F" w14:textId="77777777" w:rsidR="004F3294" w:rsidRPr="00E81916" w:rsidRDefault="004F3294" w:rsidP="00575884">
      <w:pPr>
        <w:ind w:left="851"/>
        <w:jc w:val="both"/>
        <w:rPr>
          <w:rFonts w:ascii="Book Antiqua" w:hAnsi="Book Antiqua"/>
        </w:rPr>
      </w:pPr>
      <w:r w:rsidRPr="00E81916">
        <w:rPr>
          <w:rFonts w:ascii="Book Antiqua" w:hAnsi="Book Antiqua"/>
        </w:rPr>
        <w:t>Even if this were a situation where litigation privilege could apply, we are of the view that Mr Eke's statement is incomplete and incorrect in material respects.</w:t>
      </w:r>
    </w:p>
    <w:p w14:paraId="4E97A9C6" w14:textId="77777777" w:rsidR="004F3294" w:rsidRPr="00E81916" w:rsidRDefault="004F3294" w:rsidP="00575884">
      <w:pPr>
        <w:ind w:left="851"/>
        <w:jc w:val="both"/>
        <w:rPr>
          <w:rFonts w:ascii="Book Antiqua" w:hAnsi="Book Antiqua"/>
        </w:rPr>
      </w:pPr>
      <w:r w:rsidRPr="00E81916">
        <w:rPr>
          <w:rFonts w:ascii="Book Antiqua" w:hAnsi="Book Antiqua"/>
        </w:rPr>
        <w:t>The statement contained inconsistent claims concerning</w:t>
      </w:r>
      <w:r w:rsidR="00D7040F">
        <w:rPr>
          <w:rFonts w:ascii="Book Antiqua" w:hAnsi="Book Antiqua"/>
        </w:rPr>
        <w:t xml:space="preserve"> the</w:t>
      </w:r>
      <w:r w:rsidRPr="00E81916">
        <w:rPr>
          <w:rFonts w:ascii="Book Antiqua" w:hAnsi="Book Antiqua"/>
        </w:rPr>
        <w:t xml:space="preserve"> content of the email. On its face, the email state</w:t>
      </w:r>
      <w:r w:rsidR="0059538A">
        <w:rPr>
          <w:rFonts w:ascii="Book Antiqua" w:hAnsi="Book Antiqua"/>
        </w:rPr>
        <w:t>d</w:t>
      </w:r>
      <w:r w:rsidRPr="00E81916">
        <w:rPr>
          <w:rFonts w:ascii="Book Antiqua" w:hAnsi="Book Antiqua"/>
        </w:rPr>
        <w:t xml:space="preserve"> "not relevant to this case" but elsewhere Mr Eke and counsel stated that it was the subject of litigation privilege. We find these two statements to be inconsistent.</w:t>
      </w:r>
    </w:p>
    <w:p w14:paraId="2B58FD47" w14:textId="77777777" w:rsidR="004F3294" w:rsidRPr="00E81916" w:rsidRDefault="004F3294" w:rsidP="00575884">
      <w:pPr>
        <w:ind w:left="851"/>
        <w:jc w:val="both"/>
        <w:rPr>
          <w:rFonts w:ascii="Book Antiqua" w:hAnsi="Book Antiqua"/>
        </w:rPr>
      </w:pPr>
      <w:r w:rsidRPr="00E81916">
        <w:rPr>
          <w:rFonts w:ascii="Book Antiqua" w:hAnsi="Book Antiqua"/>
        </w:rPr>
        <w:t>Mr Eke also stated that he realised that part of the email was not covered by litigation privilege and that it could be disclosed. He stated that it is not the case of litigation privilege being waived. However, counsel claimed that litigation privilege was being waived in respect of the unredacted part of the email. Again, we are not satisfied that both statements could be correct.</w:t>
      </w:r>
    </w:p>
    <w:p w14:paraId="0FF9594C" w14:textId="77777777" w:rsidR="004F3294" w:rsidRPr="00E81916" w:rsidRDefault="004F3294" w:rsidP="00575884">
      <w:pPr>
        <w:ind w:left="851"/>
        <w:jc w:val="both"/>
        <w:rPr>
          <w:rFonts w:ascii="Book Antiqua" w:hAnsi="Book Antiqua"/>
        </w:rPr>
      </w:pPr>
      <w:r w:rsidRPr="00E81916">
        <w:rPr>
          <w:rFonts w:ascii="Book Antiqua" w:hAnsi="Book Antiqua"/>
        </w:rPr>
        <w:t>For these reasons, even if litigation privilege applied in this tribunal, we would have found that Mr Eke's statement did not establish that it applied here. We do not accept that litigation privilege could override fundamental human rights considerations.</w:t>
      </w:r>
    </w:p>
    <w:p w14:paraId="6BE37D8B" w14:textId="77777777" w:rsidR="004F3294" w:rsidRPr="00E81916" w:rsidRDefault="004F3294" w:rsidP="00575884">
      <w:pPr>
        <w:ind w:left="851"/>
        <w:jc w:val="both"/>
        <w:rPr>
          <w:rFonts w:ascii="Book Antiqua" w:hAnsi="Book Antiqua"/>
        </w:rPr>
      </w:pPr>
      <w:r w:rsidRPr="00E81916">
        <w:rPr>
          <w:rFonts w:ascii="Book Antiqua" w:hAnsi="Book Antiqua"/>
        </w:rPr>
        <w:t>Finally, we took the view that if we were to permit the email redactions to stand, the impression may be created or there may be a perception that the tribunal could have been misled on the evidence and we would wish to avoid our decision being tainted in that way</w:t>
      </w:r>
    </w:p>
    <w:p w14:paraId="11541B89" w14:textId="77777777" w:rsidR="004F3294" w:rsidRPr="00E81916" w:rsidRDefault="004F3294" w:rsidP="00575884">
      <w:pPr>
        <w:ind w:left="851"/>
        <w:jc w:val="both"/>
        <w:rPr>
          <w:rFonts w:ascii="Book Antiqua" w:hAnsi="Book Antiqua"/>
        </w:rPr>
      </w:pPr>
      <w:r w:rsidRPr="00E81916">
        <w:rPr>
          <w:rFonts w:ascii="Book Antiqua" w:hAnsi="Book Antiqua"/>
        </w:rPr>
        <w:lastRenderedPageBreak/>
        <w:t>We therefore order disclosure of the email. We are not satisfied that we have been given any reason for not viewing the email ourselves or for it not to be disclosed to the appellant's representatives ("the nuclear option" according to Ms Patry). If the respondent wishes to withdraw the email that is a matter for her</w:t>
      </w:r>
      <w:r w:rsidR="00B27912" w:rsidRPr="00E81916">
        <w:rPr>
          <w:rFonts w:ascii="Book Antiqua" w:hAnsi="Book Antiqua"/>
        </w:rPr>
        <w:t>.)</w:t>
      </w:r>
    </w:p>
    <w:p w14:paraId="62B108BF" w14:textId="77777777" w:rsidR="00B27912" w:rsidRPr="002879AC" w:rsidRDefault="00B27912" w:rsidP="00E81916">
      <w:pPr>
        <w:jc w:val="both"/>
        <w:rPr>
          <w:rFonts w:ascii="Book Antiqua" w:hAnsi="Book Antiqua"/>
          <w:b/>
          <w:sz w:val="24"/>
          <w:szCs w:val="24"/>
          <w:u w:val="single"/>
        </w:rPr>
      </w:pPr>
      <w:r w:rsidRPr="002879AC">
        <w:rPr>
          <w:rFonts w:ascii="Book Antiqua" w:hAnsi="Book Antiqua"/>
          <w:b/>
          <w:sz w:val="24"/>
          <w:szCs w:val="24"/>
          <w:u w:val="single"/>
        </w:rPr>
        <w:t>The applicant’s challenge</w:t>
      </w:r>
    </w:p>
    <w:p w14:paraId="3CA96725" w14:textId="77777777" w:rsidR="00B27912" w:rsidRPr="00E81916" w:rsidRDefault="00B27912"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The applicant’s case is that FtT erred in concluding that:</w:t>
      </w:r>
    </w:p>
    <w:p w14:paraId="49E6D586" w14:textId="77777777" w:rsidR="00B27912" w:rsidRPr="00575884" w:rsidRDefault="00B27912" w:rsidP="00575884">
      <w:pPr>
        <w:pStyle w:val="ListParagraph"/>
        <w:numPr>
          <w:ilvl w:val="0"/>
          <w:numId w:val="1"/>
        </w:numPr>
        <w:ind w:left="1276" w:hanging="709"/>
        <w:jc w:val="both"/>
        <w:rPr>
          <w:rFonts w:ascii="Book Antiqua" w:hAnsi="Book Antiqua"/>
          <w:sz w:val="24"/>
          <w:szCs w:val="24"/>
        </w:rPr>
      </w:pPr>
      <w:r w:rsidRPr="00575884">
        <w:rPr>
          <w:rFonts w:ascii="Book Antiqua" w:hAnsi="Book Antiqua"/>
          <w:sz w:val="24"/>
          <w:szCs w:val="24"/>
        </w:rPr>
        <w:t>litigation privilege did not apply to proceedings before the First-tier Tribunal</w:t>
      </w:r>
    </w:p>
    <w:p w14:paraId="379A62C7" w14:textId="77777777" w:rsidR="00B27912" w:rsidRPr="00E81916" w:rsidRDefault="00B27912" w:rsidP="00575884">
      <w:pPr>
        <w:pStyle w:val="ListParagraph"/>
        <w:numPr>
          <w:ilvl w:val="0"/>
          <w:numId w:val="1"/>
        </w:numPr>
        <w:ind w:left="1276" w:hanging="709"/>
        <w:jc w:val="both"/>
        <w:rPr>
          <w:rFonts w:ascii="Book Antiqua" w:hAnsi="Book Antiqua"/>
          <w:sz w:val="24"/>
          <w:szCs w:val="24"/>
        </w:rPr>
      </w:pPr>
      <w:r w:rsidRPr="00E81916">
        <w:rPr>
          <w:rFonts w:ascii="Book Antiqua" w:hAnsi="Book Antiqua"/>
          <w:sz w:val="24"/>
          <w:szCs w:val="24"/>
        </w:rPr>
        <w:t>the witness statement relied upon to assert litigation privilege was not consistent</w:t>
      </w:r>
    </w:p>
    <w:p w14:paraId="38CC31C1" w14:textId="77777777" w:rsidR="00B27912" w:rsidRPr="00E81916" w:rsidRDefault="00B27912" w:rsidP="00575884">
      <w:pPr>
        <w:pStyle w:val="ListParagraph"/>
        <w:numPr>
          <w:ilvl w:val="0"/>
          <w:numId w:val="1"/>
        </w:numPr>
        <w:ind w:left="1276" w:hanging="709"/>
        <w:jc w:val="both"/>
        <w:rPr>
          <w:rFonts w:ascii="Book Antiqua" w:hAnsi="Book Antiqua"/>
          <w:sz w:val="24"/>
          <w:szCs w:val="24"/>
        </w:rPr>
      </w:pPr>
      <w:r w:rsidRPr="00E81916">
        <w:rPr>
          <w:rFonts w:ascii="Book Antiqua" w:hAnsi="Book Antiqua"/>
          <w:sz w:val="24"/>
          <w:szCs w:val="24"/>
        </w:rPr>
        <w:t>even if litigation privilege applied, “it could not override a fundamental human right</w:t>
      </w:r>
      <w:r w:rsidR="00D7040F">
        <w:rPr>
          <w:rFonts w:ascii="Book Antiqua" w:hAnsi="Book Antiqua"/>
          <w:sz w:val="24"/>
          <w:szCs w:val="24"/>
        </w:rPr>
        <w:t>”.</w:t>
      </w:r>
    </w:p>
    <w:p w14:paraId="0C9D7B34" w14:textId="77777777" w:rsidR="00B27912" w:rsidRPr="00E81916" w:rsidRDefault="00B27912" w:rsidP="00575884">
      <w:pPr>
        <w:pStyle w:val="ListParagraph"/>
        <w:numPr>
          <w:ilvl w:val="0"/>
          <w:numId w:val="1"/>
        </w:numPr>
        <w:ind w:left="1276" w:hanging="709"/>
        <w:jc w:val="both"/>
        <w:rPr>
          <w:rFonts w:ascii="Book Antiqua" w:hAnsi="Book Antiqua"/>
          <w:sz w:val="24"/>
          <w:szCs w:val="24"/>
        </w:rPr>
      </w:pPr>
      <w:r w:rsidRPr="00E81916">
        <w:rPr>
          <w:rFonts w:ascii="Book Antiqua" w:hAnsi="Book Antiqua"/>
          <w:sz w:val="24"/>
          <w:szCs w:val="24"/>
        </w:rPr>
        <w:t xml:space="preserve">there might be a perception that it might be misled by the evidence. </w:t>
      </w:r>
    </w:p>
    <w:p w14:paraId="108C3550" w14:textId="77777777" w:rsidR="00B27912" w:rsidRPr="00E81916" w:rsidRDefault="00B27912" w:rsidP="000F04A4">
      <w:pPr>
        <w:pStyle w:val="ListParagraph"/>
        <w:numPr>
          <w:ilvl w:val="0"/>
          <w:numId w:val="5"/>
        </w:numPr>
        <w:spacing w:before="240" w:line="240" w:lineRule="auto"/>
        <w:ind w:left="567" w:hanging="567"/>
        <w:contextualSpacing w:val="0"/>
        <w:jc w:val="both"/>
        <w:rPr>
          <w:rFonts w:ascii="Book Antiqua" w:hAnsi="Book Antiqua"/>
          <w:sz w:val="24"/>
          <w:szCs w:val="24"/>
        </w:rPr>
      </w:pPr>
      <w:r w:rsidRPr="00E81916">
        <w:rPr>
          <w:rFonts w:ascii="Book Antiqua" w:hAnsi="Book Antiqua"/>
          <w:sz w:val="24"/>
          <w:szCs w:val="24"/>
        </w:rPr>
        <w:t xml:space="preserve">The interested party submits as a preliminary issue </w:t>
      </w:r>
      <w:r w:rsidR="00425832" w:rsidRPr="00E81916">
        <w:rPr>
          <w:rFonts w:ascii="Book Antiqua" w:hAnsi="Book Antiqua"/>
          <w:sz w:val="24"/>
          <w:szCs w:val="24"/>
        </w:rPr>
        <w:t xml:space="preserve">that the Upper Tribunal should not entertain the application as there is a suitable alternative remedy available by way of an application for permission to appeal against the final decision, that being the remedy laid down by </w:t>
      </w:r>
      <w:r w:rsidR="00D7040F">
        <w:rPr>
          <w:rFonts w:ascii="Book Antiqua" w:hAnsi="Book Antiqua"/>
          <w:sz w:val="24"/>
          <w:szCs w:val="24"/>
        </w:rPr>
        <w:t>P</w:t>
      </w:r>
      <w:r w:rsidR="00425832" w:rsidRPr="00E81916">
        <w:rPr>
          <w:rFonts w:ascii="Book Antiqua" w:hAnsi="Book Antiqua"/>
          <w:sz w:val="24"/>
          <w:szCs w:val="24"/>
        </w:rPr>
        <w:t xml:space="preserve">arliament; and, that the grounds do not in any event merit the exceptional course of intervention by way of judicial review of an interlocutory decision of a Tribunal. </w:t>
      </w:r>
    </w:p>
    <w:p w14:paraId="6DE5F31C" w14:textId="77777777" w:rsidR="00425832" w:rsidRPr="00E81916" w:rsidRDefault="00425832"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 xml:space="preserve">It is also argued that even if these hurdles are overcome, and permission is granted, the application should </w:t>
      </w:r>
      <w:r w:rsidR="004F2197" w:rsidRPr="00E81916">
        <w:rPr>
          <w:rFonts w:ascii="Book Antiqua" w:hAnsi="Book Antiqua"/>
          <w:sz w:val="24"/>
          <w:szCs w:val="24"/>
        </w:rPr>
        <w:t>be dismissed as:</w:t>
      </w:r>
    </w:p>
    <w:p w14:paraId="29AC6A17" w14:textId="77777777" w:rsidR="00425832" w:rsidRPr="00E81916" w:rsidRDefault="00624638" w:rsidP="00575884">
      <w:pPr>
        <w:pStyle w:val="ListParagraph"/>
        <w:numPr>
          <w:ilvl w:val="0"/>
          <w:numId w:val="6"/>
        </w:numPr>
        <w:ind w:left="1276" w:hanging="709"/>
        <w:jc w:val="both"/>
        <w:rPr>
          <w:rFonts w:ascii="Book Antiqua" w:hAnsi="Book Antiqua"/>
          <w:sz w:val="24"/>
          <w:szCs w:val="24"/>
        </w:rPr>
      </w:pPr>
      <w:r w:rsidRPr="00E81916">
        <w:rPr>
          <w:rFonts w:ascii="Book Antiqua" w:hAnsi="Book Antiqua"/>
          <w:sz w:val="24"/>
          <w:szCs w:val="24"/>
        </w:rPr>
        <w:t>Litigation privilege does not apply</w:t>
      </w:r>
      <w:r w:rsidR="004F2197" w:rsidRPr="00E81916">
        <w:rPr>
          <w:rFonts w:ascii="Book Antiqua" w:hAnsi="Book Antiqua"/>
          <w:sz w:val="24"/>
          <w:szCs w:val="24"/>
        </w:rPr>
        <w:t xml:space="preserve"> in proceedings in the FtT as the proceedings are not adversarial proceedings;</w:t>
      </w:r>
    </w:p>
    <w:p w14:paraId="566EC401" w14:textId="77777777" w:rsidR="004F2197" w:rsidRPr="00E81916" w:rsidRDefault="004F2197" w:rsidP="00575884">
      <w:pPr>
        <w:pStyle w:val="ListParagraph"/>
        <w:numPr>
          <w:ilvl w:val="0"/>
          <w:numId w:val="6"/>
        </w:numPr>
        <w:ind w:left="1276" w:hanging="709"/>
        <w:jc w:val="both"/>
        <w:rPr>
          <w:rFonts w:ascii="Book Antiqua" w:hAnsi="Book Antiqua"/>
          <w:sz w:val="24"/>
          <w:szCs w:val="24"/>
        </w:rPr>
      </w:pPr>
      <w:r w:rsidRPr="00E81916">
        <w:rPr>
          <w:rFonts w:ascii="Book Antiqua" w:hAnsi="Book Antiqua"/>
          <w:sz w:val="24"/>
          <w:szCs w:val="24"/>
        </w:rPr>
        <w:t>Even i</w:t>
      </w:r>
      <w:r w:rsidR="00575884">
        <w:rPr>
          <w:rFonts w:ascii="Book Antiqua" w:hAnsi="Book Antiqua"/>
          <w:sz w:val="24"/>
          <w:szCs w:val="24"/>
        </w:rPr>
        <w:t>f</w:t>
      </w:r>
      <w:r w:rsidRPr="00E81916">
        <w:rPr>
          <w:rFonts w:ascii="Book Antiqua" w:hAnsi="Book Antiqua"/>
          <w:sz w:val="24"/>
          <w:szCs w:val="24"/>
        </w:rPr>
        <w:t xml:space="preserve"> it did, it could not apply on the facts of this case as the email was between FCO officials;</w:t>
      </w:r>
    </w:p>
    <w:p w14:paraId="7262376C" w14:textId="763CD2AE" w:rsidR="004F2197" w:rsidRPr="00E81916" w:rsidRDefault="004F2197" w:rsidP="00575884">
      <w:pPr>
        <w:pStyle w:val="ListParagraph"/>
        <w:numPr>
          <w:ilvl w:val="0"/>
          <w:numId w:val="6"/>
        </w:numPr>
        <w:ind w:left="1276" w:hanging="709"/>
        <w:jc w:val="both"/>
        <w:rPr>
          <w:rFonts w:ascii="Book Antiqua" w:hAnsi="Book Antiqua"/>
          <w:sz w:val="24"/>
          <w:szCs w:val="24"/>
        </w:rPr>
      </w:pPr>
      <w:r w:rsidRPr="00E81916">
        <w:rPr>
          <w:rFonts w:ascii="Book Antiqua" w:hAnsi="Book Antiqua"/>
          <w:sz w:val="24"/>
          <w:szCs w:val="24"/>
        </w:rPr>
        <w:t xml:space="preserve">Even if it did apply </w:t>
      </w:r>
      <w:r w:rsidR="00FF44A7">
        <w:rPr>
          <w:rFonts w:ascii="Book Antiqua" w:hAnsi="Book Antiqua"/>
          <w:sz w:val="24"/>
          <w:szCs w:val="24"/>
        </w:rPr>
        <w:t>to the email, it cannot now be</w:t>
      </w:r>
      <w:r w:rsidRPr="00E81916">
        <w:rPr>
          <w:rFonts w:ascii="Book Antiqua" w:hAnsi="Book Antiqua"/>
          <w:sz w:val="24"/>
          <w:szCs w:val="24"/>
        </w:rPr>
        <w:t xml:space="preserve"> claimed as the applicant has waived litigation privilege through partial disclosure;</w:t>
      </w:r>
    </w:p>
    <w:p w14:paraId="3CF51B01" w14:textId="65A25669" w:rsidR="004F2197" w:rsidRPr="00E81916" w:rsidRDefault="004F2197" w:rsidP="00575884">
      <w:pPr>
        <w:pStyle w:val="ListParagraph"/>
        <w:numPr>
          <w:ilvl w:val="0"/>
          <w:numId w:val="6"/>
        </w:numPr>
        <w:ind w:left="1276" w:hanging="709"/>
        <w:jc w:val="both"/>
        <w:rPr>
          <w:rFonts w:ascii="Book Antiqua" w:hAnsi="Book Antiqua"/>
          <w:sz w:val="24"/>
          <w:szCs w:val="24"/>
        </w:rPr>
      </w:pPr>
      <w:r w:rsidRPr="00E81916">
        <w:rPr>
          <w:rFonts w:ascii="Book Antiqua" w:hAnsi="Book Antiqua"/>
          <w:sz w:val="24"/>
          <w:szCs w:val="24"/>
        </w:rPr>
        <w:t xml:space="preserve">The challenge to the assessment of the witness statement and the other challenges to the FtT’s summary reasons were not properly challengeable on </w:t>
      </w:r>
      <w:r w:rsidR="00D7040F">
        <w:rPr>
          <w:rFonts w:ascii="Book Antiqua" w:hAnsi="Book Antiqua"/>
          <w:sz w:val="24"/>
          <w:szCs w:val="24"/>
        </w:rPr>
        <w:t>“</w:t>
      </w:r>
      <w:r w:rsidRPr="00E81916">
        <w:rPr>
          <w:rFonts w:ascii="Book Antiqua" w:hAnsi="Book Antiqua"/>
          <w:sz w:val="24"/>
          <w:szCs w:val="24"/>
        </w:rPr>
        <w:t>Wednesbury” grounds.</w:t>
      </w:r>
    </w:p>
    <w:p w14:paraId="4F913934" w14:textId="57036914" w:rsidR="002C5800" w:rsidRPr="002879AC" w:rsidRDefault="000F04A4">
      <w:pPr>
        <w:rPr>
          <w:rFonts w:ascii="Book Antiqua" w:hAnsi="Book Antiqua"/>
          <w:b/>
          <w:sz w:val="24"/>
          <w:szCs w:val="24"/>
          <w:u w:val="single"/>
        </w:rPr>
      </w:pPr>
      <w:r w:rsidRPr="002879AC">
        <w:rPr>
          <w:rFonts w:ascii="Book Antiqua" w:hAnsi="Book Antiqua"/>
          <w:b/>
          <w:sz w:val="24"/>
          <w:szCs w:val="24"/>
          <w:u w:val="single"/>
        </w:rPr>
        <w:t>Legislative Framework</w:t>
      </w:r>
    </w:p>
    <w:p w14:paraId="114C6FE9" w14:textId="77777777" w:rsidR="004F3294" w:rsidRPr="00E81916" w:rsidRDefault="00A303E4"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Section 11 of the Tribunals, Courts an</w:t>
      </w:r>
      <w:r w:rsidR="00482BB3" w:rsidRPr="00E81916">
        <w:rPr>
          <w:rFonts w:ascii="Book Antiqua" w:hAnsi="Book Antiqua"/>
          <w:sz w:val="24"/>
          <w:szCs w:val="24"/>
        </w:rPr>
        <w:t>d Enforcement Act 2007 provides, so far as is relevant:</w:t>
      </w:r>
    </w:p>
    <w:p w14:paraId="3C6E0653" w14:textId="77777777" w:rsidR="00482BB3" w:rsidRPr="00E81916" w:rsidRDefault="00482BB3" w:rsidP="00575884">
      <w:pPr>
        <w:ind w:left="1134" w:hanging="283"/>
        <w:rPr>
          <w:rFonts w:ascii="Book Antiqua" w:hAnsi="Book Antiqua"/>
        </w:rPr>
      </w:pPr>
      <w:r w:rsidRPr="00E81916">
        <w:rPr>
          <w:rFonts w:ascii="Book Antiqua" w:hAnsi="Book Antiqua"/>
        </w:rPr>
        <w:t>11 Right to appeal to Upper Tribunal</w:t>
      </w:r>
    </w:p>
    <w:p w14:paraId="63F57F55" w14:textId="77777777" w:rsidR="00482BB3" w:rsidRPr="00E81916" w:rsidRDefault="00482BB3" w:rsidP="002879AC">
      <w:pPr>
        <w:ind w:left="1134"/>
        <w:jc w:val="both"/>
        <w:rPr>
          <w:rFonts w:ascii="Book Antiqua" w:hAnsi="Book Antiqua"/>
        </w:rPr>
      </w:pPr>
      <w:r w:rsidRPr="00E81916">
        <w:rPr>
          <w:rFonts w:ascii="Book Antiqua" w:hAnsi="Book Antiqua"/>
        </w:rPr>
        <w:t>(1) For the purposes of subsection (2), the reference to a right of appeal is to a right to appeal to the Upper Tribunal on any point of law arising from a decision made by the First-tier Tribunal other than an excluded decision.</w:t>
      </w:r>
    </w:p>
    <w:p w14:paraId="5C22D045" w14:textId="77777777" w:rsidR="00482BB3" w:rsidRPr="00E81916" w:rsidRDefault="00482BB3" w:rsidP="00575884">
      <w:pPr>
        <w:ind w:left="851" w:firstLine="283"/>
        <w:rPr>
          <w:rFonts w:ascii="Book Antiqua" w:hAnsi="Book Antiqua"/>
        </w:rPr>
      </w:pPr>
      <w:r w:rsidRPr="00E81916">
        <w:rPr>
          <w:rFonts w:ascii="Book Antiqua" w:hAnsi="Book Antiqua"/>
        </w:rPr>
        <w:t>(2) Any party to a case has a right of appeal, subject to subsection (8)</w:t>
      </w:r>
    </w:p>
    <w:p w14:paraId="3E9CD297" w14:textId="77777777" w:rsidR="00482BB3" w:rsidRPr="00E81916" w:rsidRDefault="00482BB3" w:rsidP="00575884">
      <w:pPr>
        <w:ind w:left="1134"/>
        <w:rPr>
          <w:rFonts w:ascii="Book Antiqua" w:hAnsi="Book Antiqua"/>
        </w:rPr>
      </w:pPr>
      <w:r w:rsidRPr="00E81916">
        <w:rPr>
          <w:rFonts w:ascii="Book Antiqua" w:hAnsi="Book Antiqua"/>
        </w:rPr>
        <w:t>…</w:t>
      </w:r>
    </w:p>
    <w:p w14:paraId="2147B76F" w14:textId="77777777" w:rsidR="00482BB3" w:rsidRPr="00E81916" w:rsidRDefault="00482BB3" w:rsidP="00575884">
      <w:pPr>
        <w:ind w:left="1134"/>
        <w:rPr>
          <w:rFonts w:ascii="Book Antiqua" w:hAnsi="Book Antiqua"/>
        </w:rPr>
      </w:pPr>
      <w:r w:rsidRPr="00E81916">
        <w:rPr>
          <w:rFonts w:ascii="Book Antiqua" w:hAnsi="Book Antiqua"/>
        </w:rPr>
        <w:lastRenderedPageBreak/>
        <w:t>(5) For the purposes of subsection (1), an “excluded decision” is–</w:t>
      </w:r>
    </w:p>
    <w:p w14:paraId="5754E93A" w14:textId="77777777" w:rsidR="00482BB3" w:rsidRPr="00E81916" w:rsidRDefault="00482BB3" w:rsidP="00575884">
      <w:pPr>
        <w:ind w:left="1134"/>
        <w:rPr>
          <w:rFonts w:ascii="Book Antiqua" w:hAnsi="Book Antiqua"/>
        </w:rPr>
      </w:pPr>
      <w:r w:rsidRPr="00E81916">
        <w:rPr>
          <w:rFonts w:ascii="Book Antiqua" w:hAnsi="Book Antiqua"/>
        </w:rPr>
        <w:t>…</w:t>
      </w:r>
    </w:p>
    <w:p w14:paraId="6F842FFB" w14:textId="77777777" w:rsidR="00482BB3" w:rsidRPr="00E81916" w:rsidRDefault="00482BB3" w:rsidP="00575884">
      <w:pPr>
        <w:ind w:left="1440"/>
        <w:rPr>
          <w:rFonts w:ascii="Book Antiqua" w:hAnsi="Book Antiqua"/>
        </w:rPr>
      </w:pPr>
      <w:r w:rsidRPr="00E81916">
        <w:rPr>
          <w:rFonts w:ascii="Book Antiqua" w:hAnsi="Book Antiqua"/>
        </w:rPr>
        <w:t>(f) any decision of the First-tier Tribunal that is of a description specified in an order made by the Lord Chancellor.</w:t>
      </w:r>
    </w:p>
    <w:p w14:paraId="3D31AF30" w14:textId="77777777" w:rsidR="00482BB3" w:rsidRPr="00E81916" w:rsidRDefault="00482BB3"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The Appeals (Excluded Decisions) Order 2009</w:t>
      </w:r>
      <w:r w:rsidR="0079447F" w:rsidRPr="00E81916">
        <w:rPr>
          <w:rFonts w:ascii="Book Antiqua" w:hAnsi="Book Antiqua"/>
          <w:sz w:val="24"/>
          <w:szCs w:val="24"/>
        </w:rPr>
        <w:t xml:space="preserve"> provides, so far as it is relevant</w:t>
      </w:r>
      <w:r w:rsidR="00F42346">
        <w:rPr>
          <w:rFonts w:ascii="Book Antiqua" w:hAnsi="Book Antiqua"/>
          <w:sz w:val="24"/>
          <w:szCs w:val="24"/>
        </w:rPr>
        <w:t>, that the following are excluded decisions for the purposes of (</w:t>
      </w:r>
      <w:r w:rsidR="00F42346" w:rsidRPr="00FF44A7">
        <w:rPr>
          <w:rFonts w:ascii="Book Antiqua" w:hAnsi="Book Antiqua"/>
          <w:i/>
          <w:sz w:val="24"/>
          <w:szCs w:val="24"/>
        </w:rPr>
        <w:t>inter alia</w:t>
      </w:r>
      <w:r w:rsidR="00F42346">
        <w:rPr>
          <w:rFonts w:ascii="Book Antiqua" w:hAnsi="Book Antiqua"/>
          <w:sz w:val="24"/>
          <w:szCs w:val="24"/>
        </w:rPr>
        <w:t>) section 11</w:t>
      </w:r>
      <w:r w:rsidR="0079447F" w:rsidRPr="00E81916">
        <w:rPr>
          <w:rFonts w:ascii="Book Antiqua" w:hAnsi="Book Antiqua"/>
          <w:sz w:val="24"/>
          <w:szCs w:val="24"/>
        </w:rPr>
        <w:t>:</w:t>
      </w:r>
    </w:p>
    <w:p w14:paraId="361A99C8" w14:textId="77777777" w:rsidR="0079447F" w:rsidRPr="00E81916" w:rsidRDefault="0079447F" w:rsidP="002879AC">
      <w:pPr>
        <w:ind w:left="1134"/>
        <w:jc w:val="both"/>
        <w:rPr>
          <w:rFonts w:ascii="Book Antiqua" w:hAnsi="Book Antiqua"/>
        </w:rPr>
      </w:pPr>
      <w:r w:rsidRPr="00E81916">
        <w:rPr>
          <w:rFonts w:ascii="Book Antiqua" w:hAnsi="Book Antiqua"/>
        </w:rPr>
        <w:t xml:space="preserve">(m) any procedural, ancillary or preliminary decision made in relation to an appeal against a decision under </w:t>
      </w:r>
      <w:hyperlink r:id="rId8" w:history="1">
        <w:r w:rsidRPr="00E81916">
          <w:rPr>
            <w:rFonts w:ascii="Book Antiqua" w:hAnsi="Book Antiqua"/>
          </w:rPr>
          <w:t>section 40A</w:t>
        </w:r>
      </w:hyperlink>
      <w:r w:rsidRPr="00E81916">
        <w:rPr>
          <w:rFonts w:ascii="Book Antiqua" w:hAnsi="Book Antiqua"/>
        </w:rPr>
        <w:t xml:space="preserve">  of the </w:t>
      </w:r>
      <w:hyperlink r:id="rId9" w:history="1">
        <w:r w:rsidRPr="00E81916">
          <w:rPr>
            <w:rFonts w:ascii="Book Antiqua" w:hAnsi="Book Antiqua"/>
          </w:rPr>
          <w:t>British Nationality Act 1981</w:t>
        </w:r>
      </w:hyperlink>
      <w:r w:rsidRPr="00E81916">
        <w:rPr>
          <w:rFonts w:ascii="Book Antiqua" w:hAnsi="Book Antiqua"/>
        </w:rPr>
        <w:t xml:space="preserve">, </w:t>
      </w:r>
      <w:hyperlink r:id="rId10" w:history="1">
        <w:r w:rsidRPr="00E81916">
          <w:rPr>
            <w:rFonts w:ascii="Book Antiqua" w:hAnsi="Book Antiqua"/>
          </w:rPr>
          <w:t>section 82</w:t>
        </w:r>
      </w:hyperlink>
      <w:r w:rsidRPr="00E81916">
        <w:rPr>
          <w:rFonts w:ascii="Book Antiqua" w:hAnsi="Book Antiqua"/>
        </w:rPr>
        <w:t xml:space="preserve">  of the </w:t>
      </w:r>
      <w:hyperlink r:id="rId11" w:history="1">
        <w:r w:rsidRPr="00E81916">
          <w:rPr>
            <w:rFonts w:ascii="Book Antiqua" w:hAnsi="Book Antiqua"/>
          </w:rPr>
          <w:t>Nationality, Immigration and Asylum Act 2002</w:t>
        </w:r>
      </w:hyperlink>
      <w:r w:rsidRPr="00E81916">
        <w:rPr>
          <w:rFonts w:ascii="Book Antiqua" w:hAnsi="Book Antiqua"/>
        </w:rPr>
        <w:t xml:space="preserve">, or </w:t>
      </w:r>
      <w:hyperlink r:id="rId12" w:history="1">
        <w:r w:rsidRPr="00E81916">
          <w:rPr>
            <w:rFonts w:ascii="Book Antiqua" w:hAnsi="Book Antiqua"/>
          </w:rPr>
          <w:t>regulation 26</w:t>
        </w:r>
      </w:hyperlink>
      <w:r w:rsidRPr="00E81916">
        <w:rPr>
          <w:rFonts w:ascii="Book Antiqua" w:hAnsi="Book Antiqua"/>
        </w:rPr>
        <w:t xml:space="preserve">  of the </w:t>
      </w:r>
      <w:hyperlink r:id="rId13" w:history="1">
        <w:r w:rsidRPr="00E81916">
          <w:rPr>
            <w:rFonts w:ascii="Book Antiqua" w:hAnsi="Book Antiqua"/>
          </w:rPr>
          <w:t>Immigration (European Economic Area) Regulations 2006</w:t>
        </w:r>
      </w:hyperlink>
      <w:r w:rsidRPr="00E81916">
        <w:rPr>
          <w:rFonts w:ascii="Book Antiqua" w:hAnsi="Book Antiqua"/>
        </w:rPr>
        <w:t>.</w:t>
      </w:r>
    </w:p>
    <w:p w14:paraId="358A633A" w14:textId="77777777" w:rsidR="0079447F" w:rsidRPr="00E81916" w:rsidRDefault="0079447F"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 xml:space="preserve">The </w:t>
      </w:r>
      <w:r w:rsidR="00EE21AF" w:rsidRPr="00E81916">
        <w:rPr>
          <w:rFonts w:ascii="Book Antiqua" w:hAnsi="Book Antiqua"/>
          <w:sz w:val="24"/>
          <w:szCs w:val="24"/>
        </w:rPr>
        <w:t>Tribunal Procedure (</w:t>
      </w:r>
      <w:r w:rsidRPr="00E81916">
        <w:rPr>
          <w:rFonts w:ascii="Book Antiqua" w:hAnsi="Book Antiqua"/>
          <w:sz w:val="24"/>
          <w:szCs w:val="24"/>
        </w:rPr>
        <w:t xml:space="preserve">First-tier </w:t>
      </w:r>
      <w:r w:rsidR="00B27912" w:rsidRPr="00E81916">
        <w:rPr>
          <w:rFonts w:ascii="Book Antiqua" w:hAnsi="Book Antiqua"/>
          <w:sz w:val="24"/>
          <w:szCs w:val="24"/>
        </w:rPr>
        <w:t>Tribunal) (</w:t>
      </w:r>
      <w:r w:rsidR="00EE21AF" w:rsidRPr="00E81916">
        <w:rPr>
          <w:rFonts w:ascii="Book Antiqua" w:hAnsi="Book Antiqua"/>
          <w:sz w:val="24"/>
          <w:szCs w:val="24"/>
        </w:rPr>
        <w:t>Immigration and Asylum Chamber)</w:t>
      </w:r>
      <w:r w:rsidRPr="00E81916">
        <w:rPr>
          <w:rFonts w:ascii="Book Antiqua" w:hAnsi="Book Antiqua"/>
          <w:sz w:val="24"/>
          <w:szCs w:val="24"/>
        </w:rPr>
        <w:t xml:space="preserve"> Rules </w:t>
      </w:r>
      <w:r w:rsidR="00EE21AF" w:rsidRPr="00E81916">
        <w:rPr>
          <w:rFonts w:ascii="Book Antiqua" w:hAnsi="Book Antiqua"/>
          <w:sz w:val="24"/>
          <w:szCs w:val="24"/>
        </w:rPr>
        <w:t xml:space="preserve">2014 </w:t>
      </w:r>
      <w:r w:rsidRPr="00E81916">
        <w:rPr>
          <w:rFonts w:ascii="Book Antiqua" w:hAnsi="Book Antiqua"/>
          <w:sz w:val="24"/>
          <w:szCs w:val="24"/>
        </w:rPr>
        <w:t>provide</w:t>
      </w:r>
      <w:r w:rsidR="00575884">
        <w:rPr>
          <w:rFonts w:ascii="Book Antiqua" w:hAnsi="Book Antiqua"/>
          <w:sz w:val="24"/>
          <w:szCs w:val="24"/>
        </w:rPr>
        <w:t>:</w:t>
      </w:r>
    </w:p>
    <w:p w14:paraId="190D6C2F" w14:textId="77777777" w:rsidR="0079447F" w:rsidRPr="00E81916" w:rsidRDefault="00EE21AF" w:rsidP="002879AC">
      <w:pPr>
        <w:ind w:left="1134"/>
        <w:jc w:val="both"/>
        <w:rPr>
          <w:rFonts w:ascii="Book Antiqua" w:hAnsi="Book Antiqua"/>
        </w:rPr>
      </w:pPr>
      <w:r w:rsidRPr="00E81916">
        <w:rPr>
          <w:rFonts w:ascii="Book Antiqua" w:hAnsi="Book Antiqua"/>
        </w:rPr>
        <w:t>15. (</w:t>
      </w:r>
      <w:r w:rsidR="0079447F" w:rsidRPr="00E81916">
        <w:rPr>
          <w:rFonts w:ascii="Book Antiqua" w:hAnsi="Book Antiqua"/>
        </w:rPr>
        <w:t>3) No person may be compelled to give any evidence or produce any document that the person could not be compelled to give or produce on a trial of an action in a court of law in the part of the United Kingdom where the proceedings are to be determined.</w:t>
      </w:r>
    </w:p>
    <w:p w14:paraId="438A2F23" w14:textId="77777777" w:rsidR="002879AC" w:rsidRDefault="002879AC" w:rsidP="00E81916">
      <w:pPr>
        <w:jc w:val="both"/>
        <w:rPr>
          <w:rFonts w:ascii="Book Antiqua" w:hAnsi="Book Antiqua"/>
          <w:sz w:val="24"/>
          <w:szCs w:val="24"/>
          <w:u w:val="single"/>
        </w:rPr>
      </w:pPr>
    </w:p>
    <w:p w14:paraId="32FBFED2" w14:textId="0E3287A3" w:rsidR="00EE21AF" w:rsidRPr="002879AC" w:rsidRDefault="000F04A4" w:rsidP="00E81916">
      <w:pPr>
        <w:jc w:val="both"/>
        <w:rPr>
          <w:rFonts w:ascii="Book Antiqua" w:hAnsi="Book Antiqua"/>
          <w:b/>
          <w:sz w:val="24"/>
          <w:szCs w:val="24"/>
          <w:u w:val="single"/>
        </w:rPr>
      </w:pPr>
      <w:r w:rsidRPr="002879AC">
        <w:rPr>
          <w:rFonts w:ascii="Book Antiqua" w:hAnsi="Book Antiqua"/>
          <w:b/>
          <w:sz w:val="24"/>
          <w:szCs w:val="24"/>
          <w:u w:val="single"/>
        </w:rPr>
        <w:t>The Issue of a Suitable Remedy</w:t>
      </w:r>
    </w:p>
    <w:p w14:paraId="086B9D87" w14:textId="2C482728" w:rsidR="004F2197" w:rsidRDefault="004F2197"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 xml:space="preserve">As noted above, the </w:t>
      </w:r>
      <w:r w:rsidR="00F42346">
        <w:rPr>
          <w:rFonts w:ascii="Book Antiqua" w:hAnsi="Book Antiqua"/>
          <w:sz w:val="24"/>
          <w:szCs w:val="24"/>
        </w:rPr>
        <w:t>i</w:t>
      </w:r>
      <w:r w:rsidRPr="00E81916">
        <w:rPr>
          <w:rFonts w:ascii="Book Antiqua" w:hAnsi="Book Antiqua"/>
          <w:sz w:val="24"/>
          <w:szCs w:val="24"/>
        </w:rPr>
        <w:t xml:space="preserve">nterested </w:t>
      </w:r>
      <w:r w:rsidR="00F42346">
        <w:rPr>
          <w:rFonts w:ascii="Book Antiqua" w:hAnsi="Book Antiqua"/>
          <w:sz w:val="24"/>
          <w:szCs w:val="24"/>
        </w:rPr>
        <w:t>p</w:t>
      </w:r>
      <w:r w:rsidRPr="00E81916">
        <w:rPr>
          <w:rFonts w:ascii="Book Antiqua" w:hAnsi="Book Antiqua"/>
          <w:sz w:val="24"/>
          <w:szCs w:val="24"/>
        </w:rPr>
        <w:t>arty submits that the applicant’s challenge falls at the permission stage,</w:t>
      </w:r>
      <w:r w:rsidR="00F42346">
        <w:rPr>
          <w:rFonts w:ascii="Book Antiqua" w:hAnsi="Book Antiqua"/>
          <w:sz w:val="24"/>
          <w:szCs w:val="24"/>
        </w:rPr>
        <w:t xml:space="preserve"> on the basis that</w:t>
      </w:r>
      <w:r w:rsidR="00FF44A7">
        <w:rPr>
          <w:rFonts w:ascii="Book Antiqua" w:hAnsi="Book Antiqua"/>
          <w:sz w:val="24"/>
          <w:szCs w:val="24"/>
        </w:rPr>
        <w:t xml:space="preserve"> </w:t>
      </w:r>
      <w:r w:rsidRPr="00E81916">
        <w:rPr>
          <w:rFonts w:ascii="Book Antiqua" w:hAnsi="Book Antiqua"/>
          <w:sz w:val="24"/>
          <w:szCs w:val="24"/>
        </w:rPr>
        <w:t xml:space="preserve">there </w:t>
      </w:r>
      <w:r w:rsidR="000858AD">
        <w:rPr>
          <w:rFonts w:ascii="Book Antiqua" w:hAnsi="Book Antiqua"/>
          <w:sz w:val="24"/>
          <w:szCs w:val="24"/>
        </w:rPr>
        <w:t>is</w:t>
      </w:r>
      <w:r w:rsidR="000858AD" w:rsidRPr="00E81916">
        <w:rPr>
          <w:rFonts w:ascii="Book Antiqua" w:hAnsi="Book Antiqua"/>
          <w:sz w:val="24"/>
          <w:szCs w:val="24"/>
        </w:rPr>
        <w:t xml:space="preserve"> </w:t>
      </w:r>
      <w:r w:rsidRPr="00E81916">
        <w:rPr>
          <w:rFonts w:ascii="Book Antiqua" w:hAnsi="Book Antiqua"/>
          <w:sz w:val="24"/>
          <w:szCs w:val="24"/>
        </w:rPr>
        <w:t>a suitable alternative remedy.</w:t>
      </w:r>
      <w:r w:rsidR="00741D09">
        <w:rPr>
          <w:rFonts w:ascii="Book Antiqua" w:hAnsi="Book Antiqua"/>
          <w:sz w:val="24"/>
          <w:szCs w:val="24"/>
        </w:rPr>
        <w:t xml:space="preserve">  It is submitted that judicial review proceedings are also premature, issues of disclosure being primarily a point for the court seized of the substantive appeal; and, that there are other options open to the </w:t>
      </w:r>
      <w:r w:rsidR="007F4504">
        <w:rPr>
          <w:rFonts w:ascii="Book Antiqua" w:hAnsi="Book Antiqua"/>
          <w:sz w:val="24"/>
          <w:szCs w:val="24"/>
        </w:rPr>
        <w:t>applicant</w:t>
      </w:r>
      <w:r w:rsidR="00741D09">
        <w:rPr>
          <w:rFonts w:ascii="Book Antiqua" w:hAnsi="Book Antiqua"/>
          <w:sz w:val="24"/>
          <w:szCs w:val="24"/>
        </w:rPr>
        <w:t xml:space="preserve">. And, further, it is submitted that if judicial review of interlocutory decisions is to be permitted, a very high threshold must be met, it being appropriate only in rare and exceptional cases. </w:t>
      </w:r>
    </w:p>
    <w:p w14:paraId="2386F25A" w14:textId="77777777" w:rsidR="00071998" w:rsidRDefault="00071998"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Whether or not to entertain an application for judicial review is a matter that falls within the Upper Tribunal’s discretion</w:t>
      </w:r>
      <w:r w:rsidR="00F42346">
        <w:rPr>
          <w:rFonts w:ascii="Book Antiqua" w:hAnsi="Book Antiqua"/>
          <w:sz w:val="24"/>
          <w:szCs w:val="24"/>
        </w:rPr>
        <w:t>, applying well-known principles that apply also in the High Court</w:t>
      </w:r>
      <w:r>
        <w:rPr>
          <w:rFonts w:ascii="Book Antiqua" w:hAnsi="Book Antiqua"/>
          <w:sz w:val="24"/>
          <w:szCs w:val="24"/>
        </w:rPr>
        <w:t>. We consider it uncontroversial to state that where there is an alternative remedy it would only be in the rarest of cases that the Upper Tribunal would consider exercising its jurisdiction</w:t>
      </w:r>
      <w:r w:rsidR="00F42346">
        <w:rPr>
          <w:rFonts w:ascii="Book Antiqua" w:hAnsi="Book Antiqua"/>
          <w:sz w:val="24"/>
          <w:szCs w:val="24"/>
        </w:rPr>
        <w:t xml:space="preserve"> to grant permission to bring judicial review proceedings</w:t>
      </w:r>
      <w:r>
        <w:rPr>
          <w:rFonts w:ascii="Book Antiqua" w:hAnsi="Book Antiqua"/>
          <w:sz w:val="24"/>
          <w:szCs w:val="24"/>
        </w:rPr>
        <w:t>.</w:t>
      </w:r>
    </w:p>
    <w:p w14:paraId="0B0C23EA" w14:textId="77777777" w:rsidR="00071998" w:rsidRDefault="00071998"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The availability of an alternative remedy is not the only consideration as to whether jurisdiction should be exercised. As Ms Harrison submits, the statutory scheme, and the fact that this is an interference in the usual procedure are factors to be taken into account. </w:t>
      </w:r>
    </w:p>
    <w:p w14:paraId="6BCA8AD7" w14:textId="77777777" w:rsidR="00F379C3" w:rsidRDefault="00F379C3"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Whether a statutory appeal is a suitable remedy requires us to consider if litigation privilege applies and if so, a statutory appeal against the final decision </w:t>
      </w:r>
      <w:r>
        <w:rPr>
          <w:rFonts w:ascii="Book Antiqua" w:hAnsi="Book Antiqua"/>
          <w:sz w:val="24"/>
          <w:szCs w:val="24"/>
        </w:rPr>
        <w:lastRenderedPageBreak/>
        <w:t xml:space="preserve">of the FtT in the substantive appeal could be a remedy against an improper and unlawful order requiring disclosure. </w:t>
      </w:r>
    </w:p>
    <w:p w14:paraId="543D5B35" w14:textId="7CD0722B" w:rsidR="00575884" w:rsidRDefault="00741D09" w:rsidP="00E81916">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We accept that, as Ms Harrison submits, </w:t>
      </w:r>
      <w:r w:rsidR="00F42346">
        <w:rPr>
          <w:rFonts w:ascii="Book Antiqua" w:hAnsi="Book Antiqua"/>
          <w:sz w:val="24"/>
          <w:szCs w:val="24"/>
        </w:rPr>
        <w:t>P</w:t>
      </w:r>
      <w:r>
        <w:rPr>
          <w:rFonts w:ascii="Book Antiqua" w:hAnsi="Book Antiqua"/>
          <w:sz w:val="24"/>
          <w:szCs w:val="24"/>
        </w:rPr>
        <w:t>arliament’s policy</w:t>
      </w:r>
      <w:r w:rsidR="00F42346">
        <w:rPr>
          <w:rFonts w:ascii="Book Antiqua" w:hAnsi="Book Antiqua"/>
          <w:sz w:val="24"/>
          <w:szCs w:val="24"/>
        </w:rPr>
        <w:t>, as set out in the Excluded Decisions Order,</w:t>
      </w:r>
      <w:r>
        <w:rPr>
          <w:rFonts w:ascii="Book Antiqua" w:hAnsi="Book Antiqua"/>
          <w:sz w:val="24"/>
          <w:szCs w:val="24"/>
        </w:rPr>
        <w:t xml:space="preserve"> is to limit appealable decisions</w:t>
      </w:r>
      <w:r w:rsidR="00F42346">
        <w:rPr>
          <w:rFonts w:ascii="Book Antiqua" w:hAnsi="Book Antiqua"/>
          <w:sz w:val="24"/>
          <w:szCs w:val="24"/>
        </w:rPr>
        <w:t xml:space="preserve"> in immigration appeals</w:t>
      </w:r>
      <w:r>
        <w:rPr>
          <w:rFonts w:ascii="Book Antiqua" w:hAnsi="Book Antiqua"/>
          <w:sz w:val="24"/>
          <w:szCs w:val="24"/>
        </w:rPr>
        <w:t xml:space="preserve"> to final decisions</w:t>
      </w:r>
      <w:r w:rsidR="00FF44A7">
        <w:rPr>
          <w:rFonts w:ascii="Book Antiqua" w:hAnsi="Book Antiqua"/>
          <w:sz w:val="24"/>
          <w:szCs w:val="24"/>
        </w:rPr>
        <w:t xml:space="preserve"> of the Ft</w:t>
      </w:r>
      <w:r w:rsidR="00F42346">
        <w:rPr>
          <w:rFonts w:ascii="Book Antiqua" w:hAnsi="Book Antiqua"/>
          <w:sz w:val="24"/>
          <w:szCs w:val="24"/>
        </w:rPr>
        <w:t>T</w:t>
      </w:r>
      <w:r>
        <w:rPr>
          <w:rFonts w:ascii="Book Antiqua" w:hAnsi="Book Antiqua"/>
          <w:sz w:val="24"/>
          <w:szCs w:val="24"/>
        </w:rPr>
        <w:t xml:space="preserve">. That is </w:t>
      </w:r>
      <w:r w:rsidR="00071998">
        <w:rPr>
          <w:rFonts w:ascii="Book Antiqua" w:hAnsi="Book Antiqua"/>
          <w:sz w:val="24"/>
          <w:szCs w:val="24"/>
        </w:rPr>
        <w:t>in</w:t>
      </w:r>
      <w:r>
        <w:rPr>
          <w:rFonts w:ascii="Book Antiqua" w:hAnsi="Book Antiqua"/>
          <w:sz w:val="24"/>
          <w:szCs w:val="24"/>
        </w:rPr>
        <w:t xml:space="preserve"> contrast with the position in the civil courts where interlocutory decisions do result in appeals up to the highe</w:t>
      </w:r>
      <w:r w:rsidR="001068A3">
        <w:rPr>
          <w:rFonts w:ascii="Book Antiqua" w:hAnsi="Book Antiqua"/>
          <w:sz w:val="24"/>
          <w:szCs w:val="24"/>
        </w:rPr>
        <w:t>r</w:t>
      </w:r>
      <w:r>
        <w:rPr>
          <w:rFonts w:ascii="Book Antiqua" w:hAnsi="Book Antiqua"/>
          <w:sz w:val="24"/>
          <w:szCs w:val="24"/>
        </w:rPr>
        <w:t xml:space="preserve"> courts</w:t>
      </w:r>
      <w:r w:rsidR="001068A3">
        <w:rPr>
          <w:rFonts w:ascii="Book Antiqua" w:hAnsi="Book Antiqua"/>
          <w:sz w:val="24"/>
          <w:szCs w:val="24"/>
        </w:rPr>
        <w:t xml:space="preserve"> as with the</w:t>
      </w:r>
      <w:r w:rsidR="000A2C99">
        <w:rPr>
          <w:rFonts w:ascii="Book Antiqua" w:hAnsi="Book Antiqua"/>
          <w:sz w:val="24"/>
          <w:szCs w:val="24"/>
        </w:rPr>
        <w:t xml:space="preserve"> cases </w:t>
      </w:r>
      <w:r w:rsidR="00F14C19">
        <w:rPr>
          <w:rFonts w:ascii="Book Antiqua" w:hAnsi="Book Antiqua"/>
          <w:sz w:val="24"/>
          <w:szCs w:val="24"/>
        </w:rPr>
        <w:t xml:space="preserve">to which we refer below </w:t>
      </w:r>
      <w:r w:rsidR="000A2C99">
        <w:rPr>
          <w:rFonts w:ascii="Book Antiqua" w:hAnsi="Book Antiqua"/>
          <w:sz w:val="24"/>
          <w:szCs w:val="24"/>
        </w:rPr>
        <w:t xml:space="preserve">reported as </w:t>
      </w:r>
      <w:r w:rsidR="001068A3" w:rsidRPr="000A2C99">
        <w:rPr>
          <w:rFonts w:ascii="Book Antiqua" w:hAnsi="Book Antiqua"/>
          <w:sz w:val="24"/>
          <w:szCs w:val="24"/>
          <w:u w:val="single"/>
        </w:rPr>
        <w:t>Three Rivers</w:t>
      </w:r>
      <w:r w:rsidR="000A2C99" w:rsidRPr="000A2C99">
        <w:rPr>
          <w:rFonts w:ascii="Book Antiqua" w:hAnsi="Book Antiqua"/>
          <w:sz w:val="24"/>
          <w:szCs w:val="24"/>
          <w:u w:val="single"/>
        </w:rPr>
        <w:t xml:space="preserve"> DC v Governors of the Bank of England (No.5)</w:t>
      </w:r>
      <w:r w:rsidR="00FF44A7" w:rsidRPr="00FF44A7">
        <w:rPr>
          <w:rFonts w:ascii="Book Antiqua" w:hAnsi="Book Antiqua"/>
          <w:sz w:val="24"/>
          <w:szCs w:val="24"/>
        </w:rPr>
        <w:t xml:space="preserve"> </w:t>
      </w:r>
      <w:r w:rsidR="000A2C99" w:rsidRPr="00F14C19">
        <w:rPr>
          <w:rFonts w:ascii="Book Antiqua" w:hAnsi="Book Antiqua"/>
          <w:sz w:val="24"/>
          <w:szCs w:val="24"/>
        </w:rPr>
        <w:t xml:space="preserve">[2003] </w:t>
      </w:r>
      <w:r w:rsidR="00F14C19">
        <w:rPr>
          <w:rFonts w:ascii="Book Antiqua" w:hAnsi="Book Antiqua"/>
          <w:sz w:val="24"/>
          <w:szCs w:val="24"/>
        </w:rPr>
        <w:t xml:space="preserve">EWCA 474 </w:t>
      </w:r>
      <w:r w:rsidR="000A2C99">
        <w:rPr>
          <w:rFonts w:ascii="Book Antiqua" w:hAnsi="Book Antiqua"/>
          <w:sz w:val="24"/>
          <w:szCs w:val="24"/>
        </w:rPr>
        <w:t xml:space="preserve">and </w:t>
      </w:r>
      <w:r w:rsidR="000A2C99" w:rsidRPr="000A2C99">
        <w:rPr>
          <w:rFonts w:ascii="Book Antiqua" w:hAnsi="Book Antiqua"/>
          <w:sz w:val="24"/>
          <w:szCs w:val="24"/>
          <w:u w:val="single"/>
        </w:rPr>
        <w:t>Three Rivers DC v Governors of the Bank of England (No 6)</w:t>
      </w:r>
      <w:r w:rsidR="00FF44A7" w:rsidRPr="00FF44A7">
        <w:rPr>
          <w:rFonts w:ascii="Book Antiqua" w:hAnsi="Book Antiqua"/>
          <w:sz w:val="24"/>
          <w:szCs w:val="24"/>
        </w:rPr>
        <w:t xml:space="preserve"> </w:t>
      </w:r>
      <w:r w:rsidR="000A2C99" w:rsidRPr="000A2C99">
        <w:rPr>
          <w:rFonts w:ascii="Book Antiqua" w:hAnsi="Book Antiqua"/>
          <w:sz w:val="24"/>
          <w:szCs w:val="24"/>
        </w:rPr>
        <w:t>[2004] UKHL 48</w:t>
      </w:r>
      <w:r w:rsidR="000A2C99">
        <w:rPr>
          <w:rFonts w:ascii="Book Antiqua" w:hAnsi="Book Antiqua"/>
          <w:sz w:val="24"/>
          <w:szCs w:val="24"/>
        </w:rPr>
        <w:t>, commonly referred to</w:t>
      </w:r>
      <w:r w:rsidR="00FF44A7">
        <w:rPr>
          <w:rFonts w:ascii="Book Antiqua" w:hAnsi="Book Antiqua"/>
          <w:sz w:val="24"/>
          <w:szCs w:val="24"/>
        </w:rPr>
        <w:t xml:space="preserve"> as the Three Rivers litigation</w:t>
      </w:r>
      <w:r w:rsidR="001068A3">
        <w:rPr>
          <w:rFonts w:ascii="Book Antiqua" w:hAnsi="Book Antiqua"/>
          <w:sz w:val="24"/>
          <w:szCs w:val="24"/>
        </w:rPr>
        <w:t xml:space="preserve">.  </w:t>
      </w:r>
    </w:p>
    <w:p w14:paraId="50E0D8E5" w14:textId="77777777" w:rsidR="002F722D" w:rsidRPr="00575884" w:rsidRDefault="002F722D" w:rsidP="00E81916">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In that context, what was held in </w:t>
      </w:r>
      <w:r w:rsidRPr="00575884">
        <w:rPr>
          <w:rFonts w:ascii="Book Antiqua" w:hAnsi="Book Antiqua"/>
          <w:sz w:val="24"/>
          <w:szCs w:val="24"/>
          <w:u w:val="single"/>
        </w:rPr>
        <w:t>R (Sivasubramaniam) v Wandsworth</w:t>
      </w:r>
      <w:r w:rsidRPr="00575884">
        <w:rPr>
          <w:rFonts w:ascii="Book Antiqua" w:hAnsi="Book Antiqua"/>
          <w:sz w:val="24"/>
          <w:szCs w:val="24"/>
        </w:rPr>
        <w:t xml:space="preserve"> [2002] EWCA Civ 1738 at [47] is relevant:</w:t>
      </w:r>
    </w:p>
    <w:p w14:paraId="5CED9E75" w14:textId="77777777" w:rsidR="002F722D" w:rsidRPr="002879AC" w:rsidRDefault="002F722D" w:rsidP="002879AC">
      <w:pPr>
        <w:ind w:left="851"/>
        <w:jc w:val="both"/>
        <w:rPr>
          <w:rFonts w:ascii="Book Antiqua" w:hAnsi="Book Antiqua"/>
          <w:szCs w:val="22"/>
        </w:rPr>
      </w:pPr>
      <w:r w:rsidRPr="002879AC">
        <w:rPr>
          <w:rFonts w:ascii="Book Antiqua" w:hAnsi="Book Antiqua"/>
        </w:rPr>
        <w:t>47.</w:t>
      </w:r>
      <w:bookmarkStart w:id="2" w:name="para46"/>
      <w:bookmarkEnd w:id="2"/>
      <w:r w:rsidRPr="002879AC">
        <w:rPr>
          <w:rFonts w:ascii="Book Antiqua" w:hAnsi="Book Antiqua"/>
        </w:rPr>
        <w:t xml:space="preserve">  </w:t>
      </w:r>
      <w:bookmarkStart w:id="3" w:name="para47"/>
      <w:r w:rsidRPr="002879AC">
        <w:rPr>
          <w:rFonts w:ascii="Book Antiqua" w:hAnsi="Book Antiqua"/>
          <w:szCs w:val="22"/>
        </w:rPr>
        <w:t xml:space="preserve">There is indeed an abundance of authority, which supports Mr Sales' submission. This can be demonstrated by reference to that which he cited to us: </w:t>
      </w:r>
      <w:bookmarkEnd w:id="3"/>
    </w:p>
    <w:p w14:paraId="22E4E378" w14:textId="77777777" w:rsidR="002F722D" w:rsidRPr="002879AC" w:rsidRDefault="002F722D" w:rsidP="002879AC">
      <w:pPr>
        <w:ind w:left="851"/>
        <w:jc w:val="both"/>
        <w:rPr>
          <w:rFonts w:ascii="Book Antiqua" w:hAnsi="Book Antiqua"/>
          <w:color w:val="000000" w:themeColor="text1"/>
          <w:szCs w:val="22"/>
        </w:rPr>
      </w:pPr>
      <w:r w:rsidRPr="002879AC">
        <w:rPr>
          <w:rFonts w:ascii="Book Antiqua" w:hAnsi="Book Antiqua"/>
          <w:i/>
          <w:iCs/>
          <w:color w:val="000000" w:themeColor="text1"/>
          <w:szCs w:val="22"/>
        </w:rPr>
        <w:t>Harley Development Inc v Comr of Inland Revenue</w:t>
      </w:r>
      <w:r w:rsidRPr="002879AC">
        <w:rPr>
          <w:rFonts w:ascii="Book Antiqua" w:hAnsi="Book Antiqua"/>
          <w:color w:val="000000" w:themeColor="text1"/>
          <w:szCs w:val="22"/>
        </w:rPr>
        <w:t xml:space="preserve"> [1996] 1 WLR 727, 736C per Lord Jauncey; </w:t>
      </w:r>
      <w:r w:rsidRPr="002879AC">
        <w:rPr>
          <w:rFonts w:ascii="Book Antiqua" w:hAnsi="Book Antiqua"/>
          <w:i/>
          <w:iCs/>
          <w:color w:val="000000" w:themeColor="text1"/>
          <w:szCs w:val="22"/>
        </w:rPr>
        <w:t>R v Inland Revenue Comrs, ex p. Preston</w:t>
      </w:r>
      <w:r w:rsidRPr="002879AC">
        <w:rPr>
          <w:rFonts w:ascii="Book Antiqua" w:hAnsi="Book Antiqua"/>
          <w:color w:val="000000" w:themeColor="text1"/>
          <w:szCs w:val="22"/>
        </w:rPr>
        <w:t xml:space="preserve"> </w:t>
      </w:r>
      <w:hyperlink r:id="rId14" w:tooltip="Link to BAILII version" w:history="1">
        <w:r w:rsidRPr="0052616A">
          <w:rPr>
            <w:rStyle w:val="Hyperlink"/>
            <w:rFonts w:ascii="Book Antiqua" w:hAnsi="Book Antiqua"/>
            <w:color w:val="000000" w:themeColor="text1"/>
            <w:szCs w:val="22"/>
            <w:u w:val="none"/>
          </w:rPr>
          <w:t>[1985] AC 835</w:t>
        </w:r>
      </w:hyperlink>
      <w:r w:rsidRPr="002879AC">
        <w:rPr>
          <w:rFonts w:ascii="Book Antiqua" w:hAnsi="Book Antiqua"/>
          <w:color w:val="000000" w:themeColor="text1"/>
          <w:szCs w:val="22"/>
        </w:rPr>
        <w:t xml:space="preserve">, 852D-F per Lord Scarman, and 862D and F per Lord Templeman; </w:t>
      </w:r>
      <w:r w:rsidRPr="002879AC">
        <w:rPr>
          <w:rFonts w:ascii="Book Antiqua" w:hAnsi="Book Antiqua"/>
          <w:i/>
          <w:iCs/>
          <w:color w:val="000000" w:themeColor="text1"/>
          <w:szCs w:val="22"/>
        </w:rPr>
        <w:t>R v Secretary of State for the Home Department, ex p. Swati</w:t>
      </w:r>
      <w:r w:rsidRPr="002879AC">
        <w:rPr>
          <w:rFonts w:ascii="Book Antiqua" w:hAnsi="Book Antiqua"/>
          <w:color w:val="000000" w:themeColor="text1"/>
          <w:szCs w:val="22"/>
        </w:rPr>
        <w:t xml:space="preserve"> [1986] 1 WLR 477; </w:t>
      </w:r>
      <w:r w:rsidRPr="002879AC">
        <w:rPr>
          <w:rFonts w:ascii="Book Antiqua" w:hAnsi="Book Antiqua"/>
          <w:i/>
          <w:iCs/>
          <w:color w:val="000000" w:themeColor="text1"/>
          <w:szCs w:val="22"/>
        </w:rPr>
        <w:t>R v Birmingham CC, ex p. Ferrero Ltd</w:t>
      </w:r>
      <w:r w:rsidRPr="002879AC">
        <w:rPr>
          <w:rFonts w:ascii="Book Antiqua" w:hAnsi="Book Antiqua"/>
          <w:color w:val="000000" w:themeColor="text1"/>
          <w:szCs w:val="22"/>
        </w:rPr>
        <w:t xml:space="preserve"> [1993] 1 All ER 530, 537c per Taylor LJ; </w:t>
      </w:r>
      <w:r w:rsidRPr="002879AC">
        <w:rPr>
          <w:rFonts w:ascii="Book Antiqua" w:hAnsi="Book Antiqua"/>
          <w:i/>
          <w:iCs/>
          <w:color w:val="000000" w:themeColor="text1"/>
          <w:szCs w:val="22"/>
        </w:rPr>
        <w:t>Allen v W. Yorkshire Probation Service</w:t>
      </w:r>
      <w:r w:rsidRPr="002879AC">
        <w:rPr>
          <w:rFonts w:ascii="Book Antiqua" w:hAnsi="Book Antiqua"/>
          <w:color w:val="000000" w:themeColor="text1"/>
          <w:szCs w:val="22"/>
        </w:rPr>
        <w:t xml:space="preserve"> [2001] EWHC Admin 2.</w:t>
      </w:r>
    </w:p>
    <w:p w14:paraId="41F73AD3" w14:textId="77777777" w:rsidR="002F722D" w:rsidRPr="002879AC" w:rsidRDefault="002F722D" w:rsidP="002879AC">
      <w:pPr>
        <w:pStyle w:val="NormalWeb"/>
        <w:ind w:left="851"/>
        <w:jc w:val="both"/>
        <w:rPr>
          <w:rFonts w:ascii="Book Antiqua" w:hAnsi="Book Antiqua"/>
          <w:sz w:val="22"/>
          <w:szCs w:val="22"/>
        </w:rPr>
      </w:pPr>
      <w:r w:rsidRPr="002879AC">
        <w:rPr>
          <w:rFonts w:ascii="Book Antiqua" w:hAnsi="Book Antiqua"/>
          <w:color w:val="000000" w:themeColor="text1"/>
          <w:sz w:val="22"/>
          <w:szCs w:val="22"/>
        </w:rPr>
        <w:t xml:space="preserve">What these authorities show is that judicial review is customarily refused as an exercise of judicial discretion where an alternative remedy is available. Where Parliament has provided a statutory appeal procedure it will rarely be appropriate to grant permission for judicial review. The exceptional case may arise because the statutory procedure is less satisfactory than the </w:t>
      </w:r>
      <w:r w:rsidRPr="002879AC">
        <w:rPr>
          <w:rFonts w:ascii="Book Antiqua" w:hAnsi="Book Antiqua"/>
          <w:sz w:val="22"/>
          <w:szCs w:val="22"/>
        </w:rPr>
        <w:t>procedure of judicial review. Usually, however, the alternative procedure is more convenient and judicial review is refused.</w:t>
      </w:r>
    </w:p>
    <w:p w14:paraId="44988E63" w14:textId="77777777" w:rsidR="002F722D" w:rsidRPr="002879AC" w:rsidRDefault="002F722D" w:rsidP="002879AC">
      <w:pPr>
        <w:ind w:left="851"/>
        <w:jc w:val="both"/>
        <w:rPr>
          <w:rFonts w:ascii="Book Antiqua" w:hAnsi="Book Antiqua"/>
          <w:szCs w:val="22"/>
        </w:rPr>
      </w:pPr>
      <w:r w:rsidRPr="002879AC">
        <w:rPr>
          <w:rFonts w:ascii="Book Antiqua" w:hAnsi="Book Antiqua"/>
          <w:szCs w:val="22"/>
        </w:rPr>
        <w:t xml:space="preserve">48.  </w:t>
      </w:r>
      <w:bookmarkStart w:id="4" w:name="para48"/>
      <w:r w:rsidRPr="002879AC">
        <w:rPr>
          <w:rFonts w:ascii="Book Antiqua" w:hAnsi="Book Antiqua"/>
          <w:szCs w:val="22"/>
        </w:rPr>
        <w:t xml:space="preserve">We believe that these general principles apply with particular force in the context of the applications before us. Under the 1999 Act, and the rules pursuant to it, a coherent statutory scheme has been set up governing appeals at all levels short of the House of Lords. One object of the scheme is to ensure that, where there is an arguable ground for challenging a decision of the lower court, an appeal will lie, but to prevent court resources being wasted by the pursuit of appeals which have no prospect of success. The other object of the scheme is to ensure that the level of Judge dealing with the application for permission to appeal, and the appeal if permission is given, is appropriate to the dispute. This is a sensible scheme which accords with the object of access to justice and the Woolf reforms. It has the merit of proportionality. To admit an applicant to by-pass the scheme by pursuing a claim for judicial review before a judge of the Administrative Court is to defeat the object of the exercise. We believe that this should not be permitted unless there are exceptional circumstances – and we find it hard to envisage what these could be. Hooper J. was right to dismiss Mr Sivasubramaniam's application in relation to District Judge Dimmick's award on the ground that he had an alternative remedy. He should have dismissed Mr </w:t>
      </w:r>
      <w:r w:rsidRPr="002879AC">
        <w:rPr>
          <w:rFonts w:ascii="Book Antiqua" w:hAnsi="Book Antiqua"/>
          <w:szCs w:val="22"/>
        </w:rPr>
        <w:lastRenderedPageBreak/>
        <w:t>Sivasubramaniam's application in relation to the Wandsworth County Court for the same reason rather than entering into consideration of the merits.</w:t>
      </w:r>
      <w:bookmarkEnd w:id="4"/>
    </w:p>
    <w:p w14:paraId="2B9B4EB9" w14:textId="77777777" w:rsidR="00575884" w:rsidRDefault="002F722D" w:rsidP="00E81916">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There is, however, a distinction to be drawn. There is </w:t>
      </w:r>
      <w:r w:rsidR="00187793">
        <w:rPr>
          <w:rFonts w:ascii="Book Antiqua" w:hAnsi="Book Antiqua"/>
          <w:sz w:val="24"/>
          <w:szCs w:val="24"/>
        </w:rPr>
        <w:t xml:space="preserve">within the Tribunals structure </w:t>
      </w:r>
      <w:r>
        <w:rPr>
          <w:rFonts w:ascii="Book Antiqua" w:hAnsi="Book Antiqua"/>
          <w:sz w:val="24"/>
          <w:szCs w:val="24"/>
        </w:rPr>
        <w:t>no scheme</w:t>
      </w:r>
      <w:r w:rsidR="006551A1">
        <w:rPr>
          <w:rFonts w:ascii="Book Antiqua" w:hAnsi="Book Antiqua"/>
          <w:sz w:val="24"/>
          <w:szCs w:val="24"/>
        </w:rPr>
        <w:t xml:space="preserve"> of the sort described above and equally there is a focus on the availability of an appropriate remedy.</w:t>
      </w:r>
    </w:p>
    <w:p w14:paraId="0027D21F" w14:textId="3C275FCD" w:rsidR="004625BA" w:rsidRPr="00575884" w:rsidRDefault="001068A3" w:rsidP="00E81916">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There is support for Ms Harrison</w:t>
      </w:r>
      <w:r w:rsidR="00F14C19">
        <w:rPr>
          <w:rFonts w:ascii="Book Antiqua" w:hAnsi="Book Antiqua"/>
          <w:sz w:val="24"/>
          <w:szCs w:val="24"/>
        </w:rPr>
        <w:t>’s</w:t>
      </w:r>
      <w:r w:rsidRPr="00575884">
        <w:rPr>
          <w:rFonts w:ascii="Book Antiqua" w:hAnsi="Book Antiqua"/>
          <w:sz w:val="24"/>
          <w:szCs w:val="24"/>
        </w:rPr>
        <w:t xml:space="preserve"> proposition from </w:t>
      </w:r>
      <w:r w:rsidRPr="00575884">
        <w:rPr>
          <w:rFonts w:ascii="Book Antiqua" w:hAnsi="Book Antiqua"/>
          <w:sz w:val="24"/>
          <w:szCs w:val="24"/>
          <w:u w:val="single"/>
        </w:rPr>
        <w:t>R (AM (Cameroon)) v Asylum and Immigration Tribunal</w:t>
      </w:r>
      <w:r w:rsidRPr="00575884">
        <w:rPr>
          <w:rFonts w:ascii="Book Antiqua" w:hAnsi="Book Antiqua"/>
          <w:sz w:val="24"/>
          <w:szCs w:val="24"/>
        </w:rPr>
        <w:t xml:space="preserve"> [2007] EWCA Civ 131 at [104] – [105]</w:t>
      </w:r>
      <w:r w:rsidR="00405B36" w:rsidRPr="00575884">
        <w:rPr>
          <w:rFonts w:ascii="Book Antiqua" w:hAnsi="Book Antiqua"/>
          <w:sz w:val="24"/>
          <w:szCs w:val="24"/>
        </w:rPr>
        <w:t xml:space="preserve">, relying on </w:t>
      </w:r>
      <w:r w:rsidR="00FF44A7">
        <w:rPr>
          <w:rFonts w:ascii="Book Antiqua" w:hAnsi="Book Antiqua"/>
          <w:sz w:val="24"/>
          <w:szCs w:val="24"/>
          <w:u w:val="single"/>
        </w:rPr>
        <w:t>R (Wani) v</w:t>
      </w:r>
      <w:r w:rsidR="00405B36" w:rsidRPr="00575884">
        <w:rPr>
          <w:rFonts w:ascii="Book Antiqua" w:hAnsi="Book Antiqua"/>
          <w:sz w:val="24"/>
          <w:szCs w:val="24"/>
          <w:u w:val="single"/>
        </w:rPr>
        <w:t xml:space="preserve"> SSHD</w:t>
      </w:r>
      <w:r w:rsidR="00405B36" w:rsidRPr="00575884">
        <w:rPr>
          <w:rFonts w:ascii="Book Antiqua" w:hAnsi="Book Antiqua"/>
          <w:sz w:val="24"/>
          <w:szCs w:val="24"/>
        </w:rPr>
        <w:t xml:space="preserve"> </w:t>
      </w:r>
      <w:hyperlink r:id="rId15" w:tooltip="Link to BAILII version" w:history="1">
        <w:r w:rsidR="00405B36" w:rsidRPr="00575884">
          <w:rPr>
            <w:rFonts w:ascii="Book Antiqua" w:hAnsi="Book Antiqua"/>
            <w:sz w:val="24"/>
            <w:szCs w:val="24"/>
          </w:rPr>
          <w:t>[2005] EWHC 2815 (Admin)</w:t>
        </w:r>
      </w:hyperlink>
      <w:r w:rsidR="00405B36" w:rsidRPr="00575884">
        <w:rPr>
          <w:rFonts w:ascii="Book Antiqua" w:hAnsi="Book Antiqua"/>
          <w:sz w:val="24"/>
          <w:szCs w:val="24"/>
        </w:rPr>
        <w:t xml:space="preserve">, </w:t>
      </w:r>
      <w:r w:rsidR="00814459" w:rsidRPr="00575884">
        <w:rPr>
          <w:rFonts w:ascii="Book Antiqua" w:hAnsi="Book Antiqua"/>
          <w:sz w:val="24"/>
          <w:szCs w:val="24"/>
        </w:rPr>
        <w:t>although</w:t>
      </w:r>
      <w:r w:rsidR="00405B36" w:rsidRPr="00575884">
        <w:rPr>
          <w:rFonts w:ascii="Book Antiqua" w:hAnsi="Book Antiqua"/>
          <w:sz w:val="24"/>
          <w:szCs w:val="24"/>
        </w:rPr>
        <w:t xml:space="preserve"> it must be borne in mind that the procedure for appeals from the First-tier Tribunal </w:t>
      </w:r>
      <w:r w:rsidR="007F4504">
        <w:rPr>
          <w:rFonts w:ascii="Book Antiqua" w:hAnsi="Book Antiqua"/>
          <w:sz w:val="24"/>
          <w:szCs w:val="24"/>
        </w:rPr>
        <w:t>is</w:t>
      </w:r>
      <w:r w:rsidR="00405B36" w:rsidRPr="00575884">
        <w:rPr>
          <w:rFonts w:ascii="Book Antiqua" w:hAnsi="Book Antiqua"/>
          <w:sz w:val="24"/>
          <w:szCs w:val="24"/>
        </w:rPr>
        <w:t xml:space="preserve"> now differ</w:t>
      </w:r>
      <w:r w:rsidR="00814459" w:rsidRPr="00575884">
        <w:rPr>
          <w:rFonts w:ascii="Book Antiqua" w:hAnsi="Book Antiqua"/>
          <w:sz w:val="24"/>
          <w:szCs w:val="24"/>
        </w:rPr>
        <w:t xml:space="preserve">ent. </w:t>
      </w:r>
      <w:r w:rsidR="004625BA" w:rsidRPr="00575884">
        <w:rPr>
          <w:rFonts w:ascii="Book Antiqua" w:hAnsi="Book Antiqua"/>
          <w:sz w:val="24"/>
          <w:szCs w:val="24"/>
        </w:rPr>
        <w:t xml:space="preserve">While we accept the observations that </w:t>
      </w:r>
      <w:r w:rsidR="00071998" w:rsidRPr="00575884">
        <w:rPr>
          <w:rFonts w:ascii="Book Antiqua" w:hAnsi="Book Antiqua"/>
          <w:sz w:val="24"/>
          <w:szCs w:val="24"/>
        </w:rPr>
        <w:t xml:space="preserve">cases where judicial review will lie in challenges to interlocutory decisions are rare, they are not expressly ruled out. </w:t>
      </w:r>
      <w:r w:rsidR="00F379C3" w:rsidRPr="00575884">
        <w:rPr>
          <w:rFonts w:ascii="Book Antiqua" w:hAnsi="Book Antiqua"/>
          <w:sz w:val="24"/>
          <w:szCs w:val="24"/>
        </w:rPr>
        <w:t xml:space="preserve"> </w:t>
      </w:r>
      <w:r w:rsidR="002112D1" w:rsidRPr="00575884">
        <w:rPr>
          <w:rFonts w:ascii="Book Antiqua" w:hAnsi="Book Antiqua"/>
          <w:sz w:val="24"/>
          <w:szCs w:val="24"/>
        </w:rPr>
        <w:t>T</w:t>
      </w:r>
      <w:r w:rsidR="00F379C3" w:rsidRPr="00575884">
        <w:rPr>
          <w:rFonts w:ascii="Book Antiqua" w:hAnsi="Book Antiqua"/>
          <w:sz w:val="24"/>
          <w:szCs w:val="24"/>
        </w:rPr>
        <w:t xml:space="preserve">hese were characterised in </w:t>
      </w:r>
      <w:r w:rsidR="00F379C3" w:rsidRPr="00575884">
        <w:rPr>
          <w:rFonts w:ascii="Book Antiqua" w:hAnsi="Book Antiqua"/>
          <w:sz w:val="24"/>
          <w:szCs w:val="24"/>
          <w:u w:val="single"/>
        </w:rPr>
        <w:t>AM (Cameroon)</w:t>
      </w:r>
      <w:r w:rsidR="00F379C3" w:rsidRPr="00575884">
        <w:rPr>
          <w:rFonts w:ascii="Book Antiqua" w:hAnsi="Book Antiqua"/>
          <w:sz w:val="24"/>
          <w:szCs w:val="24"/>
        </w:rPr>
        <w:t xml:space="preserve"> as bei</w:t>
      </w:r>
      <w:r w:rsidR="002112D1" w:rsidRPr="00575884">
        <w:rPr>
          <w:rFonts w:ascii="Book Antiqua" w:hAnsi="Book Antiqua"/>
          <w:sz w:val="24"/>
          <w:szCs w:val="24"/>
        </w:rPr>
        <w:t xml:space="preserve">ng gross procedural unfairness. That is not, we consider, any different in substance from what was held by the Divisional Court in </w:t>
      </w:r>
      <w:r w:rsidR="002112D1" w:rsidRPr="00575884">
        <w:rPr>
          <w:rFonts w:ascii="Book Antiqua" w:hAnsi="Book Antiqua"/>
          <w:sz w:val="24"/>
          <w:szCs w:val="24"/>
          <w:u w:val="single"/>
        </w:rPr>
        <w:t>R</w:t>
      </w:r>
      <w:r w:rsidR="00FF44A7">
        <w:rPr>
          <w:rFonts w:ascii="Book Antiqua" w:hAnsi="Book Antiqua"/>
          <w:sz w:val="24"/>
          <w:szCs w:val="24"/>
          <w:u w:val="single"/>
        </w:rPr>
        <w:t xml:space="preserve"> </w:t>
      </w:r>
      <w:r w:rsidR="002112D1" w:rsidRPr="00575884">
        <w:rPr>
          <w:rFonts w:ascii="Book Antiqua" w:hAnsi="Book Antiqua"/>
          <w:sz w:val="24"/>
          <w:szCs w:val="24"/>
          <w:u w:val="single"/>
        </w:rPr>
        <w:t>(U &amp; XC) v Upper Tribunal</w:t>
      </w:r>
      <w:r w:rsidR="002112D1" w:rsidRPr="00FF44A7">
        <w:rPr>
          <w:rFonts w:ascii="Book Antiqua" w:hAnsi="Book Antiqua"/>
          <w:sz w:val="24"/>
          <w:szCs w:val="24"/>
        </w:rPr>
        <w:t xml:space="preserve"> </w:t>
      </w:r>
      <w:r w:rsidR="002112D1" w:rsidRPr="00575884">
        <w:rPr>
          <w:rFonts w:ascii="Book Antiqua" w:hAnsi="Book Antiqua"/>
          <w:sz w:val="24"/>
          <w:szCs w:val="24"/>
        </w:rPr>
        <w:t>[2009] EWHC 3052 at [85]</w:t>
      </w:r>
      <w:r w:rsidR="00187793">
        <w:rPr>
          <w:rFonts w:ascii="Book Antiqua" w:hAnsi="Book Antiqua"/>
          <w:sz w:val="24"/>
          <w:szCs w:val="24"/>
        </w:rPr>
        <w:t>:</w:t>
      </w:r>
    </w:p>
    <w:p w14:paraId="12B4AA9C" w14:textId="77777777" w:rsidR="002112D1" w:rsidRPr="00575884" w:rsidRDefault="002112D1" w:rsidP="002879AC">
      <w:pPr>
        <w:ind w:left="851"/>
        <w:jc w:val="both"/>
        <w:rPr>
          <w:rFonts w:ascii="Book Antiqua" w:hAnsi="Book Antiqua"/>
          <w:szCs w:val="22"/>
        </w:rPr>
      </w:pPr>
      <w:bookmarkStart w:id="5" w:name="para85"/>
      <w:r w:rsidRPr="00575884">
        <w:rPr>
          <w:rFonts w:ascii="Book Antiqua" w:hAnsi="Book Antiqua"/>
          <w:szCs w:val="22"/>
        </w:rPr>
        <w:t xml:space="preserve">I think it important to emphasise the limited consequences (if my Lord agrees) of my holding that SIAC is subject to the judicial review jurisdiction. A final determination of an appeal by SIAC is by SIACA s.7 subject to appeal to the Court of Appeal. It is elementary that judicial review is a discretionary remedy of last resort. Accordingly it will not be deployed to assault SIAC's appealable determinations. Not of course for want of jurisdiction: but because the court's discretion should not be so exercised. Nor will it go to interlocutory decisions on the way to such a determination, at least without some gross and florid error. As for bail, the court will not allow judicial review to be used as a surrogate means of appeal where statute has not provided for any appeal at all. In a sensitive area where the tribunal is called on to make fine judgments on issues touching national security, I would anticipate that attempts to condemn the refusal (or grant) of bail as violating the </w:t>
      </w:r>
      <w:r w:rsidRPr="00575884">
        <w:rPr>
          <w:rFonts w:ascii="Book Antiqua" w:hAnsi="Book Antiqua"/>
          <w:i/>
          <w:szCs w:val="22"/>
        </w:rPr>
        <w:t>Wednesbury</w:t>
      </w:r>
      <w:r w:rsidRPr="00575884">
        <w:rPr>
          <w:rFonts w:ascii="Book Antiqua" w:hAnsi="Book Antiqua"/>
          <w:szCs w:val="22"/>
        </w:rPr>
        <w:t xml:space="preserve"> principle will be doomed to failure. A sharp-edged error of law will have to be shown.</w:t>
      </w:r>
      <w:bookmarkEnd w:id="5"/>
    </w:p>
    <w:p w14:paraId="3801D0C1" w14:textId="0D4B497B" w:rsidR="000E1ECC" w:rsidRDefault="002112D1"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These cases do, we consider, indicate that there is, as Ms Harrison argues, a</w:t>
      </w:r>
      <w:r w:rsidR="000E1ECC">
        <w:rPr>
          <w:rFonts w:ascii="Book Antiqua" w:hAnsi="Book Antiqua"/>
          <w:sz w:val="24"/>
          <w:szCs w:val="24"/>
        </w:rPr>
        <w:t xml:space="preserve"> high threshold to be overcome</w:t>
      </w:r>
      <w:r w:rsidR="006551A1">
        <w:rPr>
          <w:rFonts w:ascii="Book Antiqua" w:hAnsi="Book Antiqua"/>
          <w:sz w:val="24"/>
          <w:szCs w:val="24"/>
        </w:rPr>
        <w:t xml:space="preserve"> before the Upper Tribunal will entertain an application for judicial review in challenging a decision of the FtT</w:t>
      </w:r>
      <w:r w:rsidR="000E1ECC">
        <w:rPr>
          <w:rFonts w:ascii="Book Antiqua" w:hAnsi="Book Antiqua"/>
          <w:sz w:val="24"/>
          <w:szCs w:val="24"/>
        </w:rPr>
        <w:t>.  But the examples given of when the High Court would intervene</w:t>
      </w:r>
      <w:r w:rsidR="00FF44A7">
        <w:rPr>
          <w:rFonts w:ascii="Book Antiqua" w:hAnsi="Book Antiqua"/>
          <w:sz w:val="24"/>
          <w:szCs w:val="24"/>
        </w:rPr>
        <w:t xml:space="preserve"> must be seen in the context of</w:t>
      </w:r>
      <w:r w:rsidR="000E1ECC">
        <w:rPr>
          <w:rFonts w:ascii="Book Antiqua" w:hAnsi="Book Antiqua"/>
          <w:sz w:val="24"/>
          <w:szCs w:val="24"/>
        </w:rPr>
        <w:t xml:space="preserve"> </w:t>
      </w:r>
      <w:r w:rsidR="000E1ECC" w:rsidRPr="00575884">
        <w:rPr>
          <w:rFonts w:ascii="Book Antiqua" w:hAnsi="Book Antiqua"/>
          <w:sz w:val="24"/>
          <w:szCs w:val="24"/>
          <w:u w:val="single"/>
        </w:rPr>
        <w:t>R</w:t>
      </w:r>
      <w:r w:rsidR="00FF44A7">
        <w:rPr>
          <w:rFonts w:ascii="Book Antiqua" w:hAnsi="Book Antiqua"/>
          <w:sz w:val="24"/>
          <w:szCs w:val="24"/>
          <w:u w:val="single"/>
        </w:rPr>
        <w:t xml:space="preserve"> </w:t>
      </w:r>
      <w:r w:rsidR="000E1ECC" w:rsidRPr="00575884">
        <w:rPr>
          <w:rFonts w:ascii="Book Antiqua" w:hAnsi="Book Antiqua"/>
          <w:sz w:val="24"/>
          <w:szCs w:val="24"/>
          <w:u w:val="single"/>
        </w:rPr>
        <w:t>(U &amp; XC</w:t>
      </w:r>
      <w:r w:rsidR="000E1ECC" w:rsidRPr="00575884">
        <w:rPr>
          <w:rFonts w:ascii="Book Antiqua" w:hAnsi="Book Antiqua"/>
          <w:sz w:val="24"/>
          <w:szCs w:val="24"/>
        </w:rPr>
        <w:t>)</w:t>
      </w:r>
      <w:r w:rsidR="000E1ECC">
        <w:rPr>
          <w:rFonts w:ascii="Book Antiqua" w:hAnsi="Book Antiqua"/>
          <w:sz w:val="24"/>
          <w:szCs w:val="24"/>
        </w:rPr>
        <w:t xml:space="preserve"> – challenges to a court of record. That is not the case here. </w:t>
      </w:r>
      <w:r w:rsidR="00022D15">
        <w:rPr>
          <w:rFonts w:ascii="Book Antiqua" w:hAnsi="Book Antiqua"/>
          <w:sz w:val="24"/>
          <w:szCs w:val="24"/>
        </w:rPr>
        <w:t>We bear in mind that whether</w:t>
      </w:r>
      <w:r w:rsidR="00575884">
        <w:rPr>
          <w:rFonts w:ascii="Book Antiqua" w:hAnsi="Book Antiqua"/>
          <w:sz w:val="24"/>
          <w:szCs w:val="24"/>
        </w:rPr>
        <w:t xml:space="preserve"> </w:t>
      </w:r>
      <w:r w:rsidR="00022D15">
        <w:rPr>
          <w:rFonts w:ascii="Book Antiqua" w:hAnsi="Book Antiqua"/>
          <w:sz w:val="24"/>
          <w:szCs w:val="24"/>
        </w:rPr>
        <w:t xml:space="preserve">or not the Upper Tribunal should intervene arises from discretion; not law and </w:t>
      </w:r>
      <w:r w:rsidR="00751053">
        <w:rPr>
          <w:rFonts w:ascii="Book Antiqua" w:hAnsi="Book Antiqua"/>
          <w:sz w:val="24"/>
          <w:szCs w:val="24"/>
        </w:rPr>
        <w:t xml:space="preserve">it must be recalled that when </w:t>
      </w:r>
      <w:r w:rsidR="00751053" w:rsidRPr="00575884">
        <w:rPr>
          <w:rFonts w:ascii="Book Antiqua" w:hAnsi="Book Antiqua"/>
          <w:sz w:val="24"/>
          <w:szCs w:val="24"/>
          <w:u w:val="single"/>
        </w:rPr>
        <w:t>R (U &amp; XC)</w:t>
      </w:r>
      <w:r w:rsidR="00751053">
        <w:rPr>
          <w:rFonts w:ascii="Book Antiqua" w:hAnsi="Book Antiqua"/>
          <w:sz w:val="24"/>
          <w:szCs w:val="24"/>
        </w:rPr>
        <w:t xml:space="preserve"> reached the Supreme Court as </w:t>
      </w:r>
      <w:r w:rsidR="00751053" w:rsidRPr="00575884">
        <w:rPr>
          <w:rFonts w:ascii="Book Antiqua" w:hAnsi="Book Antiqua"/>
          <w:sz w:val="24"/>
          <w:szCs w:val="24"/>
          <w:u w:val="single"/>
        </w:rPr>
        <w:t>Cart v The Upper Tribunal</w:t>
      </w:r>
      <w:r w:rsidR="00751053">
        <w:rPr>
          <w:rFonts w:ascii="Book Antiqua" w:hAnsi="Book Antiqua"/>
          <w:sz w:val="24"/>
          <w:szCs w:val="24"/>
        </w:rPr>
        <w:t xml:space="preserve"> [2011] UKSC 28, the </w:t>
      </w:r>
      <w:r w:rsidR="00F42346">
        <w:rPr>
          <w:rFonts w:ascii="Book Antiqua" w:hAnsi="Book Antiqua"/>
          <w:sz w:val="24"/>
          <w:szCs w:val="24"/>
        </w:rPr>
        <w:t>s</w:t>
      </w:r>
      <w:r w:rsidR="00751053">
        <w:rPr>
          <w:rFonts w:ascii="Book Antiqua" w:hAnsi="Book Antiqua"/>
          <w:sz w:val="24"/>
          <w:szCs w:val="24"/>
        </w:rPr>
        <w:t xml:space="preserve">econd </w:t>
      </w:r>
      <w:r w:rsidR="00F42346">
        <w:rPr>
          <w:rFonts w:ascii="Book Antiqua" w:hAnsi="Book Antiqua"/>
          <w:sz w:val="24"/>
          <w:szCs w:val="24"/>
        </w:rPr>
        <w:t>a</w:t>
      </w:r>
      <w:r w:rsidR="00751053">
        <w:rPr>
          <w:rFonts w:ascii="Book Antiqua" w:hAnsi="Book Antiqua"/>
          <w:sz w:val="24"/>
          <w:szCs w:val="24"/>
        </w:rPr>
        <w:t>ppeals test was identified as being appropriate</w:t>
      </w:r>
      <w:r w:rsidR="00F42346">
        <w:rPr>
          <w:rFonts w:ascii="Book Antiqua" w:hAnsi="Book Antiqua"/>
          <w:sz w:val="24"/>
          <w:szCs w:val="24"/>
        </w:rPr>
        <w:t>; that is to say, a test which requires there to be some important point of principle or practice or some other compelling reason</w:t>
      </w:r>
      <w:r w:rsidR="009C1A24">
        <w:rPr>
          <w:rFonts w:ascii="Book Antiqua" w:hAnsi="Book Antiqua"/>
          <w:sz w:val="24"/>
          <w:szCs w:val="24"/>
        </w:rPr>
        <w:t xml:space="preserve"> to hear the appeal</w:t>
      </w:r>
      <w:r w:rsidR="00751053">
        <w:rPr>
          <w:rFonts w:ascii="Book Antiqua" w:hAnsi="Book Antiqua"/>
          <w:sz w:val="24"/>
          <w:szCs w:val="24"/>
        </w:rPr>
        <w:t xml:space="preserve"> </w:t>
      </w:r>
    </w:p>
    <w:p w14:paraId="38B25928" w14:textId="11E270E3" w:rsidR="00022D15" w:rsidRPr="00F14C19" w:rsidRDefault="00022D15" w:rsidP="00F14C19">
      <w:pPr>
        <w:pStyle w:val="ListParagraph"/>
        <w:numPr>
          <w:ilvl w:val="0"/>
          <w:numId w:val="5"/>
        </w:numPr>
        <w:spacing w:line="240" w:lineRule="auto"/>
        <w:ind w:left="567" w:hanging="567"/>
        <w:contextualSpacing w:val="0"/>
        <w:jc w:val="both"/>
        <w:rPr>
          <w:rFonts w:ascii="Book Antiqua" w:hAnsi="Book Antiqua"/>
          <w:sz w:val="24"/>
          <w:szCs w:val="24"/>
        </w:rPr>
      </w:pPr>
      <w:r w:rsidRPr="00F14C19">
        <w:rPr>
          <w:rFonts w:ascii="Book Antiqua" w:hAnsi="Book Antiqua"/>
          <w:sz w:val="24"/>
          <w:szCs w:val="24"/>
        </w:rPr>
        <w:t xml:space="preserve">We do not accept either that </w:t>
      </w:r>
      <w:r w:rsidRPr="00F14C19">
        <w:rPr>
          <w:rFonts w:ascii="Book Antiqua" w:hAnsi="Book Antiqua"/>
          <w:sz w:val="24"/>
          <w:szCs w:val="24"/>
          <w:u w:val="single"/>
        </w:rPr>
        <w:t>Pham</w:t>
      </w:r>
      <w:r w:rsidR="00F14C19" w:rsidRPr="00F14C19">
        <w:rPr>
          <w:rFonts w:ascii="Book Antiqua" w:hAnsi="Book Antiqua"/>
          <w:sz w:val="24"/>
          <w:szCs w:val="24"/>
          <w:u w:val="single"/>
        </w:rPr>
        <w:t xml:space="preserve"> v SSHD</w:t>
      </w:r>
      <w:r w:rsidRPr="00F14C19">
        <w:rPr>
          <w:rFonts w:ascii="Book Antiqua" w:hAnsi="Book Antiqua"/>
          <w:sz w:val="24"/>
          <w:szCs w:val="24"/>
        </w:rPr>
        <w:t xml:space="preserve"> </w:t>
      </w:r>
      <w:r w:rsidR="00F14C19" w:rsidRPr="00F14C19">
        <w:rPr>
          <w:rFonts w:ascii="Book Antiqua" w:hAnsi="Book Antiqua"/>
          <w:sz w:val="24"/>
          <w:szCs w:val="24"/>
        </w:rPr>
        <w:t xml:space="preserve">[2015] UKSC 19 </w:t>
      </w:r>
      <w:r w:rsidRPr="00F14C19">
        <w:rPr>
          <w:rFonts w:ascii="Book Antiqua" w:hAnsi="Book Antiqua"/>
          <w:sz w:val="24"/>
          <w:szCs w:val="24"/>
        </w:rPr>
        <w:t xml:space="preserve">is relevant </w:t>
      </w:r>
      <w:r w:rsidR="00F14C19" w:rsidRPr="00F14C19">
        <w:rPr>
          <w:rFonts w:ascii="Book Antiqua" w:hAnsi="Book Antiqua"/>
          <w:sz w:val="24"/>
          <w:szCs w:val="24"/>
        </w:rPr>
        <w:t>to</w:t>
      </w:r>
      <w:r w:rsidRPr="00F14C19">
        <w:rPr>
          <w:rFonts w:ascii="Book Antiqua" w:hAnsi="Book Antiqua"/>
          <w:sz w:val="24"/>
          <w:szCs w:val="24"/>
        </w:rPr>
        <w:t xml:space="preserve"> this case.</w:t>
      </w:r>
      <w:r w:rsidR="00F14C19" w:rsidRPr="00761563">
        <w:rPr>
          <w:rFonts w:ascii="Book Antiqua" w:hAnsi="Book Antiqua"/>
          <w:sz w:val="24"/>
          <w:szCs w:val="24"/>
        </w:rPr>
        <w:t xml:space="preserve"> We do not consider that, as Ms Harrison submits, it is an indication that issues of disclosure should primarily be dealt with by the court hearing the substantive issue. </w:t>
      </w:r>
      <w:r w:rsidR="00F14C19" w:rsidRPr="00F14C19">
        <w:rPr>
          <w:rFonts w:ascii="Book Antiqua" w:hAnsi="Book Antiqua"/>
          <w:sz w:val="24"/>
          <w:szCs w:val="24"/>
        </w:rPr>
        <w:t xml:space="preserve">The passage cited at [62] suggesting that is made in the context of an appeal in SIAC where that Court would be in possession of open and closed </w:t>
      </w:r>
      <w:r w:rsidR="00F14C19" w:rsidRPr="00F14C19">
        <w:rPr>
          <w:rFonts w:ascii="Book Antiqua" w:hAnsi="Book Antiqua"/>
          <w:sz w:val="24"/>
          <w:szCs w:val="24"/>
        </w:rPr>
        <w:lastRenderedPageBreak/>
        <w:t>material which is not the situation here.</w:t>
      </w:r>
      <w:r w:rsidR="00F14C19">
        <w:rPr>
          <w:rFonts w:ascii="Book Antiqua" w:hAnsi="Book Antiqua"/>
          <w:sz w:val="24"/>
          <w:szCs w:val="24"/>
        </w:rPr>
        <w:t xml:space="preserve"> </w:t>
      </w:r>
      <w:r w:rsidRPr="00F14C19">
        <w:rPr>
          <w:rFonts w:ascii="Book Antiqua" w:hAnsi="Book Antiqua"/>
          <w:sz w:val="24"/>
          <w:szCs w:val="24"/>
        </w:rPr>
        <w:t xml:space="preserve">It is not just simply an issue of disclosure; this case touches first on whether litigation privilege is engaged. </w:t>
      </w:r>
    </w:p>
    <w:p w14:paraId="2D1325CE" w14:textId="2EE39973" w:rsidR="00022D15" w:rsidRDefault="00751053"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W</w:t>
      </w:r>
      <w:r w:rsidR="008372A3">
        <w:rPr>
          <w:rFonts w:ascii="Book Antiqua" w:hAnsi="Book Antiqua"/>
          <w:sz w:val="24"/>
          <w:szCs w:val="24"/>
        </w:rPr>
        <w:t xml:space="preserve">e part company from </w:t>
      </w:r>
      <w:r>
        <w:rPr>
          <w:rFonts w:ascii="Book Antiqua" w:hAnsi="Book Antiqua"/>
          <w:sz w:val="24"/>
          <w:szCs w:val="24"/>
        </w:rPr>
        <w:t>Ms Harrison in her</w:t>
      </w:r>
      <w:r w:rsidR="007F4504">
        <w:rPr>
          <w:rFonts w:ascii="Book Antiqua" w:hAnsi="Book Antiqua"/>
          <w:sz w:val="24"/>
          <w:szCs w:val="24"/>
        </w:rPr>
        <w:t xml:space="preserve"> submission that the applicant</w:t>
      </w:r>
      <w:r w:rsidR="002112D1">
        <w:rPr>
          <w:rFonts w:ascii="Book Antiqua" w:hAnsi="Book Antiqua"/>
          <w:sz w:val="24"/>
          <w:szCs w:val="24"/>
        </w:rPr>
        <w:t xml:space="preserve"> must </w:t>
      </w:r>
      <w:r w:rsidR="008372A3">
        <w:rPr>
          <w:rFonts w:ascii="Book Antiqua" w:hAnsi="Book Antiqua"/>
          <w:sz w:val="24"/>
          <w:szCs w:val="24"/>
        </w:rPr>
        <w:t xml:space="preserve">overcome the high threshold in respect of each ground advanced. </w:t>
      </w:r>
      <w:r w:rsidR="000A2E28">
        <w:rPr>
          <w:rFonts w:ascii="Book Antiqua" w:hAnsi="Book Antiqua"/>
          <w:sz w:val="24"/>
          <w:szCs w:val="24"/>
        </w:rPr>
        <w:t xml:space="preserve"> We do not consider that the case law supports that proposition. </w:t>
      </w:r>
    </w:p>
    <w:p w14:paraId="529E143F" w14:textId="7EA717DF" w:rsidR="00022D15" w:rsidRDefault="00022D15"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Given that the primary consideration is whether the Upper Tribunal should entertain a challenge at all, w</w:t>
      </w:r>
      <w:r w:rsidR="000A2E28">
        <w:rPr>
          <w:rFonts w:ascii="Book Antiqua" w:hAnsi="Book Antiqua"/>
          <w:sz w:val="24"/>
          <w:szCs w:val="24"/>
        </w:rPr>
        <w:t xml:space="preserve">e consider that </w:t>
      </w:r>
      <w:r>
        <w:rPr>
          <w:rFonts w:ascii="Book Antiqua" w:hAnsi="Book Antiqua"/>
          <w:sz w:val="24"/>
          <w:szCs w:val="24"/>
        </w:rPr>
        <w:t xml:space="preserve">once the very high threshold is met, we accept Ms Patry’s submission that, analogous with the second appeals test, it is not necessary for each of the grounds to reach that threshold. </w:t>
      </w:r>
      <w:r w:rsidR="00F64F3E">
        <w:rPr>
          <w:rFonts w:ascii="Book Antiqua" w:hAnsi="Book Antiqua"/>
          <w:sz w:val="24"/>
          <w:szCs w:val="24"/>
        </w:rPr>
        <w:t xml:space="preserve">Further, and in any event, the grounds of challenge are simply ancillary to the core thrust which is that </w:t>
      </w:r>
      <w:r w:rsidR="007F4504">
        <w:rPr>
          <w:rFonts w:ascii="Book Antiqua" w:hAnsi="Book Antiqua"/>
          <w:sz w:val="24"/>
          <w:szCs w:val="24"/>
        </w:rPr>
        <w:t xml:space="preserve">the </w:t>
      </w:r>
      <w:r w:rsidR="00F64F3E">
        <w:rPr>
          <w:rFonts w:ascii="Book Antiqua" w:hAnsi="Book Antiqua"/>
          <w:sz w:val="24"/>
          <w:szCs w:val="24"/>
        </w:rPr>
        <w:t xml:space="preserve">order for disclosure was contrary to the applicant’s fundamental right. </w:t>
      </w:r>
    </w:p>
    <w:p w14:paraId="157B8882" w14:textId="77777777" w:rsidR="000C1373" w:rsidRDefault="000C1373"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We do, however, consider that it is necessary to examine the substance of the challenge before reaching a conclusion on this issue. </w:t>
      </w:r>
    </w:p>
    <w:p w14:paraId="3F30B1FA" w14:textId="3E4414A1" w:rsidR="009C059E" w:rsidRDefault="00022D15"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The second, related preliminary matter is whether the right of appeal against a final decision of the First-tier Tribunal would be a suitable alternative remedy as the </w:t>
      </w:r>
      <w:r w:rsidR="007F4504">
        <w:rPr>
          <w:rFonts w:ascii="Book Antiqua" w:hAnsi="Book Antiqua"/>
          <w:sz w:val="24"/>
          <w:szCs w:val="24"/>
        </w:rPr>
        <w:t>i</w:t>
      </w:r>
      <w:r w:rsidR="004D3ACB">
        <w:rPr>
          <w:rFonts w:ascii="Book Antiqua" w:hAnsi="Book Antiqua"/>
          <w:sz w:val="24"/>
          <w:szCs w:val="24"/>
        </w:rPr>
        <w:t xml:space="preserve">nterested </w:t>
      </w:r>
      <w:r w:rsidR="007F4504">
        <w:rPr>
          <w:rFonts w:ascii="Book Antiqua" w:hAnsi="Book Antiqua"/>
          <w:sz w:val="24"/>
          <w:szCs w:val="24"/>
        </w:rPr>
        <w:t>p</w:t>
      </w:r>
      <w:r w:rsidR="004D3ACB">
        <w:rPr>
          <w:rFonts w:ascii="Book Antiqua" w:hAnsi="Book Antiqua"/>
          <w:sz w:val="24"/>
          <w:szCs w:val="24"/>
        </w:rPr>
        <w:t xml:space="preserve">arty submits. </w:t>
      </w:r>
      <w:r>
        <w:rPr>
          <w:rFonts w:ascii="Book Antiqua" w:hAnsi="Book Antiqua"/>
          <w:sz w:val="24"/>
          <w:szCs w:val="24"/>
        </w:rPr>
        <w:t xml:space="preserve">That is not an issue we can, however, decide without </w:t>
      </w:r>
      <w:r w:rsidR="004F2197" w:rsidRPr="00E81916">
        <w:rPr>
          <w:rFonts w:ascii="Book Antiqua" w:hAnsi="Book Antiqua"/>
          <w:sz w:val="24"/>
          <w:szCs w:val="24"/>
        </w:rPr>
        <w:t xml:space="preserve">first </w:t>
      </w:r>
      <w:r>
        <w:rPr>
          <w:rFonts w:ascii="Book Antiqua" w:hAnsi="Book Antiqua"/>
          <w:sz w:val="24"/>
          <w:szCs w:val="24"/>
        </w:rPr>
        <w:t xml:space="preserve">considering </w:t>
      </w:r>
      <w:r w:rsidR="002261DF">
        <w:rPr>
          <w:rFonts w:ascii="Book Antiqua" w:hAnsi="Book Antiqua"/>
          <w:sz w:val="24"/>
          <w:szCs w:val="24"/>
        </w:rPr>
        <w:t xml:space="preserve">whether litigation privilege applies. If it does, </w:t>
      </w:r>
      <w:r w:rsidR="004D3ACB">
        <w:rPr>
          <w:rFonts w:ascii="Book Antiqua" w:hAnsi="Book Antiqua"/>
          <w:sz w:val="24"/>
          <w:szCs w:val="24"/>
        </w:rPr>
        <w:t>then it would not be an adequate remedy, as (for reasons which we develop below) it could not put the applicant back in the position she was before the email in question was disclosed and ceased to be confidential.</w:t>
      </w:r>
    </w:p>
    <w:p w14:paraId="2DB8B700" w14:textId="77777777" w:rsidR="00FF44A7" w:rsidRDefault="00FF44A7" w:rsidP="00C3457B">
      <w:pPr>
        <w:spacing w:line="240" w:lineRule="auto"/>
        <w:jc w:val="both"/>
        <w:rPr>
          <w:rFonts w:ascii="Book Antiqua" w:hAnsi="Book Antiqua"/>
          <w:sz w:val="24"/>
          <w:szCs w:val="24"/>
        </w:rPr>
      </w:pPr>
    </w:p>
    <w:p w14:paraId="4A2899FD" w14:textId="4F092AB8" w:rsidR="00850E29" w:rsidRDefault="00850E29" w:rsidP="00C3457B">
      <w:pPr>
        <w:spacing w:line="240" w:lineRule="auto"/>
        <w:jc w:val="both"/>
        <w:rPr>
          <w:rFonts w:ascii="Book Antiqua" w:hAnsi="Book Antiqua"/>
          <w:sz w:val="24"/>
          <w:szCs w:val="24"/>
        </w:rPr>
      </w:pPr>
      <w:r>
        <w:rPr>
          <w:rFonts w:ascii="Book Antiqua" w:hAnsi="Book Antiqua"/>
          <w:sz w:val="24"/>
          <w:szCs w:val="24"/>
        </w:rPr>
        <w:t>DISCUSSION</w:t>
      </w:r>
    </w:p>
    <w:p w14:paraId="12A85468" w14:textId="77777777" w:rsidR="00C3457B" w:rsidRPr="00042ACC" w:rsidRDefault="005C2B88" w:rsidP="00C3457B">
      <w:pPr>
        <w:spacing w:line="240" w:lineRule="auto"/>
        <w:jc w:val="both"/>
        <w:rPr>
          <w:rFonts w:ascii="Book Antiqua" w:hAnsi="Book Antiqua"/>
          <w:sz w:val="24"/>
          <w:szCs w:val="24"/>
          <w:u w:val="single"/>
        </w:rPr>
      </w:pPr>
      <w:r w:rsidRPr="00042ACC">
        <w:rPr>
          <w:rFonts w:ascii="Book Antiqua" w:hAnsi="Book Antiqua"/>
          <w:sz w:val="24"/>
          <w:szCs w:val="24"/>
          <w:u w:val="single"/>
        </w:rPr>
        <w:t>(a)</w:t>
      </w:r>
      <w:r w:rsidR="005F45C4" w:rsidRPr="00042ACC">
        <w:rPr>
          <w:rFonts w:ascii="Book Antiqua" w:hAnsi="Book Antiqua"/>
          <w:sz w:val="24"/>
          <w:szCs w:val="24"/>
          <w:u w:val="single"/>
        </w:rPr>
        <w:t>The nature</w:t>
      </w:r>
      <w:r w:rsidR="00CC457B" w:rsidRPr="00042ACC">
        <w:rPr>
          <w:rFonts w:ascii="Book Antiqua" w:hAnsi="Book Antiqua"/>
          <w:sz w:val="24"/>
          <w:szCs w:val="24"/>
          <w:u w:val="single"/>
        </w:rPr>
        <w:t xml:space="preserve"> of l</w:t>
      </w:r>
      <w:r w:rsidRPr="00042ACC">
        <w:rPr>
          <w:rFonts w:ascii="Book Antiqua" w:hAnsi="Book Antiqua"/>
          <w:sz w:val="24"/>
          <w:szCs w:val="24"/>
          <w:u w:val="single"/>
        </w:rPr>
        <w:t>itigation privilege</w:t>
      </w:r>
    </w:p>
    <w:p w14:paraId="5EBAD6EC" w14:textId="3646FF4A" w:rsidR="004D3ACB" w:rsidRDefault="000C1373"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We now turn to </w:t>
      </w:r>
      <w:r w:rsidR="00D567F6">
        <w:rPr>
          <w:rFonts w:ascii="Book Antiqua" w:hAnsi="Book Antiqua"/>
          <w:sz w:val="24"/>
          <w:szCs w:val="24"/>
        </w:rPr>
        <w:t>l</w:t>
      </w:r>
      <w:r>
        <w:rPr>
          <w:rFonts w:ascii="Book Antiqua" w:hAnsi="Book Antiqua"/>
          <w:sz w:val="24"/>
          <w:szCs w:val="24"/>
        </w:rPr>
        <w:t xml:space="preserve">itigation </w:t>
      </w:r>
      <w:r w:rsidR="00D567F6">
        <w:rPr>
          <w:rFonts w:ascii="Book Antiqua" w:hAnsi="Book Antiqua"/>
          <w:sz w:val="24"/>
          <w:szCs w:val="24"/>
        </w:rPr>
        <w:t>p</w:t>
      </w:r>
      <w:r>
        <w:rPr>
          <w:rFonts w:ascii="Book Antiqua" w:hAnsi="Book Antiqua"/>
          <w:sz w:val="24"/>
          <w:szCs w:val="24"/>
        </w:rPr>
        <w:t>rivilege. A number of issues arise in the context of this application</w:t>
      </w:r>
    </w:p>
    <w:p w14:paraId="40D3FDF7" w14:textId="1DCC9174" w:rsidR="000C1373" w:rsidRPr="000C1373" w:rsidRDefault="000C1373" w:rsidP="00575884">
      <w:pPr>
        <w:pStyle w:val="ListParagraph"/>
        <w:numPr>
          <w:ilvl w:val="0"/>
          <w:numId w:val="4"/>
        </w:numPr>
        <w:ind w:hanging="513"/>
        <w:jc w:val="both"/>
        <w:rPr>
          <w:rFonts w:ascii="Book Antiqua" w:hAnsi="Book Antiqua"/>
          <w:sz w:val="24"/>
          <w:szCs w:val="24"/>
        </w:rPr>
      </w:pPr>
      <w:r w:rsidRPr="000C1373">
        <w:rPr>
          <w:rFonts w:ascii="Book Antiqua" w:hAnsi="Book Antiqua"/>
          <w:sz w:val="24"/>
          <w:szCs w:val="24"/>
        </w:rPr>
        <w:t xml:space="preserve">What is </w:t>
      </w:r>
      <w:r w:rsidR="00236929">
        <w:rPr>
          <w:rFonts w:ascii="Book Antiqua" w:hAnsi="Book Antiqua"/>
          <w:sz w:val="24"/>
          <w:szCs w:val="24"/>
        </w:rPr>
        <w:t xml:space="preserve">the </w:t>
      </w:r>
      <w:r w:rsidR="00FB394E">
        <w:rPr>
          <w:rFonts w:ascii="Book Antiqua" w:hAnsi="Book Antiqua"/>
          <w:sz w:val="24"/>
          <w:szCs w:val="24"/>
        </w:rPr>
        <w:t xml:space="preserve">nature </w:t>
      </w:r>
      <w:r w:rsidR="00236929">
        <w:rPr>
          <w:rFonts w:ascii="Book Antiqua" w:hAnsi="Book Antiqua"/>
          <w:sz w:val="24"/>
          <w:szCs w:val="24"/>
        </w:rPr>
        <w:t xml:space="preserve">of </w:t>
      </w:r>
      <w:r w:rsidRPr="000C1373">
        <w:rPr>
          <w:rFonts w:ascii="Book Antiqua" w:hAnsi="Book Antiqua"/>
          <w:sz w:val="24"/>
          <w:szCs w:val="24"/>
        </w:rPr>
        <w:t>litigation privilege?</w:t>
      </w:r>
    </w:p>
    <w:p w14:paraId="1FC2CB98" w14:textId="77777777" w:rsidR="000C1373" w:rsidRDefault="00236929" w:rsidP="00575884">
      <w:pPr>
        <w:pStyle w:val="ListParagraph"/>
        <w:numPr>
          <w:ilvl w:val="0"/>
          <w:numId w:val="4"/>
        </w:numPr>
        <w:ind w:hanging="513"/>
        <w:jc w:val="both"/>
        <w:rPr>
          <w:rFonts w:ascii="Book Antiqua" w:hAnsi="Book Antiqua"/>
          <w:sz w:val="24"/>
          <w:szCs w:val="24"/>
        </w:rPr>
      </w:pPr>
      <w:r>
        <w:rPr>
          <w:rFonts w:ascii="Book Antiqua" w:hAnsi="Book Antiqua"/>
          <w:sz w:val="24"/>
          <w:szCs w:val="24"/>
        </w:rPr>
        <w:t>Does it apply to proceedings in the FtT?</w:t>
      </w:r>
    </w:p>
    <w:p w14:paraId="0F09380D" w14:textId="77777777" w:rsidR="00236929" w:rsidRDefault="00236929" w:rsidP="00575884">
      <w:pPr>
        <w:pStyle w:val="ListParagraph"/>
        <w:numPr>
          <w:ilvl w:val="0"/>
          <w:numId w:val="4"/>
        </w:numPr>
        <w:ind w:hanging="513"/>
        <w:jc w:val="both"/>
        <w:rPr>
          <w:rFonts w:ascii="Book Antiqua" w:hAnsi="Book Antiqua"/>
          <w:sz w:val="24"/>
          <w:szCs w:val="24"/>
        </w:rPr>
      </w:pPr>
      <w:r>
        <w:rPr>
          <w:rFonts w:ascii="Book Antiqua" w:hAnsi="Book Antiqua"/>
          <w:sz w:val="24"/>
          <w:szCs w:val="24"/>
        </w:rPr>
        <w:t>If so, can it apply to an email between officials within the FCO?</w:t>
      </w:r>
    </w:p>
    <w:p w14:paraId="6FB7F62E" w14:textId="77777777" w:rsidR="00236929" w:rsidRDefault="00236929" w:rsidP="00575884">
      <w:pPr>
        <w:pStyle w:val="ListParagraph"/>
        <w:numPr>
          <w:ilvl w:val="0"/>
          <w:numId w:val="4"/>
        </w:numPr>
        <w:ind w:hanging="513"/>
        <w:jc w:val="both"/>
        <w:rPr>
          <w:rFonts w:ascii="Book Antiqua" w:hAnsi="Book Antiqua"/>
          <w:sz w:val="24"/>
          <w:szCs w:val="24"/>
        </w:rPr>
      </w:pPr>
      <w:r>
        <w:rPr>
          <w:rFonts w:ascii="Book Antiqua" w:hAnsi="Book Antiqua"/>
          <w:sz w:val="24"/>
          <w:szCs w:val="24"/>
        </w:rPr>
        <w:t>If so, has it been properly claimed?</w:t>
      </w:r>
    </w:p>
    <w:p w14:paraId="7F6C2A09" w14:textId="77777777" w:rsidR="00236929" w:rsidRDefault="00236929" w:rsidP="00236929">
      <w:pPr>
        <w:pStyle w:val="ListParagraph"/>
        <w:numPr>
          <w:ilvl w:val="0"/>
          <w:numId w:val="4"/>
        </w:numPr>
        <w:ind w:hanging="513"/>
        <w:jc w:val="both"/>
        <w:rPr>
          <w:rFonts w:ascii="Book Antiqua" w:hAnsi="Book Antiqua"/>
          <w:sz w:val="24"/>
          <w:szCs w:val="24"/>
        </w:rPr>
      </w:pPr>
      <w:r>
        <w:rPr>
          <w:rFonts w:ascii="Book Antiqua" w:hAnsi="Book Antiqua"/>
          <w:sz w:val="24"/>
          <w:szCs w:val="24"/>
        </w:rPr>
        <w:t>If so, has it in fact been waived?</w:t>
      </w:r>
    </w:p>
    <w:p w14:paraId="739587B0" w14:textId="77777777" w:rsidR="00C3457B" w:rsidRPr="000C1373" w:rsidRDefault="00236929" w:rsidP="00236929">
      <w:pPr>
        <w:pStyle w:val="ListParagraph"/>
        <w:ind w:left="1080"/>
        <w:jc w:val="both"/>
        <w:rPr>
          <w:rFonts w:ascii="Book Antiqua" w:hAnsi="Book Antiqua"/>
          <w:sz w:val="24"/>
          <w:szCs w:val="24"/>
        </w:rPr>
      </w:pPr>
      <w:r w:rsidRPr="000C1373">
        <w:rPr>
          <w:rFonts w:ascii="Book Antiqua" w:hAnsi="Book Antiqua"/>
          <w:sz w:val="24"/>
          <w:szCs w:val="24"/>
        </w:rPr>
        <w:t xml:space="preserve"> </w:t>
      </w:r>
    </w:p>
    <w:p w14:paraId="4A8364D8" w14:textId="328DF18F" w:rsidR="00C3457B" w:rsidRPr="00C3457B" w:rsidRDefault="00C3457B"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C3457B">
        <w:rPr>
          <w:rFonts w:ascii="Book Antiqua" w:hAnsi="Book Antiqua"/>
          <w:sz w:val="24"/>
          <w:szCs w:val="24"/>
        </w:rPr>
        <w:t>Litigation privilege attaches to communications between a client and</w:t>
      </w:r>
      <w:r w:rsidR="00236929">
        <w:rPr>
          <w:rFonts w:ascii="Book Antiqua" w:hAnsi="Book Antiqua"/>
          <w:sz w:val="24"/>
          <w:szCs w:val="24"/>
        </w:rPr>
        <w:t>/or</w:t>
      </w:r>
      <w:r w:rsidRPr="00C3457B">
        <w:rPr>
          <w:rFonts w:ascii="Book Antiqua" w:hAnsi="Book Antiqua"/>
          <w:sz w:val="24"/>
          <w:szCs w:val="24"/>
        </w:rPr>
        <w:t xml:space="preserve"> his lawyer and third parties for the purpose of litigation. It entitles the privileged party not to disclose information even if, for example, it is relevant to the issues to be determined in a court or tribunal – in essence privileged communications are immune from compulsory disclosure. </w:t>
      </w:r>
      <w:r>
        <w:rPr>
          <w:rFonts w:ascii="Book Antiqua" w:hAnsi="Book Antiqua"/>
          <w:sz w:val="24"/>
          <w:szCs w:val="24"/>
        </w:rPr>
        <w:t xml:space="preserve">It is </w:t>
      </w:r>
      <w:r w:rsidR="009C1A24">
        <w:rPr>
          <w:rFonts w:ascii="Book Antiqua" w:hAnsi="Book Antiqua"/>
          <w:sz w:val="24"/>
          <w:szCs w:val="24"/>
        </w:rPr>
        <w:t>to be distinguished from</w:t>
      </w:r>
      <w:r>
        <w:rPr>
          <w:rFonts w:ascii="Book Antiqua" w:hAnsi="Book Antiqua"/>
          <w:sz w:val="24"/>
          <w:szCs w:val="24"/>
        </w:rPr>
        <w:t xml:space="preserve"> </w:t>
      </w:r>
      <w:r w:rsidR="00FF44A7">
        <w:rPr>
          <w:rFonts w:ascii="Book Antiqua" w:hAnsi="Book Antiqua"/>
          <w:sz w:val="24"/>
          <w:szCs w:val="24"/>
        </w:rPr>
        <w:t>legal advice privilege</w:t>
      </w:r>
      <w:r w:rsidRPr="00C3457B">
        <w:rPr>
          <w:rFonts w:ascii="Book Antiqua" w:hAnsi="Book Antiqua"/>
          <w:sz w:val="24"/>
          <w:szCs w:val="24"/>
        </w:rPr>
        <w:t xml:space="preserve"> - communications between lawyer and client for the purpose of giving or receiving legal advice</w:t>
      </w:r>
      <w:r>
        <w:rPr>
          <w:rFonts w:ascii="Book Antiqua" w:hAnsi="Book Antiqua"/>
          <w:sz w:val="24"/>
          <w:szCs w:val="24"/>
        </w:rPr>
        <w:t>. These two privileges</w:t>
      </w:r>
      <w:r w:rsidRPr="00C3457B">
        <w:rPr>
          <w:rFonts w:ascii="Book Antiqua" w:hAnsi="Book Antiqua"/>
          <w:sz w:val="24"/>
          <w:szCs w:val="24"/>
        </w:rPr>
        <w:t xml:space="preserve"> form the two sub-categories of legal professional privilege - see </w:t>
      </w:r>
      <w:r w:rsidRPr="00C3457B">
        <w:rPr>
          <w:rFonts w:ascii="Book Antiqua" w:hAnsi="Book Antiqua"/>
          <w:sz w:val="24"/>
          <w:szCs w:val="24"/>
          <w:u w:val="single"/>
        </w:rPr>
        <w:t>Waugh v British Railways Board</w:t>
      </w:r>
      <w:r w:rsidRPr="00C3457B">
        <w:rPr>
          <w:rFonts w:ascii="Book Antiqua" w:hAnsi="Book Antiqua"/>
          <w:sz w:val="24"/>
          <w:szCs w:val="24"/>
        </w:rPr>
        <w:t xml:space="preserve"> [1980] AC 521 and </w:t>
      </w:r>
      <w:r w:rsidRPr="00C3457B">
        <w:rPr>
          <w:rFonts w:ascii="Book Antiqua" w:hAnsi="Book Antiqua"/>
          <w:sz w:val="24"/>
          <w:szCs w:val="24"/>
          <w:u w:val="single"/>
        </w:rPr>
        <w:t>Three Rivers District Council v Governor and Company of the Bank of England (No6)</w:t>
      </w:r>
      <w:r w:rsidRPr="00C3457B">
        <w:rPr>
          <w:rFonts w:ascii="Book Antiqua" w:hAnsi="Book Antiqua"/>
          <w:sz w:val="24"/>
          <w:szCs w:val="24"/>
        </w:rPr>
        <w:t xml:space="preserve"> [2005] 1 AC 610</w:t>
      </w:r>
      <w:r w:rsidR="00441891">
        <w:rPr>
          <w:rFonts w:ascii="Book Antiqua" w:hAnsi="Book Antiqua"/>
          <w:sz w:val="24"/>
          <w:szCs w:val="24"/>
        </w:rPr>
        <w:t xml:space="preserve">. </w:t>
      </w:r>
      <w:r w:rsidR="008A06A0">
        <w:rPr>
          <w:rFonts w:ascii="Book Antiqua" w:hAnsi="Book Antiqua"/>
          <w:sz w:val="24"/>
          <w:szCs w:val="24"/>
        </w:rPr>
        <w:t>T</w:t>
      </w:r>
      <w:r w:rsidR="00441891">
        <w:rPr>
          <w:rFonts w:ascii="Book Antiqua" w:hAnsi="Book Antiqua"/>
          <w:sz w:val="24"/>
          <w:szCs w:val="24"/>
        </w:rPr>
        <w:t>here are</w:t>
      </w:r>
      <w:r w:rsidR="008A06A0">
        <w:rPr>
          <w:rFonts w:ascii="Book Antiqua" w:hAnsi="Book Antiqua"/>
          <w:sz w:val="24"/>
          <w:szCs w:val="24"/>
        </w:rPr>
        <w:t xml:space="preserve">, however, significant </w:t>
      </w:r>
      <w:r w:rsidR="008A06A0">
        <w:rPr>
          <w:rFonts w:ascii="Book Antiqua" w:hAnsi="Book Antiqua"/>
          <w:sz w:val="24"/>
          <w:szCs w:val="24"/>
        </w:rPr>
        <w:lastRenderedPageBreak/>
        <w:t>differences in the circumstances in which each of the types of privilege come into being.</w:t>
      </w:r>
    </w:p>
    <w:p w14:paraId="2DC0A0B1" w14:textId="2A558B96" w:rsidR="00DB3C36" w:rsidRPr="00575884" w:rsidRDefault="00441891"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Legal professional </w:t>
      </w:r>
      <w:r w:rsidR="00C3457B">
        <w:rPr>
          <w:rFonts w:ascii="Book Antiqua" w:hAnsi="Book Antiqua"/>
          <w:sz w:val="24"/>
          <w:szCs w:val="24"/>
        </w:rPr>
        <w:t>privilege is</w:t>
      </w:r>
      <w:r w:rsidR="00DB3C36" w:rsidRPr="00575884">
        <w:rPr>
          <w:rFonts w:ascii="Book Antiqua" w:hAnsi="Book Antiqua"/>
          <w:sz w:val="24"/>
          <w:szCs w:val="24"/>
        </w:rPr>
        <w:t>, as the case law makes clear, a fundamental right but it differs from other fundamental rights such as those protected by articles 2</w:t>
      </w:r>
      <w:r w:rsidR="009C1A24">
        <w:rPr>
          <w:rFonts w:ascii="Book Antiqua" w:hAnsi="Book Antiqua"/>
          <w:sz w:val="24"/>
          <w:szCs w:val="24"/>
        </w:rPr>
        <w:t>,</w:t>
      </w:r>
      <w:r w:rsidR="00DB3C36" w:rsidRPr="00575884">
        <w:rPr>
          <w:rFonts w:ascii="Book Antiqua" w:hAnsi="Book Antiqua"/>
          <w:sz w:val="24"/>
          <w:szCs w:val="24"/>
        </w:rPr>
        <w:t xml:space="preserve"> 3 and 4 of the Human Rights Convention but where it does not differ is that there is no balancing exercise to be undertaken. That is not to say that there are not competing rights in play, as there clearly were in </w:t>
      </w:r>
      <w:r w:rsidR="00DB3C36" w:rsidRPr="00575884">
        <w:rPr>
          <w:rFonts w:ascii="Book Antiqua" w:hAnsi="Book Antiqua"/>
          <w:sz w:val="24"/>
          <w:szCs w:val="24"/>
          <w:u w:val="single"/>
        </w:rPr>
        <w:t>R v Derby Magistrates</w:t>
      </w:r>
      <w:r w:rsidR="00DB3C36" w:rsidRPr="00575884">
        <w:rPr>
          <w:rFonts w:ascii="Book Antiqua" w:hAnsi="Book Antiqua"/>
          <w:sz w:val="24"/>
          <w:szCs w:val="24"/>
        </w:rPr>
        <w:t xml:space="preserve"> [1995] UKHL 18, where Lord Taylor CJ held at [58]:</w:t>
      </w:r>
    </w:p>
    <w:p w14:paraId="51E16132" w14:textId="77777777" w:rsidR="00DB3C36" w:rsidRPr="000C1373" w:rsidRDefault="00DB3C36" w:rsidP="00575884">
      <w:pPr>
        <w:ind w:left="567"/>
        <w:jc w:val="both"/>
        <w:rPr>
          <w:rFonts w:ascii="Book Antiqua" w:hAnsi="Book Antiqua"/>
          <w:szCs w:val="22"/>
        </w:rPr>
      </w:pPr>
      <w:bookmarkStart w:id="6" w:name="para58"/>
      <w:r w:rsidRPr="000C1373">
        <w:rPr>
          <w:rFonts w:ascii="Book Antiqua" w:hAnsi="Book Antiqua"/>
          <w:szCs w:val="22"/>
        </w:rPr>
        <w:t>58. The principle which runs through all these cases, and the many other cases which were cited, is that a man must be able to consult his lawyer in confidence, since otherwise he might hold back half the truth. The client must be sure that what he tells his lawyer in confidence will never be revealed without his consent. Legal professional privilege is thus much more than an ordinary rule of evidence, limited in its application to the facts of a particular case. It is a fundamental condition on which the administration of justice as a whole rests.</w:t>
      </w:r>
      <w:bookmarkEnd w:id="6"/>
    </w:p>
    <w:p w14:paraId="4E5A8C29" w14:textId="77777777" w:rsidR="00DB3C36" w:rsidRPr="000C1373" w:rsidRDefault="00DB3C36" w:rsidP="00575884">
      <w:pPr>
        <w:ind w:left="567"/>
        <w:jc w:val="both"/>
        <w:rPr>
          <w:rFonts w:ascii="Book Antiqua" w:hAnsi="Book Antiqua"/>
          <w:szCs w:val="22"/>
        </w:rPr>
      </w:pPr>
      <w:r w:rsidRPr="000C1373">
        <w:rPr>
          <w:rFonts w:ascii="Book Antiqua" w:hAnsi="Book Antiqua"/>
          <w:szCs w:val="22"/>
        </w:rPr>
        <w:t>…</w:t>
      </w:r>
    </w:p>
    <w:p w14:paraId="02BFE84D" w14:textId="77777777" w:rsidR="00DB3C36" w:rsidRPr="00575884" w:rsidRDefault="00DB3C36" w:rsidP="00575884">
      <w:pPr>
        <w:ind w:left="567"/>
        <w:jc w:val="both"/>
        <w:rPr>
          <w:rFonts w:ascii="Book Antiqua" w:hAnsi="Book Antiqua"/>
          <w:szCs w:val="22"/>
        </w:rPr>
      </w:pPr>
      <w:r w:rsidRPr="000C1373">
        <w:rPr>
          <w:rFonts w:ascii="Book Antiqua" w:hAnsi="Book Antiqua"/>
          <w:szCs w:val="22"/>
        </w:rPr>
        <w:t xml:space="preserve">65. </w:t>
      </w:r>
      <w:bookmarkStart w:id="7" w:name="para65"/>
      <w:r w:rsidRPr="000C1373">
        <w:rPr>
          <w:rFonts w:ascii="Book Antiqua" w:hAnsi="Book Antiqua"/>
          <w:szCs w:val="22"/>
        </w:rPr>
        <w:t>One can have much sympathy with McCowan L.J.'s approach, especially in relation to the unusual facts of this case. But it is not for the sake of the appellant alone that the privilege must be upheld. It is in the wider interests of all those hereafter who might otherwise be deterred from telling the whole truth to their solicitors. For this reason I am of the opinion that no exception should be allowed to the absolute nature of legal professional privilege, once established.</w:t>
      </w:r>
      <w:bookmarkEnd w:id="7"/>
    </w:p>
    <w:p w14:paraId="173F7890" w14:textId="77777777" w:rsidR="00DB3C36" w:rsidRPr="000C1373" w:rsidRDefault="00575884"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Further, as </w:t>
      </w:r>
      <w:r w:rsidR="00DB3C36" w:rsidRPr="000C1373">
        <w:rPr>
          <w:rFonts w:ascii="Book Antiqua" w:hAnsi="Book Antiqua"/>
          <w:sz w:val="24"/>
          <w:szCs w:val="24"/>
        </w:rPr>
        <w:t>Lord Lloyd observed</w:t>
      </w:r>
      <w:r>
        <w:rPr>
          <w:rFonts w:ascii="Book Antiqua" w:hAnsi="Book Antiqua"/>
          <w:sz w:val="24"/>
          <w:szCs w:val="24"/>
        </w:rPr>
        <w:t xml:space="preserve"> at [67]</w:t>
      </w:r>
      <w:r w:rsidR="00DB3C36" w:rsidRPr="000C1373">
        <w:rPr>
          <w:rFonts w:ascii="Book Antiqua" w:hAnsi="Book Antiqua"/>
          <w:sz w:val="24"/>
          <w:szCs w:val="24"/>
        </w:rPr>
        <w:t>:</w:t>
      </w:r>
    </w:p>
    <w:p w14:paraId="7900F4B1" w14:textId="77777777" w:rsidR="00DB3C36" w:rsidRPr="00575884" w:rsidRDefault="00DB3C36" w:rsidP="00575884">
      <w:pPr>
        <w:ind w:left="567"/>
        <w:jc w:val="both"/>
        <w:rPr>
          <w:rFonts w:ascii="Book Antiqua" w:hAnsi="Book Antiqua"/>
          <w:szCs w:val="22"/>
        </w:rPr>
      </w:pPr>
      <w:r w:rsidRPr="00575884">
        <w:rPr>
          <w:rFonts w:ascii="Book Antiqua" w:hAnsi="Book Antiqua"/>
          <w:szCs w:val="22"/>
        </w:rPr>
        <w:t>67. The reason is rather that the courts have for very many years regarded legal professional privilege as the predominant public interest. A balancing exercise is not required in individual cases, because the balance must always come down in favour of upholding the privilege, unless, of course, the privilege is waived.</w:t>
      </w:r>
    </w:p>
    <w:p w14:paraId="34B82CFA" w14:textId="77777777" w:rsidR="00EC6573" w:rsidRPr="00E81916" w:rsidRDefault="00DB3C36" w:rsidP="00C3457B">
      <w:pPr>
        <w:ind w:left="567"/>
        <w:jc w:val="both"/>
        <w:rPr>
          <w:rFonts w:ascii="Book Antiqua" w:hAnsi="Book Antiqua"/>
          <w:sz w:val="24"/>
          <w:szCs w:val="24"/>
        </w:rPr>
      </w:pPr>
      <w:r w:rsidRPr="00575884">
        <w:rPr>
          <w:rFonts w:ascii="Book Antiqua" w:hAnsi="Book Antiqua"/>
          <w:szCs w:val="22"/>
        </w:rPr>
        <w:t xml:space="preserve">It appears also from the case law that to be covered by LP, a communication must be confidential. We consider that the email in question must be in its nature confidential – not seriously submitted otherwise. </w:t>
      </w:r>
    </w:p>
    <w:p w14:paraId="18A24445" w14:textId="575488E4" w:rsidR="00236929" w:rsidRDefault="00FF44A7" w:rsidP="00E81916">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As noted at [38] above,</w:t>
      </w:r>
      <w:r w:rsidR="00236929">
        <w:rPr>
          <w:rFonts w:ascii="Book Antiqua" w:hAnsi="Book Antiqua"/>
          <w:sz w:val="24"/>
          <w:szCs w:val="24"/>
        </w:rPr>
        <w:t xml:space="preserve"> </w:t>
      </w:r>
      <w:r w:rsidR="00DB3C36">
        <w:rPr>
          <w:rFonts w:ascii="Book Antiqua" w:hAnsi="Book Antiqua"/>
          <w:sz w:val="24"/>
          <w:szCs w:val="24"/>
        </w:rPr>
        <w:t>litigation privilege</w:t>
      </w:r>
      <w:r w:rsidR="008A06A0">
        <w:rPr>
          <w:rFonts w:ascii="Book Antiqua" w:hAnsi="Book Antiqua"/>
          <w:sz w:val="24"/>
          <w:szCs w:val="24"/>
        </w:rPr>
        <w:t>, unlike legal advice privilege, attaches to documents and communications between a party and/or his lawyer, and a third party.  But it does not apply</w:t>
      </w:r>
      <w:r w:rsidR="006F7FD8">
        <w:rPr>
          <w:rFonts w:ascii="Book Antiqua" w:hAnsi="Book Antiqua"/>
          <w:sz w:val="24"/>
          <w:szCs w:val="24"/>
        </w:rPr>
        <w:t xml:space="preserve"> to</w:t>
      </w:r>
      <w:r w:rsidR="008A06A0">
        <w:rPr>
          <w:rFonts w:ascii="Book Antiqua" w:hAnsi="Book Antiqua"/>
          <w:sz w:val="24"/>
          <w:szCs w:val="24"/>
        </w:rPr>
        <w:t xml:space="preserve"> all such documents or communications. For litigation privilege</w:t>
      </w:r>
      <w:r w:rsidR="00236929">
        <w:rPr>
          <w:rFonts w:ascii="Book Antiqua" w:hAnsi="Book Antiqua"/>
          <w:sz w:val="24"/>
          <w:szCs w:val="24"/>
        </w:rPr>
        <w:t xml:space="preserve"> to </w:t>
      </w:r>
      <w:r w:rsidR="00C3457B">
        <w:rPr>
          <w:rFonts w:ascii="Book Antiqua" w:hAnsi="Book Antiqua"/>
          <w:sz w:val="24"/>
          <w:szCs w:val="24"/>
        </w:rPr>
        <w:t>apply</w:t>
      </w:r>
      <w:r w:rsidR="008A06A0">
        <w:rPr>
          <w:rFonts w:ascii="Book Antiqua" w:hAnsi="Book Antiqua"/>
          <w:sz w:val="24"/>
          <w:szCs w:val="24"/>
        </w:rPr>
        <w:t xml:space="preserve"> to a</w:t>
      </w:r>
      <w:r w:rsidR="00C3457B">
        <w:rPr>
          <w:rFonts w:ascii="Book Antiqua" w:hAnsi="Book Antiqua"/>
          <w:sz w:val="24"/>
          <w:szCs w:val="24"/>
        </w:rPr>
        <w:t xml:space="preserve"> document or communication</w:t>
      </w:r>
      <w:r w:rsidR="008A06A0">
        <w:rPr>
          <w:rFonts w:ascii="Book Antiqua" w:hAnsi="Book Antiqua"/>
          <w:sz w:val="24"/>
          <w:szCs w:val="24"/>
        </w:rPr>
        <w:t xml:space="preserve">, it </w:t>
      </w:r>
      <w:r w:rsidR="00C3457B">
        <w:rPr>
          <w:rFonts w:ascii="Book Antiqua" w:hAnsi="Book Antiqua"/>
          <w:sz w:val="24"/>
          <w:szCs w:val="24"/>
        </w:rPr>
        <w:t>must</w:t>
      </w:r>
      <w:r w:rsidR="0059538A">
        <w:rPr>
          <w:rFonts w:ascii="Book Antiqua" w:hAnsi="Book Antiqua"/>
          <w:sz w:val="24"/>
          <w:szCs w:val="24"/>
        </w:rPr>
        <w:t xml:space="preserve"> </w:t>
      </w:r>
      <w:r w:rsidR="00236929">
        <w:rPr>
          <w:rFonts w:ascii="Book Antiqua" w:hAnsi="Book Antiqua"/>
          <w:sz w:val="24"/>
          <w:szCs w:val="24"/>
        </w:rPr>
        <w:t>meet three criteria:</w:t>
      </w:r>
    </w:p>
    <w:p w14:paraId="2421CF8E" w14:textId="77777777" w:rsidR="00236929" w:rsidRDefault="00236929" w:rsidP="00236929">
      <w:pPr>
        <w:pStyle w:val="ListParagraph"/>
        <w:numPr>
          <w:ilvl w:val="1"/>
          <w:numId w:val="5"/>
        </w:numPr>
        <w:spacing w:line="240" w:lineRule="auto"/>
        <w:contextualSpacing w:val="0"/>
        <w:jc w:val="both"/>
        <w:rPr>
          <w:rFonts w:ascii="Book Antiqua" w:hAnsi="Book Antiqua"/>
          <w:sz w:val="24"/>
          <w:szCs w:val="24"/>
        </w:rPr>
      </w:pPr>
      <w:r>
        <w:rPr>
          <w:rFonts w:ascii="Book Antiqua" w:hAnsi="Book Antiqua"/>
          <w:sz w:val="24"/>
          <w:szCs w:val="24"/>
        </w:rPr>
        <w:t xml:space="preserve">It must </w:t>
      </w:r>
      <w:r w:rsidR="002F7CA1">
        <w:rPr>
          <w:rFonts w:ascii="Book Antiqua" w:hAnsi="Book Antiqua"/>
          <w:sz w:val="24"/>
          <w:szCs w:val="24"/>
        </w:rPr>
        <w:t xml:space="preserve">have come into being </w:t>
      </w:r>
      <w:r>
        <w:rPr>
          <w:rFonts w:ascii="Book Antiqua" w:hAnsi="Book Antiqua"/>
          <w:sz w:val="24"/>
          <w:szCs w:val="24"/>
        </w:rPr>
        <w:t xml:space="preserve">after litigation was </w:t>
      </w:r>
      <w:r w:rsidR="002F7CA1">
        <w:rPr>
          <w:rFonts w:ascii="Book Antiqua" w:hAnsi="Book Antiqua"/>
          <w:sz w:val="24"/>
          <w:szCs w:val="24"/>
        </w:rPr>
        <w:t xml:space="preserve">reasonably </w:t>
      </w:r>
      <w:r>
        <w:rPr>
          <w:rFonts w:ascii="Book Antiqua" w:hAnsi="Book Antiqua"/>
          <w:sz w:val="24"/>
          <w:szCs w:val="24"/>
        </w:rPr>
        <w:t>contemplated</w:t>
      </w:r>
      <w:r w:rsidR="002F7CA1">
        <w:rPr>
          <w:rFonts w:ascii="Book Antiqua" w:hAnsi="Book Antiqua"/>
          <w:sz w:val="24"/>
          <w:szCs w:val="24"/>
        </w:rPr>
        <w:t xml:space="preserve"> or anticipated;</w:t>
      </w:r>
    </w:p>
    <w:p w14:paraId="40242ED0" w14:textId="77777777" w:rsidR="00236929" w:rsidRDefault="00236929" w:rsidP="00236929">
      <w:pPr>
        <w:pStyle w:val="ListParagraph"/>
        <w:numPr>
          <w:ilvl w:val="1"/>
          <w:numId w:val="5"/>
        </w:numPr>
        <w:spacing w:line="240" w:lineRule="auto"/>
        <w:contextualSpacing w:val="0"/>
        <w:jc w:val="both"/>
        <w:rPr>
          <w:rFonts w:ascii="Book Antiqua" w:hAnsi="Book Antiqua"/>
          <w:sz w:val="24"/>
          <w:szCs w:val="24"/>
        </w:rPr>
      </w:pPr>
      <w:r>
        <w:rPr>
          <w:rFonts w:ascii="Book Antiqua" w:hAnsi="Book Antiqua"/>
          <w:sz w:val="24"/>
          <w:szCs w:val="24"/>
        </w:rPr>
        <w:t>The litigation in question must be adversarial</w:t>
      </w:r>
      <w:r w:rsidR="002F7CA1">
        <w:rPr>
          <w:rFonts w:ascii="Book Antiqua" w:hAnsi="Book Antiqua"/>
          <w:sz w:val="24"/>
          <w:szCs w:val="24"/>
        </w:rPr>
        <w:t>;</w:t>
      </w:r>
    </w:p>
    <w:p w14:paraId="4724AC31" w14:textId="77777777" w:rsidR="00236929" w:rsidRDefault="00236929" w:rsidP="00236929">
      <w:pPr>
        <w:pStyle w:val="ListParagraph"/>
        <w:numPr>
          <w:ilvl w:val="1"/>
          <w:numId w:val="5"/>
        </w:numPr>
        <w:spacing w:line="240" w:lineRule="auto"/>
        <w:contextualSpacing w:val="0"/>
        <w:jc w:val="both"/>
        <w:rPr>
          <w:rFonts w:ascii="Book Antiqua" w:hAnsi="Book Antiqua"/>
          <w:sz w:val="24"/>
          <w:szCs w:val="24"/>
        </w:rPr>
      </w:pPr>
      <w:r>
        <w:rPr>
          <w:rFonts w:ascii="Book Antiqua" w:hAnsi="Book Antiqua"/>
          <w:sz w:val="24"/>
          <w:szCs w:val="24"/>
        </w:rPr>
        <w:t xml:space="preserve">The document’s dominant purpose must be to advance the contemplated litigation. </w:t>
      </w:r>
    </w:p>
    <w:p w14:paraId="64EEAA57" w14:textId="77777777" w:rsidR="00C3457B" w:rsidRDefault="00236929" w:rsidP="009A123F">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lastRenderedPageBreak/>
        <w:t>There is no doubt in</w:t>
      </w:r>
      <w:r w:rsidR="00F51C4A">
        <w:rPr>
          <w:rFonts w:ascii="Book Antiqua" w:hAnsi="Book Antiqua"/>
          <w:sz w:val="24"/>
          <w:szCs w:val="24"/>
        </w:rPr>
        <w:t xml:space="preserve"> this case that the document in question came into being once proceedings had commenced and was </w:t>
      </w:r>
      <w:r>
        <w:rPr>
          <w:rFonts w:ascii="Book Antiqua" w:hAnsi="Book Antiqua"/>
          <w:sz w:val="24"/>
          <w:szCs w:val="24"/>
        </w:rPr>
        <w:t xml:space="preserve">created </w:t>
      </w:r>
      <w:r w:rsidR="00F51C4A">
        <w:rPr>
          <w:rFonts w:ascii="Book Antiqua" w:hAnsi="Book Antiqua"/>
          <w:sz w:val="24"/>
          <w:szCs w:val="24"/>
        </w:rPr>
        <w:t xml:space="preserve">to further the applicant’s case. </w:t>
      </w:r>
      <w:r w:rsidR="009A123F">
        <w:rPr>
          <w:rFonts w:ascii="Book Antiqua" w:hAnsi="Book Antiqua"/>
          <w:sz w:val="24"/>
          <w:szCs w:val="24"/>
        </w:rPr>
        <w:t xml:space="preserve"> The issue is whether the proceedings in the FtT are adversarial</w:t>
      </w:r>
      <w:r w:rsidR="009C1A24">
        <w:rPr>
          <w:rFonts w:ascii="Book Antiqua" w:hAnsi="Book Antiqua"/>
          <w:sz w:val="24"/>
          <w:szCs w:val="24"/>
        </w:rPr>
        <w:t>.</w:t>
      </w:r>
    </w:p>
    <w:p w14:paraId="3309C3F1" w14:textId="739D4920" w:rsidR="00A95390" w:rsidRPr="00F51C4A" w:rsidRDefault="00C3457B"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F51C4A">
        <w:rPr>
          <w:rFonts w:ascii="Book Antiqua" w:hAnsi="Book Antiqua"/>
          <w:sz w:val="24"/>
          <w:szCs w:val="24"/>
        </w:rPr>
        <w:t xml:space="preserve">The interested party’s case is that litigation privilege cannot arise here as the proceedings are not </w:t>
      </w:r>
      <w:r w:rsidR="00F51C4A" w:rsidRPr="00F51C4A">
        <w:rPr>
          <w:rFonts w:ascii="Book Antiqua" w:hAnsi="Book Antiqua"/>
          <w:sz w:val="24"/>
          <w:szCs w:val="24"/>
        </w:rPr>
        <w:t xml:space="preserve">adversarial. </w:t>
      </w:r>
      <w:r w:rsidR="00E81916" w:rsidRPr="00F51C4A">
        <w:rPr>
          <w:rFonts w:ascii="Book Antiqua" w:hAnsi="Book Antiqua"/>
          <w:sz w:val="24"/>
          <w:szCs w:val="24"/>
        </w:rPr>
        <w:t xml:space="preserve">In </w:t>
      </w:r>
      <w:r w:rsidR="00E81916" w:rsidRPr="00F51C4A">
        <w:rPr>
          <w:rFonts w:ascii="Book Antiqua" w:hAnsi="Book Antiqua"/>
          <w:sz w:val="24"/>
          <w:szCs w:val="24"/>
          <w:u w:val="single"/>
        </w:rPr>
        <w:t>Three Rivers (No</w:t>
      </w:r>
      <w:r w:rsidR="00A95390" w:rsidRPr="00F51C4A">
        <w:rPr>
          <w:rFonts w:ascii="Book Antiqua" w:hAnsi="Book Antiqua"/>
          <w:sz w:val="24"/>
          <w:szCs w:val="24"/>
          <w:u w:val="single"/>
        </w:rPr>
        <w:t>6)</w:t>
      </w:r>
      <w:r w:rsidR="00A95390" w:rsidRPr="00F51C4A">
        <w:rPr>
          <w:rFonts w:ascii="Book Antiqua" w:hAnsi="Book Antiqua"/>
          <w:sz w:val="24"/>
          <w:szCs w:val="24"/>
        </w:rPr>
        <w:t xml:space="preserve"> Lord Rodger </w:t>
      </w:r>
      <w:r w:rsidR="00E81916" w:rsidRPr="00F51C4A">
        <w:rPr>
          <w:rFonts w:ascii="Book Antiqua" w:hAnsi="Book Antiqua"/>
          <w:sz w:val="24"/>
          <w:szCs w:val="24"/>
        </w:rPr>
        <w:t xml:space="preserve">held </w:t>
      </w:r>
      <w:r w:rsidR="00FF44A7">
        <w:rPr>
          <w:rFonts w:ascii="Book Antiqua" w:hAnsi="Book Antiqua"/>
          <w:sz w:val="24"/>
          <w:szCs w:val="24"/>
        </w:rPr>
        <w:t>at [51]-</w:t>
      </w:r>
      <w:r w:rsidR="00A95390" w:rsidRPr="00F51C4A">
        <w:rPr>
          <w:rFonts w:ascii="Book Antiqua" w:hAnsi="Book Antiqua"/>
          <w:sz w:val="24"/>
          <w:szCs w:val="24"/>
        </w:rPr>
        <w:t>[52]</w:t>
      </w:r>
      <w:r w:rsidR="00E81916" w:rsidRPr="00F51C4A">
        <w:rPr>
          <w:rFonts w:ascii="Book Antiqua" w:hAnsi="Book Antiqua"/>
          <w:sz w:val="24"/>
          <w:szCs w:val="24"/>
        </w:rPr>
        <w:t>:</w:t>
      </w:r>
    </w:p>
    <w:p w14:paraId="18AEC374" w14:textId="77777777" w:rsidR="00A95390" w:rsidRPr="00E81916" w:rsidRDefault="00E81916" w:rsidP="002879AC">
      <w:pPr>
        <w:ind w:left="851"/>
        <w:jc w:val="both"/>
        <w:rPr>
          <w:rFonts w:ascii="Book Antiqua" w:hAnsi="Book Antiqua"/>
          <w:szCs w:val="22"/>
        </w:rPr>
      </w:pPr>
      <w:bookmarkStart w:id="8" w:name="para51"/>
      <w:r w:rsidRPr="00E81916">
        <w:rPr>
          <w:rFonts w:ascii="Book Antiqua" w:hAnsi="Book Antiqua"/>
          <w:szCs w:val="22"/>
        </w:rPr>
        <w:t xml:space="preserve">51.  </w:t>
      </w:r>
      <w:r w:rsidR="00A95390" w:rsidRPr="00E81916">
        <w:rPr>
          <w:rFonts w:ascii="Book Antiqua" w:hAnsi="Book Antiqua"/>
          <w:szCs w:val="22"/>
        </w:rPr>
        <w:t xml:space="preserve">It is common ground between the parties that legal advice privilege has to be distinguished from litigation privilege. As Lord Edmund-Davies noted in </w:t>
      </w:r>
      <w:bookmarkStart w:id="9" w:name="disp1"/>
      <w:bookmarkEnd w:id="8"/>
      <w:r w:rsidR="00A95390" w:rsidRPr="00E81916">
        <w:rPr>
          <w:rFonts w:ascii="Book Antiqua" w:hAnsi="Book Antiqua"/>
          <w:szCs w:val="22"/>
          <w:u w:val="single"/>
        </w:rPr>
        <w:t>Waugh</w:t>
      </w:r>
      <w:bookmarkEnd w:id="9"/>
      <w:r w:rsidR="00A95390" w:rsidRPr="00E81916">
        <w:rPr>
          <w:rFonts w:ascii="Book Antiqua" w:hAnsi="Book Antiqua"/>
          <w:szCs w:val="22"/>
          <w:u w:val="single"/>
        </w:rPr>
        <w:t xml:space="preserve"> v</w:t>
      </w:r>
      <w:bookmarkStart w:id="10" w:name="disp2"/>
      <w:r w:rsidR="00F92A2A" w:rsidRPr="00E81916">
        <w:rPr>
          <w:rFonts w:ascii="Book Antiqua" w:hAnsi="Book Antiqua"/>
          <w:szCs w:val="22"/>
          <w:u w:val="single"/>
        </w:rPr>
        <w:t xml:space="preserve"> </w:t>
      </w:r>
      <w:r w:rsidR="00A95390" w:rsidRPr="00E81916">
        <w:rPr>
          <w:rFonts w:ascii="Book Antiqua" w:hAnsi="Book Antiqua"/>
          <w:szCs w:val="22"/>
          <w:u w:val="single"/>
        </w:rPr>
        <w:t>British</w:t>
      </w:r>
      <w:bookmarkEnd w:id="10"/>
      <w:r w:rsidR="00A95390" w:rsidRPr="00E81916">
        <w:rPr>
          <w:rFonts w:ascii="Book Antiqua" w:hAnsi="Book Antiqua"/>
          <w:szCs w:val="22"/>
          <w:u w:val="single"/>
        </w:rPr>
        <w:t xml:space="preserve"> </w:t>
      </w:r>
      <w:bookmarkStart w:id="11" w:name="disp3"/>
      <w:r w:rsidR="00A95390" w:rsidRPr="00E81916">
        <w:rPr>
          <w:rFonts w:ascii="Book Antiqua" w:hAnsi="Book Antiqua"/>
          <w:szCs w:val="22"/>
          <w:u w:val="single"/>
        </w:rPr>
        <w:t>Railways</w:t>
      </w:r>
      <w:bookmarkEnd w:id="11"/>
      <w:r w:rsidR="00A95390" w:rsidRPr="00E81916">
        <w:rPr>
          <w:rFonts w:ascii="Book Antiqua" w:hAnsi="Book Antiqua"/>
          <w:szCs w:val="22"/>
          <w:u w:val="single"/>
        </w:rPr>
        <w:t xml:space="preserve"> Board</w:t>
      </w:r>
      <w:r w:rsidR="00A95390" w:rsidRPr="00E81916">
        <w:rPr>
          <w:rFonts w:ascii="Book Antiqua" w:hAnsi="Book Antiqua"/>
          <w:szCs w:val="22"/>
        </w:rPr>
        <w:t xml:space="preserve"> </w:t>
      </w:r>
      <w:hyperlink r:id="rId16" w:tooltip="Link to BAILII version" w:history="1">
        <w:r w:rsidR="00A95390" w:rsidRPr="00E81916">
          <w:rPr>
            <w:rFonts w:ascii="Book Antiqua" w:hAnsi="Book Antiqua"/>
            <w:szCs w:val="22"/>
          </w:rPr>
          <w:t>[1980] AC 521</w:t>
        </w:r>
      </w:hyperlink>
      <w:r w:rsidR="00A95390" w:rsidRPr="00E81916">
        <w:rPr>
          <w:rFonts w:ascii="Book Antiqua" w:hAnsi="Book Antiqua"/>
          <w:szCs w:val="22"/>
        </w:rPr>
        <w:t xml:space="preserve">, 541-542, in the past the need to make that distinction was sometimes overlooked: </w:t>
      </w:r>
    </w:p>
    <w:p w14:paraId="038CF6E3" w14:textId="77777777" w:rsidR="00A95390" w:rsidRPr="00E81916" w:rsidRDefault="00A95390" w:rsidP="002879AC">
      <w:pPr>
        <w:ind w:left="851"/>
        <w:jc w:val="both"/>
        <w:rPr>
          <w:rFonts w:ascii="Book Antiqua" w:hAnsi="Book Antiqua"/>
        </w:rPr>
      </w:pPr>
      <w:r w:rsidRPr="00E81916">
        <w:rPr>
          <w:rFonts w:ascii="Book Antiqua" w:hAnsi="Book Antiqua"/>
        </w:rPr>
        <w:t>"It is for the party refusing disclosure to establish his right to refuse. It may well be that in some cases where that right has in the past been upheld the courts have failed to keep clear the distinction between (a) communications between client and legal adviser, and (b) communications between the client and third parties, made (as the Law Reform Committee put it) 'for the purpose of obtaining information to be submitted to the client's professional legal advisers for the purpose of obtaining advice upon pending or contemplated litigation.'"</w:t>
      </w:r>
    </w:p>
    <w:p w14:paraId="51E8095A" w14:textId="77777777" w:rsidR="00A95390" w:rsidRPr="00E81916" w:rsidRDefault="00E81916" w:rsidP="002879AC">
      <w:pPr>
        <w:ind w:left="851"/>
        <w:jc w:val="both"/>
        <w:rPr>
          <w:rFonts w:ascii="Book Antiqua" w:hAnsi="Book Antiqua"/>
          <w:szCs w:val="22"/>
        </w:rPr>
      </w:pPr>
      <w:r>
        <w:rPr>
          <w:rFonts w:ascii="Book Antiqua" w:hAnsi="Book Antiqua"/>
          <w:szCs w:val="22"/>
        </w:rPr>
        <w:t>52.</w:t>
      </w:r>
      <w:r w:rsidR="00A95390" w:rsidRPr="00E81916">
        <w:rPr>
          <w:rFonts w:ascii="Book Antiqua" w:hAnsi="Book Antiqua"/>
          <w:szCs w:val="22"/>
        </w:rPr>
        <w:t xml:space="preserve"> </w:t>
      </w:r>
      <w:bookmarkStart w:id="12" w:name="para52"/>
      <w:r w:rsidR="00A95390" w:rsidRPr="00E81916">
        <w:rPr>
          <w:rFonts w:ascii="Book Antiqua" w:hAnsi="Book Antiqua"/>
          <w:szCs w:val="22"/>
        </w:rPr>
        <w:t xml:space="preserve">Litigation privilege relates to communications at the stage when litigation is pending or in contemplation. It is based on the idea that legal proceedings take the form of a contest in which each of the opposing parties assembles his own body of evidence and uses it to try to defeat the other, with the judge or jury determining the winner. In such a system each party should be free to prepare his case as fully as possible without the risk that his opponent will be able to recover the material generated by his preparations. In the words of Justice Jackson in </w:t>
      </w:r>
      <w:r w:rsidR="00A95390" w:rsidRPr="00E81916">
        <w:rPr>
          <w:rFonts w:ascii="Book Antiqua" w:hAnsi="Book Antiqua"/>
          <w:i/>
          <w:szCs w:val="22"/>
        </w:rPr>
        <w:t>Hickman v Taylor</w:t>
      </w:r>
      <w:r w:rsidR="00A95390" w:rsidRPr="00E81916">
        <w:rPr>
          <w:rFonts w:ascii="Book Antiqua" w:hAnsi="Book Antiqua"/>
          <w:szCs w:val="22"/>
        </w:rPr>
        <w:t xml:space="preserve"> (1947) 329 US 495, 516, "Discovery was hardly intended to enable a learned profession to perform its functions either without wits or on wits borrowed from the adversary."</w:t>
      </w:r>
      <w:bookmarkEnd w:id="12"/>
    </w:p>
    <w:p w14:paraId="4DBBA5F3" w14:textId="77777777" w:rsidR="00071BEB" w:rsidRPr="00E81916" w:rsidRDefault="00E81916"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E81916">
        <w:rPr>
          <w:rFonts w:ascii="Book Antiqua" w:hAnsi="Book Antiqua"/>
          <w:sz w:val="24"/>
          <w:szCs w:val="24"/>
        </w:rPr>
        <w:t>Also of note are Lord Scott’s comments</w:t>
      </w:r>
      <w:r w:rsidR="00071BEB" w:rsidRPr="00E81916">
        <w:rPr>
          <w:rFonts w:ascii="Book Antiqua" w:hAnsi="Book Antiqua"/>
          <w:sz w:val="24"/>
          <w:szCs w:val="24"/>
        </w:rPr>
        <w:t xml:space="preserve"> at [29]</w:t>
      </w:r>
      <w:r w:rsidR="009C1A24">
        <w:rPr>
          <w:rFonts w:ascii="Book Antiqua" w:hAnsi="Book Antiqua"/>
          <w:sz w:val="24"/>
          <w:szCs w:val="24"/>
        </w:rPr>
        <w:t>:</w:t>
      </w:r>
      <w:r w:rsidR="00071BEB" w:rsidRPr="00E81916">
        <w:rPr>
          <w:rFonts w:ascii="Book Antiqua" w:hAnsi="Book Antiqua"/>
          <w:sz w:val="24"/>
          <w:szCs w:val="24"/>
        </w:rPr>
        <w:t xml:space="preserve"> </w:t>
      </w:r>
    </w:p>
    <w:p w14:paraId="32DA3677" w14:textId="77777777" w:rsidR="00071BEB" w:rsidRPr="00E81916" w:rsidRDefault="00E81916" w:rsidP="002879AC">
      <w:pPr>
        <w:spacing w:after="0" w:line="240" w:lineRule="auto"/>
        <w:ind w:left="851"/>
        <w:jc w:val="both"/>
        <w:rPr>
          <w:rFonts w:ascii="Book Antiqua" w:eastAsia="Times New Roman" w:hAnsi="Book Antiqua" w:cs="Times New Roman"/>
          <w:szCs w:val="22"/>
          <w:lang w:eastAsia="en-GB" w:bidi="ar-SA"/>
        </w:rPr>
      </w:pPr>
      <w:bookmarkStart w:id="13" w:name="para29"/>
      <w:r w:rsidRPr="00E81916">
        <w:rPr>
          <w:rFonts w:ascii="Book Antiqua" w:eastAsia="Times New Roman" w:hAnsi="Book Antiqua" w:cs="Times New Roman"/>
          <w:szCs w:val="22"/>
          <w:lang w:eastAsia="en-GB" w:bidi="ar-SA"/>
        </w:rPr>
        <w:t xml:space="preserve">29. </w:t>
      </w:r>
      <w:r w:rsidR="00071BEB" w:rsidRPr="00E81916">
        <w:rPr>
          <w:rFonts w:ascii="Book Antiqua" w:eastAsia="Times New Roman" w:hAnsi="Book Antiqua" w:cs="Times New Roman"/>
          <w:szCs w:val="22"/>
          <w:lang w:eastAsia="en-GB" w:bidi="ar-SA"/>
        </w:rPr>
        <w:t xml:space="preserve">In paragraph 39 of their judgment in </w:t>
      </w:r>
      <w:r w:rsidR="00071BEB" w:rsidRPr="00E81916">
        <w:rPr>
          <w:rFonts w:ascii="Book Antiqua" w:eastAsia="Times New Roman" w:hAnsi="Book Antiqua" w:cs="Times New Roman"/>
          <w:i/>
          <w:iCs/>
          <w:szCs w:val="22"/>
          <w:lang w:eastAsia="en-GB" w:bidi="ar-SA"/>
        </w:rPr>
        <w:t xml:space="preserve">Three Rivers (No. 6) </w:t>
      </w:r>
      <w:r w:rsidR="00071BEB" w:rsidRPr="00E81916">
        <w:rPr>
          <w:rFonts w:ascii="Book Antiqua" w:eastAsia="Times New Roman" w:hAnsi="Book Antiqua" w:cs="Times New Roman"/>
          <w:szCs w:val="22"/>
          <w:lang w:eastAsia="en-GB" w:bidi="ar-SA"/>
        </w:rPr>
        <w:t>the Court of Appeal commented that</w:t>
      </w:r>
      <w:r w:rsidR="009C1A24">
        <w:rPr>
          <w:rFonts w:ascii="Book Antiqua" w:eastAsia="Times New Roman" w:hAnsi="Book Antiqua" w:cs="Times New Roman"/>
          <w:szCs w:val="22"/>
          <w:lang w:eastAsia="en-GB" w:bidi="ar-SA"/>
        </w:rPr>
        <w:t>:</w:t>
      </w:r>
      <w:r w:rsidR="00071BEB" w:rsidRPr="00E81916">
        <w:rPr>
          <w:rFonts w:ascii="Book Antiqua" w:eastAsia="Times New Roman" w:hAnsi="Book Antiqua" w:cs="Times New Roman"/>
          <w:szCs w:val="22"/>
          <w:lang w:eastAsia="en-GB" w:bidi="ar-SA"/>
        </w:rPr>
        <w:t xml:space="preserve"> </w:t>
      </w:r>
      <w:bookmarkEnd w:id="13"/>
    </w:p>
    <w:p w14:paraId="78684F3D" w14:textId="77777777" w:rsidR="00071BEB" w:rsidRPr="00E81916" w:rsidRDefault="00071BEB" w:rsidP="002879AC">
      <w:pPr>
        <w:spacing w:after="100" w:line="240" w:lineRule="auto"/>
        <w:ind w:left="1440"/>
        <w:jc w:val="both"/>
        <w:rPr>
          <w:rFonts w:ascii="Book Antiqua" w:eastAsia="Times New Roman" w:hAnsi="Book Antiqua" w:cs="Times New Roman"/>
          <w:szCs w:val="22"/>
          <w:lang w:eastAsia="en-GB" w:bidi="ar-SA"/>
        </w:rPr>
      </w:pPr>
      <w:r w:rsidRPr="00E81916">
        <w:rPr>
          <w:rFonts w:ascii="Book Antiqua" w:eastAsia="Times New Roman" w:hAnsi="Book Antiqua" w:cs="Times New Roman"/>
          <w:szCs w:val="22"/>
          <w:lang w:eastAsia="en-GB" w:bidi="ar-SA"/>
        </w:rPr>
        <w:t>"The justification for litigation privilege is readily understood. Where, however, litigation is not anticipated it is not easy to see why communications with a solicitor should be privileged".</w:t>
      </w:r>
    </w:p>
    <w:p w14:paraId="54B4D976" w14:textId="77777777" w:rsidR="00071BEB" w:rsidRPr="00600431" w:rsidRDefault="00071BEB" w:rsidP="002879AC">
      <w:pPr>
        <w:spacing w:before="100" w:beforeAutospacing="1" w:after="100" w:afterAutospacing="1" w:line="240" w:lineRule="auto"/>
        <w:ind w:left="851"/>
        <w:jc w:val="both"/>
        <w:rPr>
          <w:rFonts w:ascii="Book Antiqua" w:eastAsia="Times New Roman" w:hAnsi="Book Antiqua" w:cs="Times New Roman"/>
          <w:sz w:val="24"/>
          <w:szCs w:val="24"/>
          <w:lang w:eastAsia="en-GB" w:bidi="ar-SA"/>
        </w:rPr>
      </w:pPr>
      <w:r w:rsidRPr="00E81916">
        <w:rPr>
          <w:rFonts w:ascii="Book Antiqua" w:eastAsia="Times New Roman" w:hAnsi="Book Antiqua" w:cs="Times New Roman"/>
          <w:szCs w:val="22"/>
          <w:lang w:eastAsia="en-GB" w:bidi="ar-SA"/>
        </w:rPr>
        <w:t xml:space="preserve">As to the justification for litigation privilege, I would respectfully agree that the need to afford privilege to the seeking or giving of legal advice for the purposes of actual or contemplated litigation is easy to understand. I do not, however, agree that that is so in relation to those documents or communications which although having the requisite connection with litigation neither constitute nor disclose the seeking or giving of legal advice. Communications between litigant and third parties are the obvious example. This House in </w:t>
      </w:r>
      <w:r w:rsidRPr="00E81916">
        <w:rPr>
          <w:rFonts w:ascii="Book Antiqua" w:eastAsia="Times New Roman" w:hAnsi="Book Antiqua" w:cs="Times New Roman"/>
          <w:i/>
          <w:iCs/>
          <w:szCs w:val="22"/>
          <w:lang w:eastAsia="en-GB" w:bidi="ar-SA"/>
        </w:rPr>
        <w:t>in re L</w:t>
      </w:r>
      <w:r w:rsidRPr="00E81916">
        <w:rPr>
          <w:rFonts w:ascii="Book Antiqua" w:eastAsia="Times New Roman" w:hAnsi="Book Antiqua" w:cs="Times New Roman"/>
          <w:szCs w:val="22"/>
          <w:lang w:eastAsia="en-GB" w:bidi="ar-SA"/>
        </w:rPr>
        <w:t xml:space="preserve"> [1997] AC 16 restricted litigation privilege to communications or documents with the requisite connection to </w:t>
      </w:r>
      <w:r w:rsidRPr="00E81916">
        <w:rPr>
          <w:rFonts w:ascii="Book Antiqua" w:eastAsia="Times New Roman" w:hAnsi="Book Antiqua" w:cs="Times New Roman"/>
          <w:i/>
          <w:iCs/>
          <w:szCs w:val="22"/>
          <w:lang w:eastAsia="en-GB" w:bidi="ar-SA"/>
        </w:rPr>
        <w:t xml:space="preserve">adversarial </w:t>
      </w:r>
      <w:r w:rsidRPr="00E81916">
        <w:rPr>
          <w:rFonts w:ascii="Book Antiqua" w:eastAsia="Times New Roman" w:hAnsi="Book Antiqua" w:cs="Times New Roman"/>
          <w:szCs w:val="22"/>
          <w:lang w:eastAsia="en-GB" w:bidi="ar-SA"/>
        </w:rPr>
        <w:t xml:space="preserve">proceedings. Civil litigation conducted pursuant to the current Civil Procedure Rules is in many respects no longer adversarial. The decision in </w:t>
      </w:r>
      <w:r w:rsidRPr="00E81916">
        <w:rPr>
          <w:rFonts w:ascii="Book Antiqua" w:eastAsia="Times New Roman" w:hAnsi="Book Antiqua" w:cs="Times New Roman"/>
          <w:i/>
          <w:iCs/>
          <w:szCs w:val="22"/>
          <w:lang w:eastAsia="en-GB" w:bidi="ar-SA"/>
        </w:rPr>
        <w:t xml:space="preserve">in re L </w:t>
      </w:r>
      <w:r w:rsidRPr="00E81916">
        <w:rPr>
          <w:rFonts w:ascii="Book Antiqua" w:eastAsia="Times New Roman" w:hAnsi="Book Antiqua" w:cs="Times New Roman"/>
          <w:szCs w:val="22"/>
          <w:lang w:eastAsia="en-GB" w:bidi="ar-SA"/>
        </w:rPr>
        <w:t xml:space="preserve">warrants, in my opinion, a new look at the justification for litigation privilege. But that is for another day. It </w:t>
      </w:r>
      <w:r w:rsidRPr="00600431">
        <w:rPr>
          <w:rFonts w:ascii="Book Antiqua" w:eastAsia="Times New Roman" w:hAnsi="Book Antiqua" w:cs="Times New Roman"/>
          <w:sz w:val="24"/>
          <w:szCs w:val="24"/>
          <w:lang w:eastAsia="en-GB" w:bidi="ar-SA"/>
        </w:rPr>
        <w:t>does not arise on this appeal.</w:t>
      </w:r>
    </w:p>
    <w:p w14:paraId="390758E9" w14:textId="71C99F84" w:rsidR="00575884" w:rsidRPr="00575884" w:rsidRDefault="00600431"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600431">
        <w:rPr>
          <w:rFonts w:ascii="Book Antiqua" w:hAnsi="Book Antiqua"/>
          <w:sz w:val="24"/>
          <w:szCs w:val="24"/>
        </w:rPr>
        <w:lastRenderedPageBreak/>
        <w:t xml:space="preserve">There is no disagreement between the parties that for litigation privilege to arise in respect of a communication, </w:t>
      </w:r>
      <w:r w:rsidR="00326599" w:rsidRPr="00600431">
        <w:rPr>
          <w:rFonts w:ascii="Book Antiqua" w:hAnsi="Book Antiqua"/>
          <w:sz w:val="24"/>
          <w:szCs w:val="24"/>
        </w:rPr>
        <w:t>it must have been made in contemplation of adversarial litigation</w:t>
      </w:r>
      <w:r>
        <w:rPr>
          <w:rFonts w:ascii="Book Antiqua" w:hAnsi="Book Antiqua"/>
          <w:sz w:val="24"/>
          <w:szCs w:val="24"/>
        </w:rPr>
        <w:t xml:space="preserve">.  It is evident from the cases to which we were taken that it does </w:t>
      </w:r>
      <w:r w:rsidR="00D567F6">
        <w:rPr>
          <w:rFonts w:ascii="Book Antiqua" w:hAnsi="Book Antiqua"/>
          <w:sz w:val="24"/>
          <w:szCs w:val="24"/>
        </w:rPr>
        <w:t>not arise in the context of an i</w:t>
      </w:r>
      <w:r>
        <w:rPr>
          <w:rFonts w:ascii="Book Antiqua" w:hAnsi="Book Antiqua"/>
          <w:sz w:val="24"/>
          <w:szCs w:val="24"/>
        </w:rPr>
        <w:t>nquiry (</w:t>
      </w:r>
      <w:r w:rsidR="00F62639">
        <w:rPr>
          <w:rFonts w:ascii="Book Antiqua" w:hAnsi="Book Antiqua"/>
          <w:sz w:val="24"/>
          <w:szCs w:val="24"/>
        </w:rPr>
        <w:t xml:space="preserve">as in </w:t>
      </w:r>
      <w:r>
        <w:rPr>
          <w:rFonts w:ascii="Book Antiqua" w:hAnsi="Book Antiqua"/>
          <w:sz w:val="24"/>
          <w:szCs w:val="24"/>
        </w:rPr>
        <w:t xml:space="preserve">Three Rivers </w:t>
      </w:r>
      <w:r w:rsidR="00F62639">
        <w:rPr>
          <w:rFonts w:ascii="Book Antiqua" w:hAnsi="Book Antiqua"/>
          <w:sz w:val="24"/>
          <w:szCs w:val="24"/>
        </w:rPr>
        <w:t>(No. 5) and (No.6)</w:t>
      </w:r>
      <w:r>
        <w:rPr>
          <w:rFonts w:ascii="Book Antiqua" w:hAnsi="Book Antiqua"/>
          <w:sz w:val="24"/>
          <w:szCs w:val="24"/>
        </w:rPr>
        <w:t xml:space="preserve">), or in disputes as to child care and </w:t>
      </w:r>
      <w:r w:rsidR="00FF44A7">
        <w:rPr>
          <w:rFonts w:ascii="Book Antiqua" w:hAnsi="Book Antiqua"/>
          <w:sz w:val="24"/>
          <w:szCs w:val="24"/>
        </w:rPr>
        <w:t>wardship</w:t>
      </w:r>
      <w:r w:rsidR="00326599" w:rsidRPr="00600431">
        <w:rPr>
          <w:rFonts w:ascii="Book Antiqua" w:hAnsi="Book Antiqua"/>
          <w:sz w:val="24"/>
          <w:szCs w:val="24"/>
        </w:rPr>
        <w:t xml:space="preserve"> – see </w:t>
      </w:r>
      <w:r w:rsidR="00326599" w:rsidRPr="00575884">
        <w:rPr>
          <w:rFonts w:ascii="Book Antiqua" w:hAnsi="Book Antiqua"/>
          <w:sz w:val="24"/>
          <w:szCs w:val="24"/>
          <w:u w:val="single"/>
        </w:rPr>
        <w:t>Re L</w:t>
      </w:r>
    </w:p>
    <w:p w14:paraId="69EAC2B3" w14:textId="274244EF" w:rsidR="005F7146" w:rsidRPr="00575884" w:rsidRDefault="005F7146"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What characterises that decision, and indeed </w:t>
      </w:r>
      <w:r w:rsidRPr="00575884">
        <w:rPr>
          <w:rFonts w:ascii="Book Antiqua" w:hAnsi="Book Antiqua"/>
          <w:sz w:val="24"/>
          <w:szCs w:val="24"/>
          <w:u w:val="single"/>
        </w:rPr>
        <w:t xml:space="preserve">Official Solicitor v </w:t>
      </w:r>
      <w:r w:rsidR="00600431" w:rsidRPr="00575884">
        <w:rPr>
          <w:rFonts w:ascii="Book Antiqua" w:hAnsi="Book Antiqua"/>
          <w:sz w:val="24"/>
          <w:szCs w:val="24"/>
          <w:u w:val="single"/>
        </w:rPr>
        <w:t>K</w:t>
      </w:r>
      <w:r w:rsidRPr="00575884">
        <w:rPr>
          <w:rFonts w:ascii="Book Antiqua" w:hAnsi="Book Antiqua"/>
          <w:sz w:val="24"/>
          <w:szCs w:val="24"/>
        </w:rPr>
        <w:t xml:space="preserve"> [1965] AC 201 on which i</w:t>
      </w:r>
      <w:r w:rsidR="00C82D80" w:rsidRPr="00575884">
        <w:rPr>
          <w:rFonts w:ascii="Book Antiqua" w:hAnsi="Book Antiqua"/>
          <w:sz w:val="24"/>
          <w:szCs w:val="24"/>
        </w:rPr>
        <w:t>t relies, is what is seen as the particular nature of proceedings in which the welfare of a child is in issue. I</w:t>
      </w:r>
      <w:r w:rsidR="00600431" w:rsidRPr="00575884">
        <w:rPr>
          <w:rFonts w:ascii="Book Antiqua" w:hAnsi="Book Antiqua"/>
          <w:sz w:val="24"/>
          <w:szCs w:val="24"/>
        </w:rPr>
        <w:t>t</w:t>
      </w:r>
      <w:r w:rsidR="00C82D80" w:rsidRPr="00575884">
        <w:rPr>
          <w:rFonts w:ascii="Book Antiqua" w:hAnsi="Book Antiqua"/>
          <w:sz w:val="24"/>
          <w:szCs w:val="24"/>
        </w:rPr>
        <w:t xml:space="preserve"> is, we consider, recognised in </w:t>
      </w:r>
      <w:r w:rsidR="00C82D80" w:rsidRPr="00575884">
        <w:rPr>
          <w:rFonts w:ascii="Book Antiqua" w:hAnsi="Book Antiqua"/>
          <w:sz w:val="24"/>
          <w:szCs w:val="24"/>
          <w:u w:val="single"/>
        </w:rPr>
        <w:t>K</w:t>
      </w:r>
      <w:r w:rsidR="00C82D80" w:rsidRPr="00575884">
        <w:rPr>
          <w:rFonts w:ascii="Book Antiqua" w:hAnsi="Book Antiqua"/>
          <w:sz w:val="24"/>
          <w:szCs w:val="24"/>
        </w:rPr>
        <w:t xml:space="preserve"> that the nature of the dispute may vary according to what is in dispute, but equally it is useful to consider how Lord Scarman charac</w:t>
      </w:r>
      <w:r w:rsidR="00FF44A7">
        <w:rPr>
          <w:rFonts w:ascii="Book Antiqua" w:hAnsi="Book Antiqua"/>
          <w:sz w:val="24"/>
          <w:szCs w:val="24"/>
        </w:rPr>
        <w:t>terised wardship proceedings in</w:t>
      </w:r>
      <w:r w:rsidR="00C82D80" w:rsidRPr="00575884">
        <w:rPr>
          <w:rFonts w:ascii="Book Antiqua" w:hAnsi="Book Antiqua"/>
          <w:sz w:val="24"/>
          <w:szCs w:val="24"/>
        </w:rPr>
        <w:t xml:space="preserve"> </w:t>
      </w:r>
      <w:r w:rsidR="00C82D80" w:rsidRPr="00575884">
        <w:rPr>
          <w:rFonts w:ascii="Book Antiqua" w:hAnsi="Book Antiqua"/>
          <w:sz w:val="24"/>
          <w:szCs w:val="24"/>
          <w:u w:val="single"/>
        </w:rPr>
        <w:t>E (SA) (a minor) (wardship: courts duty)</w:t>
      </w:r>
      <w:r w:rsidR="00C82D80" w:rsidRPr="00FF44A7">
        <w:rPr>
          <w:rFonts w:ascii="Book Antiqua" w:hAnsi="Book Antiqua"/>
          <w:sz w:val="24"/>
          <w:szCs w:val="24"/>
        </w:rPr>
        <w:t xml:space="preserve"> </w:t>
      </w:r>
      <w:r w:rsidR="00C82D80" w:rsidRPr="00575884">
        <w:rPr>
          <w:rFonts w:ascii="Book Antiqua" w:hAnsi="Book Antiqua"/>
          <w:sz w:val="24"/>
          <w:szCs w:val="24"/>
        </w:rPr>
        <w:t>[</w:t>
      </w:r>
      <w:r w:rsidR="00E8237D" w:rsidRPr="00575884">
        <w:rPr>
          <w:rFonts w:ascii="Book Antiqua" w:hAnsi="Book Antiqua"/>
          <w:sz w:val="24"/>
          <w:szCs w:val="24"/>
        </w:rPr>
        <w:t>1984] 1 WLR 156 at p 158:</w:t>
      </w:r>
    </w:p>
    <w:p w14:paraId="6E3C47FB" w14:textId="77777777" w:rsidR="00C82D80" w:rsidRPr="00575884" w:rsidRDefault="00C82D80" w:rsidP="002879AC">
      <w:pPr>
        <w:ind w:left="709"/>
        <w:jc w:val="both"/>
        <w:rPr>
          <w:rFonts w:ascii="Book Antiqua" w:hAnsi="Book Antiqua"/>
          <w:szCs w:val="22"/>
        </w:rPr>
      </w:pPr>
      <w:r w:rsidRPr="00575884">
        <w:rPr>
          <w:rFonts w:ascii="Book Antiqua" w:hAnsi="Book Antiqua"/>
          <w:szCs w:val="22"/>
        </w:rPr>
        <w:t xml:space="preserve">But a court exercising jurisdiction over its ward must never lose sight of a fundamental feature of the jurisdiction that it is exercising, namely, that it is exercising a wardship, not an adversarial, jurisdiction. Its duty is not limited to the dispute between the parties: on the contrary, its duty is to act in the way best suited in its judgment to serve the true interest and welfare of the ward. In exercising </w:t>
      </w:r>
      <w:r w:rsidRPr="00575884">
        <w:rPr>
          <w:rStyle w:val="starpage"/>
          <w:rFonts w:ascii="Book Antiqua" w:hAnsi="Book Antiqua"/>
          <w:szCs w:val="22"/>
        </w:rPr>
        <w:t>*159</w:t>
      </w:r>
      <w:r w:rsidRPr="00575884">
        <w:rPr>
          <w:rFonts w:ascii="Book Antiqua" w:hAnsi="Book Antiqua"/>
          <w:szCs w:val="22"/>
        </w:rPr>
        <w:t xml:space="preserve"> wardship jurisdiction, the court is a true family court. Its paramount concern is the welfare of its ward. It will, therefore, sometimes be the duty of the court to look beyond the submissions of the parties in its endeavour to do what it judges to be necessary.</w:t>
      </w:r>
      <w:r w:rsidR="0004311A" w:rsidRPr="00575884">
        <w:rPr>
          <w:rFonts w:ascii="Book Antiqua" w:hAnsi="Book Antiqua"/>
          <w:szCs w:val="22"/>
        </w:rPr>
        <w:t xml:space="preserve">  </w:t>
      </w:r>
    </w:p>
    <w:p w14:paraId="19A26B29" w14:textId="77777777" w:rsidR="00575884" w:rsidRDefault="00E8237D"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600431">
        <w:rPr>
          <w:rFonts w:ascii="Book Antiqua" w:hAnsi="Book Antiqua"/>
          <w:sz w:val="24"/>
          <w:szCs w:val="24"/>
        </w:rPr>
        <w:t xml:space="preserve">The nature of proceedings before the First-tier Tribunal is different from wardship or child care proceedings. There are two opposing sides; there are areas of factual and legal dispute between the parties; the issues in dispute are identified. Generally, the FtT cannot </w:t>
      </w:r>
      <w:r w:rsidR="00600431">
        <w:rPr>
          <w:rFonts w:ascii="Book Antiqua" w:hAnsi="Book Antiqua"/>
          <w:sz w:val="24"/>
          <w:szCs w:val="24"/>
        </w:rPr>
        <w:t>go</w:t>
      </w:r>
      <w:r w:rsidRPr="00600431">
        <w:rPr>
          <w:rFonts w:ascii="Book Antiqua" w:hAnsi="Book Antiqua"/>
          <w:sz w:val="24"/>
          <w:szCs w:val="24"/>
        </w:rPr>
        <w:t xml:space="preserve"> behind concessions by either party. </w:t>
      </w:r>
    </w:p>
    <w:p w14:paraId="06F5CADB" w14:textId="77777777" w:rsidR="006556E9" w:rsidRDefault="00600431"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 xml:space="preserve">Ms Harrison submitted that asylum </w:t>
      </w:r>
      <w:r w:rsidR="00152B69" w:rsidRPr="00575884">
        <w:rPr>
          <w:rFonts w:ascii="Book Antiqua" w:hAnsi="Book Antiqua"/>
          <w:sz w:val="24"/>
          <w:szCs w:val="24"/>
        </w:rPr>
        <w:t xml:space="preserve">and human rights appeals are </w:t>
      </w:r>
      <w:r w:rsidRPr="00575884">
        <w:rPr>
          <w:rFonts w:ascii="Book Antiqua" w:hAnsi="Book Antiqua"/>
          <w:sz w:val="24"/>
          <w:szCs w:val="24"/>
        </w:rPr>
        <w:t>not</w:t>
      </w:r>
      <w:r w:rsidR="00152B69" w:rsidRPr="00575884">
        <w:rPr>
          <w:rFonts w:ascii="Book Antiqua" w:hAnsi="Book Antiqua"/>
          <w:sz w:val="24"/>
          <w:szCs w:val="24"/>
        </w:rPr>
        <w:t xml:space="preserve"> </w:t>
      </w:r>
      <w:r w:rsidRPr="00575884">
        <w:rPr>
          <w:rFonts w:ascii="Book Antiqua" w:hAnsi="Book Antiqua"/>
          <w:sz w:val="24"/>
          <w:szCs w:val="24"/>
        </w:rPr>
        <w:t xml:space="preserve">adversarial. </w:t>
      </w:r>
      <w:r w:rsidR="00152B69" w:rsidRPr="00575884">
        <w:rPr>
          <w:rFonts w:ascii="Book Antiqua" w:hAnsi="Book Antiqua"/>
          <w:sz w:val="24"/>
          <w:szCs w:val="24"/>
        </w:rPr>
        <w:t xml:space="preserve">That is a surprising submission, given the manner in which such appeals are contested on both sides, there being little room for compromise. </w:t>
      </w:r>
      <w:r w:rsidR="003A0B95" w:rsidRPr="00575884">
        <w:rPr>
          <w:rFonts w:ascii="Book Antiqua" w:hAnsi="Book Antiqua"/>
          <w:sz w:val="24"/>
          <w:szCs w:val="24"/>
        </w:rPr>
        <w:t xml:space="preserve">While </w:t>
      </w:r>
      <w:r w:rsidR="00152B69" w:rsidRPr="00575884">
        <w:rPr>
          <w:rFonts w:ascii="Book Antiqua" w:hAnsi="Book Antiqua"/>
          <w:sz w:val="24"/>
          <w:szCs w:val="24"/>
        </w:rPr>
        <w:t xml:space="preserve">the Supreme Court </w:t>
      </w:r>
      <w:r w:rsidR="003A0B95" w:rsidRPr="00575884">
        <w:rPr>
          <w:rFonts w:ascii="Book Antiqua" w:hAnsi="Book Antiqua"/>
          <w:sz w:val="24"/>
          <w:szCs w:val="24"/>
        </w:rPr>
        <w:t xml:space="preserve">in </w:t>
      </w:r>
      <w:r w:rsidR="00152B69" w:rsidRPr="00575884">
        <w:rPr>
          <w:rFonts w:ascii="Book Antiqua" w:hAnsi="Book Antiqua"/>
          <w:sz w:val="24"/>
          <w:szCs w:val="24"/>
          <w:u w:val="single"/>
        </w:rPr>
        <w:t>W (Algeria) v SSHD</w:t>
      </w:r>
      <w:r w:rsidR="00152B69" w:rsidRPr="00575884">
        <w:rPr>
          <w:rFonts w:ascii="Book Antiqua" w:hAnsi="Book Antiqua"/>
          <w:sz w:val="24"/>
          <w:szCs w:val="24"/>
        </w:rPr>
        <w:t xml:space="preserve"> [2012]</w:t>
      </w:r>
      <w:r w:rsidR="003A0B95" w:rsidRPr="00575884">
        <w:rPr>
          <w:rFonts w:ascii="Book Antiqua" w:hAnsi="Book Antiqua"/>
          <w:sz w:val="24"/>
          <w:szCs w:val="24"/>
        </w:rPr>
        <w:t xml:space="preserve"> UKSC 8 did stress the need to ensure there is no breach of human rights, equally there is nothing to demonstrate that this cannot be achieved within the context of proceedings in which there is an identified dispute between the parties.</w:t>
      </w:r>
    </w:p>
    <w:p w14:paraId="1E73E790" w14:textId="1A91B0F5" w:rsidR="005F5B33" w:rsidRDefault="006556E9" w:rsidP="00575884">
      <w:pPr>
        <w:pStyle w:val="ListParagraph"/>
        <w:numPr>
          <w:ilvl w:val="0"/>
          <w:numId w:val="5"/>
        </w:numPr>
        <w:spacing w:line="240" w:lineRule="auto"/>
        <w:ind w:left="567" w:hanging="567"/>
        <w:contextualSpacing w:val="0"/>
        <w:jc w:val="both"/>
        <w:rPr>
          <w:rFonts w:ascii="Book Antiqua" w:hAnsi="Book Antiqua"/>
          <w:sz w:val="24"/>
          <w:szCs w:val="24"/>
        </w:rPr>
      </w:pPr>
      <w:r w:rsidRPr="006556E9">
        <w:rPr>
          <w:rFonts w:ascii="Book Antiqua" w:hAnsi="Book Antiqua"/>
          <w:sz w:val="24"/>
          <w:szCs w:val="24"/>
        </w:rPr>
        <w:t>We do not accept that the fact that asylum appeals are administrative proceedings as opposed to civil is a relevant consideration.  It is not doubted that l</w:t>
      </w:r>
      <w:r>
        <w:rPr>
          <w:rFonts w:ascii="Book Antiqua" w:hAnsi="Book Antiqua"/>
          <w:sz w:val="24"/>
          <w:szCs w:val="24"/>
        </w:rPr>
        <w:t>itigation privilege</w:t>
      </w:r>
      <w:r w:rsidRPr="006556E9">
        <w:rPr>
          <w:rFonts w:ascii="Book Antiqua" w:hAnsi="Book Antiqua"/>
          <w:sz w:val="24"/>
          <w:szCs w:val="24"/>
        </w:rPr>
        <w:t xml:space="preserve"> applies to judicial review, or that it has been held to apply in other Tribunals.  We do not accept that </w:t>
      </w:r>
      <w:r w:rsidRPr="00AB49A3">
        <w:rPr>
          <w:rFonts w:ascii="Book Antiqua" w:hAnsi="Book Antiqua"/>
          <w:sz w:val="24"/>
          <w:szCs w:val="24"/>
          <w:u w:val="single"/>
        </w:rPr>
        <w:t>Karanakaran</w:t>
      </w:r>
      <w:r w:rsidR="00F910D6">
        <w:rPr>
          <w:rFonts w:ascii="Book Antiqua" w:hAnsi="Book Antiqua"/>
          <w:sz w:val="24"/>
          <w:szCs w:val="24"/>
          <w:u w:val="single"/>
        </w:rPr>
        <w:t xml:space="preserve"> </w:t>
      </w:r>
      <w:r w:rsidR="005F5B33">
        <w:rPr>
          <w:rFonts w:ascii="Book Antiqua" w:hAnsi="Book Antiqua"/>
          <w:sz w:val="24"/>
          <w:szCs w:val="24"/>
          <w:u w:val="single"/>
        </w:rPr>
        <w:t>v SSHD</w:t>
      </w:r>
      <w:r w:rsidR="00F910D6">
        <w:rPr>
          <w:rFonts w:ascii="Book Antiqua" w:hAnsi="Book Antiqua"/>
          <w:sz w:val="24"/>
          <w:szCs w:val="24"/>
        </w:rPr>
        <w:t xml:space="preserve"> </w:t>
      </w:r>
      <w:r w:rsidR="005F5B33" w:rsidRPr="000F04A4">
        <w:rPr>
          <w:rFonts w:ascii="Book Antiqua" w:hAnsi="Book Antiqua"/>
          <w:sz w:val="24"/>
          <w:szCs w:val="24"/>
        </w:rPr>
        <w:t>[2000] EWCA Civ 11</w:t>
      </w:r>
      <w:r w:rsidRPr="006556E9">
        <w:rPr>
          <w:rFonts w:ascii="Book Antiqua" w:hAnsi="Book Antiqua"/>
          <w:sz w:val="24"/>
          <w:szCs w:val="24"/>
        </w:rPr>
        <w:t xml:space="preserve"> assists </w:t>
      </w:r>
      <w:r>
        <w:rPr>
          <w:rFonts w:ascii="Book Antiqua" w:hAnsi="Book Antiqua"/>
          <w:sz w:val="24"/>
          <w:szCs w:val="24"/>
        </w:rPr>
        <w:t>the view that</w:t>
      </w:r>
      <w:r w:rsidR="00AB49A3">
        <w:rPr>
          <w:rFonts w:ascii="Book Antiqua" w:hAnsi="Book Antiqua"/>
          <w:sz w:val="24"/>
          <w:szCs w:val="24"/>
        </w:rPr>
        <w:t xml:space="preserve"> the process is not adversarial. What is said </w:t>
      </w:r>
      <w:r w:rsidR="005F5B33">
        <w:rPr>
          <w:rFonts w:ascii="Book Antiqua" w:hAnsi="Book Antiqua"/>
          <w:sz w:val="24"/>
          <w:szCs w:val="24"/>
        </w:rPr>
        <w:t xml:space="preserve">at </w:t>
      </w:r>
      <w:r w:rsidR="0050606E">
        <w:rPr>
          <w:rFonts w:ascii="Book Antiqua" w:hAnsi="Book Antiqua"/>
          <w:sz w:val="24"/>
          <w:szCs w:val="24"/>
        </w:rPr>
        <w:t xml:space="preserve">paragraphs </w:t>
      </w:r>
      <w:r w:rsidR="005F5B33">
        <w:rPr>
          <w:rFonts w:ascii="Book Antiqua" w:hAnsi="Book Antiqua"/>
          <w:sz w:val="24"/>
          <w:szCs w:val="24"/>
        </w:rPr>
        <w:t>[101]</w:t>
      </w:r>
      <w:r w:rsidR="0050606E">
        <w:rPr>
          <w:rFonts w:ascii="Book Antiqua" w:hAnsi="Book Antiqua"/>
          <w:sz w:val="24"/>
          <w:szCs w:val="24"/>
        </w:rPr>
        <w:t xml:space="preserve"> – [102</w:t>
      </w:r>
      <w:r w:rsidR="00042ACC">
        <w:rPr>
          <w:rFonts w:ascii="Book Antiqua" w:hAnsi="Book Antiqua"/>
          <w:sz w:val="24"/>
          <w:szCs w:val="24"/>
        </w:rPr>
        <w:t>]</w:t>
      </w:r>
      <w:r w:rsidR="0050606E">
        <w:rPr>
          <w:rFonts w:ascii="Book Antiqua" w:hAnsi="Book Antiqua"/>
          <w:sz w:val="24"/>
          <w:szCs w:val="24"/>
        </w:rPr>
        <w:t xml:space="preserve"> </w:t>
      </w:r>
      <w:r w:rsidR="00AA12F2">
        <w:rPr>
          <w:rFonts w:ascii="Book Antiqua" w:hAnsi="Book Antiqua"/>
          <w:sz w:val="24"/>
          <w:szCs w:val="24"/>
        </w:rPr>
        <w:t>is</w:t>
      </w:r>
      <w:r w:rsidR="00FB394E">
        <w:rPr>
          <w:rFonts w:ascii="Book Antiqua" w:hAnsi="Book Antiqua"/>
          <w:sz w:val="24"/>
          <w:szCs w:val="24"/>
        </w:rPr>
        <w:t xml:space="preserve"> </w:t>
      </w:r>
      <w:r w:rsidR="005F5B33">
        <w:rPr>
          <w:rFonts w:ascii="Book Antiqua" w:hAnsi="Book Antiqua"/>
          <w:sz w:val="24"/>
          <w:szCs w:val="24"/>
        </w:rPr>
        <w:t xml:space="preserve">that the usual civil rules of evidence need not necessarily apply as to what should be taken into account when assessing risk.  It is </w:t>
      </w:r>
      <w:r w:rsidR="00AB49A3">
        <w:rPr>
          <w:rFonts w:ascii="Book Antiqua" w:hAnsi="Book Antiqua"/>
          <w:sz w:val="24"/>
          <w:szCs w:val="24"/>
        </w:rPr>
        <w:t>in that limited manner, the usual paradigm of adversarial appeals as it applies to the admission of evidence is varied</w:t>
      </w:r>
      <w:r w:rsidR="005F5B33">
        <w:rPr>
          <w:rFonts w:ascii="Book Antiqua" w:hAnsi="Book Antiqua"/>
          <w:sz w:val="24"/>
          <w:szCs w:val="24"/>
        </w:rPr>
        <w:t>.</w:t>
      </w:r>
    </w:p>
    <w:p w14:paraId="5F873509" w14:textId="77777777" w:rsidR="005F5B33" w:rsidRDefault="005F5B33"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There is more support for Ms Harrison’s submission to be gained from the judgment of Sedley LJ at [</w:t>
      </w:r>
      <w:r w:rsidR="00CC45B7">
        <w:rPr>
          <w:rFonts w:ascii="Book Antiqua" w:hAnsi="Book Antiqua"/>
          <w:sz w:val="24"/>
          <w:szCs w:val="24"/>
        </w:rPr>
        <w:t>18]:</w:t>
      </w:r>
    </w:p>
    <w:p w14:paraId="610A7D2C" w14:textId="20F6D8DB" w:rsidR="006556E9" w:rsidRPr="000F04A4" w:rsidRDefault="005F5B33" w:rsidP="000F04A4">
      <w:pPr>
        <w:pStyle w:val="ListParagraph"/>
        <w:spacing w:line="240" w:lineRule="auto"/>
        <w:ind w:left="851"/>
        <w:contextualSpacing w:val="0"/>
        <w:jc w:val="both"/>
        <w:rPr>
          <w:rFonts w:ascii="Book Antiqua" w:hAnsi="Book Antiqua"/>
          <w:color w:val="000000" w:themeColor="text1"/>
          <w:szCs w:val="22"/>
        </w:rPr>
      </w:pPr>
      <w:bookmarkStart w:id="14" w:name="sedley18"/>
      <w:r w:rsidRPr="000F04A4">
        <w:rPr>
          <w:rFonts w:ascii="Book Antiqua" w:hAnsi="Book Antiqua"/>
          <w:color w:val="000000" w:themeColor="text1"/>
          <w:szCs w:val="22"/>
        </w:rPr>
        <w:t xml:space="preserve">The question whether an applicant for asylum is within the protection of 1951 Convention is not a head-to-head litigation issue. Testing a claim ordinarily involves </w:t>
      </w:r>
      <w:r w:rsidRPr="000F04A4">
        <w:rPr>
          <w:rFonts w:ascii="Book Antiqua" w:hAnsi="Book Antiqua"/>
          <w:color w:val="000000" w:themeColor="text1"/>
          <w:szCs w:val="22"/>
        </w:rPr>
        <w:lastRenderedPageBreak/>
        <w:t xml:space="preserve">no choice between two conflicting accounts but an evaluation of the intrinsic and extrinsic credibility, and ultimately the significance, of the applicant's case. It is conducted initially by a departmental officer and then, if challenged, by one or more tribunals which, though empowered by statute and bound to observe the principles of justice, are not courts of law. Their role is best regarded as an extension of the initial decision-making process: see Simon Brown LJ in </w:t>
      </w:r>
      <w:r w:rsidRPr="000F04A4">
        <w:rPr>
          <w:rFonts w:ascii="Book Antiqua" w:hAnsi="Book Antiqua"/>
          <w:i/>
          <w:iCs/>
          <w:color w:val="000000" w:themeColor="text1"/>
          <w:szCs w:val="22"/>
        </w:rPr>
        <w:t>Ravichandran</w:t>
      </w:r>
      <w:r w:rsidRPr="000F04A4">
        <w:rPr>
          <w:rFonts w:ascii="Book Antiqua" w:hAnsi="Book Antiqua"/>
          <w:color w:val="000000" w:themeColor="text1"/>
          <w:szCs w:val="22"/>
        </w:rPr>
        <w:t xml:space="preserve"> </w:t>
      </w:r>
      <w:bookmarkEnd w:id="14"/>
      <w:r w:rsidRPr="00042ACC">
        <w:rPr>
          <w:rFonts w:ascii="Book Antiqua" w:hAnsi="Book Antiqua"/>
          <w:color w:val="000000" w:themeColor="text1"/>
          <w:szCs w:val="22"/>
        </w:rPr>
        <w:fldChar w:fldCharType="begin"/>
      </w:r>
      <w:r w:rsidRPr="00042ACC">
        <w:rPr>
          <w:rFonts w:ascii="Book Antiqua" w:hAnsi="Book Antiqua"/>
          <w:color w:val="000000" w:themeColor="text1"/>
          <w:szCs w:val="22"/>
        </w:rPr>
        <w:instrText xml:space="preserve"> HYPERLINK "http://www.bailii.org/cgi-bin/redirect.cgi?path=/ew/cases/EWCA/Civ/1995/16.html" \o "Link to BAILII version" </w:instrText>
      </w:r>
      <w:r w:rsidRPr="00042ACC">
        <w:rPr>
          <w:rFonts w:ascii="Book Antiqua" w:hAnsi="Book Antiqua"/>
          <w:color w:val="000000" w:themeColor="text1"/>
          <w:szCs w:val="22"/>
        </w:rPr>
        <w:fldChar w:fldCharType="separate"/>
      </w:r>
      <w:r w:rsidRPr="00042ACC">
        <w:rPr>
          <w:rStyle w:val="Hyperlink"/>
          <w:rFonts w:ascii="Book Antiqua" w:hAnsi="Book Antiqua"/>
          <w:color w:val="000000" w:themeColor="text1"/>
          <w:szCs w:val="22"/>
          <w:u w:val="none"/>
        </w:rPr>
        <w:t>[1996] Imm AR 97</w:t>
      </w:r>
      <w:r w:rsidRPr="00042ACC">
        <w:rPr>
          <w:rFonts w:ascii="Book Antiqua" w:hAnsi="Book Antiqua"/>
          <w:color w:val="000000" w:themeColor="text1"/>
          <w:szCs w:val="22"/>
        </w:rPr>
        <w:fldChar w:fldCharType="end"/>
      </w:r>
      <w:r w:rsidRPr="000F04A4">
        <w:rPr>
          <w:rFonts w:ascii="Book Antiqua" w:hAnsi="Book Antiqua"/>
          <w:color w:val="000000" w:themeColor="text1"/>
          <w:szCs w:val="22"/>
        </w:rPr>
        <w:t>,</w:t>
      </w:r>
    </w:p>
    <w:p w14:paraId="6A70F831" w14:textId="77777777" w:rsidR="005F5B33" w:rsidRDefault="00CC45B7" w:rsidP="009A123F">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This passage is, we consider, no longer representative of the law, even if were not obiter. We do not accept that the First-tier Tribunal is, in the light of the TCEA 2007</w:t>
      </w:r>
      <w:r w:rsidR="00F910D6">
        <w:rPr>
          <w:rFonts w:ascii="Book Antiqua" w:hAnsi="Book Antiqua"/>
          <w:sz w:val="24"/>
          <w:szCs w:val="24"/>
        </w:rPr>
        <w:t>,</w:t>
      </w:r>
      <w:r>
        <w:rPr>
          <w:rFonts w:ascii="Book Antiqua" w:hAnsi="Book Antiqua"/>
          <w:sz w:val="24"/>
          <w:szCs w:val="24"/>
        </w:rPr>
        <w:t xml:space="preserve"> not a court of law, or that the nature of appeals under the Nationality, Immigration and Asylum Act 2002 which results in a binary outcome, are not head-to-head or adversarial litigation. </w:t>
      </w:r>
    </w:p>
    <w:p w14:paraId="0AEE6FA2" w14:textId="1FDBE4FE" w:rsidR="009A123F" w:rsidRPr="00575884" w:rsidRDefault="009A123F" w:rsidP="009A123F">
      <w:pPr>
        <w:pStyle w:val="ListParagraph"/>
        <w:numPr>
          <w:ilvl w:val="0"/>
          <w:numId w:val="5"/>
        </w:numPr>
        <w:spacing w:line="240" w:lineRule="auto"/>
        <w:ind w:left="567" w:hanging="567"/>
        <w:contextualSpacing w:val="0"/>
        <w:jc w:val="both"/>
        <w:rPr>
          <w:rFonts w:ascii="Book Antiqua" w:hAnsi="Book Antiqua"/>
          <w:sz w:val="24"/>
          <w:szCs w:val="24"/>
        </w:rPr>
      </w:pPr>
      <w:r w:rsidRPr="00575884">
        <w:rPr>
          <w:rFonts w:ascii="Book Antiqua" w:hAnsi="Book Antiqua"/>
          <w:sz w:val="24"/>
          <w:szCs w:val="24"/>
        </w:rPr>
        <w:t>We accept that the case law establishes that, where issues of asylum and possible serious breaches of human rights arise, the position as at the date of hearing is what is in issue, and thus more recent material must be taken into account</w:t>
      </w:r>
      <w:r w:rsidR="009C1A24">
        <w:rPr>
          <w:rFonts w:ascii="Book Antiqua" w:hAnsi="Book Antiqua"/>
          <w:sz w:val="24"/>
          <w:szCs w:val="24"/>
        </w:rPr>
        <w:t>. But</w:t>
      </w:r>
      <w:r w:rsidRPr="00575884">
        <w:rPr>
          <w:rFonts w:ascii="Book Antiqua" w:hAnsi="Book Antiqua"/>
          <w:sz w:val="24"/>
          <w:szCs w:val="24"/>
        </w:rPr>
        <w:t xml:space="preserve"> that does not render</w:t>
      </w:r>
      <w:r w:rsidR="009C1A24">
        <w:rPr>
          <w:rFonts w:ascii="Book Antiqua" w:hAnsi="Book Antiqua"/>
          <w:sz w:val="24"/>
          <w:szCs w:val="24"/>
        </w:rPr>
        <w:t xml:space="preserve"> proceedings inquisitorial that</w:t>
      </w:r>
      <w:r w:rsidRPr="00575884">
        <w:rPr>
          <w:rFonts w:ascii="Book Antiqua" w:hAnsi="Book Antiqua"/>
          <w:sz w:val="24"/>
          <w:szCs w:val="24"/>
        </w:rPr>
        <w:t xml:space="preserve"> otherwise</w:t>
      </w:r>
      <w:r w:rsidR="009C1A24">
        <w:rPr>
          <w:rFonts w:ascii="Book Antiqua" w:hAnsi="Book Antiqua"/>
          <w:sz w:val="24"/>
          <w:szCs w:val="24"/>
        </w:rPr>
        <w:t xml:space="preserve"> bear the unmistakable</w:t>
      </w:r>
      <w:r w:rsidRPr="00575884">
        <w:rPr>
          <w:rFonts w:ascii="Book Antiqua" w:hAnsi="Book Antiqua"/>
          <w:sz w:val="24"/>
          <w:szCs w:val="24"/>
        </w:rPr>
        <w:t xml:space="preserve"> characteristics of adversarial litigation – two parties, opposing views, pleadings and a clear dispute between the parties</w:t>
      </w:r>
      <w:r w:rsidR="009C1A24">
        <w:rPr>
          <w:rFonts w:ascii="Book Antiqua" w:hAnsi="Book Antiqua"/>
          <w:sz w:val="24"/>
          <w:szCs w:val="24"/>
        </w:rPr>
        <w:t>.</w:t>
      </w:r>
      <w:r w:rsidRPr="00575884">
        <w:rPr>
          <w:rFonts w:ascii="Book Antiqua" w:hAnsi="Book Antiqua"/>
          <w:sz w:val="24"/>
          <w:szCs w:val="24"/>
        </w:rPr>
        <w:t xml:space="preserve"> It is fundamentally different from an inquiry where, for example, there may not have been an offence committed, or a coroner’s inquest where the issue is how the person died, or childcare proceedings</w:t>
      </w:r>
      <w:r w:rsidR="009C1A24">
        <w:rPr>
          <w:rFonts w:ascii="Book Antiqua" w:hAnsi="Book Antiqua"/>
          <w:sz w:val="24"/>
          <w:szCs w:val="24"/>
        </w:rPr>
        <w:t>,</w:t>
      </w:r>
      <w:r w:rsidRPr="00575884">
        <w:rPr>
          <w:rFonts w:ascii="Book Antiqua" w:hAnsi="Book Antiqua"/>
          <w:sz w:val="24"/>
          <w:szCs w:val="24"/>
        </w:rPr>
        <w:t xml:space="preserve"> where the assessment of the child’s best interests may result in many different outcomes. In asylum or human rights appeals, the </w:t>
      </w:r>
      <w:r w:rsidR="009C1A24">
        <w:rPr>
          <w:rFonts w:ascii="Book Antiqua" w:hAnsi="Book Antiqua"/>
          <w:sz w:val="24"/>
          <w:szCs w:val="24"/>
        </w:rPr>
        <w:t>issue is whether the appellant’s removal from the UK would violate the Refugee Convention or the Human Rights Convention</w:t>
      </w:r>
      <w:r w:rsidRPr="00575884">
        <w:rPr>
          <w:rFonts w:ascii="Book Antiqua" w:hAnsi="Book Antiqua"/>
          <w:sz w:val="24"/>
          <w:szCs w:val="24"/>
        </w:rPr>
        <w:t>; either he succeeds in resisting that or he does not. The outcome is binary;</w:t>
      </w:r>
      <w:r w:rsidR="00F910D6">
        <w:rPr>
          <w:rFonts w:ascii="Book Antiqua" w:hAnsi="Book Antiqua"/>
          <w:sz w:val="24"/>
          <w:szCs w:val="24"/>
        </w:rPr>
        <w:t xml:space="preserve"> an appeal is either dismissed or allowed. </w:t>
      </w:r>
      <w:r w:rsidRPr="00575884">
        <w:rPr>
          <w:rFonts w:ascii="Book Antiqua" w:hAnsi="Book Antiqua"/>
          <w:sz w:val="24"/>
          <w:szCs w:val="24"/>
        </w:rPr>
        <w:t xml:space="preserve"> </w:t>
      </w:r>
      <w:r w:rsidR="00F910D6">
        <w:rPr>
          <w:rFonts w:ascii="Book Antiqua" w:hAnsi="Book Antiqua"/>
          <w:sz w:val="24"/>
          <w:szCs w:val="24"/>
        </w:rPr>
        <w:t>T</w:t>
      </w:r>
      <w:r w:rsidRPr="00575884">
        <w:rPr>
          <w:rFonts w:ascii="Book Antiqua" w:hAnsi="Book Antiqua"/>
          <w:sz w:val="24"/>
          <w:szCs w:val="24"/>
        </w:rPr>
        <w:t xml:space="preserve">he First-tier Tribunal does not decide what form of leave, if any, flows from </w:t>
      </w:r>
      <w:r w:rsidR="009C1A24">
        <w:rPr>
          <w:rFonts w:ascii="Book Antiqua" w:hAnsi="Book Antiqua"/>
          <w:sz w:val="24"/>
          <w:szCs w:val="24"/>
        </w:rPr>
        <w:t>a</w:t>
      </w:r>
      <w:r w:rsidRPr="00575884">
        <w:rPr>
          <w:rFonts w:ascii="Book Antiqua" w:hAnsi="Book Antiqua"/>
          <w:sz w:val="24"/>
          <w:szCs w:val="24"/>
        </w:rPr>
        <w:t xml:space="preserve"> decision</w:t>
      </w:r>
      <w:r w:rsidR="009C1A24">
        <w:rPr>
          <w:rFonts w:ascii="Book Antiqua" w:hAnsi="Book Antiqua"/>
          <w:sz w:val="24"/>
          <w:szCs w:val="24"/>
        </w:rPr>
        <w:t xml:space="preserve"> in the appellant’s favour</w:t>
      </w:r>
      <w:r w:rsidRPr="00575884">
        <w:rPr>
          <w:rFonts w:ascii="Book Antiqua" w:hAnsi="Book Antiqua"/>
          <w:sz w:val="24"/>
          <w:szCs w:val="24"/>
        </w:rPr>
        <w:t xml:space="preserve"> nor the terms of </w:t>
      </w:r>
      <w:r w:rsidR="009C1A24">
        <w:rPr>
          <w:rFonts w:ascii="Book Antiqua" w:hAnsi="Book Antiqua"/>
          <w:sz w:val="24"/>
          <w:szCs w:val="24"/>
        </w:rPr>
        <w:t>any such</w:t>
      </w:r>
      <w:r w:rsidRPr="00575884">
        <w:rPr>
          <w:rFonts w:ascii="Book Antiqua" w:hAnsi="Book Antiqua"/>
          <w:sz w:val="24"/>
          <w:szCs w:val="24"/>
        </w:rPr>
        <w:t xml:space="preserve"> leave. </w:t>
      </w:r>
    </w:p>
    <w:p w14:paraId="783D48AE" w14:textId="77777777" w:rsidR="00285523" w:rsidRDefault="006556E9"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This is, we accept, a position different from that adopted by the Court of Appeal in </w:t>
      </w:r>
      <w:r w:rsidRPr="006556E9">
        <w:rPr>
          <w:rFonts w:ascii="Book Antiqua" w:hAnsi="Book Antiqua"/>
          <w:sz w:val="24"/>
          <w:szCs w:val="24"/>
          <w:u w:val="single"/>
        </w:rPr>
        <w:t>R v SSHD ex p Besnik Gashi</w:t>
      </w:r>
      <w:r>
        <w:rPr>
          <w:rFonts w:ascii="Book Antiqua" w:hAnsi="Book Antiqua"/>
          <w:sz w:val="24"/>
          <w:szCs w:val="24"/>
        </w:rPr>
        <w:t xml:space="preserve"> </w:t>
      </w:r>
      <w:r w:rsidR="00285523">
        <w:rPr>
          <w:rFonts w:ascii="Book Antiqua" w:hAnsi="Book Antiqua"/>
          <w:sz w:val="24"/>
          <w:szCs w:val="24"/>
        </w:rPr>
        <w:t>[1999] INLR 276</w:t>
      </w:r>
      <w:r w:rsidRPr="006556E9">
        <w:rPr>
          <w:rFonts w:ascii="Book Antiqua" w:hAnsi="Book Antiqua"/>
          <w:sz w:val="24"/>
          <w:szCs w:val="24"/>
        </w:rPr>
        <w:t xml:space="preserve"> </w:t>
      </w:r>
      <w:r w:rsidR="00285523">
        <w:rPr>
          <w:rFonts w:ascii="Book Antiqua" w:hAnsi="Book Antiqua"/>
          <w:sz w:val="24"/>
          <w:szCs w:val="24"/>
        </w:rPr>
        <w:t xml:space="preserve">where Thorpe LJ </w:t>
      </w:r>
      <w:r w:rsidR="00AB49A3">
        <w:rPr>
          <w:rFonts w:ascii="Book Antiqua" w:hAnsi="Book Antiqua"/>
          <w:sz w:val="24"/>
          <w:szCs w:val="24"/>
        </w:rPr>
        <w:t xml:space="preserve">(with whom Evans LJ agreed on this point) </w:t>
      </w:r>
      <w:r w:rsidR="00285523">
        <w:rPr>
          <w:rFonts w:ascii="Book Antiqua" w:hAnsi="Book Antiqua"/>
          <w:sz w:val="24"/>
          <w:szCs w:val="24"/>
        </w:rPr>
        <w:t>held:</w:t>
      </w:r>
    </w:p>
    <w:p w14:paraId="621A2934" w14:textId="77777777" w:rsidR="00285523" w:rsidRPr="00AB49A3" w:rsidRDefault="00285523" w:rsidP="002879AC">
      <w:pPr>
        <w:pStyle w:val="ListParagraph"/>
        <w:spacing w:line="240" w:lineRule="auto"/>
        <w:ind w:left="851"/>
        <w:contextualSpacing w:val="0"/>
        <w:jc w:val="both"/>
        <w:rPr>
          <w:rFonts w:ascii="Book Antiqua" w:hAnsi="Book Antiqua"/>
          <w:szCs w:val="22"/>
        </w:rPr>
      </w:pPr>
      <w:r w:rsidRPr="00AB49A3">
        <w:rPr>
          <w:rFonts w:ascii="Book Antiqua" w:hAnsi="Book Antiqua"/>
          <w:szCs w:val="22"/>
        </w:rPr>
        <w:t xml:space="preserve">Claims to litigation privilege in respect of experts’ reports invariably fuel suspicion that something damaging is being concealed… the point does not arise directly in this appeal. I would only observe that in a field of litigation that is not purely adversarial and in which the court has an overriding obligation to promote a welfare consideration, litigation privilege does not allow a party to the litigation to refuse the production of any expert report that has been obtained for the purposes of the case:  </w:t>
      </w:r>
      <w:r w:rsidRPr="00AB49A3">
        <w:rPr>
          <w:rFonts w:ascii="Book Antiqua" w:hAnsi="Book Antiqua"/>
          <w:szCs w:val="22"/>
          <w:u w:val="single"/>
        </w:rPr>
        <w:t>R</w:t>
      </w:r>
      <w:r w:rsidR="006744D0" w:rsidRPr="00AB49A3">
        <w:rPr>
          <w:rFonts w:ascii="Book Antiqua" w:hAnsi="Book Antiqua"/>
          <w:szCs w:val="22"/>
          <w:u w:val="single"/>
        </w:rPr>
        <w:t>e</w:t>
      </w:r>
      <w:r w:rsidRPr="00AB49A3">
        <w:rPr>
          <w:rFonts w:ascii="Book Antiqua" w:hAnsi="Book Antiqua"/>
          <w:szCs w:val="22"/>
          <w:u w:val="single"/>
        </w:rPr>
        <w:t xml:space="preserve"> L (Police Investigation: Privilege)</w:t>
      </w:r>
      <w:r w:rsidRPr="00AB49A3">
        <w:rPr>
          <w:rFonts w:ascii="Book Antiqua" w:hAnsi="Book Antiqua"/>
          <w:szCs w:val="22"/>
        </w:rPr>
        <w:t xml:space="preserve"> [1997] AC 16. It seems to me at the very least arguable that the princ</w:t>
      </w:r>
      <w:r w:rsidR="006744D0" w:rsidRPr="00AB49A3">
        <w:rPr>
          <w:rFonts w:ascii="Book Antiqua" w:hAnsi="Book Antiqua"/>
          <w:szCs w:val="22"/>
        </w:rPr>
        <w:t>iples</w:t>
      </w:r>
      <w:r w:rsidRPr="00AB49A3">
        <w:rPr>
          <w:rFonts w:ascii="Book Antiqua" w:hAnsi="Book Antiqua"/>
          <w:szCs w:val="22"/>
        </w:rPr>
        <w:t xml:space="preserve"> that have curtailed </w:t>
      </w:r>
      <w:r w:rsidR="006744D0" w:rsidRPr="00AB49A3">
        <w:rPr>
          <w:rFonts w:ascii="Book Antiqua" w:hAnsi="Book Antiqua"/>
          <w:szCs w:val="22"/>
        </w:rPr>
        <w:t>the litigation privilege in that field would apply by extension into the asylum field.</w:t>
      </w:r>
    </w:p>
    <w:p w14:paraId="20ABA29C" w14:textId="6E0EA974" w:rsidR="001C7539" w:rsidRDefault="006556E9"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AB49A3">
        <w:rPr>
          <w:rFonts w:ascii="Book Antiqua" w:hAnsi="Book Antiqua"/>
          <w:sz w:val="24"/>
          <w:szCs w:val="24"/>
        </w:rPr>
        <w:t>The passage relied upon is obiter</w:t>
      </w:r>
      <w:r w:rsidR="009C1A24">
        <w:rPr>
          <w:rFonts w:ascii="Book Antiqua" w:hAnsi="Book Antiqua"/>
          <w:sz w:val="24"/>
          <w:szCs w:val="24"/>
        </w:rPr>
        <w:t>,</w:t>
      </w:r>
      <w:r w:rsidRPr="00AB49A3">
        <w:rPr>
          <w:rFonts w:ascii="Book Antiqua" w:hAnsi="Book Antiqua"/>
          <w:sz w:val="24"/>
          <w:szCs w:val="24"/>
        </w:rPr>
        <w:t xml:space="preserve"> as Thorpe LJ</w:t>
      </w:r>
      <w:r w:rsidR="006744D0" w:rsidRPr="00AB49A3">
        <w:rPr>
          <w:rFonts w:ascii="Book Antiqua" w:hAnsi="Book Antiqua"/>
          <w:sz w:val="24"/>
          <w:szCs w:val="24"/>
        </w:rPr>
        <w:t xml:space="preserve"> recognise</w:t>
      </w:r>
      <w:r w:rsidR="00F910D6">
        <w:rPr>
          <w:rFonts w:ascii="Book Antiqua" w:hAnsi="Book Antiqua"/>
          <w:sz w:val="24"/>
          <w:szCs w:val="24"/>
        </w:rPr>
        <w:t>d</w:t>
      </w:r>
      <w:r w:rsidR="006744D0" w:rsidRPr="00AB49A3">
        <w:rPr>
          <w:rFonts w:ascii="Book Antiqua" w:hAnsi="Book Antiqua"/>
          <w:sz w:val="24"/>
          <w:szCs w:val="24"/>
        </w:rPr>
        <w:t>.</w:t>
      </w:r>
      <w:r w:rsidR="00B96412" w:rsidRPr="00AB49A3">
        <w:rPr>
          <w:rFonts w:ascii="Book Antiqua" w:hAnsi="Book Antiqua"/>
          <w:sz w:val="24"/>
          <w:szCs w:val="24"/>
        </w:rPr>
        <w:t xml:space="preserve"> </w:t>
      </w:r>
      <w:r w:rsidR="000346FC">
        <w:rPr>
          <w:rFonts w:ascii="Book Antiqua" w:hAnsi="Book Antiqua"/>
          <w:sz w:val="24"/>
          <w:szCs w:val="24"/>
        </w:rPr>
        <w:t>Furthermore, the passage concerned</w:t>
      </w:r>
      <w:r w:rsidRPr="00AB49A3">
        <w:rPr>
          <w:rFonts w:ascii="Book Antiqua" w:hAnsi="Book Antiqua"/>
          <w:sz w:val="24"/>
          <w:szCs w:val="24"/>
        </w:rPr>
        <w:t xml:space="preserve"> an expert report</w:t>
      </w:r>
      <w:r w:rsidR="000346FC">
        <w:rPr>
          <w:rFonts w:ascii="Book Antiqua" w:hAnsi="Book Antiqua"/>
          <w:sz w:val="24"/>
          <w:szCs w:val="24"/>
        </w:rPr>
        <w:t>. That</w:t>
      </w:r>
      <w:r w:rsidR="00B5016B" w:rsidRPr="00AB49A3">
        <w:rPr>
          <w:rFonts w:ascii="Book Antiqua" w:hAnsi="Book Antiqua"/>
          <w:sz w:val="24"/>
          <w:szCs w:val="24"/>
        </w:rPr>
        <w:t xml:space="preserve"> is not the case here</w:t>
      </w:r>
      <w:r w:rsidR="000346FC">
        <w:rPr>
          <w:rFonts w:ascii="Book Antiqua" w:hAnsi="Book Antiqua"/>
          <w:sz w:val="24"/>
          <w:szCs w:val="24"/>
        </w:rPr>
        <w:t>, where we are concerned with</w:t>
      </w:r>
      <w:r w:rsidR="00B5016B" w:rsidRPr="00AB49A3">
        <w:rPr>
          <w:rFonts w:ascii="Book Antiqua" w:hAnsi="Book Antiqua"/>
          <w:sz w:val="24"/>
          <w:szCs w:val="24"/>
        </w:rPr>
        <w:t xml:space="preserve"> material which w</w:t>
      </w:r>
      <w:r w:rsidR="00042ACC">
        <w:rPr>
          <w:rFonts w:ascii="Book Antiqua" w:hAnsi="Book Antiqua"/>
          <w:sz w:val="24"/>
          <w:szCs w:val="24"/>
        </w:rPr>
        <w:t>ent into the preparation of</w:t>
      </w:r>
      <w:r w:rsidR="000346FC">
        <w:rPr>
          <w:rFonts w:ascii="Book Antiqua" w:hAnsi="Book Antiqua"/>
          <w:sz w:val="24"/>
          <w:szCs w:val="24"/>
        </w:rPr>
        <w:t xml:space="preserve"> the applicant’s </w:t>
      </w:r>
      <w:r w:rsidR="00F910D6">
        <w:rPr>
          <w:rFonts w:ascii="Book Antiqua" w:hAnsi="Book Antiqua"/>
          <w:sz w:val="24"/>
          <w:szCs w:val="24"/>
        </w:rPr>
        <w:t>S</w:t>
      </w:r>
      <w:r w:rsidR="000346FC">
        <w:rPr>
          <w:rFonts w:ascii="Book Antiqua" w:hAnsi="Book Antiqua"/>
          <w:sz w:val="24"/>
          <w:szCs w:val="24"/>
        </w:rPr>
        <w:t xml:space="preserve">afety </w:t>
      </w:r>
      <w:r w:rsidR="0052616A">
        <w:rPr>
          <w:rFonts w:ascii="Book Antiqua" w:hAnsi="Book Antiqua"/>
          <w:sz w:val="24"/>
          <w:szCs w:val="24"/>
        </w:rPr>
        <w:t>o</w:t>
      </w:r>
      <w:r w:rsidR="000346FC">
        <w:rPr>
          <w:rFonts w:ascii="Book Antiqua" w:hAnsi="Book Antiqua"/>
          <w:sz w:val="24"/>
          <w:szCs w:val="24"/>
        </w:rPr>
        <w:t xml:space="preserve">n </w:t>
      </w:r>
      <w:r w:rsidR="00F910D6">
        <w:rPr>
          <w:rFonts w:ascii="Book Antiqua" w:hAnsi="Book Antiqua"/>
          <w:sz w:val="24"/>
          <w:szCs w:val="24"/>
        </w:rPr>
        <w:t>R</w:t>
      </w:r>
      <w:r w:rsidR="000346FC">
        <w:rPr>
          <w:rFonts w:ascii="Book Antiqua" w:hAnsi="Book Antiqua"/>
          <w:sz w:val="24"/>
          <w:szCs w:val="24"/>
        </w:rPr>
        <w:t xml:space="preserve">eturn </w:t>
      </w:r>
      <w:r w:rsidR="00F910D6">
        <w:rPr>
          <w:rFonts w:ascii="Book Antiqua" w:hAnsi="Book Antiqua"/>
          <w:sz w:val="24"/>
          <w:szCs w:val="24"/>
        </w:rPr>
        <w:t xml:space="preserve">assessment </w:t>
      </w:r>
      <w:r w:rsidR="000346FC">
        <w:rPr>
          <w:rFonts w:ascii="Book Antiqua" w:hAnsi="Book Antiqua"/>
          <w:sz w:val="24"/>
          <w:szCs w:val="24"/>
        </w:rPr>
        <w:t>and</w:t>
      </w:r>
      <w:r w:rsidR="00B5016B" w:rsidRPr="00AB49A3">
        <w:rPr>
          <w:rFonts w:ascii="Book Antiqua" w:hAnsi="Book Antiqua"/>
          <w:sz w:val="24"/>
          <w:szCs w:val="24"/>
        </w:rPr>
        <w:t xml:space="preserve"> into the evidence of KR.</w:t>
      </w:r>
      <w:r w:rsidR="000346FC">
        <w:rPr>
          <w:rFonts w:ascii="Book Antiqua" w:hAnsi="Book Antiqua"/>
          <w:sz w:val="24"/>
          <w:szCs w:val="24"/>
        </w:rPr>
        <w:t xml:space="preserve"> An expert owes an express duty to the court</w:t>
      </w:r>
      <w:r w:rsidR="00047602">
        <w:rPr>
          <w:rFonts w:ascii="Book Antiqua" w:hAnsi="Book Antiqua"/>
          <w:sz w:val="24"/>
          <w:szCs w:val="24"/>
        </w:rPr>
        <w:t xml:space="preserve">, which </w:t>
      </w:r>
      <w:r w:rsidR="00D567F6">
        <w:rPr>
          <w:rFonts w:ascii="Book Antiqua" w:hAnsi="Book Antiqua"/>
          <w:sz w:val="24"/>
          <w:szCs w:val="24"/>
        </w:rPr>
        <w:t>is</w:t>
      </w:r>
      <w:r w:rsidR="00047602">
        <w:rPr>
          <w:rFonts w:ascii="Book Antiqua" w:hAnsi="Book Antiqua"/>
          <w:sz w:val="24"/>
          <w:szCs w:val="24"/>
        </w:rPr>
        <w:t xml:space="preserve"> different in kind from that</w:t>
      </w:r>
      <w:r w:rsidR="00334AFA">
        <w:rPr>
          <w:rFonts w:ascii="Book Antiqua" w:hAnsi="Book Antiqua"/>
          <w:sz w:val="24"/>
          <w:szCs w:val="24"/>
        </w:rPr>
        <w:t xml:space="preserve"> of other</w:t>
      </w:r>
      <w:r w:rsidR="00493447">
        <w:rPr>
          <w:rFonts w:ascii="Book Antiqua" w:hAnsi="Book Antiqua"/>
          <w:sz w:val="24"/>
          <w:szCs w:val="24"/>
        </w:rPr>
        <w:t>s who may testify before a court or tribunal</w:t>
      </w:r>
      <w:r w:rsidR="000346FC">
        <w:rPr>
          <w:rFonts w:ascii="Book Antiqua" w:hAnsi="Book Antiqua"/>
          <w:sz w:val="24"/>
          <w:szCs w:val="24"/>
        </w:rPr>
        <w:t>.</w:t>
      </w:r>
      <w:r w:rsidR="00B5016B" w:rsidRPr="00AB49A3">
        <w:rPr>
          <w:rFonts w:ascii="Book Antiqua" w:hAnsi="Book Antiqua"/>
          <w:sz w:val="24"/>
          <w:szCs w:val="24"/>
        </w:rPr>
        <w:t xml:space="preserve"> </w:t>
      </w:r>
      <w:r w:rsidR="000346FC">
        <w:rPr>
          <w:rFonts w:ascii="Book Antiqua" w:hAnsi="Book Antiqua"/>
          <w:sz w:val="24"/>
          <w:szCs w:val="24"/>
        </w:rPr>
        <w:t>In any event, we</w:t>
      </w:r>
      <w:r w:rsidR="00B5016B" w:rsidRPr="00AB49A3">
        <w:rPr>
          <w:rFonts w:ascii="Book Antiqua" w:hAnsi="Book Antiqua"/>
          <w:sz w:val="24"/>
          <w:szCs w:val="24"/>
        </w:rPr>
        <w:t xml:space="preserve"> observe in passing that in </w:t>
      </w:r>
      <w:r w:rsidR="00B5016B" w:rsidRPr="00AB49A3">
        <w:rPr>
          <w:rFonts w:ascii="Book Antiqua" w:hAnsi="Book Antiqua"/>
          <w:sz w:val="24"/>
          <w:szCs w:val="24"/>
          <w:u w:val="single"/>
        </w:rPr>
        <w:lastRenderedPageBreak/>
        <w:t xml:space="preserve">Lucas v Barking Havering and </w:t>
      </w:r>
      <w:r w:rsidR="00315DDD" w:rsidRPr="00AB49A3">
        <w:rPr>
          <w:rFonts w:ascii="Book Antiqua" w:hAnsi="Book Antiqua"/>
          <w:sz w:val="24"/>
          <w:szCs w:val="24"/>
          <w:u w:val="single"/>
        </w:rPr>
        <w:t>Redbridge Hospitals</w:t>
      </w:r>
      <w:r w:rsidR="00042ACC">
        <w:rPr>
          <w:rFonts w:ascii="Book Antiqua" w:hAnsi="Book Antiqua"/>
          <w:sz w:val="24"/>
          <w:szCs w:val="24"/>
        </w:rPr>
        <w:t xml:space="preserve"> [2003] EWCA Civ 1102,</w:t>
      </w:r>
      <w:r w:rsidR="00315DDD" w:rsidRPr="00AB49A3">
        <w:rPr>
          <w:rFonts w:ascii="Book Antiqua" w:hAnsi="Book Antiqua"/>
          <w:sz w:val="24"/>
          <w:szCs w:val="24"/>
        </w:rPr>
        <w:t xml:space="preserve"> the court held that mere mention of a privileged document in an expert’s report does not necessarily waive privilege in that document if the contents of that document are not to be relied upon by the discloser</w:t>
      </w:r>
      <w:r w:rsidR="001C7539" w:rsidRPr="00AB49A3">
        <w:rPr>
          <w:rFonts w:ascii="Book Antiqua" w:hAnsi="Book Antiqua"/>
          <w:sz w:val="24"/>
          <w:szCs w:val="24"/>
        </w:rPr>
        <w:t>.</w:t>
      </w:r>
      <w:r w:rsidR="00AB49A3" w:rsidRPr="00AB49A3">
        <w:rPr>
          <w:rFonts w:ascii="Book Antiqua" w:hAnsi="Book Antiqua"/>
          <w:sz w:val="24"/>
          <w:szCs w:val="24"/>
        </w:rPr>
        <w:t xml:space="preserve"> </w:t>
      </w:r>
      <w:r w:rsidR="001C7539" w:rsidRPr="00AB49A3">
        <w:rPr>
          <w:rFonts w:ascii="Book Antiqua" w:hAnsi="Book Antiqua"/>
          <w:sz w:val="24"/>
          <w:szCs w:val="24"/>
        </w:rPr>
        <w:t>The position in respect of mention of a document in a witness statement is analogous – see CPR 31.14</w:t>
      </w:r>
      <w:r w:rsidR="000346FC">
        <w:rPr>
          <w:rFonts w:ascii="Book Antiqua" w:hAnsi="Book Antiqua"/>
          <w:sz w:val="24"/>
          <w:szCs w:val="24"/>
        </w:rPr>
        <w:t>.</w:t>
      </w:r>
    </w:p>
    <w:p w14:paraId="7389F1AB" w14:textId="6B3A7DD1" w:rsidR="00AB49A3" w:rsidRDefault="000346FC"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If and insofar as these obiter</w:t>
      </w:r>
      <w:r w:rsidR="00AB49A3">
        <w:rPr>
          <w:rFonts w:ascii="Book Antiqua" w:hAnsi="Book Antiqua"/>
          <w:sz w:val="24"/>
          <w:szCs w:val="24"/>
        </w:rPr>
        <w:t xml:space="preserve"> observations of the Court of Appeal imply the adoption of a balancing approach to </w:t>
      </w:r>
      <w:r>
        <w:rPr>
          <w:rFonts w:ascii="Book Antiqua" w:hAnsi="Book Antiqua"/>
          <w:sz w:val="24"/>
          <w:szCs w:val="24"/>
        </w:rPr>
        <w:t>determine the existence or scope of</w:t>
      </w:r>
      <w:r w:rsidR="00AB49A3">
        <w:rPr>
          <w:rFonts w:ascii="Book Antiqua" w:hAnsi="Book Antiqua"/>
          <w:sz w:val="24"/>
          <w:szCs w:val="24"/>
        </w:rPr>
        <w:t xml:space="preserve"> litigation privilege</w:t>
      </w:r>
      <w:r>
        <w:rPr>
          <w:rFonts w:ascii="Book Antiqua" w:hAnsi="Book Antiqua"/>
          <w:sz w:val="24"/>
          <w:szCs w:val="24"/>
        </w:rPr>
        <w:t xml:space="preserve">, </w:t>
      </w:r>
      <w:r w:rsidR="00850F2C">
        <w:rPr>
          <w:rFonts w:ascii="Book Antiqua" w:hAnsi="Book Antiqua"/>
          <w:sz w:val="24"/>
          <w:szCs w:val="24"/>
        </w:rPr>
        <w:t>such an approach</w:t>
      </w:r>
      <w:r>
        <w:rPr>
          <w:rFonts w:ascii="Book Antiqua" w:hAnsi="Book Antiqua"/>
          <w:sz w:val="24"/>
          <w:szCs w:val="24"/>
        </w:rPr>
        <w:t xml:space="preserve"> has subsequently</w:t>
      </w:r>
      <w:r w:rsidR="00AB49A3">
        <w:rPr>
          <w:rFonts w:ascii="Book Antiqua" w:hAnsi="Book Antiqua"/>
          <w:sz w:val="24"/>
          <w:szCs w:val="24"/>
        </w:rPr>
        <w:t xml:space="preserve"> been disapproved by the Supreme Court in </w:t>
      </w:r>
      <w:r w:rsidR="00AB49A3" w:rsidRPr="00AB49A3">
        <w:rPr>
          <w:rFonts w:ascii="Book Antiqua" w:hAnsi="Book Antiqua"/>
          <w:sz w:val="24"/>
          <w:szCs w:val="24"/>
          <w:u w:val="single"/>
        </w:rPr>
        <w:t>Three Rivers (No.6)</w:t>
      </w:r>
      <w:r w:rsidR="00AB49A3">
        <w:rPr>
          <w:rFonts w:ascii="Book Antiqua" w:hAnsi="Book Antiqua"/>
          <w:sz w:val="24"/>
          <w:szCs w:val="24"/>
        </w:rPr>
        <w:t xml:space="preserve">. </w:t>
      </w:r>
      <w:r w:rsidR="008652C6">
        <w:rPr>
          <w:rFonts w:ascii="Book Antiqua" w:hAnsi="Book Antiqua"/>
          <w:sz w:val="24"/>
          <w:szCs w:val="24"/>
        </w:rPr>
        <w:t>T</w:t>
      </w:r>
      <w:r w:rsidR="00AB49A3">
        <w:rPr>
          <w:rFonts w:ascii="Book Antiqua" w:hAnsi="Book Antiqua"/>
          <w:sz w:val="24"/>
          <w:szCs w:val="24"/>
        </w:rPr>
        <w:t>he correct view is that litigation privilege simply does not arise</w:t>
      </w:r>
      <w:r w:rsidR="00441FFF">
        <w:rPr>
          <w:rFonts w:ascii="Book Antiqua" w:hAnsi="Book Antiqua"/>
          <w:sz w:val="24"/>
          <w:szCs w:val="24"/>
        </w:rPr>
        <w:t xml:space="preserve"> – see Lord Jauncey in </w:t>
      </w:r>
      <w:r w:rsidR="00441FFF" w:rsidRPr="00441FFF">
        <w:rPr>
          <w:rFonts w:ascii="Book Antiqua" w:hAnsi="Book Antiqua"/>
          <w:sz w:val="24"/>
          <w:szCs w:val="24"/>
          <w:u w:val="single"/>
        </w:rPr>
        <w:t>Re L</w:t>
      </w:r>
      <w:r w:rsidR="00441FFF">
        <w:rPr>
          <w:rFonts w:ascii="Book Antiqua" w:hAnsi="Book Antiqua"/>
          <w:sz w:val="24"/>
          <w:szCs w:val="24"/>
        </w:rPr>
        <w:t xml:space="preserve"> at page 27. For these reasons, we consider that the observations in </w:t>
      </w:r>
      <w:r w:rsidR="00441FFF" w:rsidRPr="00441FFF">
        <w:rPr>
          <w:rFonts w:ascii="Book Antiqua" w:hAnsi="Book Antiqua"/>
          <w:sz w:val="24"/>
          <w:szCs w:val="24"/>
          <w:u w:val="single"/>
        </w:rPr>
        <w:t>ex p Gashi</w:t>
      </w:r>
      <w:r w:rsidR="00441FFF">
        <w:rPr>
          <w:rFonts w:ascii="Book Antiqua" w:hAnsi="Book Antiqua"/>
          <w:sz w:val="24"/>
          <w:szCs w:val="24"/>
        </w:rPr>
        <w:t xml:space="preserve"> are not to be followed. </w:t>
      </w:r>
    </w:p>
    <w:p w14:paraId="0E091367" w14:textId="070868E3" w:rsidR="00F1687C" w:rsidRDefault="00F1687C"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The interested part</w:t>
      </w:r>
      <w:r w:rsidR="00042ACC">
        <w:rPr>
          <w:rFonts w:ascii="Book Antiqua" w:hAnsi="Book Antiqua"/>
          <w:sz w:val="24"/>
          <w:szCs w:val="24"/>
        </w:rPr>
        <w:t>y placed particular reliance on</w:t>
      </w:r>
      <w:r w:rsidR="00E674F6">
        <w:rPr>
          <w:rFonts w:ascii="Book Antiqua" w:hAnsi="Book Antiqua"/>
          <w:sz w:val="24"/>
          <w:szCs w:val="24"/>
        </w:rPr>
        <w:t xml:space="preserve"> </w:t>
      </w:r>
      <w:r w:rsidR="00E674F6" w:rsidRPr="00E674F6">
        <w:rPr>
          <w:rFonts w:ascii="Book Antiqua" w:hAnsi="Book Antiqua"/>
          <w:sz w:val="24"/>
          <w:szCs w:val="24"/>
          <w:u w:val="single"/>
        </w:rPr>
        <w:t>R v Brown</w:t>
      </w:r>
      <w:r w:rsidR="00E674F6">
        <w:rPr>
          <w:rFonts w:ascii="Book Antiqua" w:hAnsi="Book Antiqua"/>
          <w:sz w:val="24"/>
          <w:szCs w:val="24"/>
        </w:rPr>
        <w:t xml:space="preserve"> [2015] EWCA Crim 1328 </w:t>
      </w:r>
      <w:r>
        <w:rPr>
          <w:rFonts w:ascii="Book Antiqua" w:hAnsi="Book Antiqua"/>
          <w:sz w:val="24"/>
          <w:szCs w:val="24"/>
        </w:rPr>
        <w:t>and</w:t>
      </w:r>
      <w:r w:rsidR="00E674F6">
        <w:rPr>
          <w:rFonts w:ascii="Book Antiqua" w:hAnsi="Book Antiqua"/>
          <w:sz w:val="24"/>
          <w:szCs w:val="24"/>
        </w:rPr>
        <w:t xml:space="preserve"> </w:t>
      </w:r>
      <w:r w:rsidR="00E674F6" w:rsidRPr="00E674F6">
        <w:rPr>
          <w:rFonts w:ascii="Book Antiqua" w:hAnsi="Book Antiqua"/>
          <w:sz w:val="24"/>
          <w:szCs w:val="24"/>
          <w:u w:val="single"/>
        </w:rPr>
        <w:t>McE v Prison Service of Northern Ireland</w:t>
      </w:r>
      <w:r w:rsidR="0052616A">
        <w:rPr>
          <w:rFonts w:ascii="Book Antiqua" w:hAnsi="Book Antiqua"/>
          <w:sz w:val="24"/>
          <w:szCs w:val="24"/>
        </w:rPr>
        <w:t xml:space="preserve"> [2009</w:t>
      </w:r>
      <w:r w:rsidR="00E674F6">
        <w:rPr>
          <w:rFonts w:ascii="Book Antiqua" w:hAnsi="Book Antiqua"/>
          <w:sz w:val="24"/>
          <w:szCs w:val="24"/>
        </w:rPr>
        <w:t>] UKHL 15</w:t>
      </w:r>
      <w:r>
        <w:rPr>
          <w:rFonts w:ascii="Book Antiqua" w:hAnsi="Book Antiqua"/>
          <w:sz w:val="24"/>
          <w:szCs w:val="24"/>
        </w:rPr>
        <w:t>. We do not consider that these cases are authority for the proposition that litigation privilege does not have an absolute aspect but is a qualified right that necessarily has to be balanced against competing considerations.</w:t>
      </w:r>
    </w:p>
    <w:p w14:paraId="0D3A07A6" w14:textId="0ED79FF1" w:rsidR="00E674F6" w:rsidRDefault="00F1687C"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In </w:t>
      </w:r>
      <w:r w:rsidRPr="000F04A4">
        <w:rPr>
          <w:rFonts w:ascii="Book Antiqua" w:hAnsi="Book Antiqua"/>
          <w:sz w:val="24"/>
          <w:szCs w:val="24"/>
          <w:u w:val="single"/>
        </w:rPr>
        <w:t>McE,</w:t>
      </w:r>
      <w:r>
        <w:rPr>
          <w:rFonts w:ascii="Book Antiqua" w:hAnsi="Book Antiqua"/>
          <w:sz w:val="24"/>
          <w:szCs w:val="24"/>
        </w:rPr>
        <w:t xml:space="preserve"> the House of Lords held that certain surveillance operations could be carried out in prisons, even though the conversations that might be the subject of such operations were subject to legal professional privilege. In </w:t>
      </w:r>
      <w:r w:rsidRPr="000F04A4">
        <w:rPr>
          <w:rFonts w:ascii="Book Antiqua" w:hAnsi="Book Antiqua"/>
          <w:sz w:val="24"/>
          <w:szCs w:val="24"/>
          <w:u w:val="single"/>
        </w:rPr>
        <w:t>Brown</w:t>
      </w:r>
      <w:r>
        <w:rPr>
          <w:rFonts w:ascii="Book Antiqua" w:hAnsi="Book Antiqua"/>
          <w:sz w:val="24"/>
          <w:szCs w:val="24"/>
        </w:rPr>
        <w:t xml:space="preserve">, the imperative of protecting human life meant that legal </w:t>
      </w:r>
      <w:r w:rsidR="00D567F6">
        <w:rPr>
          <w:rFonts w:ascii="Book Antiqua" w:hAnsi="Book Antiqua"/>
          <w:sz w:val="24"/>
          <w:szCs w:val="24"/>
        </w:rPr>
        <w:t>advice</w:t>
      </w:r>
      <w:r>
        <w:rPr>
          <w:rFonts w:ascii="Book Antiqua" w:hAnsi="Book Antiqua"/>
          <w:sz w:val="24"/>
          <w:szCs w:val="24"/>
        </w:rPr>
        <w:t xml:space="preserve"> privilege simply did not apply. In neither case was it suggested tha</w:t>
      </w:r>
      <w:r w:rsidR="00CC45B7">
        <w:rPr>
          <w:rFonts w:ascii="Book Antiqua" w:hAnsi="Book Antiqua"/>
          <w:sz w:val="24"/>
          <w:szCs w:val="24"/>
        </w:rPr>
        <w:t>t</w:t>
      </w:r>
      <w:r>
        <w:rPr>
          <w:rFonts w:ascii="Book Antiqua" w:hAnsi="Book Antiqua"/>
          <w:sz w:val="24"/>
          <w:szCs w:val="24"/>
        </w:rPr>
        <w:t xml:space="preserve"> the privilege was, as a result, qualified in nature</w:t>
      </w:r>
      <w:r w:rsidR="00492F9B">
        <w:rPr>
          <w:rFonts w:ascii="Book Antiqua" w:hAnsi="Book Antiqua"/>
          <w:sz w:val="24"/>
          <w:szCs w:val="24"/>
        </w:rPr>
        <w:t xml:space="preserve">. Furthermore, both cases concerned legal </w:t>
      </w:r>
      <w:r w:rsidR="00D567F6">
        <w:rPr>
          <w:rFonts w:ascii="Book Antiqua" w:hAnsi="Book Antiqua"/>
          <w:sz w:val="24"/>
          <w:szCs w:val="24"/>
        </w:rPr>
        <w:t>advice</w:t>
      </w:r>
      <w:r w:rsidR="00492F9B">
        <w:rPr>
          <w:rFonts w:ascii="Book Antiqua" w:hAnsi="Book Antiqua"/>
          <w:sz w:val="24"/>
          <w:szCs w:val="24"/>
        </w:rPr>
        <w:t xml:space="preserve"> privilege, not litigation privilege.</w:t>
      </w:r>
      <w:r w:rsidR="00E674F6">
        <w:rPr>
          <w:rFonts w:ascii="Book Antiqua" w:hAnsi="Book Antiqua"/>
          <w:sz w:val="24"/>
          <w:szCs w:val="24"/>
        </w:rPr>
        <w:t xml:space="preserve"> </w:t>
      </w:r>
    </w:p>
    <w:p w14:paraId="06442BBF" w14:textId="491A6C95" w:rsidR="00F910D6" w:rsidRDefault="00E674F6" w:rsidP="000F04A4">
      <w:pPr>
        <w:pStyle w:val="ListParagraph"/>
        <w:numPr>
          <w:ilvl w:val="0"/>
          <w:numId w:val="5"/>
        </w:numPr>
        <w:spacing w:line="240" w:lineRule="auto"/>
        <w:ind w:left="567" w:hanging="567"/>
        <w:contextualSpacing w:val="0"/>
        <w:jc w:val="both"/>
        <w:rPr>
          <w:rFonts w:ascii="Book Antiqua" w:hAnsi="Book Antiqua"/>
          <w:sz w:val="24"/>
          <w:szCs w:val="24"/>
        </w:rPr>
      </w:pPr>
      <w:r w:rsidRPr="00492F9B">
        <w:rPr>
          <w:rFonts w:ascii="Book Antiqua" w:hAnsi="Book Antiqua"/>
          <w:sz w:val="24"/>
          <w:szCs w:val="24"/>
          <w:u w:val="single"/>
        </w:rPr>
        <w:t>Holyoake v Candy</w:t>
      </w:r>
      <w:r w:rsidRPr="00492F9B">
        <w:rPr>
          <w:rFonts w:ascii="Book Antiqua" w:hAnsi="Book Antiqua"/>
          <w:sz w:val="24"/>
          <w:szCs w:val="24"/>
        </w:rPr>
        <w:t xml:space="preserve"> [2017] EWHC 52</w:t>
      </w:r>
      <w:r w:rsidR="00492F9B" w:rsidRPr="00492F9B">
        <w:rPr>
          <w:rFonts w:ascii="Book Antiqua" w:hAnsi="Book Antiqua"/>
          <w:sz w:val="24"/>
          <w:szCs w:val="24"/>
        </w:rPr>
        <w:t xml:space="preserve"> lays to rest the fallacy of the suggestion that litigation privilege requires a balancing exercise to be undertake</w:t>
      </w:r>
      <w:r w:rsidR="00492F9B">
        <w:rPr>
          <w:rFonts w:ascii="Book Antiqua" w:hAnsi="Book Antiqua"/>
          <w:sz w:val="24"/>
          <w:szCs w:val="24"/>
        </w:rPr>
        <w:t>n, even where a competing human right</w:t>
      </w:r>
      <w:r w:rsidR="00035DC8">
        <w:rPr>
          <w:rFonts w:ascii="Book Antiqua" w:hAnsi="Book Antiqua"/>
          <w:sz w:val="24"/>
          <w:szCs w:val="24"/>
        </w:rPr>
        <w:t xml:space="preserve"> is said to be in play.</w:t>
      </w:r>
      <w:r w:rsidRPr="00492F9B">
        <w:rPr>
          <w:rFonts w:ascii="Book Antiqua" w:hAnsi="Book Antiqua"/>
          <w:sz w:val="24"/>
          <w:szCs w:val="24"/>
        </w:rPr>
        <w:t xml:space="preserve"> </w:t>
      </w:r>
      <w:r w:rsidR="00492F9B">
        <w:rPr>
          <w:rFonts w:ascii="Book Antiqua" w:hAnsi="Book Antiqua"/>
          <w:sz w:val="24"/>
          <w:szCs w:val="24"/>
        </w:rPr>
        <w:t xml:space="preserve"> Having reviewed the authorities, Warby J (at [91]) rejected any submission that </w:t>
      </w:r>
    </w:p>
    <w:p w14:paraId="70D7EEFD" w14:textId="12E4AE37" w:rsidR="00F910D6" w:rsidRDefault="00F910D6" w:rsidP="002879AC">
      <w:pPr>
        <w:pStyle w:val="ListParagraph"/>
        <w:spacing w:line="240" w:lineRule="auto"/>
        <w:ind w:left="851"/>
        <w:contextualSpacing w:val="0"/>
        <w:jc w:val="both"/>
        <w:rPr>
          <w:rFonts w:ascii="Book Antiqua" w:hAnsi="Book Antiqua"/>
          <w:sz w:val="24"/>
          <w:szCs w:val="24"/>
        </w:rPr>
      </w:pPr>
      <w:r w:rsidRPr="000F04A4">
        <w:rPr>
          <w:rFonts w:ascii="Book Antiqua" w:hAnsi="Book Antiqua"/>
          <w:szCs w:val="22"/>
        </w:rPr>
        <w:t>…</w:t>
      </w:r>
      <w:r w:rsidR="00492F9B" w:rsidRPr="000F04A4">
        <w:rPr>
          <w:rFonts w:ascii="Book Antiqua" w:hAnsi="Book Antiqua"/>
          <w:szCs w:val="22"/>
        </w:rPr>
        <w:t>the court is duty bound to allow an incursion into LPP whenever the documents for which protection is sought may evidence a breach of any human right</w:t>
      </w:r>
      <w:r w:rsidR="00035DC8" w:rsidRPr="000F04A4">
        <w:rPr>
          <w:rFonts w:ascii="Book Antiqua" w:hAnsi="Book Antiqua"/>
          <w:szCs w:val="22"/>
        </w:rPr>
        <w:t>:</w:t>
      </w:r>
    </w:p>
    <w:p w14:paraId="26F84897" w14:textId="77777777" w:rsidR="00C947ED" w:rsidRPr="00492F9B" w:rsidRDefault="00C947ED" w:rsidP="002879AC">
      <w:pPr>
        <w:pStyle w:val="ListParagraph"/>
        <w:spacing w:line="240" w:lineRule="auto"/>
        <w:ind w:left="851"/>
        <w:contextualSpacing w:val="0"/>
        <w:jc w:val="both"/>
        <w:rPr>
          <w:rFonts w:ascii="Book Antiqua" w:hAnsi="Book Antiqua"/>
        </w:rPr>
      </w:pPr>
      <w:bookmarkStart w:id="15" w:name="para92"/>
      <w:r w:rsidRPr="00492F9B">
        <w:rPr>
          <w:rFonts w:ascii="Book Antiqua" w:hAnsi="Book Antiqua"/>
        </w:rPr>
        <w:t>92. That, on analysis, has to be the logic of Ms Proops' position. However much she may emphasise the "fundamental" nature of the privacy rights at issue in this case she cannot s</w:t>
      </w:r>
      <w:r w:rsidRPr="00492F9B">
        <w:rPr>
          <w:rFonts w:ascii="Book Antiqua" w:hAnsi="Book Antiqua"/>
          <w:color w:val="000000" w:themeColor="text1"/>
        </w:rPr>
        <w:t xml:space="preserve">ubmit that they fall into any special or separate category from other fundamental human rights. If the argument is sound, it must apply to other human rights such as (for instance) the right to freedom of expression protected by Article 10, or the right to peaceful enjoyment of possessions protected by Article 1 of Protocol 1. It seems to me therefore that Mr Pitt-Payne is right to submit that this argument seeks a substantial expansion of the iniquity principle which would, on the face of it, significantly erode the right to LPP. I also see a great deal of force in Mr Pitt-Payne's submission that the argument for Mr Holyoake fails properly to recognise that the right to LPP is itself a fundamental human right. Authority establishes that LPP is an aspect of the rights protected by Article 8 ECHR (see </w:t>
      </w:r>
      <w:r w:rsidRPr="00492F9B">
        <w:rPr>
          <w:rFonts w:ascii="Book Antiqua" w:hAnsi="Book Antiqua"/>
          <w:i/>
          <w:iCs/>
          <w:color w:val="000000" w:themeColor="text1"/>
        </w:rPr>
        <w:t>Campbell v United Kingdom</w:t>
      </w:r>
      <w:r w:rsidRPr="00492F9B">
        <w:rPr>
          <w:rFonts w:ascii="Book Antiqua" w:hAnsi="Book Antiqua"/>
          <w:color w:val="000000" w:themeColor="text1"/>
        </w:rPr>
        <w:t xml:space="preserve"> (1992) 15 EHRR 137). Those same rights are also protected by Article 7 of the Charter. Recognition of the need in the public interest to protect communications between client and lawyer is a common feature of European legal systems so that the </w:t>
      </w:r>
      <w:r w:rsidRPr="00492F9B">
        <w:rPr>
          <w:rFonts w:ascii="Book Antiqua" w:hAnsi="Book Antiqua"/>
          <w:color w:val="000000" w:themeColor="text1"/>
        </w:rPr>
        <w:lastRenderedPageBreak/>
        <w:t xml:space="preserve">protection of LPP is, to some extent at least, a principle of EU law: </w:t>
      </w:r>
      <w:r w:rsidRPr="00492F9B">
        <w:rPr>
          <w:rFonts w:ascii="Book Antiqua" w:hAnsi="Book Antiqua"/>
          <w:i/>
          <w:iCs/>
          <w:color w:val="000000" w:themeColor="text1"/>
        </w:rPr>
        <w:t xml:space="preserve">A M &amp; S Europe Ltd v Commission of the European Communities </w:t>
      </w:r>
      <w:r w:rsidRPr="00492F9B">
        <w:rPr>
          <w:rFonts w:ascii="Book Antiqua" w:hAnsi="Book Antiqua"/>
          <w:color w:val="000000" w:themeColor="text1"/>
        </w:rPr>
        <w:t xml:space="preserve">(Case 155/79) </w:t>
      </w:r>
      <w:bookmarkEnd w:id="15"/>
      <w:r w:rsidRPr="00047602">
        <w:rPr>
          <w:rFonts w:ascii="Book Antiqua" w:hAnsi="Book Antiqua"/>
          <w:color w:val="000000" w:themeColor="text1"/>
        </w:rPr>
        <w:fldChar w:fldCharType="begin"/>
      </w:r>
      <w:r w:rsidRPr="00492F9B">
        <w:rPr>
          <w:rFonts w:ascii="Book Antiqua" w:hAnsi="Book Antiqua"/>
          <w:color w:val="000000" w:themeColor="text1"/>
        </w:rPr>
        <w:instrText xml:space="preserve"> HYPERLINK "http://www.bailii.org/cgi-bin/redirect.cgi?path=/eu/cases/EUECJ/1982/C15579.html" \o "Link to BAILII version" </w:instrText>
      </w:r>
      <w:r w:rsidRPr="00047602">
        <w:rPr>
          <w:rFonts w:ascii="Book Antiqua" w:hAnsi="Book Antiqua"/>
          <w:color w:val="000000" w:themeColor="text1"/>
        </w:rPr>
        <w:fldChar w:fldCharType="separate"/>
      </w:r>
      <w:r w:rsidRPr="00492F9B">
        <w:rPr>
          <w:rStyle w:val="Hyperlink"/>
          <w:rFonts w:ascii="Book Antiqua" w:hAnsi="Book Antiqua"/>
          <w:color w:val="000000" w:themeColor="text1"/>
        </w:rPr>
        <w:t>[1983] QB 878</w:t>
      </w:r>
      <w:r w:rsidRPr="00047602">
        <w:rPr>
          <w:rFonts w:ascii="Book Antiqua" w:hAnsi="Book Antiqua"/>
          <w:color w:val="000000" w:themeColor="text1"/>
        </w:rPr>
        <w:fldChar w:fldCharType="end"/>
      </w:r>
      <w:r w:rsidRPr="00492F9B">
        <w:rPr>
          <w:rFonts w:ascii="Book Antiqua" w:hAnsi="Book Antiqua"/>
          <w:color w:val="000000" w:themeColor="text1"/>
        </w:rPr>
        <w:t xml:space="preserve"> [21-22]. </w:t>
      </w:r>
    </w:p>
    <w:p w14:paraId="1E058147" w14:textId="77777777" w:rsidR="00C947ED" w:rsidRPr="00C947ED" w:rsidRDefault="00C947ED" w:rsidP="002879AC">
      <w:pPr>
        <w:pStyle w:val="ListParagraph"/>
        <w:spacing w:line="240" w:lineRule="auto"/>
        <w:ind w:left="851"/>
        <w:contextualSpacing w:val="0"/>
        <w:jc w:val="both"/>
        <w:rPr>
          <w:rFonts w:ascii="Book Antiqua" w:hAnsi="Book Antiqua"/>
          <w:color w:val="000000" w:themeColor="text1"/>
          <w:sz w:val="24"/>
          <w:szCs w:val="24"/>
        </w:rPr>
      </w:pPr>
      <w:r w:rsidRPr="00C947ED">
        <w:rPr>
          <w:rFonts w:ascii="Book Antiqua" w:hAnsi="Book Antiqua"/>
          <w:color w:val="000000" w:themeColor="text1"/>
        </w:rPr>
        <w:t xml:space="preserve">93. </w:t>
      </w:r>
      <w:bookmarkStart w:id="16" w:name="para93"/>
      <w:r w:rsidRPr="00C947ED">
        <w:rPr>
          <w:rFonts w:ascii="Book Antiqua" w:hAnsi="Book Antiqua"/>
          <w:color w:val="000000" w:themeColor="text1"/>
        </w:rPr>
        <w:t xml:space="preserve">Bearing these points in mind it might be thought, and Ms Proops has argued in the alternative, that the court should adopt a balancing approach, weighing one competing right against another. Such an approach would limit the extent to which this human rights argument would involve an incursion into LPP. But it would create a new exception of uncertain ambit. It would also appear to be inconsistent with House of Lords authority. In </w:t>
      </w:r>
      <w:r w:rsidRPr="00C947ED">
        <w:rPr>
          <w:rFonts w:ascii="Book Antiqua" w:hAnsi="Book Antiqua"/>
          <w:i/>
          <w:iCs/>
          <w:color w:val="000000" w:themeColor="text1"/>
        </w:rPr>
        <w:t>R v</w:t>
      </w:r>
      <w:r w:rsidRPr="00C947ED">
        <w:rPr>
          <w:rFonts w:ascii="Book Antiqua" w:hAnsi="Book Antiqua"/>
          <w:color w:val="000000" w:themeColor="text1"/>
        </w:rPr>
        <w:t xml:space="preserve"> </w:t>
      </w:r>
      <w:r w:rsidRPr="00C947ED">
        <w:rPr>
          <w:rFonts w:ascii="Book Antiqua" w:hAnsi="Book Antiqua"/>
          <w:i/>
          <w:iCs/>
          <w:color w:val="000000" w:themeColor="text1"/>
        </w:rPr>
        <w:t xml:space="preserve">Derby Magistrates Court, ex parte B </w:t>
      </w:r>
      <w:bookmarkEnd w:id="16"/>
      <w:r w:rsidRPr="00042ACC">
        <w:rPr>
          <w:rFonts w:ascii="Book Antiqua" w:hAnsi="Book Antiqua"/>
          <w:color w:val="000000" w:themeColor="text1"/>
        </w:rPr>
        <w:fldChar w:fldCharType="begin"/>
      </w:r>
      <w:r w:rsidRPr="00042ACC">
        <w:rPr>
          <w:rFonts w:ascii="Book Antiqua" w:hAnsi="Book Antiqua"/>
          <w:color w:val="000000" w:themeColor="text1"/>
        </w:rPr>
        <w:instrText xml:space="preserve"> HYPERLINK "http://www.bailii.org/cgi-bin/redirect.cgi?path=/uk/cases/UKHL/1995/18.html" \o "Link to BAILII version" </w:instrText>
      </w:r>
      <w:r w:rsidRPr="00042ACC">
        <w:rPr>
          <w:rFonts w:ascii="Book Antiqua" w:hAnsi="Book Antiqua"/>
          <w:color w:val="000000" w:themeColor="text1"/>
        </w:rPr>
        <w:fldChar w:fldCharType="separate"/>
      </w:r>
      <w:r w:rsidRPr="00042ACC">
        <w:rPr>
          <w:rStyle w:val="Hyperlink"/>
          <w:rFonts w:ascii="Book Antiqua" w:hAnsi="Book Antiqua"/>
          <w:color w:val="000000" w:themeColor="text1"/>
          <w:u w:val="none"/>
        </w:rPr>
        <w:t>[1996] 1 AC 487</w:t>
      </w:r>
      <w:r w:rsidRPr="00042ACC">
        <w:rPr>
          <w:rFonts w:ascii="Book Antiqua" w:hAnsi="Book Antiqua"/>
          <w:color w:val="000000" w:themeColor="text1"/>
        </w:rPr>
        <w:fldChar w:fldCharType="end"/>
      </w:r>
      <w:r w:rsidRPr="00C947ED">
        <w:rPr>
          <w:rFonts w:ascii="Book Antiqua" w:hAnsi="Book Antiqua"/>
          <w:color w:val="000000" w:themeColor="text1"/>
        </w:rPr>
        <w:t xml:space="preserve"> the House rejected the notion that the availability of legal advice privilege might admit of exceptions, to be identified using a balancing approach. Lord Taylor CJ said at 508D-E that "if a balancing exercise was ever required in the case of legal professional privilege, it was performed once and for all in the 16</w:t>
      </w:r>
      <w:r w:rsidRPr="00C947ED">
        <w:rPr>
          <w:rFonts w:ascii="Book Antiqua" w:hAnsi="Book Antiqua"/>
          <w:color w:val="000000" w:themeColor="text1"/>
          <w:vertAlign w:val="superscript"/>
        </w:rPr>
        <w:t>th</w:t>
      </w:r>
      <w:r w:rsidRPr="00C947ED">
        <w:rPr>
          <w:rFonts w:ascii="Book Antiqua" w:hAnsi="Book Antiqua"/>
          <w:color w:val="000000" w:themeColor="text1"/>
        </w:rPr>
        <w:t xml:space="preserve"> century, and since then has applied across the board in every case, irrespective of the client's individual merits." The reference was to the decisions in </w:t>
      </w:r>
      <w:r w:rsidRPr="00C947ED">
        <w:rPr>
          <w:rFonts w:ascii="Book Antiqua" w:hAnsi="Book Antiqua"/>
          <w:i/>
          <w:iCs/>
          <w:color w:val="000000" w:themeColor="text1"/>
        </w:rPr>
        <w:t xml:space="preserve">Berd v Lovelace </w:t>
      </w:r>
      <w:r w:rsidRPr="00C947ED">
        <w:rPr>
          <w:rFonts w:ascii="Book Antiqua" w:hAnsi="Book Antiqua"/>
          <w:color w:val="000000" w:themeColor="text1"/>
        </w:rPr>
        <w:t xml:space="preserve">(1577) Cary 62 and </w:t>
      </w:r>
      <w:r w:rsidRPr="00C947ED">
        <w:rPr>
          <w:rFonts w:ascii="Book Antiqua" w:hAnsi="Book Antiqua"/>
          <w:i/>
          <w:iCs/>
          <w:color w:val="000000" w:themeColor="text1"/>
        </w:rPr>
        <w:t xml:space="preserve">Dennis v Codrington </w:t>
      </w:r>
      <w:r w:rsidRPr="00C947ED">
        <w:rPr>
          <w:rFonts w:ascii="Book Antiqua" w:hAnsi="Book Antiqua"/>
          <w:color w:val="000000" w:themeColor="text1"/>
        </w:rPr>
        <w:t xml:space="preserve">(1579) Cary 100 (see [1996] 1 AC 504B-D). Lords Keith, Mustill and Lloyd agreed. Lord Nicholls at 511G-512E adopted the same approach. This rejection of a balancing approach is one of the fundamentals referred to by Lord Hobhouse in </w:t>
      </w:r>
      <w:r w:rsidRPr="00C947ED">
        <w:rPr>
          <w:rFonts w:ascii="Book Antiqua" w:hAnsi="Book Antiqua"/>
          <w:i/>
          <w:iCs/>
          <w:color w:val="000000" w:themeColor="text1"/>
        </w:rPr>
        <w:t xml:space="preserve">Morgan Grenfell, </w:t>
      </w:r>
      <w:r w:rsidRPr="00C947ED">
        <w:rPr>
          <w:rFonts w:ascii="Book Antiqua" w:hAnsi="Book Antiqua"/>
          <w:color w:val="000000" w:themeColor="text1"/>
        </w:rPr>
        <w:t>but as already observed, his views were obiter.</w:t>
      </w:r>
    </w:p>
    <w:p w14:paraId="543D5204" w14:textId="4BADA606" w:rsidR="00661E2E" w:rsidRDefault="00782012"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Likewise, at [4] of </w:t>
      </w:r>
      <w:r w:rsidRPr="000F04A4">
        <w:rPr>
          <w:rFonts w:ascii="Book Antiqua" w:hAnsi="Book Antiqua"/>
          <w:sz w:val="24"/>
          <w:szCs w:val="24"/>
          <w:u w:val="single"/>
        </w:rPr>
        <w:t>Belhaj and others v Director of Public Prosecutions and others</w:t>
      </w:r>
      <w:r>
        <w:rPr>
          <w:rFonts w:ascii="Book Antiqua" w:hAnsi="Book Antiqua"/>
          <w:sz w:val="24"/>
          <w:szCs w:val="24"/>
        </w:rPr>
        <w:t xml:space="preserve"> [2018] EWHC 513 (Admin), the claimants acknowledged that the privilege “is an absolute privilege</w:t>
      </w:r>
      <w:r w:rsidR="00661E2E">
        <w:rPr>
          <w:rFonts w:ascii="Book Antiqua" w:hAnsi="Book Antiqua"/>
          <w:sz w:val="24"/>
          <w:szCs w:val="24"/>
        </w:rPr>
        <w:t>: where it exists it is not subject to any balancing exercise and cannot be overturned by reference to the public interest”.</w:t>
      </w:r>
      <w:r w:rsidR="00F910D6">
        <w:rPr>
          <w:rFonts w:ascii="Book Antiqua" w:hAnsi="Book Antiqua"/>
          <w:sz w:val="24"/>
          <w:szCs w:val="24"/>
        </w:rPr>
        <w:t xml:space="preserve"> While this </w:t>
      </w:r>
      <w:r w:rsidR="0050606E">
        <w:rPr>
          <w:rFonts w:ascii="Book Antiqua" w:hAnsi="Book Antiqua"/>
          <w:sz w:val="24"/>
          <w:szCs w:val="24"/>
        </w:rPr>
        <w:t xml:space="preserve">is </w:t>
      </w:r>
      <w:r w:rsidR="00F910D6">
        <w:rPr>
          <w:rFonts w:ascii="Book Antiqua" w:hAnsi="Book Antiqua"/>
          <w:sz w:val="24"/>
          <w:szCs w:val="24"/>
        </w:rPr>
        <w:t xml:space="preserve">not a decision put before us by the parties, it confirms the position taken in the cases cited to us, and thus we did not consider it necessary to receive additional submissions on it. </w:t>
      </w:r>
    </w:p>
    <w:p w14:paraId="4F803965" w14:textId="77777777" w:rsidR="00C947ED" w:rsidRDefault="00035DC8"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Thus, the interested party’s stance on this issue must be rejected. Litigation privilege cannot be abrogated merely because the appeal proceedings concern the interested party’s human rights. The FtT’s decision to the contrary was, therefore, wrong in law.</w:t>
      </w:r>
    </w:p>
    <w:p w14:paraId="0526BEA6" w14:textId="77777777" w:rsidR="00F910D6" w:rsidRDefault="00F910D6"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We observe, in passing, that if Ms Harrison were right, then litigation privilege would not apply to appellants within the First-tier Tribunal (IAC) such that it would be open to the Secretary of State</w:t>
      </w:r>
      <w:r w:rsidR="00651F11">
        <w:rPr>
          <w:rFonts w:ascii="Book Antiqua" w:hAnsi="Book Antiqua"/>
          <w:sz w:val="24"/>
          <w:szCs w:val="24"/>
        </w:rPr>
        <w:t xml:space="preserve"> </w:t>
      </w:r>
      <w:r>
        <w:rPr>
          <w:rFonts w:ascii="Book Antiqua" w:hAnsi="Book Antiqua"/>
          <w:sz w:val="24"/>
          <w:szCs w:val="24"/>
        </w:rPr>
        <w:t>to seek</w:t>
      </w:r>
      <w:r w:rsidR="00651F11">
        <w:rPr>
          <w:rFonts w:ascii="Book Antiqua" w:hAnsi="Book Antiqua"/>
          <w:sz w:val="24"/>
          <w:szCs w:val="24"/>
        </w:rPr>
        <w:t>, as a matter of routine, disclosure of correspondence between the appellant and third parties which touched on the appeal and, probably, to communications between them and representatives who are not legally qualified which would not be covered by legal advice privilege.</w:t>
      </w:r>
    </w:p>
    <w:p w14:paraId="1EE3C6BE" w14:textId="77777777" w:rsidR="00832EE2" w:rsidRPr="0059538A" w:rsidRDefault="00CC457B" w:rsidP="00042ACC">
      <w:pPr>
        <w:pStyle w:val="ListParagraph"/>
        <w:spacing w:before="240" w:line="240" w:lineRule="auto"/>
        <w:ind w:left="0"/>
        <w:contextualSpacing w:val="0"/>
        <w:jc w:val="both"/>
        <w:rPr>
          <w:rFonts w:ascii="Book Antiqua" w:hAnsi="Book Antiqua"/>
          <w:sz w:val="24"/>
          <w:szCs w:val="24"/>
          <w:u w:val="single"/>
        </w:rPr>
      </w:pPr>
      <w:r>
        <w:rPr>
          <w:rFonts w:ascii="Book Antiqua" w:hAnsi="Book Antiqua"/>
          <w:sz w:val="24"/>
          <w:szCs w:val="24"/>
          <w:u w:val="single"/>
        </w:rPr>
        <w:t xml:space="preserve">(b) </w:t>
      </w:r>
      <w:r w:rsidR="00690E7D">
        <w:rPr>
          <w:rFonts w:ascii="Book Antiqua" w:hAnsi="Book Antiqua"/>
          <w:sz w:val="24"/>
          <w:szCs w:val="24"/>
          <w:u w:val="single"/>
        </w:rPr>
        <w:t>T</w:t>
      </w:r>
      <w:r>
        <w:rPr>
          <w:rFonts w:ascii="Book Antiqua" w:hAnsi="Book Antiqua"/>
          <w:sz w:val="24"/>
          <w:szCs w:val="24"/>
          <w:u w:val="single"/>
        </w:rPr>
        <w:t>he duty of candour</w:t>
      </w:r>
      <w:r w:rsidR="0068497B">
        <w:rPr>
          <w:rFonts w:ascii="Book Antiqua" w:hAnsi="Book Antiqua"/>
          <w:sz w:val="24"/>
          <w:szCs w:val="24"/>
          <w:u w:val="single"/>
        </w:rPr>
        <w:t>/ questioning the assertion of litigation privilege</w:t>
      </w:r>
    </w:p>
    <w:p w14:paraId="234C3061" w14:textId="7E282CE9" w:rsidR="009139CC" w:rsidRDefault="007D45A7"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The duty of candour imposed on SSHD and the FCO arises </w:t>
      </w:r>
      <w:r w:rsidR="00D567F6">
        <w:rPr>
          <w:rFonts w:ascii="Book Antiqua" w:hAnsi="Book Antiqua"/>
          <w:sz w:val="24"/>
          <w:szCs w:val="24"/>
        </w:rPr>
        <w:t>because</w:t>
      </w:r>
      <w:r>
        <w:rPr>
          <w:rFonts w:ascii="Book Antiqua" w:hAnsi="Book Antiqua"/>
          <w:sz w:val="24"/>
          <w:szCs w:val="24"/>
        </w:rPr>
        <w:t xml:space="preserve">, in part, as Laws LJ recognised in </w:t>
      </w:r>
      <w:r w:rsidRPr="00CC45B7">
        <w:rPr>
          <w:rFonts w:ascii="Book Antiqua" w:hAnsi="Book Antiqua"/>
          <w:sz w:val="24"/>
          <w:szCs w:val="24"/>
          <w:u w:val="single"/>
        </w:rPr>
        <w:t>CM (Zimbabwe) v SSHD</w:t>
      </w:r>
      <w:r>
        <w:rPr>
          <w:rFonts w:ascii="Book Antiqua" w:hAnsi="Book Antiqua"/>
          <w:sz w:val="24"/>
          <w:szCs w:val="24"/>
        </w:rPr>
        <w:t xml:space="preserve"> </w:t>
      </w:r>
      <w:r w:rsidR="00CC45B7">
        <w:rPr>
          <w:rFonts w:ascii="Book Antiqua" w:hAnsi="Book Antiqua"/>
          <w:sz w:val="24"/>
          <w:szCs w:val="24"/>
        </w:rPr>
        <w:t xml:space="preserve">[2013] EWCA Civ 1303 </w:t>
      </w:r>
      <w:r>
        <w:rPr>
          <w:rFonts w:ascii="Book Antiqua" w:hAnsi="Book Antiqua"/>
          <w:sz w:val="24"/>
          <w:szCs w:val="24"/>
        </w:rPr>
        <w:t xml:space="preserve">there is no duty of disclosure imposed on the Secretary of State unlike in ordinary civil cases. The same applies in judicial review where orders for disclosure are rare and unusual. </w:t>
      </w:r>
      <w:r w:rsidR="00085202">
        <w:rPr>
          <w:rFonts w:ascii="Book Antiqua" w:hAnsi="Book Antiqua"/>
          <w:sz w:val="24"/>
          <w:szCs w:val="24"/>
        </w:rPr>
        <w:t xml:space="preserve"> </w:t>
      </w:r>
    </w:p>
    <w:p w14:paraId="3CE8CC69" w14:textId="2B27E082" w:rsidR="009139CC" w:rsidRDefault="009139CC"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In </w:t>
      </w:r>
      <w:r w:rsidRPr="000F04A4">
        <w:rPr>
          <w:rFonts w:ascii="Book Antiqua" w:hAnsi="Book Antiqua"/>
          <w:sz w:val="24"/>
          <w:szCs w:val="24"/>
          <w:u w:val="single"/>
        </w:rPr>
        <w:t>Belhaj</w:t>
      </w:r>
      <w:r w:rsidRPr="00042ACC">
        <w:rPr>
          <w:rFonts w:ascii="Book Antiqua" w:hAnsi="Book Antiqua"/>
          <w:sz w:val="24"/>
          <w:szCs w:val="24"/>
        </w:rPr>
        <w:t xml:space="preserve"> </w:t>
      </w:r>
      <w:r>
        <w:rPr>
          <w:rFonts w:ascii="Book Antiqua" w:hAnsi="Book Antiqua"/>
          <w:sz w:val="24"/>
          <w:szCs w:val="24"/>
        </w:rPr>
        <w:t>the Divisional Court considered the duty of candour and held:</w:t>
      </w:r>
    </w:p>
    <w:p w14:paraId="49F6A372" w14:textId="77777777" w:rsidR="009139CC" w:rsidRPr="000F04A4" w:rsidRDefault="009139CC" w:rsidP="002879AC">
      <w:pPr>
        <w:pStyle w:val="indent1"/>
        <w:ind w:left="851"/>
        <w:jc w:val="both"/>
        <w:rPr>
          <w:rFonts w:ascii="Book Antiqua" w:hAnsi="Book Antiqua"/>
          <w:color w:val="000000" w:themeColor="text1"/>
          <w:sz w:val="22"/>
          <w:szCs w:val="22"/>
        </w:rPr>
      </w:pPr>
      <w:r w:rsidRPr="000F04A4">
        <w:rPr>
          <w:rFonts w:ascii="Book Antiqua" w:hAnsi="Book Antiqua"/>
          <w:sz w:val="22"/>
          <w:szCs w:val="22"/>
        </w:rPr>
        <w:lastRenderedPageBreak/>
        <w:t xml:space="preserve">37 We add one point of some significance as a consequence of the argument in this case. HM Government has a duty of candour and a proper exercise of that duty is often of great importance. It is the critical safeguard to address the risk of "bad" but </w:t>
      </w:r>
      <w:r w:rsidRPr="000F04A4">
        <w:rPr>
          <w:rFonts w:ascii="Book Antiqua" w:hAnsi="Book Antiqua"/>
          <w:color w:val="000000" w:themeColor="text1"/>
          <w:sz w:val="22"/>
          <w:szCs w:val="22"/>
        </w:rPr>
        <w:t>privileged legal advice.</w:t>
      </w:r>
    </w:p>
    <w:p w14:paraId="15E93B50" w14:textId="77777777" w:rsidR="009139CC" w:rsidRPr="000F04A4" w:rsidRDefault="009139CC" w:rsidP="002879AC">
      <w:pPr>
        <w:pStyle w:val="indent1"/>
        <w:ind w:left="851"/>
        <w:jc w:val="both"/>
        <w:rPr>
          <w:rFonts w:ascii="Book Antiqua" w:hAnsi="Book Antiqua"/>
          <w:color w:val="000000" w:themeColor="text1"/>
          <w:sz w:val="22"/>
          <w:szCs w:val="22"/>
        </w:rPr>
      </w:pPr>
      <w:r w:rsidRPr="000F04A4">
        <w:rPr>
          <w:rFonts w:ascii="Book Antiqua" w:hAnsi="Book Antiqua"/>
          <w:color w:val="000000" w:themeColor="text1"/>
          <w:sz w:val="22"/>
          <w:szCs w:val="22"/>
        </w:rPr>
        <w:t xml:space="preserve">38 The duty of candour is an important common law duty and, classically, includes the duty to approach the court with "its cards face up on the table": </w:t>
      </w:r>
      <w:hyperlink r:id="rId17" w:history="1">
        <w:r w:rsidRPr="00042ACC">
          <w:rPr>
            <w:rStyle w:val="Hyperlink"/>
            <w:rFonts w:ascii="Book Antiqua" w:hAnsi="Book Antiqua"/>
            <w:i/>
            <w:iCs/>
            <w:color w:val="000000" w:themeColor="text1"/>
            <w:sz w:val="22"/>
            <w:szCs w:val="22"/>
            <w:u w:val="none"/>
          </w:rPr>
          <w:t>R v Lancashire County Council ex p Huddleston [1986] 2 All ER 941</w:t>
        </w:r>
      </w:hyperlink>
      <w:r w:rsidRPr="000F04A4">
        <w:rPr>
          <w:rFonts w:ascii="Book Antiqua" w:hAnsi="Book Antiqua"/>
          <w:color w:val="000000" w:themeColor="text1"/>
          <w:sz w:val="22"/>
          <w:szCs w:val="22"/>
        </w:rPr>
        <w:t xml:space="preserve"> at page 945. The duty applies not only to documents in the possession of the state but also to information known to it: In </w:t>
      </w:r>
      <w:hyperlink r:id="rId18" w:history="1">
        <w:r w:rsidRPr="00042ACC">
          <w:rPr>
            <w:rStyle w:val="Hyperlink"/>
            <w:rFonts w:ascii="Book Antiqua" w:hAnsi="Book Antiqua"/>
            <w:i/>
            <w:iCs/>
            <w:color w:val="000000" w:themeColor="text1"/>
            <w:sz w:val="22"/>
            <w:szCs w:val="22"/>
            <w:u w:val="none"/>
          </w:rPr>
          <w:t>R (Quark Fishing Ltd) v Secretary of State for Foreign and Commonwealth Affairs [2002] EWCA Civ 1409</w:t>
        </w:r>
      </w:hyperlink>
      <w:r w:rsidRPr="000F04A4">
        <w:rPr>
          <w:rFonts w:ascii="Book Antiqua" w:hAnsi="Book Antiqua"/>
          <w:color w:val="000000" w:themeColor="text1"/>
          <w:sz w:val="22"/>
          <w:szCs w:val="22"/>
        </w:rPr>
        <w:t xml:space="preserve"> the Court was concerned with what appeared to it to be a reluctance on the part of the Defendant to give full sight of the reasons which motivated the decision being challenged. At paragraph [50] Laws LJ observed: </w:t>
      </w:r>
    </w:p>
    <w:p w14:paraId="2F9518F2" w14:textId="77777777" w:rsidR="009139CC" w:rsidRPr="000F04A4" w:rsidRDefault="009139CC" w:rsidP="002879AC">
      <w:pPr>
        <w:pStyle w:val="NormalWeb"/>
        <w:ind w:left="851"/>
        <w:jc w:val="both"/>
        <w:rPr>
          <w:rFonts w:ascii="Book Antiqua" w:hAnsi="Book Antiqua"/>
          <w:color w:val="000000" w:themeColor="text1"/>
          <w:sz w:val="22"/>
          <w:szCs w:val="22"/>
        </w:rPr>
      </w:pPr>
      <w:r w:rsidRPr="000F04A4">
        <w:rPr>
          <w:rFonts w:ascii="Book Antiqua" w:hAnsi="Book Antiqua"/>
          <w:color w:val="000000" w:themeColor="text1"/>
          <w:sz w:val="22"/>
          <w:szCs w:val="22"/>
        </w:rPr>
        <w:t xml:space="preserve">"… there is no duty of general disclosure in judicial review proceedings. However there is – of course – a very high duty on public authority respondents, not least central government, to assist the court with full and accurate explanations of all the facts relevant to the issue the court must decide. The real question here is whether in the evidence put forward on his behalf the Secretary of State has given a true and comprehensive account of the way the relevant decisions in the case were arrived at. If the court has not been given a true and comprehensive account, but has had to tease the truth out of late discovery, it may be appropriate to draw inferences against the Secretary of State upon points which remain obscure: see </w:t>
      </w:r>
      <w:hyperlink r:id="rId19" w:history="1">
        <w:r w:rsidRPr="00042ACC">
          <w:rPr>
            <w:rStyle w:val="Hyperlink"/>
            <w:rFonts w:ascii="Book Antiqua" w:hAnsi="Book Antiqua"/>
            <w:i/>
            <w:iCs/>
            <w:color w:val="000000" w:themeColor="text1"/>
            <w:sz w:val="22"/>
            <w:szCs w:val="22"/>
            <w:u w:val="none"/>
          </w:rPr>
          <w:t>Padfield [1968] AC 997</w:t>
        </w:r>
      </w:hyperlink>
      <w:r w:rsidRPr="00042ACC">
        <w:rPr>
          <w:rFonts w:ascii="Book Antiqua" w:hAnsi="Book Antiqua"/>
          <w:color w:val="000000" w:themeColor="text1"/>
          <w:sz w:val="22"/>
          <w:szCs w:val="22"/>
        </w:rPr>
        <w:t xml:space="preserve"> </w:t>
      </w:r>
      <w:r w:rsidRPr="000F04A4">
        <w:rPr>
          <w:rFonts w:ascii="Book Antiqua" w:hAnsi="Book Antiqua"/>
          <w:color w:val="000000" w:themeColor="text1"/>
          <w:sz w:val="22"/>
          <w:szCs w:val="22"/>
        </w:rPr>
        <w:t xml:space="preserve">, per Lord Upjohn at 1061G – 1062A." </w:t>
      </w:r>
    </w:p>
    <w:p w14:paraId="05EACE30" w14:textId="0FC167E8" w:rsidR="009139CC" w:rsidRPr="000F04A4" w:rsidRDefault="009139CC" w:rsidP="002879AC">
      <w:pPr>
        <w:pStyle w:val="indent1"/>
        <w:ind w:left="851"/>
        <w:jc w:val="both"/>
        <w:rPr>
          <w:rFonts w:ascii="Book Antiqua" w:hAnsi="Book Antiqua"/>
          <w:sz w:val="22"/>
          <w:szCs w:val="22"/>
        </w:rPr>
      </w:pPr>
      <w:r w:rsidRPr="000F04A4">
        <w:rPr>
          <w:rFonts w:ascii="Book Antiqua" w:hAnsi="Book Antiqua"/>
          <w:color w:val="000000" w:themeColor="text1"/>
          <w:sz w:val="22"/>
          <w:szCs w:val="22"/>
        </w:rPr>
        <w:t xml:space="preserve">39 Over and above the common law, it is evident from decided cases that the duty emanates also from Article 6 ECHR and the right of any party to receive a "fair" hearing: </w:t>
      </w:r>
      <w:r w:rsidRPr="000F04A4">
        <w:rPr>
          <w:rStyle w:val="Emphasis"/>
          <w:rFonts w:ascii="Book Antiqua" w:hAnsi="Book Antiqua"/>
          <w:color w:val="000000" w:themeColor="text1"/>
          <w:sz w:val="22"/>
          <w:szCs w:val="22"/>
        </w:rPr>
        <w:t>McGinley &amp; Egan v United Kingdom (1999) EHRR 1</w:t>
      </w:r>
      <w:r w:rsidRPr="000F04A4">
        <w:rPr>
          <w:rFonts w:ascii="Book Antiqua" w:hAnsi="Book Antiqua"/>
          <w:color w:val="000000" w:themeColor="text1"/>
          <w:sz w:val="22"/>
          <w:szCs w:val="22"/>
        </w:rPr>
        <w:t xml:space="preserve">. In </w:t>
      </w:r>
      <w:hyperlink r:id="rId20" w:history="1">
        <w:r w:rsidRPr="00042ACC">
          <w:rPr>
            <w:rStyle w:val="Hyperlink"/>
            <w:rFonts w:ascii="Book Antiqua" w:hAnsi="Book Antiqua"/>
            <w:i/>
            <w:iCs/>
            <w:color w:val="000000" w:themeColor="text1"/>
            <w:sz w:val="22"/>
            <w:szCs w:val="22"/>
            <w:u w:val="none"/>
          </w:rPr>
          <w:t>Roche v United Kingdom [2006] 42 EHRR 30</w:t>
        </w:r>
      </w:hyperlink>
      <w:r w:rsidRPr="000F04A4">
        <w:rPr>
          <w:rFonts w:ascii="Book Antiqua" w:hAnsi="Book Antiqua"/>
          <w:color w:val="000000" w:themeColor="text1"/>
          <w:sz w:val="22"/>
          <w:szCs w:val="22"/>
        </w:rPr>
        <w:t xml:space="preserve"> , the European Court of Human Rights held that Article 8 may also, in some circumstances, be engaged. In cases where fundamental rights are engaged, the duty may be especially </w:t>
      </w:r>
      <w:r w:rsidRPr="000F04A4">
        <w:rPr>
          <w:rFonts w:ascii="Book Antiqua" w:hAnsi="Book Antiqua"/>
          <w:sz w:val="22"/>
          <w:szCs w:val="22"/>
        </w:rPr>
        <w:t xml:space="preserve">onerous. </w:t>
      </w:r>
    </w:p>
    <w:p w14:paraId="1BF4CBD9" w14:textId="77777777" w:rsidR="009139CC" w:rsidRPr="000F04A4" w:rsidRDefault="009139CC" w:rsidP="002879AC">
      <w:pPr>
        <w:pStyle w:val="indent1"/>
        <w:ind w:left="851"/>
        <w:jc w:val="both"/>
        <w:rPr>
          <w:rFonts w:ascii="Book Antiqua" w:hAnsi="Book Antiqua"/>
          <w:sz w:val="22"/>
          <w:szCs w:val="22"/>
        </w:rPr>
      </w:pPr>
      <w:r w:rsidRPr="000F04A4">
        <w:rPr>
          <w:rFonts w:ascii="Book Antiqua" w:hAnsi="Book Antiqua"/>
          <w:sz w:val="22"/>
          <w:szCs w:val="22"/>
        </w:rPr>
        <w:t>40 Those acting for the Government who properly exercise privilege must give thought to the basis of privileged advice and to the advice itself. If it is clear that the advice was given on an inadequate basis, or a basis clearly at odds with the evidence which will be before a court in the absence of the privileged material, then the duty of candour will require HM Government to correct any misapprehension. Any concern that a contested action was taken in reliance on privileged legal advice obtained on a misleading basis, calls for careful consideration and, if the concern is well-founded and unless the point is immaterial, is likely to call for correction pursuant to the duty of candour</w:t>
      </w:r>
    </w:p>
    <w:p w14:paraId="193D1774" w14:textId="7550EBB8" w:rsidR="00E378F1" w:rsidRDefault="00E378F1"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E378F1">
        <w:rPr>
          <w:rFonts w:ascii="Book Antiqua" w:hAnsi="Book Antiqua"/>
          <w:sz w:val="24"/>
          <w:szCs w:val="24"/>
        </w:rPr>
        <w:t>Neither</w:t>
      </w:r>
      <w:r w:rsidR="009139CC">
        <w:rPr>
          <w:rFonts w:ascii="Book Antiqua" w:hAnsi="Book Antiqua"/>
          <w:sz w:val="24"/>
          <w:szCs w:val="24"/>
        </w:rPr>
        <w:t xml:space="preserve"> this case,</w:t>
      </w:r>
      <w:r w:rsidRPr="00E378F1">
        <w:rPr>
          <w:rFonts w:ascii="Book Antiqua" w:hAnsi="Book Antiqua"/>
          <w:sz w:val="24"/>
          <w:szCs w:val="24"/>
        </w:rPr>
        <w:t xml:space="preserve"> </w:t>
      </w:r>
      <w:r w:rsidRPr="009139CC">
        <w:rPr>
          <w:rFonts w:ascii="Book Antiqua" w:hAnsi="Book Antiqua"/>
          <w:sz w:val="24"/>
          <w:szCs w:val="24"/>
          <w:u w:val="single"/>
        </w:rPr>
        <w:t>CM (Zimbabwe)</w:t>
      </w:r>
      <w:r w:rsidRPr="00042ACC">
        <w:rPr>
          <w:rFonts w:ascii="Book Antiqua" w:hAnsi="Book Antiqua"/>
          <w:sz w:val="24"/>
          <w:szCs w:val="24"/>
        </w:rPr>
        <w:t xml:space="preserve"> </w:t>
      </w:r>
      <w:r w:rsidR="00661E2E" w:rsidRPr="00042ACC">
        <w:rPr>
          <w:rFonts w:ascii="Book Antiqua" w:hAnsi="Book Antiqua"/>
          <w:sz w:val="24"/>
          <w:szCs w:val="24"/>
        </w:rPr>
        <w:t>n</w:t>
      </w:r>
      <w:r w:rsidRPr="00042ACC">
        <w:rPr>
          <w:rFonts w:ascii="Book Antiqua" w:hAnsi="Book Antiqua"/>
          <w:sz w:val="24"/>
          <w:szCs w:val="24"/>
        </w:rPr>
        <w:t>or</w:t>
      </w:r>
      <w:r w:rsidRPr="00E378F1">
        <w:rPr>
          <w:rFonts w:ascii="Book Antiqua" w:hAnsi="Book Antiqua"/>
          <w:sz w:val="24"/>
          <w:szCs w:val="24"/>
        </w:rPr>
        <w:t xml:space="preserve"> </w:t>
      </w:r>
      <w:r w:rsidRPr="00E378F1">
        <w:rPr>
          <w:rFonts w:ascii="Book Antiqua" w:hAnsi="Book Antiqua"/>
          <w:sz w:val="24"/>
          <w:szCs w:val="24"/>
          <w:u w:val="single"/>
        </w:rPr>
        <w:t>R v SSHD ex p Kerrouche</w:t>
      </w:r>
      <w:r w:rsidRPr="00E378F1">
        <w:rPr>
          <w:rFonts w:ascii="Book Antiqua" w:hAnsi="Book Antiqua"/>
          <w:sz w:val="24"/>
          <w:szCs w:val="24"/>
        </w:rPr>
        <w:t xml:space="preserve"> [1</w:t>
      </w:r>
      <w:r w:rsidR="00042ACC">
        <w:rPr>
          <w:rFonts w:ascii="Book Antiqua" w:hAnsi="Book Antiqua"/>
          <w:sz w:val="24"/>
          <w:szCs w:val="24"/>
        </w:rPr>
        <w:t>998] INLR</w:t>
      </w:r>
      <w:r w:rsidRPr="00E378F1">
        <w:rPr>
          <w:rFonts w:ascii="Book Antiqua" w:hAnsi="Book Antiqua"/>
          <w:sz w:val="24"/>
          <w:szCs w:val="24"/>
        </w:rPr>
        <w:t xml:space="preserve"> 88</w:t>
      </w:r>
      <w:r>
        <w:rPr>
          <w:rFonts w:ascii="Book Antiqua" w:hAnsi="Book Antiqua"/>
          <w:sz w:val="24"/>
          <w:szCs w:val="24"/>
        </w:rPr>
        <w:t xml:space="preserve"> provide</w:t>
      </w:r>
      <w:r w:rsidR="00661E2E">
        <w:rPr>
          <w:rFonts w:ascii="Book Antiqua" w:hAnsi="Book Antiqua"/>
          <w:sz w:val="24"/>
          <w:szCs w:val="24"/>
        </w:rPr>
        <w:t>s</w:t>
      </w:r>
      <w:r>
        <w:rPr>
          <w:rFonts w:ascii="Book Antiqua" w:hAnsi="Book Antiqua"/>
          <w:sz w:val="24"/>
          <w:szCs w:val="24"/>
        </w:rPr>
        <w:t xml:space="preserve"> a basis for suggesting that the duty to disclose would include privileged documents including those protected by legal advice privilege, thus breaching a fundamental right of the Secretary of State. It is also difficult to discern how a distinction could in principle be drawn such that litigation privilege </w:t>
      </w:r>
      <w:r w:rsidR="00DC6091">
        <w:rPr>
          <w:rFonts w:ascii="Book Antiqua" w:hAnsi="Book Antiqua"/>
          <w:sz w:val="24"/>
          <w:szCs w:val="24"/>
        </w:rPr>
        <w:t xml:space="preserve">would not apply.  In any event, </w:t>
      </w:r>
      <w:r w:rsidR="009139CC">
        <w:rPr>
          <w:rFonts w:ascii="Book Antiqua" w:hAnsi="Book Antiqua"/>
          <w:sz w:val="24"/>
          <w:szCs w:val="24"/>
        </w:rPr>
        <w:t xml:space="preserve">the safeguards identified at [40] in </w:t>
      </w:r>
      <w:r w:rsidR="009139CC" w:rsidRPr="009139CC">
        <w:rPr>
          <w:rFonts w:ascii="Book Antiqua" w:hAnsi="Book Antiqua"/>
          <w:sz w:val="24"/>
          <w:szCs w:val="24"/>
          <w:u w:val="single"/>
        </w:rPr>
        <w:t>Belhaj</w:t>
      </w:r>
      <w:r w:rsidR="009139CC">
        <w:rPr>
          <w:rFonts w:ascii="Book Antiqua" w:hAnsi="Book Antiqua"/>
          <w:sz w:val="24"/>
          <w:szCs w:val="24"/>
        </w:rPr>
        <w:t xml:space="preserve"> would apply to litigation privilege also</w:t>
      </w:r>
      <w:r w:rsidR="00DC6091">
        <w:rPr>
          <w:rFonts w:ascii="Book Antiqua" w:hAnsi="Book Antiqua"/>
          <w:sz w:val="24"/>
          <w:szCs w:val="24"/>
        </w:rPr>
        <w:t xml:space="preserve">. Further, it would in any particular case require the Secretary of State to make a positive claim of privilege. It would </w:t>
      </w:r>
      <w:r w:rsidR="00DC6091">
        <w:rPr>
          <w:rFonts w:ascii="Book Antiqua" w:hAnsi="Book Antiqua"/>
          <w:sz w:val="24"/>
          <w:szCs w:val="24"/>
        </w:rPr>
        <w:lastRenderedPageBreak/>
        <w:t xml:space="preserve">not be right for the Secretary of State simply not to disclose a document because it was privileged; that fact would in fairness, and in an analogy with the duty of disclosure in civil cases which require their existence to be identified, need to be disclosed. </w:t>
      </w:r>
      <w:r w:rsidR="003919AB">
        <w:rPr>
          <w:rFonts w:ascii="Book Antiqua" w:hAnsi="Book Antiqua"/>
          <w:sz w:val="24"/>
          <w:szCs w:val="24"/>
        </w:rPr>
        <w:t xml:space="preserve"> That is, in any event, not the position here; the document has been identified. </w:t>
      </w:r>
    </w:p>
    <w:p w14:paraId="57B98BE4" w14:textId="2A472EE8" w:rsidR="00D1246E" w:rsidRDefault="006E2A5D"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In the present case, the FtT</w:t>
      </w:r>
      <w:r w:rsidR="00D1246E">
        <w:rPr>
          <w:rFonts w:ascii="Book Antiqua" w:hAnsi="Book Antiqua"/>
          <w:sz w:val="24"/>
          <w:szCs w:val="24"/>
        </w:rPr>
        <w:t xml:space="preserve"> was presented with an email. </w:t>
      </w:r>
      <w:r>
        <w:rPr>
          <w:rFonts w:ascii="Book Antiqua" w:hAnsi="Book Antiqua"/>
          <w:sz w:val="24"/>
          <w:szCs w:val="24"/>
        </w:rPr>
        <w:t>P</w:t>
      </w:r>
      <w:r w:rsidR="00D1246E">
        <w:rPr>
          <w:rFonts w:ascii="Book Antiqua" w:hAnsi="Book Antiqua"/>
          <w:sz w:val="24"/>
          <w:szCs w:val="24"/>
        </w:rPr>
        <w:t xml:space="preserve">ursuant to the </w:t>
      </w:r>
      <w:r w:rsidR="00D567F6">
        <w:rPr>
          <w:rFonts w:ascii="Book Antiqua" w:hAnsi="Book Antiqua"/>
          <w:sz w:val="24"/>
          <w:szCs w:val="24"/>
        </w:rPr>
        <w:t>applicant</w:t>
      </w:r>
      <w:r w:rsidR="00D1246E">
        <w:rPr>
          <w:rFonts w:ascii="Book Antiqua" w:hAnsi="Book Antiqua"/>
          <w:sz w:val="24"/>
          <w:szCs w:val="24"/>
        </w:rPr>
        <w:t>’s duty of candour</w:t>
      </w:r>
      <w:r>
        <w:rPr>
          <w:rFonts w:ascii="Book Antiqua" w:hAnsi="Book Antiqua"/>
          <w:sz w:val="24"/>
          <w:szCs w:val="24"/>
        </w:rPr>
        <w:t>, she ha</w:t>
      </w:r>
      <w:r w:rsidR="00042ACC">
        <w:rPr>
          <w:rFonts w:ascii="Book Antiqua" w:hAnsi="Book Antiqua"/>
          <w:sz w:val="24"/>
          <w:szCs w:val="24"/>
        </w:rPr>
        <w:t>d disclosed</w:t>
      </w:r>
      <w:r>
        <w:rPr>
          <w:rFonts w:ascii="Book Antiqua" w:hAnsi="Book Antiqua"/>
          <w:sz w:val="24"/>
          <w:szCs w:val="24"/>
        </w:rPr>
        <w:t xml:space="preserve"> part of th</w:t>
      </w:r>
      <w:r w:rsidR="00157B84">
        <w:rPr>
          <w:rFonts w:ascii="Book Antiqua" w:hAnsi="Book Antiqua"/>
          <w:sz w:val="24"/>
          <w:szCs w:val="24"/>
        </w:rPr>
        <w:t>at</w:t>
      </w:r>
      <w:r>
        <w:rPr>
          <w:rFonts w:ascii="Book Antiqua" w:hAnsi="Book Antiqua"/>
          <w:sz w:val="24"/>
          <w:szCs w:val="24"/>
        </w:rPr>
        <w:t xml:space="preserve"> email to the interested party</w:t>
      </w:r>
      <w:r w:rsidR="00D1246E">
        <w:rPr>
          <w:rFonts w:ascii="Book Antiqua" w:hAnsi="Book Antiqua"/>
          <w:sz w:val="24"/>
          <w:szCs w:val="24"/>
        </w:rPr>
        <w:t xml:space="preserve">. The </w:t>
      </w:r>
      <w:r>
        <w:rPr>
          <w:rFonts w:ascii="Book Antiqua" w:hAnsi="Book Antiqua"/>
          <w:sz w:val="24"/>
          <w:szCs w:val="24"/>
        </w:rPr>
        <w:t xml:space="preserve">applicant claimed litigation privilege in respect of the redacted part of the email. </w:t>
      </w:r>
    </w:p>
    <w:p w14:paraId="04388000" w14:textId="0A50FBEA" w:rsidR="006E2A5D" w:rsidRDefault="006E2A5D"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How should the FtT have proceeded? As we have seen at paragraph </w:t>
      </w:r>
      <w:r w:rsidR="00917C8E">
        <w:rPr>
          <w:rFonts w:ascii="Book Antiqua" w:hAnsi="Book Antiqua"/>
          <w:sz w:val="24"/>
          <w:szCs w:val="24"/>
        </w:rPr>
        <w:t>[</w:t>
      </w:r>
      <w:r>
        <w:rPr>
          <w:rFonts w:ascii="Book Antiqua" w:hAnsi="Book Antiqua"/>
          <w:sz w:val="24"/>
          <w:szCs w:val="24"/>
        </w:rPr>
        <w:t>16</w:t>
      </w:r>
      <w:r w:rsidR="00917C8E">
        <w:rPr>
          <w:rFonts w:ascii="Book Antiqua" w:hAnsi="Book Antiqua"/>
          <w:sz w:val="24"/>
          <w:szCs w:val="24"/>
        </w:rPr>
        <w:t>]</w:t>
      </w:r>
      <w:r>
        <w:rPr>
          <w:rFonts w:ascii="Book Antiqua" w:hAnsi="Book Antiqua"/>
          <w:sz w:val="24"/>
          <w:szCs w:val="24"/>
        </w:rPr>
        <w:t xml:space="preserve"> above, the FtT based its decision to order disclosure of the unredacted email in part on the fact that it considered there was a discrepancy between Mr Eke’s statement that the unredacted part of the email was not covered by litigation privilege and Ms </w:t>
      </w:r>
      <w:r w:rsidR="00EA13DD">
        <w:rPr>
          <w:rFonts w:ascii="Book Antiqua" w:hAnsi="Book Antiqua"/>
          <w:sz w:val="24"/>
          <w:szCs w:val="24"/>
        </w:rPr>
        <w:t>Patry’</w:t>
      </w:r>
      <w:r>
        <w:rPr>
          <w:rFonts w:ascii="Book Antiqua" w:hAnsi="Book Antiqua"/>
          <w:sz w:val="24"/>
          <w:szCs w:val="24"/>
        </w:rPr>
        <w:t xml:space="preserve">s submission to the FtT that litigation privilege was being waived in respect of the unredacted part. </w:t>
      </w:r>
    </w:p>
    <w:p w14:paraId="06932F22" w14:textId="77777777" w:rsidR="00F43557" w:rsidRPr="00917C8E" w:rsidRDefault="006E2A5D"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The FtT’s reasoning was, however, legally unsound. </w:t>
      </w:r>
      <w:r w:rsidR="00624F42">
        <w:rPr>
          <w:rFonts w:ascii="Book Antiqua" w:hAnsi="Book Antiqua"/>
          <w:sz w:val="24"/>
          <w:szCs w:val="24"/>
        </w:rPr>
        <w:t xml:space="preserve">As [40] of </w:t>
      </w:r>
      <w:r w:rsidR="00624F42" w:rsidRPr="00FF44A7">
        <w:rPr>
          <w:rFonts w:ascii="Book Antiqua" w:hAnsi="Book Antiqua"/>
          <w:sz w:val="24"/>
          <w:szCs w:val="24"/>
          <w:u w:val="single"/>
        </w:rPr>
        <w:t>Belhaj</w:t>
      </w:r>
      <w:r w:rsidR="00624F42" w:rsidRPr="00917C8E">
        <w:rPr>
          <w:rFonts w:ascii="Book Antiqua" w:hAnsi="Book Antiqua"/>
          <w:sz w:val="24"/>
          <w:szCs w:val="24"/>
        </w:rPr>
        <w:t xml:space="preserve"> makes plain, there may well be instances where the duty of candour will require “careful consideration” by the public authority. That consideration may result in a decision to disclose certain information, which has its origins in communications that are subject to litigation privilege. It is for the public authority to decide how to present such information to the other party to the proceedings. Given the nature of litigation privilege, as set out above, the public authority must be afforded considerable latitude in this regard. </w:t>
      </w:r>
    </w:p>
    <w:p w14:paraId="5783E87E" w14:textId="77777777" w:rsidR="006E2A5D" w:rsidRPr="00917C8E" w:rsidRDefault="00624F42"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917C8E">
        <w:rPr>
          <w:rFonts w:ascii="Book Antiqua" w:hAnsi="Book Antiqua"/>
          <w:sz w:val="24"/>
          <w:szCs w:val="24"/>
        </w:rPr>
        <w:t xml:space="preserve">If </w:t>
      </w:r>
      <w:r w:rsidR="00F43557" w:rsidRPr="00917C8E">
        <w:rPr>
          <w:rFonts w:ascii="Book Antiqua" w:hAnsi="Book Antiqua"/>
          <w:sz w:val="24"/>
          <w:szCs w:val="24"/>
        </w:rPr>
        <w:t>the public authority</w:t>
      </w:r>
      <w:r w:rsidRPr="00917C8E">
        <w:rPr>
          <w:rFonts w:ascii="Book Antiqua" w:hAnsi="Book Antiqua"/>
          <w:sz w:val="24"/>
          <w:szCs w:val="24"/>
        </w:rPr>
        <w:t xml:space="preserve"> decides that the most convenient course is to disclose </w:t>
      </w:r>
      <w:r w:rsidR="00F43557" w:rsidRPr="00917C8E">
        <w:rPr>
          <w:rFonts w:ascii="Book Antiqua" w:hAnsi="Book Antiqua"/>
          <w:sz w:val="24"/>
          <w:szCs w:val="24"/>
        </w:rPr>
        <w:t xml:space="preserve">an actual part of a privileged document, that is a matter for it. To anticipate what we say about waiver of privilege, it cannot </w:t>
      </w:r>
      <w:r w:rsidR="0046097F" w:rsidRPr="00917C8E">
        <w:rPr>
          <w:rFonts w:ascii="Book Antiqua" w:hAnsi="Book Antiqua"/>
          <w:sz w:val="24"/>
          <w:szCs w:val="24"/>
        </w:rPr>
        <w:t>be right</w:t>
      </w:r>
      <w:r w:rsidR="00F43557" w:rsidRPr="00917C8E">
        <w:rPr>
          <w:rFonts w:ascii="Book Antiqua" w:hAnsi="Book Antiqua"/>
          <w:sz w:val="24"/>
          <w:szCs w:val="24"/>
        </w:rPr>
        <w:t xml:space="preserve"> that, merely by adopting this course, the public authority has waived privilege in the rest of the document.</w:t>
      </w:r>
    </w:p>
    <w:p w14:paraId="7A7B0C00" w14:textId="77777777" w:rsidR="00F43557" w:rsidRPr="00917C8E" w:rsidRDefault="00F43557"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917C8E">
        <w:rPr>
          <w:rFonts w:ascii="Book Antiqua" w:hAnsi="Book Antiqua"/>
          <w:sz w:val="24"/>
          <w:szCs w:val="24"/>
        </w:rPr>
        <w:t>The</w:t>
      </w:r>
      <w:r w:rsidR="00A50E5F" w:rsidRPr="00917C8E">
        <w:rPr>
          <w:rFonts w:ascii="Book Antiqua" w:hAnsi="Book Antiqua"/>
          <w:sz w:val="24"/>
          <w:szCs w:val="24"/>
        </w:rPr>
        <w:t xml:space="preserve"> </w:t>
      </w:r>
      <w:r w:rsidRPr="00917C8E">
        <w:rPr>
          <w:rFonts w:ascii="Book Antiqua" w:hAnsi="Book Antiqua"/>
          <w:sz w:val="24"/>
          <w:szCs w:val="24"/>
        </w:rPr>
        <w:t xml:space="preserve">answer to the question posed in paragraph </w:t>
      </w:r>
      <w:r w:rsidR="00917C8E" w:rsidRPr="00917C8E">
        <w:rPr>
          <w:rFonts w:ascii="Book Antiqua" w:hAnsi="Book Antiqua"/>
          <w:sz w:val="24"/>
          <w:szCs w:val="24"/>
        </w:rPr>
        <w:t>[</w:t>
      </w:r>
      <w:r w:rsidRPr="00917C8E">
        <w:rPr>
          <w:rFonts w:ascii="Book Antiqua" w:hAnsi="Book Antiqua"/>
          <w:sz w:val="24"/>
          <w:szCs w:val="24"/>
        </w:rPr>
        <w:t>63</w:t>
      </w:r>
      <w:r w:rsidR="00917C8E" w:rsidRPr="00917C8E">
        <w:rPr>
          <w:rFonts w:ascii="Book Antiqua" w:hAnsi="Book Antiqua"/>
          <w:sz w:val="24"/>
          <w:szCs w:val="24"/>
        </w:rPr>
        <w:t>]</w:t>
      </w:r>
      <w:r w:rsidRPr="00917C8E">
        <w:rPr>
          <w:rFonts w:ascii="Book Antiqua" w:hAnsi="Book Antiqua"/>
          <w:sz w:val="24"/>
          <w:szCs w:val="24"/>
        </w:rPr>
        <w:t xml:space="preserve"> is that it simply was irrelevant whether Mr Eke or Ms Patry was right. It was accordingly irrational for the FtT to base its disclosure decision in any way on the fact that both of them could not be right. </w:t>
      </w:r>
      <w:r w:rsidR="007C0846" w:rsidRPr="00917C8E">
        <w:rPr>
          <w:rFonts w:ascii="Book Antiqua" w:hAnsi="Book Antiqua"/>
          <w:sz w:val="24"/>
          <w:szCs w:val="24"/>
        </w:rPr>
        <w:t>Th</w:t>
      </w:r>
      <w:r w:rsidR="009536DF" w:rsidRPr="00917C8E">
        <w:rPr>
          <w:rFonts w:ascii="Book Antiqua" w:hAnsi="Book Antiqua"/>
          <w:sz w:val="24"/>
          <w:szCs w:val="24"/>
        </w:rPr>
        <w:t>is</w:t>
      </w:r>
      <w:r w:rsidR="00BF5C93" w:rsidRPr="00917C8E">
        <w:rPr>
          <w:rFonts w:ascii="Book Antiqua" w:hAnsi="Book Antiqua"/>
          <w:sz w:val="24"/>
          <w:szCs w:val="24"/>
        </w:rPr>
        <w:t xml:space="preserve"> answer</w:t>
      </w:r>
      <w:r w:rsidR="009536DF" w:rsidRPr="00917C8E">
        <w:rPr>
          <w:rFonts w:ascii="Book Antiqua" w:hAnsi="Book Antiqua"/>
          <w:sz w:val="24"/>
          <w:szCs w:val="24"/>
        </w:rPr>
        <w:t>, however,</w:t>
      </w:r>
      <w:r w:rsidR="00BF5C93" w:rsidRPr="00917C8E">
        <w:rPr>
          <w:rFonts w:ascii="Book Antiqua" w:hAnsi="Book Antiqua"/>
          <w:sz w:val="24"/>
          <w:szCs w:val="24"/>
        </w:rPr>
        <w:t xml:space="preserve"> needs some unpacking.</w:t>
      </w:r>
    </w:p>
    <w:p w14:paraId="5D886139" w14:textId="3780B687" w:rsidR="00C119F5" w:rsidRPr="00510712" w:rsidRDefault="00C119F5" w:rsidP="00C119F5">
      <w:pPr>
        <w:pStyle w:val="ListParagraph"/>
        <w:numPr>
          <w:ilvl w:val="0"/>
          <w:numId w:val="5"/>
        </w:numPr>
        <w:spacing w:line="240" w:lineRule="auto"/>
        <w:ind w:left="567" w:hanging="567"/>
        <w:contextualSpacing w:val="0"/>
        <w:jc w:val="both"/>
        <w:rPr>
          <w:rFonts w:ascii="Book Antiqua" w:hAnsi="Book Antiqua"/>
          <w:sz w:val="24"/>
          <w:szCs w:val="24"/>
        </w:rPr>
      </w:pPr>
      <w:r w:rsidRPr="00510712">
        <w:rPr>
          <w:rFonts w:ascii="Book Antiqua" w:hAnsi="Book Antiqua"/>
          <w:sz w:val="24"/>
          <w:szCs w:val="24"/>
        </w:rPr>
        <w:t xml:space="preserve">We accept that </w:t>
      </w:r>
      <w:r w:rsidR="00726CED">
        <w:rPr>
          <w:rFonts w:ascii="Book Antiqua" w:hAnsi="Book Antiqua"/>
          <w:sz w:val="24"/>
          <w:szCs w:val="24"/>
        </w:rPr>
        <w:t>it is f</w:t>
      </w:r>
      <w:r w:rsidRPr="00510712">
        <w:rPr>
          <w:rFonts w:ascii="Book Antiqua" w:hAnsi="Book Antiqua"/>
          <w:sz w:val="24"/>
          <w:szCs w:val="24"/>
        </w:rPr>
        <w:t xml:space="preserve">or the party </w:t>
      </w:r>
      <w:r w:rsidR="00726CED">
        <w:rPr>
          <w:rFonts w:ascii="Book Antiqua" w:hAnsi="Book Antiqua"/>
          <w:sz w:val="24"/>
          <w:szCs w:val="24"/>
        </w:rPr>
        <w:t>claiming</w:t>
      </w:r>
      <w:r w:rsidR="00726CED" w:rsidRPr="00510712">
        <w:rPr>
          <w:rFonts w:ascii="Book Antiqua" w:hAnsi="Book Antiqua"/>
          <w:sz w:val="24"/>
          <w:szCs w:val="24"/>
        </w:rPr>
        <w:t xml:space="preserve"> </w:t>
      </w:r>
      <w:r w:rsidRPr="00510712">
        <w:rPr>
          <w:rFonts w:ascii="Book Antiqua" w:hAnsi="Book Antiqua"/>
          <w:sz w:val="24"/>
          <w:szCs w:val="24"/>
        </w:rPr>
        <w:t xml:space="preserve">privilege to </w:t>
      </w:r>
      <w:r w:rsidR="00726CED">
        <w:rPr>
          <w:rFonts w:ascii="Book Antiqua" w:hAnsi="Book Antiqua"/>
          <w:sz w:val="24"/>
          <w:szCs w:val="24"/>
        </w:rPr>
        <w:t>show it applies</w:t>
      </w:r>
      <w:r w:rsidRPr="00510712">
        <w:rPr>
          <w:rFonts w:ascii="Book Antiqua" w:hAnsi="Book Antiqua"/>
          <w:sz w:val="24"/>
          <w:szCs w:val="24"/>
        </w:rPr>
        <w:t xml:space="preserve">, and that close scrutiny </w:t>
      </w:r>
      <w:r w:rsidR="00726CED">
        <w:rPr>
          <w:rFonts w:ascii="Book Antiqua" w:hAnsi="Book Antiqua"/>
          <w:sz w:val="24"/>
          <w:szCs w:val="24"/>
        </w:rPr>
        <w:t>will be exercised in examining that claim</w:t>
      </w:r>
      <w:r w:rsidRPr="00510712">
        <w:rPr>
          <w:rFonts w:ascii="Book Antiqua" w:hAnsi="Book Antiqua"/>
          <w:sz w:val="24"/>
          <w:szCs w:val="24"/>
        </w:rPr>
        <w:t xml:space="preserve">.  But the need for close scrutiny and the form it takes, arise from the need to show that the document came into being with the dominant purpose of litigation which was then in reasonable contemplation. </w:t>
      </w:r>
      <w:r>
        <w:rPr>
          <w:rFonts w:ascii="Book Antiqua" w:hAnsi="Book Antiqua"/>
          <w:sz w:val="24"/>
          <w:szCs w:val="24"/>
        </w:rPr>
        <w:t xml:space="preserve"> What was found to be insufficient in </w:t>
      </w:r>
      <w:r w:rsidRPr="00510712">
        <w:rPr>
          <w:rFonts w:ascii="Book Antiqua" w:hAnsi="Book Antiqua"/>
          <w:sz w:val="24"/>
          <w:szCs w:val="24"/>
          <w:u w:val="single"/>
        </w:rPr>
        <w:t>Starbe</w:t>
      </w:r>
      <w:r w:rsidR="00651F11">
        <w:rPr>
          <w:rFonts w:ascii="Book Antiqua" w:hAnsi="Book Antiqua"/>
          <w:sz w:val="24"/>
          <w:szCs w:val="24"/>
          <w:u w:val="single"/>
        </w:rPr>
        <w:t>v</w:t>
      </w:r>
      <w:r w:rsidRPr="00510712">
        <w:rPr>
          <w:rFonts w:ascii="Book Antiqua" w:hAnsi="Book Antiqua"/>
          <w:sz w:val="24"/>
          <w:szCs w:val="24"/>
          <w:u w:val="single"/>
        </w:rPr>
        <w:t xml:space="preserve"> GP Ltd v Inter</w:t>
      </w:r>
      <w:r w:rsidR="00917C8E">
        <w:rPr>
          <w:rFonts w:ascii="Book Antiqua" w:hAnsi="Book Antiqua"/>
          <w:sz w:val="24"/>
          <w:szCs w:val="24"/>
          <w:u w:val="single"/>
        </w:rPr>
        <w:t>br</w:t>
      </w:r>
      <w:r w:rsidRPr="00510712">
        <w:rPr>
          <w:rFonts w:ascii="Book Antiqua" w:hAnsi="Book Antiqua"/>
          <w:sz w:val="24"/>
          <w:szCs w:val="24"/>
          <w:u w:val="single"/>
        </w:rPr>
        <w:t>ew Central European Holdings BV</w:t>
      </w:r>
      <w:r w:rsidRPr="00510712">
        <w:rPr>
          <w:rFonts w:ascii="Book Antiqua" w:hAnsi="Book Antiqua"/>
          <w:sz w:val="24"/>
          <w:szCs w:val="24"/>
        </w:rPr>
        <w:t xml:space="preserve"> [2013] EWHC 4038 and </w:t>
      </w:r>
      <w:r w:rsidRPr="00510712">
        <w:rPr>
          <w:rFonts w:ascii="Book Antiqua" w:hAnsi="Book Antiqua"/>
          <w:sz w:val="24"/>
          <w:szCs w:val="24"/>
          <w:u w:val="single"/>
        </w:rPr>
        <w:t>A</w:t>
      </w:r>
      <w:r w:rsidR="00651F11">
        <w:rPr>
          <w:rFonts w:ascii="Book Antiqua" w:hAnsi="Book Antiqua"/>
          <w:sz w:val="24"/>
          <w:szCs w:val="24"/>
          <w:u w:val="single"/>
        </w:rPr>
        <w:t>s</w:t>
      </w:r>
      <w:r w:rsidRPr="00510712">
        <w:rPr>
          <w:rFonts w:ascii="Book Antiqua" w:hAnsi="Book Antiqua"/>
          <w:sz w:val="24"/>
          <w:szCs w:val="24"/>
          <w:u w:val="single"/>
        </w:rPr>
        <w:t>te</w:t>
      </w:r>
      <w:r w:rsidR="00651F11">
        <w:rPr>
          <w:rFonts w:ascii="Book Antiqua" w:hAnsi="Book Antiqua"/>
          <w:sz w:val="24"/>
          <w:szCs w:val="24"/>
          <w:u w:val="single"/>
        </w:rPr>
        <w:t>x</w:t>
      </w:r>
      <w:r w:rsidRPr="00510712">
        <w:rPr>
          <w:rFonts w:ascii="Book Antiqua" w:hAnsi="Book Antiqua"/>
          <w:sz w:val="24"/>
          <w:szCs w:val="24"/>
          <w:u w:val="single"/>
        </w:rPr>
        <w:t xml:space="preserve"> Therapeutics Limited v Astra</w:t>
      </w:r>
      <w:r w:rsidR="00651F11">
        <w:rPr>
          <w:rFonts w:ascii="Book Antiqua" w:hAnsi="Book Antiqua"/>
          <w:sz w:val="24"/>
          <w:szCs w:val="24"/>
          <w:u w:val="single"/>
        </w:rPr>
        <w:t xml:space="preserve"> Z</w:t>
      </w:r>
      <w:r w:rsidRPr="00510712">
        <w:rPr>
          <w:rFonts w:ascii="Book Antiqua" w:hAnsi="Book Antiqua"/>
          <w:sz w:val="24"/>
          <w:szCs w:val="24"/>
          <w:u w:val="single"/>
        </w:rPr>
        <w:t>eneca AB</w:t>
      </w:r>
      <w:r w:rsidRPr="00042ACC">
        <w:rPr>
          <w:rFonts w:ascii="Book Antiqua" w:hAnsi="Book Antiqua"/>
          <w:sz w:val="24"/>
          <w:szCs w:val="24"/>
        </w:rPr>
        <w:t xml:space="preserve"> </w:t>
      </w:r>
      <w:r w:rsidRPr="00510712">
        <w:rPr>
          <w:rFonts w:ascii="Book Antiqua" w:hAnsi="Book Antiqua"/>
          <w:sz w:val="24"/>
          <w:szCs w:val="24"/>
        </w:rPr>
        <w:t xml:space="preserve">[2016] EWHC 2759 </w:t>
      </w:r>
      <w:r>
        <w:rPr>
          <w:rFonts w:ascii="Book Antiqua" w:hAnsi="Book Antiqua"/>
          <w:sz w:val="24"/>
          <w:szCs w:val="24"/>
        </w:rPr>
        <w:t>w</w:t>
      </w:r>
      <w:r w:rsidR="00CC576F">
        <w:rPr>
          <w:rFonts w:ascii="Book Antiqua" w:hAnsi="Book Antiqua"/>
          <w:sz w:val="24"/>
          <w:szCs w:val="24"/>
        </w:rPr>
        <w:t>ere</w:t>
      </w:r>
      <w:r>
        <w:rPr>
          <w:rFonts w:ascii="Book Antiqua" w:hAnsi="Book Antiqua"/>
          <w:sz w:val="24"/>
          <w:szCs w:val="24"/>
        </w:rPr>
        <w:t xml:space="preserve"> </w:t>
      </w:r>
      <w:r w:rsidRPr="00510712">
        <w:rPr>
          <w:rFonts w:ascii="Book Antiqua" w:hAnsi="Book Antiqua"/>
          <w:sz w:val="24"/>
          <w:szCs w:val="24"/>
        </w:rPr>
        <w:t xml:space="preserve">vague statements such as </w:t>
      </w:r>
      <w:r>
        <w:rPr>
          <w:rFonts w:ascii="Book Antiqua" w:hAnsi="Book Antiqua"/>
          <w:sz w:val="24"/>
          <w:szCs w:val="24"/>
        </w:rPr>
        <w:t>“</w:t>
      </w:r>
      <w:r w:rsidR="00FF44A7">
        <w:rPr>
          <w:rFonts w:ascii="Book Antiqua" w:hAnsi="Book Antiqua"/>
          <w:sz w:val="24"/>
          <w:szCs w:val="24"/>
        </w:rPr>
        <w:t xml:space="preserve">documents which are by </w:t>
      </w:r>
      <w:r w:rsidRPr="00510712">
        <w:rPr>
          <w:rFonts w:ascii="Book Antiqua" w:hAnsi="Book Antiqua"/>
          <w:sz w:val="24"/>
          <w:szCs w:val="24"/>
        </w:rPr>
        <w:t>their nature priv</w:t>
      </w:r>
      <w:r>
        <w:rPr>
          <w:rFonts w:ascii="Book Antiqua" w:hAnsi="Book Antiqua"/>
          <w:sz w:val="24"/>
          <w:szCs w:val="24"/>
        </w:rPr>
        <w:t>i</w:t>
      </w:r>
      <w:r w:rsidRPr="00510712">
        <w:rPr>
          <w:rFonts w:ascii="Book Antiqua" w:hAnsi="Book Antiqua"/>
          <w:sz w:val="24"/>
          <w:szCs w:val="24"/>
        </w:rPr>
        <w:t>l</w:t>
      </w:r>
      <w:r>
        <w:rPr>
          <w:rFonts w:ascii="Book Antiqua" w:hAnsi="Book Antiqua"/>
          <w:sz w:val="24"/>
          <w:szCs w:val="24"/>
        </w:rPr>
        <w:t>e</w:t>
      </w:r>
      <w:r w:rsidRPr="00510712">
        <w:rPr>
          <w:rFonts w:ascii="Book Antiqua" w:hAnsi="Book Antiqua"/>
          <w:sz w:val="24"/>
          <w:szCs w:val="24"/>
        </w:rPr>
        <w:t>ged</w:t>
      </w:r>
      <w:r>
        <w:rPr>
          <w:rFonts w:ascii="Book Antiqua" w:hAnsi="Book Antiqua"/>
          <w:sz w:val="24"/>
          <w:szCs w:val="24"/>
        </w:rPr>
        <w:t>”</w:t>
      </w:r>
      <w:r w:rsidRPr="00510712">
        <w:rPr>
          <w:rFonts w:ascii="Book Antiqua" w:hAnsi="Book Antiqua"/>
          <w:sz w:val="24"/>
          <w:szCs w:val="24"/>
        </w:rPr>
        <w:t xml:space="preserve">. That </w:t>
      </w:r>
      <w:r>
        <w:rPr>
          <w:rFonts w:ascii="Book Antiqua" w:hAnsi="Book Antiqua"/>
          <w:sz w:val="24"/>
          <w:szCs w:val="24"/>
        </w:rPr>
        <w:t>d</w:t>
      </w:r>
      <w:r w:rsidR="00F85F45">
        <w:rPr>
          <w:rFonts w:ascii="Book Antiqua" w:hAnsi="Book Antiqua"/>
          <w:sz w:val="24"/>
          <w:szCs w:val="24"/>
        </w:rPr>
        <w:t>id</w:t>
      </w:r>
      <w:r>
        <w:rPr>
          <w:rFonts w:ascii="Book Antiqua" w:hAnsi="Book Antiqua"/>
          <w:sz w:val="24"/>
          <w:szCs w:val="24"/>
        </w:rPr>
        <w:t xml:space="preserve"> not explain why or how they satisfied the requirement to have a dominant purpose of litigation and to have been created once that was reasonably contemplat</w:t>
      </w:r>
      <w:r w:rsidR="00917C8E">
        <w:rPr>
          <w:rFonts w:ascii="Book Antiqua" w:hAnsi="Book Antiqua"/>
          <w:sz w:val="24"/>
          <w:szCs w:val="24"/>
        </w:rPr>
        <w:t xml:space="preserve">ed. That is </w:t>
      </w:r>
      <w:r w:rsidR="00917C8E" w:rsidRPr="00510712">
        <w:rPr>
          <w:rFonts w:ascii="Book Antiqua" w:hAnsi="Book Antiqua"/>
          <w:sz w:val="24"/>
          <w:szCs w:val="24"/>
        </w:rPr>
        <w:t>significantly different from what was set out</w:t>
      </w:r>
      <w:r w:rsidR="00917C8E">
        <w:rPr>
          <w:rFonts w:ascii="Book Antiqua" w:hAnsi="Book Antiqua"/>
          <w:sz w:val="24"/>
          <w:szCs w:val="24"/>
        </w:rPr>
        <w:t xml:space="preserve"> in the witness statement here</w:t>
      </w:r>
      <w:r w:rsidR="00D567F6">
        <w:rPr>
          <w:rFonts w:ascii="Book Antiqua" w:hAnsi="Book Antiqua"/>
          <w:sz w:val="24"/>
          <w:szCs w:val="24"/>
        </w:rPr>
        <w:t>.</w:t>
      </w:r>
    </w:p>
    <w:p w14:paraId="5406A00C" w14:textId="77777777" w:rsidR="00C119F5" w:rsidRPr="002F7CA1" w:rsidRDefault="00C119F5" w:rsidP="00C119F5">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lastRenderedPageBreak/>
        <w:t xml:space="preserve">Careful attention should be given to what </w:t>
      </w:r>
      <w:r w:rsidRPr="002F7CA1">
        <w:rPr>
          <w:rFonts w:ascii="Book Antiqua" w:hAnsi="Book Antiqua"/>
          <w:sz w:val="24"/>
          <w:szCs w:val="24"/>
        </w:rPr>
        <w:t>Beatson J</w:t>
      </w:r>
      <w:r w:rsidR="00CC576F">
        <w:rPr>
          <w:rFonts w:ascii="Book Antiqua" w:hAnsi="Book Antiqua"/>
          <w:sz w:val="24"/>
          <w:szCs w:val="24"/>
        </w:rPr>
        <w:t xml:space="preserve"> (as he then was)</w:t>
      </w:r>
      <w:r w:rsidRPr="002F7CA1">
        <w:rPr>
          <w:rFonts w:ascii="Book Antiqua" w:hAnsi="Book Antiqua"/>
          <w:sz w:val="24"/>
          <w:szCs w:val="24"/>
        </w:rPr>
        <w:t xml:space="preserve"> held in </w:t>
      </w:r>
      <w:r w:rsidRPr="00FC2241">
        <w:rPr>
          <w:rFonts w:ascii="Book Antiqua" w:hAnsi="Book Antiqua"/>
          <w:sz w:val="24"/>
          <w:szCs w:val="24"/>
          <w:u w:val="single"/>
        </w:rPr>
        <w:t>West London Pipeline</w:t>
      </w:r>
      <w:r w:rsidRPr="003919AB">
        <w:rPr>
          <w:rFonts w:ascii="Book Antiqua" w:hAnsi="Book Antiqua"/>
          <w:sz w:val="24"/>
          <w:szCs w:val="24"/>
        </w:rPr>
        <w:t xml:space="preserve"> [</w:t>
      </w:r>
      <w:r>
        <w:rPr>
          <w:rFonts w:ascii="Book Antiqua" w:hAnsi="Book Antiqua"/>
          <w:sz w:val="24"/>
          <w:szCs w:val="24"/>
        </w:rPr>
        <w:t>2008] EWHC 1729</w:t>
      </w:r>
      <w:r w:rsidRPr="002F7CA1">
        <w:rPr>
          <w:rFonts w:ascii="Book Antiqua" w:hAnsi="Book Antiqua"/>
          <w:sz w:val="24"/>
          <w:szCs w:val="24"/>
        </w:rPr>
        <w:t xml:space="preserve"> </w:t>
      </w:r>
      <w:r>
        <w:rPr>
          <w:rFonts w:ascii="Book Antiqua" w:hAnsi="Book Antiqua"/>
          <w:sz w:val="24"/>
          <w:szCs w:val="24"/>
        </w:rPr>
        <w:t xml:space="preserve">at </w:t>
      </w:r>
      <w:r w:rsidRPr="002F7CA1">
        <w:rPr>
          <w:rFonts w:ascii="Book Antiqua" w:hAnsi="Book Antiqua"/>
          <w:sz w:val="24"/>
          <w:szCs w:val="24"/>
        </w:rPr>
        <w:t>[53]:</w:t>
      </w:r>
    </w:p>
    <w:p w14:paraId="1D36CC1F" w14:textId="77777777" w:rsidR="00C119F5" w:rsidRPr="00FC2241" w:rsidRDefault="00C119F5" w:rsidP="00C119F5">
      <w:pPr>
        <w:ind w:left="851"/>
        <w:jc w:val="both"/>
        <w:rPr>
          <w:rFonts w:ascii="Book Antiqua" w:hAnsi="Book Antiqua"/>
          <w:color w:val="000000" w:themeColor="text1"/>
        </w:rPr>
      </w:pPr>
      <w:r w:rsidRPr="00FC2241">
        <w:rPr>
          <w:rFonts w:ascii="Book Antiqua" w:hAnsi="Book Antiqua"/>
          <w:color w:val="000000" w:themeColor="text1"/>
        </w:rPr>
        <w:t xml:space="preserve">Thus, affidavits claiming privilege whether sworn by the legal advisers to the party claiming privilege as is often the case, or, as in this case, by a Director of the party, should be specific enough to show something of the deponent's analysis of the documents or, in the case of a claim to litigation privilege, the purpose for which they were created. It is desirable that they should refer to such contemporary material as it is possible to do so without making disclosure of the very matters that the claim for privilege is designed to protect. On the need for specificity in such affidavits, see for example, Andrew Smith J in </w:t>
      </w:r>
      <w:r w:rsidRPr="00FC2241">
        <w:rPr>
          <w:rFonts w:ascii="Book Antiqua" w:hAnsi="Book Antiqua"/>
          <w:i/>
          <w:iCs/>
          <w:color w:val="000000" w:themeColor="text1"/>
        </w:rPr>
        <w:t xml:space="preserve">Sumitomo Corp v Credit Lyonnais Rouse Ltd </w:t>
      </w:r>
      <w:r w:rsidRPr="00FC2241">
        <w:rPr>
          <w:rFonts w:ascii="Book Antiqua" w:hAnsi="Book Antiqua"/>
          <w:color w:val="000000" w:themeColor="text1"/>
        </w:rPr>
        <w:t xml:space="preserve">[2001] 151 NLJ 272 at [39], referred to without criticism by the Court of Appeal </w:t>
      </w:r>
      <w:hyperlink r:id="rId21" w:tooltip="Link to BAILII version" w:history="1">
        <w:r w:rsidRPr="00042ACC">
          <w:rPr>
            <w:rStyle w:val="Hyperlink"/>
            <w:rFonts w:ascii="Book Antiqua" w:hAnsi="Book Antiqua"/>
            <w:color w:val="000000" w:themeColor="text1"/>
            <w:u w:val="none"/>
          </w:rPr>
          <w:t>[2002] 1 WLR 479</w:t>
        </w:r>
      </w:hyperlink>
      <w:r w:rsidRPr="00FC2241">
        <w:rPr>
          <w:rFonts w:ascii="Book Antiqua" w:hAnsi="Book Antiqua"/>
          <w:color w:val="000000" w:themeColor="text1"/>
        </w:rPr>
        <w:t xml:space="preserve"> at [28], although the court did not (see [81]) consider the criticisms of the affidavit in that case were justified.  </w:t>
      </w:r>
    </w:p>
    <w:p w14:paraId="5A4179FB" w14:textId="3A994CC4" w:rsidR="00C119F5" w:rsidRPr="00832EE2" w:rsidRDefault="00C119F5" w:rsidP="00C119F5">
      <w:pPr>
        <w:pStyle w:val="ListParagraph"/>
        <w:numPr>
          <w:ilvl w:val="0"/>
          <w:numId w:val="5"/>
        </w:numPr>
        <w:spacing w:after="0" w:line="240" w:lineRule="auto"/>
        <w:ind w:left="567" w:hanging="567"/>
        <w:contextualSpacing w:val="0"/>
        <w:jc w:val="both"/>
        <w:rPr>
          <w:rFonts w:ascii="Times New Roman" w:eastAsia="Times New Roman" w:hAnsi="Times New Roman" w:cs="Times New Roman"/>
          <w:sz w:val="24"/>
          <w:szCs w:val="24"/>
          <w:lang w:eastAsia="en-GB" w:bidi="ar-SA"/>
        </w:rPr>
      </w:pPr>
      <w:r w:rsidRPr="00B970B0">
        <w:rPr>
          <w:rFonts w:ascii="Book Antiqua" w:hAnsi="Book Antiqua"/>
          <w:sz w:val="24"/>
          <w:szCs w:val="24"/>
        </w:rPr>
        <w:t xml:space="preserve">It is evident from </w:t>
      </w:r>
      <w:r w:rsidRPr="00456FA1">
        <w:rPr>
          <w:rFonts w:ascii="Book Antiqua" w:hAnsi="Book Antiqua"/>
          <w:sz w:val="24"/>
          <w:szCs w:val="24"/>
          <w:u w:val="single"/>
        </w:rPr>
        <w:t>Sumitomo</w:t>
      </w:r>
      <w:r w:rsidR="00651F11">
        <w:rPr>
          <w:rFonts w:ascii="Book Antiqua" w:hAnsi="Book Antiqua"/>
          <w:sz w:val="24"/>
          <w:szCs w:val="24"/>
          <w:u w:val="single"/>
        </w:rPr>
        <w:t xml:space="preserve"> </w:t>
      </w:r>
      <w:r w:rsidR="00917C8E">
        <w:rPr>
          <w:rFonts w:ascii="Book Antiqua" w:hAnsi="Book Antiqua"/>
          <w:sz w:val="24"/>
          <w:szCs w:val="24"/>
          <w:u w:val="single"/>
        </w:rPr>
        <w:t>Corp v Credit Lyonnais Rouse Ltd</w:t>
      </w:r>
      <w:r w:rsidR="00726CED">
        <w:rPr>
          <w:rFonts w:ascii="Book Antiqua" w:hAnsi="Book Antiqua"/>
          <w:sz w:val="24"/>
          <w:szCs w:val="24"/>
        </w:rPr>
        <w:t xml:space="preserve"> </w:t>
      </w:r>
      <w:r w:rsidR="00917C8E" w:rsidRPr="000F04A4">
        <w:rPr>
          <w:rFonts w:ascii="Book Antiqua" w:hAnsi="Book Antiqua"/>
          <w:sz w:val="24"/>
          <w:szCs w:val="24"/>
        </w:rPr>
        <w:t>[2001] 151 NLJ 272</w:t>
      </w:r>
      <w:r w:rsidRPr="00B970B0">
        <w:rPr>
          <w:rFonts w:ascii="Book Antiqua" w:hAnsi="Book Antiqua"/>
          <w:sz w:val="24"/>
          <w:szCs w:val="24"/>
        </w:rPr>
        <w:t xml:space="preserve"> that </w:t>
      </w:r>
      <w:r w:rsidR="00726CED">
        <w:rPr>
          <w:rFonts w:ascii="Book Antiqua" w:hAnsi="Book Antiqua"/>
          <w:sz w:val="24"/>
          <w:szCs w:val="24"/>
        </w:rPr>
        <w:t xml:space="preserve">the </w:t>
      </w:r>
      <w:r w:rsidRPr="00B970B0">
        <w:rPr>
          <w:rFonts w:ascii="Book Antiqua" w:hAnsi="Book Antiqua"/>
          <w:sz w:val="24"/>
          <w:szCs w:val="24"/>
        </w:rPr>
        <w:t xml:space="preserve">key issue was when the documents came into being, that is, at a time when litigation was in contemplation. There is no indication of an enquiry into the veracity or reliability of the witness statement or affidavit. The need for “anxious scrutiny”, that is, a close enquiry into </w:t>
      </w:r>
      <w:r w:rsidR="00D567F6">
        <w:rPr>
          <w:rFonts w:ascii="Book Antiqua" w:hAnsi="Book Antiqua"/>
          <w:sz w:val="24"/>
          <w:szCs w:val="24"/>
        </w:rPr>
        <w:t xml:space="preserve">what is prima facie established, arises </w:t>
      </w:r>
      <w:r w:rsidRPr="00B970B0">
        <w:rPr>
          <w:rFonts w:ascii="Book Antiqua" w:hAnsi="Book Antiqua"/>
          <w:sz w:val="24"/>
          <w:szCs w:val="24"/>
        </w:rPr>
        <w:t xml:space="preserve">because of the difficulty in going behind </w:t>
      </w:r>
      <w:r w:rsidR="00D567F6">
        <w:rPr>
          <w:rFonts w:ascii="Book Antiqua" w:hAnsi="Book Antiqua"/>
          <w:sz w:val="24"/>
          <w:szCs w:val="24"/>
        </w:rPr>
        <w:t>any statement</w:t>
      </w:r>
      <w:r w:rsidRPr="00B970B0">
        <w:rPr>
          <w:rFonts w:ascii="Book Antiqua" w:hAnsi="Book Antiqua"/>
          <w:sz w:val="24"/>
          <w:szCs w:val="24"/>
        </w:rPr>
        <w:t xml:space="preserve"> without, we consider, evidence from the maker</w:t>
      </w:r>
      <w:r w:rsidR="00D567F6">
        <w:rPr>
          <w:rFonts w:ascii="Book Antiqua" w:hAnsi="Book Antiqua"/>
          <w:sz w:val="24"/>
          <w:szCs w:val="24"/>
        </w:rPr>
        <w:t>,</w:t>
      </w:r>
      <w:r w:rsidRPr="00B970B0">
        <w:rPr>
          <w:rFonts w:ascii="Book Antiqua" w:hAnsi="Book Antiqua"/>
          <w:sz w:val="24"/>
          <w:szCs w:val="24"/>
        </w:rPr>
        <w:t xml:space="preserve"> subject</w:t>
      </w:r>
      <w:r w:rsidR="00D567F6">
        <w:rPr>
          <w:rFonts w:ascii="Book Antiqua" w:hAnsi="Book Antiqua"/>
          <w:sz w:val="24"/>
          <w:szCs w:val="24"/>
        </w:rPr>
        <w:t>ed</w:t>
      </w:r>
      <w:r w:rsidRPr="00B970B0">
        <w:rPr>
          <w:rFonts w:ascii="Book Antiqua" w:hAnsi="Book Antiqua"/>
          <w:sz w:val="24"/>
          <w:szCs w:val="24"/>
        </w:rPr>
        <w:t xml:space="preserve"> to cross-examination</w:t>
      </w:r>
      <w:r w:rsidR="00D567F6">
        <w:rPr>
          <w:rFonts w:ascii="Book Antiqua" w:hAnsi="Book Antiqua"/>
          <w:sz w:val="24"/>
          <w:szCs w:val="24"/>
        </w:rPr>
        <w:t xml:space="preserve">. That would not usually occur. </w:t>
      </w:r>
    </w:p>
    <w:p w14:paraId="1CF17F48" w14:textId="77777777" w:rsidR="00C119F5" w:rsidRPr="00832EE2" w:rsidRDefault="00C119F5" w:rsidP="00C119F5">
      <w:pPr>
        <w:pStyle w:val="ListParagraph"/>
        <w:spacing w:after="0" w:line="240" w:lineRule="auto"/>
        <w:ind w:left="567"/>
        <w:contextualSpacing w:val="0"/>
        <w:jc w:val="both"/>
        <w:rPr>
          <w:rFonts w:ascii="Times New Roman" w:eastAsia="Times New Roman" w:hAnsi="Times New Roman" w:cs="Times New Roman"/>
          <w:sz w:val="24"/>
          <w:szCs w:val="24"/>
          <w:lang w:eastAsia="en-GB" w:bidi="ar-SA"/>
        </w:rPr>
      </w:pPr>
    </w:p>
    <w:p w14:paraId="77ACB29D" w14:textId="77777777" w:rsidR="00C119F5"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Pr>
          <w:rFonts w:ascii="Book Antiqua" w:hAnsi="Book Antiqua"/>
          <w:sz w:val="24"/>
          <w:szCs w:val="24"/>
        </w:rPr>
        <w:t xml:space="preserve">While the interested party seeks to rely on </w:t>
      </w:r>
      <w:r w:rsidRPr="00820FF0">
        <w:rPr>
          <w:rFonts w:ascii="Book Antiqua" w:hAnsi="Book Antiqua"/>
          <w:sz w:val="24"/>
          <w:szCs w:val="24"/>
          <w:u w:val="single"/>
        </w:rPr>
        <w:t>A</w:t>
      </w:r>
      <w:r>
        <w:rPr>
          <w:rFonts w:ascii="Book Antiqua" w:hAnsi="Book Antiqua"/>
          <w:sz w:val="24"/>
          <w:szCs w:val="24"/>
          <w:u w:val="single"/>
        </w:rPr>
        <w:t>X</w:t>
      </w:r>
      <w:r w:rsidRPr="00820FF0">
        <w:rPr>
          <w:rFonts w:ascii="Book Antiqua" w:hAnsi="Book Antiqua"/>
          <w:sz w:val="24"/>
          <w:szCs w:val="24"/>
          <w:u w:val="single"/>
        </w:rPr>
        <w:t>A Seguros De CV v Allianz Insurance PLC</w:t>
      </w:r>
      <w:r>
        <w:rPr>
          <w:rFonts w:ascii="Book Antiqua" w:hAnsi="Book Antiqua"/>
          <w:sz w:val="24"/>
          <w:szCs w:val="24"/>
        </w:rPr>
        <w:t xml:space="preserve"> [2011] EWHC 1729 in support of the FtT’s approach we do not consider that, properly read, it assists him.  The relevant passage is at [14]:</w:t>
      </w:r>
    </w:p>
    <w:p w14:paraId="1A32C2E6" w14:textId="77777777" w:rsidR="00042ACC" w:rsidRDefault="00042ACC" w:rsidP="002879AC">
      <w:pPr>
        <w:spacing w:after="0" w:line="240" w:lineRule="auto"/>
        <w:ind w:left="851"/>
        <w:jc w:val="both"/>
        <w:rPr>
          <w:rFonts w:ascii="Book Antiqua" w:hAnsi="Book Antiqua"/>
          <w:color w:val="000000" w:themeColor="text1"/>
        </w:rPr>
      </w:pPr>
    </w:p>
    <w:p w14:paraId="23D78BFB" w14:textId="07DF3CF9" w:rsidR="00C119F5" w:rsidRPr="00832EE2" w:rsidRDefault="00C119F5" w:rsidP="002879AC">
      <w:pPr>
        <w:spacing w:after="0" w:line="240" w:lineRule="auto"/>
        <w:ind w:left="851"/>
        <w:jc w:val="both"/>
        <w:rPr>
          <w:rFonts w:ascii="Book Antiqua" w:hAnsi="Book Antiqua"/>
          <w:color w:val="000000" w:themeColor="text1"/>
          <w:sz w:val="24"/>
          <w:szCs w:val="24"/>
        </w:rPr>
      </w:pPr>
      <w:r w:rsidRPr="00832EE2">
        <w:rPr>
          <w:rFonts w:ascii="Book Antiqua" w:hAnsi="Book Antiqua"/>
          <w:color w:val="000000" w:themeColor="text1"/>
        </w:rPr>
        <w:t xml:space="preserve">An affidavit which sets out a claim for privilege by stating the alleged purpose of the communication is not conclusive where it is appears from other evidence that the characterisation of the documentation is misconceived. The court must consider the issue in the light of all the evidence including, but not limited to any statement of purpose. Whether or not litigation is reasonably in prospect is an objective question, on which, again, the views of any deponent are not necessarily conclusive: see </w:t>
      </w:r>
      <w:hyperlink r:id="rId22" w:history="1">
        <w:r w:rsidRPr="00042ACC">
          <w:rPr>
            <w:rStyle w:val="Hyperlink"/>
            <w:rFonts w:ascii="Book Antiqua" w:hAnsi="Book Antiqua"/>
            <w:i/>
            <w:iCs/>
            <w:color w:val="000000" w:themeColor="text1"/>
            <w:u w:val="none"/>
          </w:rPr>
          <w:t>Guinness Peat Properties Ltd v Fitzroy Robinson Partnership [1987] 1 WLR 1027</w:t>
        </w:r>
      </w:hyperlink>
    </w:p>
    <w:p w14:paraId="1F21DF2C" w14:textId="77777777" w:rsidR="00C119F5" w:rsidRPr="00820FF0" w:rsidRDefault="00C119F5" w:rsidP="00C119F5">
      <w:pPr>
        <w:pStyle w:val="ListParagraph"/>
        <w:rPr>
          <w:rFonts w:ascii="Book Antiqua" w:hAnsi="Book Antiqua"/>
          <w:sz w:val="24"/>
          <w:szCs w:val="24"/>
        </w:rPr>
      </w:pPr>
    </w:p>
    <w:p w14:paraId="717B5D4B" w14:textId="77777777" w:rsidR="00C119F5"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Pr>
          <w:rFonts w:ascii="Book Antiqua" w:hAnsi="Book Antiqua"/>
          <w:sz w:val="24"/>
          <w:szCs w:val="24"/>
        </w:rPr>
        <w:t xml:space="preserve">This again relates to the issue of whether the threshold of litigation being reasonably contemplated such that one of the criteria necessary for litigation privilege to exist has been met. That was not the issue here. </w:t>
      </w:r>
    </w:p>
    <w:p w14:paraId="24B6FCEF" w14:textId="77777777" w:rsidR="00C119F5" w:rsidRPr="00B970B0" w:rsidRDefault="00C119F5" w:rsidP="00C119F5">
      <w:pPr>
        <w:pStyle w:val="ListParagraph"/>
        <w:spacing w:after="0" w:line="240" w:lineRule="auto"/>
        <w:ind w:left="567"/>
        <w:contextualSpacing w:val="0"/>
        <w:jc w:val="both"/>
        <w:rPr>
          <w:rFonts w:ascii="Times New Roman" w:eastAsia="Times New Roman" w:hAnsi="Times New Roman" w:cs="Times New Roman"/>
          <w:sz w:val="24"/>
          <w:szCs w:val="24"/>
          <w:lang w:eastAsia="en-GB" w:bidi="ar-SA"/>
        </w:rPr>
      </w:pPr>
    </w:p>
    <w:p w14:paraId="1B122BE0" w14:textId="45B2498D" w:rsidR="00C119F5" w:rsidRDefault="00C119F5" w:rsidP="00C119F5">
      <w:pPr>
        <w:pStyle w:val="ListParagraph"/>
        <w:numPr>
          <w:ilvl w:val="0"/>
          <w:numId w:val="5"/>
        </w:numPr>
        <w:spacing w:after="0" w:line="240" w:lineRule="auto"/>
        <w:ind w:left="567" w:hanging="567"/>
        <w:contextualSpacing w:val="0"/>
        <w:jc w:val="both"/>
        <w:rPr>
          <w:rFonts w:ascii="Times New Roman" w:eastAsia="Times New Roman" w:hAnsi="Times New Roman" w:cs="Times New Roman"/>
          <w:sz w:val="24"/>
          <w:szCs w:val="24"/>
          <w:lang w:eastAsia="en-GB" w:bidi="ar-SA"/>
        </w:rPr>
      </w:pPr>
      <w:r>
        <w:rPr>
          <w:rFonts w:ascii="Book Antiqua" w:hAnsi="Book Antiqua"/>
          <w:sz w:val="24"/>
          <w:szCs w:val="24"/>
        </w:rPr>
        <w:t xml:space="preserve">The approach to be taken is, we consider, properly set out in </w:t>
      </w:r>
      <w:r w:rsidRPr="00B970B0">
        <w:rPr>
          <w:rFonts w:ascii="Book Antiqua" w:hAnsi="Book Antiqua"/>
          <w:sz w:val="24"/>
          <w:szCs w:val="24"/>
          <w:u w:val="single"/>
        </w:rPr>
        <w:t>West London Pipeline</w:t>
      </w:r>
      <w:r w:rsidRPr="00B970B0">
        <w:rPr>
          <w:rFonts w:ascii="Book Antiqua" w:hAnsi="Book Antiqua"/>
          <w:sz w:val="24"/>
          <w:szCs w:val="24"/>
        </w:rPr>
        <w:t xml:space="preserve"> at </w:t>
      </w:r>
      <w:r w:rsidRPr="00B970B0">
        <w:rPr>
          <w:rFonts w:ascii="Times New Roman" w:eastAsia="Times New Roman" w:hAnsi="Times New Roman" w:cs="Times New Roman"/>
          <w:sz w:val="24"/>
          <w:szCs w:val="24"/>
          <w:lang w:eastAsia="en-GB" w:bidi="ar-SA"/>
        </w:rPr>
        <w:t xml:space="preserve">[86]: </w:t>
      </w:r>
    </w:p>
    <w:p w14:paraId="2329FC0E" w14:textId="77777777" w:rsidR="00C119F5" w:rsidRDefault="00C119F5" w:rsidP="00C119F5">
      <w:pPr>
        <w:pStyle w:val="ListParagraph"/>
        <w:spacing w:after="0" w:line="240" w:lineRule="auto"/>
        <w:ind w:left="567"/>
        <w:contextualSpacing w:val="0"/>
        <w:jc w:val="both"/>
        <w:rPr>
          <w:rFonts w:ascii="Times New Roman" w:eastAsia="Times New Roman" w:hAnsi="Times New Roman" w:cs="Times New Roman"/>
          <w:sz w:val="24"/>
          <w:szCs w:val="24"/>
          <w:lang w:eastAsia="en-GB" w:bidi="ar-SA"/>
        </w:rPr>
      </w:pPr>
    </w:p>
    <w:p w14:paraId="1CB76A19"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"(3) It is, however, difficult to go behind an affidavit of documents at an interlocutory stage of proceedings. The affidavit is conclusive unless it is reasonably certain from: </w:t>
      </w:r>
    </w:p>
    <w:p w14:paraId="436DFFB9"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(a) the statements of the party making it that he has erroneously represented or has misconceived the character of the documents in respect of which privilege is claimed: </w:t>
      </w:r>
      <w:r w:rsidRPr="00B970B0">
        <w:rPr>
          <w:rFonts w:ascii="Book Antiqua" w:eastAsia="Times New Roman" w:hAnsi="Book Antiqua" w:cs="Times New Roman"/>
          <w:i/>
          <w:iCs/>
          <w:szCs w:val="22"/>
          <w:lang w:eastAsia="en-GB" w:bidi="ar-SA"/>
        </w:rPr>
        <w:lastRenderedPageBreak/>
        <w:t>Frankenstein v Gavin's House to House Cycle Cleaning and Insurance Co</w:t>
      </w:r>
      <w:r w:rsidRPr="00B970B0">
        <w:rPr>
          <w:rFonts w:ascii="Book Antiqua" w:eastAsia="Times New Roman" w:hAnsi="Book Antiqua" w:cs="Times New Roman"/>
          <w:szCs w:val="22"/>
          <w:lang w:eastAsia="en-GB" w:bidi="ar-SA"/>
        </w:rPr>
        <w:t xml:space="preserve">, per Lord Esher MR and Chitty LJ; </w:t>
      </w:r>
      <w:r w:rsidRPr="00B970B0">
        <w:rPr>
          <w:rFonts w:ascii="Book Antiqua" w:eastAsia="Times New Roman" w:hAnsi="Book Antiqua" w:cs="Times New Roman"/>
          <w:i/>
          <w:iCs/>
          <w:szCs w:val="22"/>
          <w:lang w:eastAsia="en-GB" w:bidi="ar-SA"/>
        </w:rPr>
        <w:t xml:space="preserve">Lask v Gloucester Health Authority. </w:t>
      </w:r>
    </w:p>
    <w:p w14:paraId="6DF83059"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(b) the evidence of the person who or entity which directed the creation of the communications or documents over which privilege is claimed that the affidavit is incorrect: </w:t>
      </w:r>
      <w:r w:rsidRPr="00B970B0">
        <w:rPr>
          <w:rFonts w:ascii="Book Antiqua" w:eastAsia="Times New Roman" w:hAnsi="Book Antiqua" w:cs="Times New Roman"/>
          <w:i/>
          <w:iCs/>
          <w:szCs w:val="22"/>
          <w:lang w:eastAsia="en-GB" w:bidi="ar-SA"/>
        </w:rPr>
        <w:t xml:space="preserve">Neilson v Laugharane </w:t>
      </w:r>
      <w:r w:rsidRPr="00B970B0">
        <w:rPr>
          <w:rFonts w:ascii="Book Antiqua" w:eastAsia="Times New Roman" w:hAnsi="Book Antiqua" w:cs="Times New Roman"/>
          <w:szCs w:val="22"/>
          <w:lang w:eastAsia="en-GB" w:bidi="ar-SA"/>
        </w:rPr>
        <w:t>(the Chief Constable's letter)</w:t>
      </w:r>
      <w:r w:rsidRPr="00B970B0">
        <w:rPr>
          <w:rFonts w:ascii="Book Antiqua" w:eastAsia="Times New Roman" w:hAnsi="Book Antiqua" w:cs="Times New Roman"/>
          <w:i/>
          <w:iCs/>
          <w:szCs w:val="22"/>
          <w:lang w:eastAsia="en-GB" w:bidi="ar-SA"/>
        </w:rPr>
        <w:t xml:space="preserve">, Lask v Gloucester HA </w:t>
      </w:r>
      <w:r w:rsidRPr="00B970B0">
        <w:rPr>
          <w:rFonts w:ascii="Book Antiqua" w:eastAsia="Times New Roman" w:hAnsi="Book Antiqua" w:cs="Times New Roman"/>
          <w:szCs w:val="22"/>
          <w:lang w:eastAsia="en-GB" w:bidi="ar-SA"/>
        </w:rPr>
        <w:t xml:space="preserve">(the NHS Circular), and see </w:t>
      </w:r>
      <w:r w:rsidRPr="00B970B0">
        <w:rPr>
          <w:rFonts w:ascii="Book Antiqua" w:eastAsia="Times New Roman" w:hAnsi="Book Antiqua" w:cs="Times New Roman"/>
          <w:i/>
          <w:iCs/>
          <w:szCs w:val="22"/>
          <w:lang w:eastAsia="en-GB" w:bidi="ar-SA"/>
        </w:rPr>
        <w:t xml:space="preserve">Frankenstein v Gavin's House to House Cycle Cleaning and Insurance Co, </w:t>
      </w:r>
      <w:r w:rsidRPr="00B970B0">
        <w:rPr>
          <w:rFonts w:ascii="Book Antiqua" w:eastAsia="Times New Roman" w:hAnsi="Book Antiqua" w:cs="Times New Roman"/>
          <w:szCs w:val="22"/>
          <w:lang w:eastAsia="en-GB" w:bidi="ar-SA"/>
        </w:rPr>
        <w:t>per A L Smith LJ.</w:t>
      </w:r>
    </w:p>
    <w:p w14:paraId="6563C5DC" w14:textId="3D0A7F8C"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(c) the other evidence before the court that the affidavit is incorrect or incomplete on the material points: </w:t>
      </w:r>
      <w:r w:rsidRPr="00B970B0">
        <w:rPr>
          <w:rFonts w:ascii="Book Antiqua" w:eastAsia="Times New Roman" w:hAnsi="Book Antiqua" w:cs="Times New Roman"/>
          <w:i/>
          <w:iCs/>
          <w:szCs w:val="22"/>
          <w:lang w:eastAsia="en-GB" w:bidi="ar-SA"/>
        </w:rPr>
        <w:t>Jones v Montivedeo Gas Co; Birmingham and Midland Moto</w:t>
      </w:r>
      <w:r w:rsidR="00042ACC">
        <w:rPr>
          <w:rFonts w:ascii="Book Antiqua" w:eastAsia="Times New Roman" w:hAnsi="Book Antiqua" w:cs="Times New Roman"/>
          <w:i/>
          <w:iCs/>
          <w:szCs w:val="22"/>
          <w:lang w:eastAsia="en-GB" w:bidi="ar-SA"/>
        </w:rPr>
        <w:t xml:space="preserve">r Omnibus Co v London and North </w:t>
      </w:r>
      <w:r w:rsidRPr="00B970B0">
        <w:rPr>
          <w:rFonts w:ascii="Book Antiqua" w:eastAsia="Times New Roman" w:hAnsi="Book Antiqua" w:cs="Times New Roman"/>
          <w:i/>
          <w:iCs/>
          <w:szCs w:val="22"/>
          <w:lang w:eastAsia="en-GB" w:bidi="ar-SA"/>
        </w:rPr>
        <w:t>West Railway Co; National Westminster Bank plc v Rabobank Nederland</w:t>
      </w:r>
      <w:r w:rsidRPr="00B970B0">
        <w:rPr>
          <w:rFonts w:ascii="Book Antiqua" w:eastAsia="Times New Roman" w:hAnsi="Book Antiqua" w:cs="Times New Roman"/>
          <w:szCs w:val="22"/>
          <w:lang w:eastAsia="en-GB" w:bidi="ar-SA"/>
        </w:rPr>
        <w:t>.</w:t>
      </w:r>
    </w:p>
    <w:p w14:paraId="3FAA68C1" w14:textId="681E7464" w:rsidR="00C119F5"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sidRPr="00721E24">
        <w:rPr>
          <w:rFonts w:ascii="Book Antiqua" w:hAnsi="Book Antiqua"/>
          <w:sz w:val="24"/>
          <w:szCs w:val="24"/>
        </w:rPr>
        <w:t xml:space="preserve">Of particular importance in the context of </w:t>
      </w:r>
      <w:r w:rsidR="0050606E">
        <w:rPr>
          <w:rFonts w:ascii="Book Antiqua" w:hAnsi="Book Antiqua"/>
          <w:sz w:val="24"/>
          <w:szCs w:val="24"/>
        </w:rPr>
        <w:t>the FtT’s rejection of</w:t>
      </w:r>
      <w:r w:rsidRPr="00721E24">
        <w:rPr>
          <w:rFonts w:ascii="Book Antiqua" w:hAnsi="Book Antiqua"/>
          <w:sz w:val="24"/>
          <w:szCs w:val="24"/>
        </w:rPr>
        <w:t xml:space="preserve"> Mr Eke’s witness statement and </w:t>
      </w:r>
      <w:r w:rsidR="0050606E">
        <w:rPr>
          <w:rFonts w:ascii="Book Antiqua" w:hAnsi="Book Antiqua"/>
          <w:sz w:val="24"/>
          <w:szCs w:val="24"/>
        </w:rPr>
        <w:t>its</w:t>
      </w:r>
      <w:r>
        <w:rPr>
          <w:rFonts w:ascii="Book Antiqua" w:hAnsi="Book Antiqua"/>
          <w:sz w:val="24"/>
          <w:szCs w:val="24"/>
        </w:rPr>
        <w:t xml:space="preserve"> approach</w:t>
      </w:r>
      <w:r w:rsidR="0050606E">
        <w:rPr>
          <w:rFonts w:ascii="Book Antiqua" w:hAnsi="Book Antiqua"/>
          <w:sz w:val="24"/>
          <w:szCs w:val="24"/>
        </w:rPr>
        <w:t xml:space="preserve"> to what it sh</w:t>
      </w:r>
      <w:r w:rsidR="00042ACC">
        <w:rPr>
          <w:rFonts w:ascii="Book Antiqua" w:hAnsi="Book Antiqua"/>
          <w:sz w:val="24"/>
          <w:szCs w:val="24"/>
        </w:rPr>
        <w:t>ould then do</w:t>
      </w:r>
      <w:r w:rsidRPr="00721E24">
        <w:rPr>
          <w:rFonts w:ascii="Book Antiqua" w:hAnsi="Book Antiqua"/>
          <w:sz w:val="24"/>
          <w:szCs w:val="24"/>
        </w:rPr>
        <w:t xml:space="preserve"> </w:t>
      </w:r>
      <w:r w:rsidR="00D567F6">
        <w:rPr>
          <w:rFonts w:ascii="Book Antiqua" w:hAnsi="Book Antiqua"/>
          <w:sz w:val="24"/>
          <w:szCs w:val="24"/>
        </w:rPr>
        <w:t xml:space="preserve">is </w:t>
      </w:r>
      <w:r>
        <w:rPr>
          <w:rFonts w:ascii="Book Antiqua" w:hAnsi="Book Antiqua"/>
          <w:sz w:val="24"/>
          <w:szCs w:val="24"/>
        </w:rPr>
        <w:t>what is said at</w:t>
      </w:r>
      <w:r w:rsidRPr="00721E24">
        <w:rPr>
          <w:rFonts w:ascii="Book Antiqua" w:hAnsi="Book Antiqua"/>
          <w:sz w:val="24"/>
          <w:szCs w:val="24"/>
        </w:rPr>
        <w:t xml:space="preserve"> </w:t>
      </w:r>
      <w:r>
        <w:rPr>
          <w:rFonts w:ascii="Book Antiqua" w:hAnsi="Book Antiqua"/>
          <w:sz w:val="24"/>
          <w:szCs w:val="24"/>
        </w:rPr>
        <w:t>[ 86 (4)]</w:t>
      </w:r>
      <w:r w:rsidRPr="00721E24">
        <w:rPr>
          <w:rFonts w:ascii="Book Antiqua" w:hAnsi="Book Antiqua"/>
          <w:sz w:val="24"/>
          <w:szCs w:val="24"/>
        </w:rPr>
        <w:t xml:space="preserve">. </w:t>
      </w:r>
    </w:p>
    <w:p w14:paraId="07819A2B" w14:textId="77777777" w:rsidR="00C119F5" w:rsidRDefault="00C119F5" w:rsidP="00C119F5">
      <w:pPr>
        <w:spacing w:after="100" w:line="240" w:lineRule="auto"/>
        <w:ind w:left="851"/>
        <w:jc w:val="both"/>
        <w:rPr>
          <w:rFonts w:ascii="Book Antiqua" w:eastAsia="Times New Roman" w:hAnsi="Book Antiqua" w:cs="Times New Roman"/>
          <w:szCs w:val="22"/>
          <w:lang w:eastAsia="en-GB" w:bidi="ar-SA"/>
        </w:rPr>
      </w:pPr>
    </w:p>
    <w:p w14:paraId="1204263C"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(4) Where the court is not satisfied on the basis of the affidavit and the other evidence before it that the right to withhold inspection is established, there are four options open to it:</w:t>
      </w:r>
    </w:p>
    <w:p w14:paraId="443B91A1"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(a) It may conclude that the evidence does not establish a legal right to withhold inspection and order inspection: </w:t>
      </w:r>
      <w:r w:rsidRPr="00B970B0">
        <w:rPr>
          <w:rFonts w:ascii="Book Antiqua" w:eastAsia="Times New Roman" w:hAnsi="Book Antiqua" w:cs="Times New Roman"/>
          <w:i/>
          <w:iCs/>
          <w:szCs w:val="22"/>
          <w:lang w:eastAsia="en-GB" w:bidi="ar-SA"/>
        </w:rPr>
        <w:t xml:space="preserve">Neilson v Laugharane; Lask v Gloucester Health Authority. </w:t>
      </w:r>
    </w:p>
    <w:p w14:paraId="3C4EB26B"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(b) It may order a further affidavit to deal with matters which the earlier affidavit does not cover or on which it is unsatisfactory: </w:t>
      </w:r>
      <w:r w:rsidRPr="00B970B0">
        <w:rPr>
          <w:rFonts w:ascii="Book Antiqua" w:eastAsia="Times New Roman" w:hAnsi="Book Antiqua" w:cs="Times New Roman"/>
          <w:i/>
          <w:iCs/>
          <w:szCs w:val="22"/>
          <w:lang w:eastAsia="en-GB" w:bidi="ar-SA"/>
        </w:rPr>
        <w:t>Birmingham and Midland Motor Omnibus Co Ltd v London and North West Railway Co; National Westminster Bank plc v Rabobank Nederland.</w:t>
      </w:r>
    </w:p>
    <w:p w14:paraId="321F800C"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 xml:space="preserve">(c) It may inspect the documents: see CPR 31.19(6) and the discussion in </w:t>
      </w:r>
      <w:r w:rsidRPr="00B970B0">
        <w:rPr>
          <w:rFonts w:ascii="Book Antiqua" w:eastAsia="Times New Roman" w:hAnsi="Book Antiqua" w:cs="Times New Roman"/>
          <w:i/>
          <w:iCs/>
          <w:szCs w:val="22"/>
          <w:lang w:eastAsia="en-GB" w:bidi="ar-SA"/>
        </w:rPr>
        <w:t xml:space="preserve">National Westminster Bank plc v Rabo Bank Nederland </w:t>
      </w:r>
      <w:r w:rsidRPr="00B970B0">
        <w:rPr>
          <w:rFonts w:ascii="Book Antiqua" w:eastAsia="Times New Roman" w:hAnsi="Book Antiqua" w:cs="Times New Roman"/>
          <w:szCs w:val="22"/>
          <w:lang w:eastAsia="en-GB" w:bidi="ar-SA"/>
        </w:rPr>
        <w:t xml:space="preserve">and </w:t>
      </w:r>
      <w:r w:rsidRPr="00B970B0">
        <w:rPr>
          <w:rFonts w:ascii="Book Antiqua" w:eastAsia="Times New Roman" w:hAnsi="Book Antiqua" w:cs="Times New Roman"/>
          <w:i/>
          <w:iCs/>
          <w:szCs w:val="22"/>
          <w:lang w:eastAsia="en-GB" w:bidi="ar-SA"/>
        </w:rPr>
        <w:t xml:space="preserve">Atos Consulting Ltd v Avis plc (No. 2). </w:t>
      </w:r>
      <w:r w:rsidRPr="00B970B0">
        <w:rPr>
          <w:rFonts w:ascii="Book Antiqua" w:eastAsia="Times New Roman" w:hAnsi="Book Antiqua" w:cs="Times New Roman"/>
          <w:szCs w:val="22"/>
          <w:lang w:eastAsia="en-GB" w:bidi="ar-SA"/>
        </w:rPr>
        <w:t xml:space="preserve">Inspection should be a solution of last resort, in part because of the danger of looking at documents out of context at the interlocutory stage. It should not be undertaken unless there is credible evidence that those claiming privilege have either misunderstood their duty, or are not to be trusted with the decision making, or there is no reasonably practical alternative. </w:t>
      </w:r>
    </w:p>
    <w:p w14:paraId="7D8029A4" w14:textId="77777777" w:rsidR="00C119F5" w:rsidRPr="00B970B0" w:rsidRDefault="00C119F5" w:rsidP="00C119F5">
      <w:pPr>
        <w:spacing w:after="100" w:line="240" w:lineRule="auto"/>
        <w:ind w:left="851"/>
        <w:jc w:val="both"/>
        <w:rPr>
          <w:rFonts w:ascii="Book Antiqua" w:eastAsia="Times New Roman" w:hAnsi="Book Antiqua" w:cs="Times New Roman"/>
          <w:szCs w:val="22"/>
          <w:lang w:eastAsia="en-GB" w:bidi="ar-SA"/>
        </w:rPr>
      </w:pPr>
      <w:r w:rsidRPr="00B970B0">
        <w:rPr>
          <w:rFonts w:ascii="Book Antiqua" w:eastAsia="Times New Roman" w:hAnsi="Book Antiqua" w:cs="Times New Roman"/>
          <w:szCs w:val="22"/>
          <w:lang w:eastAsia="en-GB" w:bidi="ar-SA"/>
        </w:rPr>
        <w:t>(d) At an interlocutory stage a court may, in certain circumstances, order cross-examination of a person who has sworn an affidavit, for example, an affidavit sworn as a result of the order of the court that a defendant to a freezing injunction should disclose his assets: (</w:t>
      </w:r>
      <w:r w:rsidRPr="00B970B0">
        <w:rPr>
          <w:rFonts w:ascii="Book Antiqua" w:eastAsia="Times New Roman" w:hAnsi="Book Antiqua" w:cs="Times New Roman"/>
          <w:i/>
          <w:iCs/>
          <w:szCs w:val="22"/>
          <w:lang w:eastAsia="en-GB" w:bidi="ar-SA"/>
        </w:rPr>
        <w:t>House of Spring Gardens Ltd v Wait; Yukong Lines v Rensburg; Motorola Credit Corp v Uzan (No. 2)</w:t>
      </w:r>
      <w:r w:rsidRPr="00B970B0">
        <w:rPr>
          <w:rFonts w:ascii="Book Antiqua" w:eastAsia="Times New Roman" w:hAnsi="Book Antiqua" w:cs="Times New Roman"/>
          <w:szCs w:val="22"/>
          <w:lang w:eastAsia="en-GB" w:bidi="ar-SA"/>
        </w:rPr>
        <w:t xml:space="preserve">). However, the weight of authority is that cross-examination may not be ordered in the case of an affidavit of documents: </w:t>
      </w:r>
      <w:r w:rsidRPr="00B970B0">
        <w:rPr>
          <w:rFonts w:ascii="Book Antiqua" w:eastAsia="Times New Roman" w:hAnsi="Book Antiqua" w:cs="Times New Roman"/>
          <w:i/>
          <w:iCs/>
          <w:szCs w:val="22"/>
          <w:lang w:eastAsia="en-GB" w:bidi="ar-SA"/>
        </w:rPr>
        <w:t>Frankenstein's</w:t>
      </w:r>
      <w:r w:rsidRPr="00B970B0">
        <w:rPr>
          <w:rFonts w:ascii="Book Antiqua" w:eastAsia="Times New Roman" w:hAnsi="Book Antiqua" w:cs="Times New Roman"/>
          <w:szCs w:val="22"/>
          <w:lang w:eastAsia="en-GB" w:bidi="ar-SA"/>
        </w:rPr>
        <w:t xml:space="preserve"> case; </w:t>
      </w:r>
      <w:r w:rsidRPr="00B970B0">
        <w:rPr>
          <w:rFonts w:ascii="Book Antiqua" w:eastAsia="Times New Roman" w:hAnsi="Book Antiqua" w:cs="Times New Roman"/>
          <w:i/>
          <w:iCs/>
          <w:szCs w:val="22"/>
          <w:lang w:eastAsia="en-GB" w:bidi="ar-SA"/>
        </w:rPr>
        <w:t>Birmingham and Midland Motor Omnibus Co Ltd v London and North Western Railway Co</w:t>
      </w:r>
      <w:r w:rsidRPr="00B970B0">
        <w:rPr>
          <w:rFonts w:ascii="Book Antiqua" w:eastAsia="Times New Roman" w:hAnsi="Book Antiqua" w:cs="Times New Roman"/>
          <w:szCs w:val="22"/>
          <w:lang w:eastAsia="en-GB" w:bidi="ar-SA"/>
        </w:rPr>
        <w:t xml:space="preserve"> and </w:t>
      </w:r>
      <w:r w:rsidRPr="00B970B0">
        <w:rPr>
          <w:rFonts w:ascii="Book Antiqua" w:eastAsia="Times New Roman" w:hAnsi="Book Antiqua" w:cs="Times New Roman"/>
          <w:i/>
          <w:iCs/>
          <w:szCs w:val="22"/>
          <w:lang w:eastAsia="en-GB" w:bidi="ar-SA"/>
        </w:rPr>
        <w:t xml:space="preserve">Fayed v Lonrho. </w:t>
      </w:r>
      <w:r w:rsidRPr="00B970B0">
        <w:rPr>
          <w:rFonts w:ascii="Book Antiqua" w:eastAsia="Times New Roman" w:hAnsi="Book Antiqua" w:cs="Times New Roman"/>
          <w:szCs w:val="22"/>
          <w:lang w:eastAsia="en-GB" w:bidi="ar-SA"/>
        </w:rPr>
        <w:t>In cases where the issue is whether the documents exist (as it was in</w:t>
      </w:r>
      <w:r w:rsidRPr="00B970B0">
        <w:rPr>
          <w:rFonts w:ascii="Book Antiqua" w:eastAsia="Times New Roman" w:hAnsi="Book Antiqua" w:cs="Times New Roman"/>
          <w:i/>
          <w:iCs/>
          <w:szCs w:val="22"/>
          <w:lang w:eastAsia="en-GB" w:bidi="ar-SA"/>
        </w:rPr>
        <w:t xml:space="preserve"> Frankenstein's</w:t>
      </w:r>
      <w:r w:rsidRPr="00B970B0">
        <w:rPr>
          <w:rFonts w:ascii="Book Antiqua" w:eastAsia="Times New Roman" w:hAnsi="Book Antiqua" w:cs="Times New Roman"/>
          <w:szCs w:val="22"/>
          <w:lang w:eastAsia="en-GB" w:bidi="ar-SA"/>
        </w:rPr>
        <w:t xml:space="preserve"> case and </w:t>
      </w:r>
      <w:r w:rsidRPr="00B970B0">
        <w:rPr>
          <w:rFonts w:ascii="Book Antiqua" w:eastAsia="Times New Roman" w:hAnsi="Book Antiqua" w:cs="Times New Roman"/>
          <w:i/>
          <w:iCs/>
          <w:szCs w:val="22"/>
          <w:lang w:eastAsia="en-GB" w:bidi="ar-SA"/>
        </w:rPr>
        <w:t>Fayed v Lonrho</w:t>
      </w:r>
      <w:r w:rsidRPr="00B970B0">
        <w:rPr>
          <w:rFonts w:ascii="Book Antiqua" w:eastAsia="Times New Roman" w:hAnsi="Book Antiqua" w:cs="Times New Roman"/>
          <w:szCs w:val="22"/>
          <w:lang w:eastAsia="en-GB" w:bidi="ar-SA"/>
        </w:rPr>
        <w:t xml:space="preserve">) the existence of the documents is likely to be an issue at the trial and there is a particular risk of a court at an interlocutory stage impinging on that issue." </w:t>
      </w:r>
    </w:p>
    <w:p w14:paraId="38CA7E40" w14:textId="0EF25026" w:rsidR="00C119F5" w:rsidRPr="000A7EFC"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sidRPr="000A7EFC">
        <w:rPr>
          <w:rFonts w:ascii="Book Antiqua" w:hAnsi="Book Antiqua"/>
          <w:sz w:val="24"/>
          <w:szCs w:val="24"/>
        </w:rPr>
        <w:t>We accept that this was not properly put to the FtT and that they were not dealing with the formal process of disclosure under the CPR but the key question here is whether, as per rule 15(3) of the First-tier Tribunal Procedure Rules the applicant could in a court, be compelled to adduce the email</w:t>
      </w:r>
      <w:r>
        <w:rPr>
          <w:rFonts w:ascii="Book Antiqua" w:hAnsi="Book Antiqua"/>
          <w:sz w:val="24"/>
          <w:szCs w:val="24"/>
        </w:rPr>
        <w:t>.  That should have been a key question for the FtT, and necessarily involved</w:t>
      </w:r>
      <w:r w:rsidRPr="000A7EFC">
        <w:rPr>
          <w:rFonts w:ascii="Book Antiqua" w:hAnsi="Book Antiqua"/>
          <w:sz w:val="24"/>
          <w:szCs w:val="24"/>
        </w:rPr>
        <w:t xml:space="preserve"> a proper analysis </w:t>
      </w:r>
      <w:r w:rsidR="008B6ED1">
        <w:rPr>
          <w:rFonts w:ascii="Book Antiqua" w:hAnsi="Book Antiqua"/>
          <w:sz w:val="24"/>
          <w:szCs w:val="24"/>
        </w:rPr>
        <w:t xml:space="preserve">of </w:t>
      </w:r>
      <w:r w:rsidRPr="000A7EFC">
        <w:rPr>
          <w:rFonts w:ascii="Book Antiqua" w:hAnsi="Book Antiqua"/>
          <w:sz w:val="24"/>
          <w:szCs w:val="24"/>
        </w:rPr>
        <w:lastRenderedPageBreak/>
        <w:t>both the CPR and the extensive case</w:t>
      </w:r>
      <w:r w:rsidR="008B6ED1">
        <w:rPr>
          <w:rFonts w:ascii="Book Antiqua" w:hAnsi="Book Antiqua"/>
          <w:sz w:val="24"/>
          <w:szCs w:val="24"/>
        </w:rPr>
        <w:t xml:space="preserve"> </w:t>
      </w:r>
      <w:r w:rsidRPr="000A7EFC">
        <w:rPr>
          <w:rFonts w:ascii="Book Antiqua" w:hAnsi="Book Antiqua"/>
          <w:sz w:val="24"/>
          <w:szCs w:val="24"/>
        </w:rPr>
        <w:t xml:space="preserve">law on the subject. It is </w:t>
      </w:r>
      <w:r>
        <w:rPr>
          <w:rFonts w:ascii="Book Antiqua" w:hAnsi="Book Antiqua"/>
          <w:sz w:val="24"/>
          <w:szCs w:val="24"/>
        </w:rPr>
        <w:t xml:space="preserve">a complex area of law but proper analysis was required. </w:t>
      </w:r>
    </w:p>
    <w:p w14:paraId="4B5A38E3" w14:textId="77777777" w:rsidR="00C119F5" w:rsidRPr="000A7EFC" w:rsidRDefault="00C119F5" w:rsidP="00C119F5">
      <w:pPr>
        <w:spacing w:after="0" w:line="240" w:lineRule="auto"/>
        <w:jc w:val="both"/>
        <w:rPr>
          <w:rFonts w:ascii="Book Antiqua" w:hAnsi="Book Antiqua"/>
          <w:sz w:val="24"/>
          <w:szCs w:val="24"/>
        </w:rPr>
      </w:pPr>
    </w:p>
    <w:p w14:paraId="5F453BEC" w14:textId="53A75850" w:rsidR="00C119F5"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sidRPr="00820FF0">
        <w:rPr>
          <w:rFonts w:ascii="Book Antiqua" w:hAnsi="Book Antiqua"/>
          <w:sz w:val="24"/>
          <w:szCs w:val="24"/>
        </w:rPr>
        <w:t xml:space="preserve">Applying the correct principles here, we consider that the FtT’s approach to Mr Eke’s statement was flawed. The FtT did not explain beyond identifying an inconsistency with other contemporaneous documents why they did not accept that litigation privilege was properly claimed.  It was in consequence of the earlier issues that the statement of Mr Eke was obtained, but with respect, the FtT’s conclusions do not comply with what Beatson J held in West London Pipeline at [86 (3)]. </w:t>
      </w:r>
    </w:p>
    <w:p w14:paraId="7E18B64E" w14:textId="77777777" w:rsidR="00C119F5" w:rsidRPr="00832EE2" w:rsidRDefault="00C119F5" w:rsidP="00C119F5">
      <w:pPr>
        <w:spacing w:after="0" w:line="240" w:lineRule="auto"/>
        <w:jc w:val="both"/>
        <w:rPr>
          <w:rFonts w:ascii="Book Antiqua" w:hAnsi="Book Antiqua"/>
          <w:sz w:val="24"/>
          <w:szCs w:val="24"/>
        </w:rPr>
      </w:pPr>
    </w:p>
    <w:p w14:paraId="1516CBEB" w14:textId="5E83C9A7" w:rsidR="00C119F5"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sidRPr="00820FF0">
        <w:rPr>
          <w:rFonts w:ascii="Book Antiqua" w:hAnsi="Book Antiqua"/>
          <w:sz w:val="24"/>
          <w:szCs w:val="24"/>
        </w:rPr>
        <w:t>There is, contrary to what is permitted, an evaluation of Mr Eke’s evidence. The issue must be whether the maker of the statement was incorrect as to the nature of the documents</w:t>
      </w:r>
      <w:r w:rsidR="00917C8E">
        <w:rPr>
          <w:rFonts w:ascii="Book Antiqua" w:hAnsi="Book Antiqua"/>
          <w:sz w:val="24"/>
          <w:szCs w:val="24"/>
        </w:rPr>
        <w:t xml:space="preserve"> (</w:t>
      </w:r>
      <w:r w:rsidRPr="00820FF0">
        <w:rPr>
          <w:rFonts w:ascii="Book Antiqua" w:hAnsi="Book Antiqua"/>
          <w:sz w:val="24"/>
          <w:szCs w:val="24"/>
        </w:rPr>
        <w:t xml:space="preserve">see Chitty LJ in </w:t>
      </w:r>
      <w:r w:rsidRPr="00820FF0">
        <w:rPr>
          <w:rFonts w:ascii="Book Antiqua" w:hAnsi="Book Antiqua"/>
          <w:sz w:val="24"/>
          <w:szCs w:val="24"/>
          <w:u w:val="single"/>
        </w:rPr>
        <w:t>Frankenstein</w:t>
      </w:r>
      <w:r w:rsidR="00917C8E">
        <w:rPr>
          <w:rFonts w:ascii="Book Antiqua" w:hAnsi="Book Antiqua"/>
          <w:sz w:val="24"/>
          <w:szCs w:val="24"/>
          <w:u w:val="single"/>
        </w:rPr>
        <w:t xml:space="preserve"> </w:t>
      </w:r>
      <w:r w:rsidR="00917C8E" w:rsidRPr="00FF44A7">
        <w:rPr>
          <w:rFonts w:ascii="Book Antiqua" w:eastAsia="Times New Roman" w:hAnsi="Book Antiqua" w:cs="Times New Roman"/>
          <w:iCs/>
          <w:szCs w:val="22"/>
          <w:u w:val="single"/>
          <w:lang w:eastAsia="en-GB" w:bidi="ar-SA"/>
        </w:rPr>
        <w:t>v Gavin's House to House Cycle Cleaning and Insurance Co</w:t>
      </w:r>
      <w:r w:rsidR="00917C8E" w:rsidRPr="00FF44A7">
        <w:rPr>
          <w:rFonts w:ascii="Book Antiqua" w:hAnsi="Book Antiqua"/>
          <w:sz w:val="24"/>
          <w:szCs w:val="24"/>
        </w:rPr>
        <w:t xml:space="preserve"> </w:t>
      </w:r>
      <w:r w:rsidR="00917C8E">
        <w:rPr>
          <w:rFonts w:ascii="Book Antiqua" w:hAnsi="Book Antiqua"/>
          <w:sz w:val="24"/>
          <w:szCs w:val="24"/>
        </w:rPr>
        <w:t xml:space="preserve">[1897] 2 QB </w:t>
      </w:r>
      <w:r w:rsidR="00F85F45">
        <w:rPr>
          <w:rFonts w:ascii="Book Antiqua" w:hAnsi="Book Antiqua"/>
          <w:sz w:val="24"/>
          <w:szCs w:val="24"/>
        </w:rPr>
        <w:t xml:space="preserve">as </w:t>
      </w:r>
      <w:r w:rsidR="00917C8E">
        <w:rPr>
          <w:rFonts w:ascii="Book Antiqua" w:hAnsi="Book Antiqua"/>
          <w:sz w:val="24"/>
          <w:szCs w:val="24"/>
        </w:rPr>
        <w:t>considered in West London Pipeline at [86 (3)(a)])</w:t>
      </w:r>
      <w:r w:rsidR="008B6ED1">
        <w:rPr>
          <w:rFonts w:ascii="Book Antiqua" w:hAnsi="Book Antiqua"/>
          <w:sz w:val="24"/>
          <w:szCs w:val="24"/>
        </w:rPr>
        <w:t>.</w:t>
      </w:r>
      <w:r w:rsidRPr="00820FF0">
        <w:rPr>
          <w:rFonts w:ascii="Book Antiqua" w:hAnsi="Book Antiqua"/>
          <w:sz w:val="24"/>
          <w:szCs w:val="24"/>
        </w:rPr>
        <w:t xml:space="preserve">  </w:t>
      </w:r>
      <w:r>
        <w:rPr>
          <w:rFonts w:ascii="Book Antiqua" w:hAnsi="Book Antiqua"/>
          <w:sz w:val="24"/>
          <w:szCs w:val="24"/>
        </w:rPr>
        <w:t xml:space="preserve">There is no proper consideration of this issue. </w:t>
      </w:r>
    </w:p>
    <w:p w14:paraId="2699BA55" w14:textId="77777777" w:rsidR="00C119F5" w:rsidRPr="00820FF0" w:rsidRDefault="00C119F5" w:rsidP="00C119F5">
      <w:pPr>
        <w:pStyle w:val="ListParagraph"/>
        <w:rPr>
          <w:rFonts w:ascii="Book Antiqua" w:hAnsi="Book Antiqua"/>
          <w:sz w:val="24"/>
          <w:szCs w:val="24"/>
        </w:rPr>
      </w:pPr>
    </w:p>
    <w:p w14:paraId="728E1F0D" w14:textId="1CBA0D74" w:rsidR="00C119F5" w:rsidRDefault="00C119F5"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sidRPr="00820FF0">
        <w:rPr>
          <w:rFonts w:ascii="Book Antiqua" w:hAnsi="Book Antiqua"/>
          <w:sz w:val="24"/>
          <w:szCs w:val="24"/>
        </w:rPr>
        <w:t xml:space="preserve">Further, </w:t>
      </w:r>
      <w:r>
        <w:rPr>
          <w:rFonts w:ascii="Book Antiqua" w:hAnsi="Book Antiqua"/>
          <w:sz w:val="24"/>
          <w:szCs w:val="24"/>
        </w:rPr>
        <w:t>w</w:t>
      </w:r>
      <w:r w:rsidRPr="00820FF0">
        <w:rPr>
          <w:rFonts w:ascii="Book Antiqua" w:hAnsi="Book Antiqua"/>
          <w:sz w:val="24"/>
          <w:szCs w:val="24"/>
        </w:rPr>
        <w:t xml:space="preserve">e consider that it is not controversial or inconsistent to state that a document may be in part privileged, and in part not – see </w:t>
      </w:r>
      <w:r w:rsidRPr="00820FF0">
        <w:rPr>
          <w:rFonts w:ascii="Book Antiqua" w:hAnsi="Book Antiqua"/>
          <w:sz w:val="24"/>
          <w:szCs w:val="24"/>
          <w:u w:val="single"/>
        </w:rPr>
        <w:t>The Sagheera</w:t>
      </w:r>
      <w:r w:rsidRPr="00820FF0">
        <w:rPr>
          <w:rFonts w:ascii="Book Antiqua" w:hAnsi="Book Antiqua"/>
          <w:sz w:val="24"/>
          <w:szCs w:val="24"/>
        </w:rPr>
        <w:t xml:space="preserve"> [1997] 1 Lloyd’s Rep. 160 and </w:t>
      </w:r>
      <w:r w:rsidRPr="00820FF0">
        <w:rPr>
          <w:rFonts w:ascii="Book Antiqua" w:hAnsi="Book Antiqua"/>
          <w:sz w:val="24"/>
          <w:szCs w:val="24"/>
          <w:u w:val="single"/>
        </w:rPr>
        <w:t>GE Capital</w:t>
      </w:r>
      <w:r w:rsidRPr="00820FF0">
        <w:rPr>
          <w:rFonts w:ascii="Book Antiqua" w:hAnsi="Book Antiqua"/>
          <w:sz w:val="24"/>
          <w:szCs w:val="24"/>
        </w:rPr>
        <w:t xml:space="preserve"> [1995] 1</w:t>
      </w:r>
      <w:r w:rsidR="00042ACC">
        <w:rPr>
          <w:rFonts w:ascii="Book Antiqua" w:hAnsi="Book Antiqua"/>
          <w:sz w:val="24"/>
          <w:szCs w:val="24"/>
        </w:rPr>
        <w:t xml:space="preserve"> WLR</w:t>
      </w:r>
      <w:r w:rsidRPr="00820FF0">
        <w:rPr>
          <w:rFonts w:ascii="Book Antiqua" w:hAnsi="Book Antiqua"/>
          <w:sz w:val="24"/>
          <w:szCs w:val="24"/>
        </w:rPr>
        <w:t xml:space="preserve"> 172.</w:t>
      </w:r>
      <w:r>
        <w:rPr>
          <w:rFonts w:ascii="Book Antiqua" w:hAnsi="Book Antiqua"/>
          <w:sz w:val="24"/>
          <w:szCs w:val="24"/>
        </w:rPr>
        <w:t xml:space="preserve">  The distinction between the latter and </w:t>
      </w:r>
      <w:r w:rsidRPr="003919AB">
        <w:rPr>
          <w:rFonts w:ascii="Book Antiqua" w:hAnsi="Book Antiqua"/>
          <w:sz w:val="24"/>
          <w:szCs w:val="24"/>
          <w:u w:val="single"/>
        </w:rPr>
        <w:t>Great Atlantic</w:t>
      </w:r>
      <w:r>
        <w:rPr>
          <w:rFonts w:ascii="Book Antiqua" w:hAnsi="Book Antiqua"/>
          <w:sz w:val="24"/>
          <w:szCs w:val="24"/>
          <w:u w:val="single"/>
        </w:rPr>
        <w:t xml:space="preserve"> Insurance</w:t>
      </w:r>
      <w:r w:rsidRPr="003919AB">
        <w:rPr>
          <w:rFonts w:ascii="Book Antiqua" w:hAnsi="Book Antiqua"/>
          <w:sz w:val="24"/>
          <w:szCs w:val="24"/>
          <w:u w:val="single"/>
        </w:rPr>
        <w:t xml:space="preserve"> Co v </w:t>
      </w:r>
      <w:r>
        <w:rPr>
          <w:rFonts w:ascii="Book Antiqua" w:hAnsi="Book Antiqua"/>
          <w:sz w:val="24"/>
          <w:szCs w:val="24"/>
          <w:u w:val="single"/>
        </w:rPr>
        <w:t>H</w:t>
      </w:r>
      <w:r w:rsidRPr="003919AB">
        <w:rPr>
          <w:rFonts w:ascii="Book Antiqua" w:hAnsi="Book Antiqua"/>
          <w:sz w:val="24"/>
          <w:szCs w:val="24"/>
          <w:u w:val="single"/>
        </w:rPr>
        <w:t>ome Insurance Co</w:t>
      </w:r>
      <w:r>
        <w:rPr>
          <w:rFonts w:ascii="Book Antiqua" w:hAnsi="Book Antiqua"/>
          <w:sz w:val="24"/>
          <w:szCs w:val="24"/>
        </w:rPr>
        <w:t xml:space="preserve"> [1981] 1 WLR 529 is that in the latter, as a starting point, the whole document was said to be privileged and part was read out in court, that is that it was deployed in the litigation. That is different from what has occurred here. The latter case is, as was explained in </w:t>
      </w:r>
      <w:r w:rsidR="00726CED" w:rsidRPr="000F04A4">
        <w:rPr>
          <w:rFonts w:ascii="Book Antiqua" w:hAnsi="Book Antiqua"/>
          <w:sz w:val="24"/>
          <w:szCs w:val="24"/>
          <w:u w:val="single"/>
        </w:rPr>
        <w:t>The</w:t>
      </w:r>
      <w:r w:rsidR="008B6ED1">
        <w:rPr>
          <w:rFonts w:ascii="Book Antiqua" w:hAnsi="Book Antiqua"/>
          <w:sz w:val="24"/>
          <w:szCs w:val="24"/>
          <w:u w:val="single"/>
        </w:rPr>
        <w:t xml:space="preserve"> </w:t>
      </w:r>
      <w:r w:rsidRPr="00F85F45">
        <w:rPr>
          <w:rFonts w:ascii="Book Antiqua" w:hAnsi="Book Antiqua"/>
          <w:sz w:val="24"/>
          <w:szCs w:val="24"/>
          <w:u w:val="single"/>
        </w:rPr>
        <w:t>Sa</w:t>
      </w:r>
      <w:r w:rsidRPr="009139CC">
        <w:rPr>
          <w:rFonts w:ascii="Book Antiqua" w:hAnsi="Book Antiqua"/>
          <w:sz w:val="24"/>
          <w:szCs w:val="24"/>
          <w:u w:val="single"/>
        </w:rPr>
        <w:t xml:space="preserve">gheera </w:t>
      </w:r>
      <w:r>
        <w:rPr>
          <w:rFonts w:ascii="Book Antiqua" w:hAnsi="Book Antiqua"/>
          <w:sz w:val="24"/>
          <w:szCs w:val="24"/>
        </w:rPr>
        <w:t xml:space="preserve">and in </w:t>
      </w:r>
      <w:r>
        <w:rPr>
          <w:rFonts w:ascii="Book Antiqua" w:hAnsi="Book Antiqua"/>
          <w:sz w:val="24"/>
          <w:szCs w:val="24"/>
          <w:u w:val="single"/>
        </w:rPr>
        <w:t>GE Capital</w:t>
      </w:r>
      <w:r>
        <w:rPr>
          <w:rFonts w:ascii="Book Antiqua" w:hAnsi="Book Antiqua"/>
          <w:sz w:val="24"/>
          <w:szCs w:val="24"/>
        </w:rPr>
        <w:t>, primarily concerned with waiver – see Hoffman LJ:</w:t>
      </w:r>
    </w:p>
    <w:p w14:paraId="514A1D33" w14:textId="77777777" w:rsidR="00C119F5" w:rsidRPr="009139CC" w:rsidRDefault="00C119F5" w:rsidP="00C119F5">
      <w:pPr>
        <w:spacing w:before="100" w:beforeAutospacing="1" w:after="100" w:afterAutospacing="1" w:line="240" w:lineRule="auto"/>
        <w:ind w:left="851"/>
        <w:jc w:val="both"/>
        <w:rPr>
          <w:rFonts w:ascii="Book Antiqua" w:eastAsia="Times New Roman" w:hAnsi="Book Antiqua" w:cs="Times New Roman"/>
          <w:szCs w:val="22"/>
          <w:lang w:eastAsia="en-GB" w:bidi="ar-SA"/>
        </w:rPr>
      </w:pPr>
      <w:r w:rsidRPr="009139CC">
        <w:rPr>
          <w:rFonts w:ascii="Book Antiqua" w:eastAsia="Times New Roman" w:hAnsi="Book Antiqua" w:cs="Times New Roman"/>
          <w:szCs w:val="22"/>
          <w:lang w:eastAsia="en-GB" w:bidi="ar-SA"/>
        </w:rPr>
        <w:t xml:space="preserve">In my view, the test for whether on discovery part of a document can be withheld on grounds of irrelevance is simply whether that part is irrelevant. The test for whether part can be withheld on grounds of privilege is simply whether that part is privileged. There is no additional requirement that the part must deal with an entirely different subject matter from the rest. </w:t>
      </w:r>
    </w:p>
    <w:p w14:paraId="234F0186" w14:textId="4693C390" w:rsidR="00C119F5" w:rsidRPr="009139CC" w:rsidRDefault="00C119F5" w:rsidP="00C119F5">
      <w:pPr>
        <w:spacing w:before="100" w:beforeAutospacing="1" w:after="100" w:afterAutospacing="1" w:line="240" w:lineRule="auto"/>
        <w:ind w:left="851"/>
        <w:jc w:val="both"/>
        <w:rPr>
          <w:rFonts w:ascii="Book Antiqua" w:eastAsia="Times New Roman" w:hAnsi="Book Antiqua" w:cs="Times New Roman"/>
          <w:szCs w:val="22"/>
          <w:lang w:eastAsia="en-GB" w:bidi="ar-SA"/>
        </w:rPr>
      </w:pPr>
      <w:r w:rsidRPr="009139CC">
        <w:rPr>
          <w:rFonts w:ascii="Book Antiqua" w:eastAsia="Times New Roman" w:hAnsi="Book Antiqua" w:cs="Times New Roman"/>
          <w:szCs w:val="22"/>
          <w:lang w:eastAsia="en-GB" w:bidi="ar-SA"/>
        </w:rPr>
        <w:t xml:space="preserve">The </w:t>
      </w:r>
      <w:r w:rsidRPr="009139CC">
        <w:rPr>
          <w:rFonts w:ascii="Book Antiqua" w:eastAsia="Times New Roman" w:hAnsi="Book Antiqua" w:cs="Times New Roman"/>
          <w:i/>
          <w:iCs/>
          <w:szCs w:val="22"/>
          <w:lang w:eastAsia="en-GB" w:bidi="ar-SA"/>
        </w:rPr>
        <w:t>Peruvian Guano</w:t>
      </w:r>
      <w:r w:rsidRPr="009139CC">
        <w:rPr>
          <w:rFonts w:ascii="Book Antiqua" w:eastAsia="Times New Roman" w:hAnsi="Book Antiqua" w:cs="Times New Roman"/>
          <w:szCs w:val="22"/>
          <w:lang w:eastAsia="en-GB" w:bidi="ar-SA"/>
        </w:rPr>
        <w:t xml:space="preserve"> test must be applied to the </w:t>
      </w:r>
      <w:r w:rsidRPr="009139CC">
        <w:rPr>
          <w:rFonts w:ascii="Book Antiqua" w:eastAsia="Times New Roman" w:hAnsi="Book Antiqua" w:cs="Times New Roman"/>
          <w:i/>
          <w:iCs/>
          <w:szCs w:val="22"/>
          <w:lang w:eastAsia="en-GB" w:bidi="ar-SA"/>
        </w:rPr>
        <w:t xml:space="preserve">information </w:t>
      </w:r>
      <w:r w:rsidRPr="009139CC">
        <w:rPr>
          <w:rFonts w:ascii="Book Antiqua" w:eastAsia="Times New Roman" w:hAnsi="Book Antiqua" w:cs="Times New Roman"/>
          <w:szCs w:val="22"/>
          <w:lang w:eastAsia="en-GB" w:bidi="ar-SA"/>
        </w:rPr>
        <w:t xml:space="preserve">contained in the covered-up part of the document, regardless of its physical or grammatical relationship to the rest. Relevant and irrelevant information may, as in this case, be contained in the same sentence. Provided that the irrelevant part can be covered without destroying the sense of the rest or making it misleading, a party is permitted to do so. In </w:t>
      </w:r>
      <w:r w:rsidRPr="009139CC">
        <w:rPr>
          <w:rFonts w:ascii="Book Antiqua" w:eastAsia="Times New Roman" w:hAnsi="Book Antiqua" w:cs="Times New Roman"/>
          <w:i/>
          <w:iCs/>
          <w:szCs w:val="22"/>
          <w:lang w:eastAsia="en-GB" w:bidi="ar-SA"/>
        </w:rPr>
        <w:t xml:space="preserve">Jones v. Andrew, 58 L.T. 601 </w:t>
      </w:r>
      <w:r w:rsidRPr="009139CC">
        <w:rPr>
          <w:rFonts w:ascii="Book Antiqua" w:eastAsia="Times New Roman" w:hAnsi="Book Antiqua" w:cs="Times New Roman"/>
          <w:szCs w:val="22"/>
          <w:lang w:eastAsia="en-GB" w:bidi="ar-SA"/>
        </w:rPr>
        <w:t xml:space="preserve">an application to require a party to uncover parts of sentences of which the rest had been disclosed was, on the facts, unsuccessful: compare </w:t>
      </w:r>
      <w:r w:rsidRPr="009139CC">
        <w:rPr>
          <w:rFonts w:ascii="Book Antiqua" w:eastAsia="Times New Roman" w:hAnsi="Book Antiqua" w:cs="Times New Roman"/>
          <w:i/>
          <w:iCs/>
          <w:szCs w:val="22"/>
          <w:lang w:eastAsia="en-GB" w:bidi="ar-SA"/>
        </w:rPr>
        <w:t>Carew v. White (1842) 5 Beav. 172</w:t>
      </w:r>
      <w:r w:rsidRPr="009139CC">
        <w:rPr>
          <w:rFonts w:ascii="Book Antiqua" w:eastAsia="Times New Roman" w:hAnsi="Book Antiqua" w:cs="Times New Roman"/>
          <w:szCs w:val="22"/>
          <w:lang w:eastAsia="en-GB" w:bidi="ar-SA"/>
        </w:rPr>
        <w:t xml:space="preserve">. </w:t>
      </w:r>
    </w:p>
    <w:p w14:paraId="28FA3CE9" w14:textId="77777777" w:rsidR="00C119F5" w:rsidRPr="009139CC" w:rsidRDefault="00C119F5" w:rsidP="00C119F5">
      <w:pPr>
        <w:spacing w:before="100" w:beforeAutospacing="1" w:after="100" w:afterAutospacing="1" w:line="240" w:lineRule="auto"/>
        <w:ind w:left="851"/>
        <w:jc w:val="both"/>
        <w:rPr>
          <w:rFonts w:ascii="Book Antiqua" w:eastAsia="Times New Roman" w:hAnsi="Book Antiqua" w:cs="Times New Roman"/>
          <w:szCs w:val="22"/>
          <w:lang w:eastAsia="en-GB" w:bidi="ar-SA"/>
        </w:rPr>
      </w:pPr>
      <w:r w:rsidRPr="009139CC">
        <w:rPr>
          <w:rFonts w:ascii="Book Antiqua" w:eastAsia="Times New Roman" w:hAnsi="Book Antiqua" w:cs="Times New Roman"/>
          <w:szCs w:val="22"/>
          <w:lang w:eastAsia="en-GB" w:bidi="ar-SA"/>
        </w:rPr>
        <w:t xml:space="preserve">The fact that the blanked-out part deals with the same subject matter as the part admitted to be relevant may mean that the former is also likely to be relevant. On the other hand it may not. The link between the two pieces of information which makes it appropriate to say that the subject matter is the same may be irrelevant to any issue in the action. Thus the memorandum from which I have quoted deals in one sense with the same subject matter, viz., G.E. deals which have gone wrong. But given the </w:t>
      </w:r>
      <w:r w:rsidRPr="009139CC">
        <w:rPr>
          <w:rFonts w:ascii="Book Antiqua" w:eastAsia="Times New Roman" w:hAnsi="Book Antiqua" w:cs="Times New Roman"/>
          <w:szCs w:val="22"/>
          <w:lang w:eastAsia="en-GB" w:bidi="ar-SA"/>
        </w:rPr>
        <w:lastRenderedPageBreak/>
        <w:t>restrictions on the use of similar fact evidence, this is not enough to entail the relevance of the other transaction.</w:t>
      </w:r>
    </w:p>
    <w:p w14:paraId="22FF7835" w14:textId="43B4987B" w:rsidR="00C119F5" w:rsidRDefault="00B9344A" w:rsidP="00C119F5">
      <w:pPr>
        <w:pStyle w:val="ListParagraph"/>
        <w:numPr>
          <w:ilvl w:val="0"/>
          <w:numId w:val="5"/>
        </w:numPr>
        <w:spacing w:after="0" w:line="240" w:lineRule="auto"/>
        <w:ind w:left="567" w:hanging="567"/>
        <w:contextualSpacing w:val="0"/>
        <w:jc w:val="both"/>
        <w:rPr>
          <w:rFonts w:ascii="Book Antiqua" w:hAnsi="Book Antiqua"/>
          <w:sz w:val="24"/>
          <w:szCs w:val="24"/>
        </w:rPr>
      </w:pPr>
      <w:r>
        <w:rPr>
          <w:rFonts w:ascii="Book Antiqua" w:hAnsi="Book Antiqua"/>
          <w:sz w:val="24"/>
          <w:szCs w:val="24"/>
        </w:rPr>
        <w:t>An analysis of the case law accordingly makes it plain t</w:t>
      </w:r>
      <w:r w:rsidR="00C119F5">
        <w:rPr>
          <w:rFonts w:ascii="Book Antiqua" w:hAnsi="Book Antiqua"/>
          <w:sz w:val="24"/>
          <w:szCs w:val="24"/>
        </w:rPr>
        <w:t xml:space="preserve">hat no adverse inferences can be taken from the reliance of a party on privilege. </w:t>
      </w:r>
      <w:r w:rsidR="00F52022">
        <w:rPr>
          <w:rFonts w:ascii="Book Antiqua" w:hAnsi="Book Antiqua"/>
          <w:sz w:val="24"/>
          <w:szCs w:val="24"/>
        </w:rPr>
        <w:t>As a result, as we have said</w:t>
      </w:r>
      <w:r w:rsidR="009A5992">
        <w:rPr>
          <w:rFonts w:ascii="Book Antiqua" w:hAnsi="Book Antiqua"/>
          <w:sz w:val="24"/>
          <w:szCs w:val="24"/>
        </w:rPr>
        <w:t xml:space="preserve"> at paragraph 66 above</w:t>
      </w:r>
      <w:r w:rsidR="00F52022">
        <w:rPr>
          <w:rFonts w:ascii="Book Antiqua" w:hAnsi="Book Antiqua"/>
          <w:sz w:val="24"/>
          <w:szCs w:val="24"/>
        </w:rPr>
        <w:t>,</w:t>
      </w:r>
      <w:r w:rsidR="00882F7C">
        <w:rPr>
          <w:rFonts w:ascii="Book Antiqua" w:hAnsi="Book Antiqua"/>
          <w:sz w:val="24"/>
          <w:szCs w:val="24"/>
        </w:rPr>
        <w:t xml:space="preserve"> it was irrelevant whether</w:t>
      </w:r>
      <w:r w:rsidR="008D6534">
        <w:rPr>
          <w:rFonts w:ascii="Book Antiqua" w:hAnsi="Book Antiqua"/>
          <w:sz w:val="24"/>
          <w:szCs w:val="24"/>
        </w:rPr>
        <w:t xml:space="preserve"> Mr Eke was right about the unredacted part not being covered by litigation privilege</w:t>
      </w:r>
      <w:r w:rsidR="00737530">
        <w:rPr>
          <w:rFonts w:ascii="Book Antiqua" w:hAnsi="Book Antiqua"/>
          <w:sz w:val="24"/>
          <w:szCs w:val="24"/>
        </w:rPr>
        <w:t xml:space="preserve">. The fact that Ms Patry submitted </w:t>
      </w:r>
      <w:r w:rsidR="00650452">
        <w:rPr>
          <w:rFonts w:ascii="Book Antiqua" w:hAnsi="Book Antiqua"/>
          <w:sz w:val="24"/>
          <w:szCs w:val="24"/>
        </w:rPr>
        <w:t>that the unredacted part was privileged</w:t>
      </w:r>
      <w:r w:rsidR="00737530">
        <w:rPr>
          <w:rFonts w:ascii="Book Antiqua" w:hAnsi="Book Antiqua"/>
          <w:sz w:val="24"/>
          <w:szCs w:val="24"/>
        </w:rPr>
        <w:t xml:space="preserve"> but that privilege had been waived,</w:t>
      </w:r>
      <w:r w:rsidR="006F61F8">
        <w:rPr>
          <w:rFonts w:ascii="Book Antiqua" w:hAnsi="Book Antiqua"/>
          <w:sz w:val="24"/>
          <w:szCs w:val="24"/>
        </w:rPr>
        <w:t xml:space="preserve"> could not justify the approach taken by the FtT to Mr Eke’s claim of privilege in respect of the redacted passages. </w:t>
      </w:r>
      <w:r w:rsidR="006E1719">
        <w:rPr>
          <w:rFonts w:ascii="Book Antiqua" w:hAnsi="Book Antiqua"/>
          <w:sz w:val="24"/>
          <w:szCs w:val="24"/>
        </w:rPr>
        <w:t>If Ms Patry were right (and, in our view, she was), then</w:t>
      </w:r>
      <w:r w:rsidR="00745EC2">
        <w:rPr>
          <w:rFonts w:ascii="Book Antiqua" w:hAnsi="Book Antiqua"/>
          <w:sz w:val="24"/>
          <w:szCs w:val="24"/>
        </w:rPr>
        <w:t xml:space="preserve"> th</w:t>
      </w:r>
      <w:r w:rsidR="005E4A19">
        <w:rPr>
          <w:rFonts w:ascii="Book Antiqua" w:hAnsi="Book Antiqua"/>
          <w:sz w:val="24"/>
          <w:szCs w:val="24"/>
        </w:rPr>
        <w:t xml:space="preserve">ere might be a question whether </w:t>
      </w:r>
      <w:r w:rsidR="00980425">
        <w:rPr>
          <w:rFonts w:ascii="Book Antiqua" w:hAnsi="Book Antiqua"/>
          <w:sz w:val="24"/>
          <w:szCs w:val="24"/>
        </w:rPr>
        <w:t>privilege in respect of the redacted passages had</w:t>
      </w:r>
      <w:r w:rsidR="00130021">
        <w:rPr>
          <w:rFonts w:ascii="Book Antiqua" w:hAnsi="Book Antiqua"/>
          <w:sz w:val="24"/>
          <w:szCs w:val="24"/>
        </w:rPr>
        <w:t xml:space="preserve"> thereby</w:t>
      </w:r>
      <w:r w:rsidR="00FF44A7">
        <w:rPr>
          <w:rFonts w:ascii="Book Antiqua" w:hAnsi="Book Antiqua"/>
          <w:sz w:val="24"/>
          <w:szCs w:val="24"/>
        </w:rPr>
        <w:t xml:space="preserve"> been waived. The FtT did not</w:t>
      </w:r>
      <w:r w:rsidR="00980425">
        <w:rPr>
          <w:rFonts w:ascii="Book Antiqua" w:hAnsi="Book Antiqua"/>
          <w:sz w:val="24"/>
          <w:szCs w:val="24"/>
        </w:rPr>
        <w:t>, however, base its decision on any finding that</w:t>
      </w:r>
      <w:r w:rsidR="0053250A">
        <w:rPr>
          <w:rFonts w:ascii="Book Antiqua" w:hAnsi="Book Antiqua"/>
          <w:sz w:val="24"/>
          <w:szCs w:val="24"/>
        </w:rPr>
        <w:t xml:space="preserve"> there had been </w:t>
      </w:r>
      <w:r w:rsidR="00094D4C">
        <w:rPr>
          <w:rFonts w:ascii="Book Antiqua" w:hAnsi="Book Antiqua"/>
          <w:sz w:val="24"/>
          <w:szCs w:val="24"/>
        </w:rPr>
        <w:t>such</w:t>
      </w:r>
      <w:r w:rsidR="0053250A">
        <w:rPr>
          <w:rFonts w:ascii="Book Antiqua" w:hAnsi="Book Antiqua"/>
          <w:sz w:val="24"/>
          <w:szCs w:val="24"/>
        </w:rPr>
        <w:t xml:space="preserve"> waiver</w:t>
      </w:r>
      <w:r w:rsidR="00BF263B">
        <w:rPr>
          <w:rFonts w:ascii="Book Antiqua" w:hAnsi="Book Antiqua"/>
          <w:sz w:val="24"/>
          <w:szCs w:val="24"/>
        </w:rPr>
        <w:t xml:space="preserve">. </w:t>
      </w:r>
      <w:r w:rsidR="00094D4C">
        <w:rPr>
          <w:rFonts w:ascii="Book Antiqua" w:hAnsi="Book Antiqua"/>
          <w:sz w:val="24"/>
          <w:szCs w:val="24"/>
        </w:rPr>
        <w:t xml:space="preserve"> Before us, Ms Harrison advanced this waiver argument in sup</w:t>
      </w:r>
      <w:r w:rsidR="00B83F1D">
        <w:rPr>
          <w:rFonts w:ascii="Book Antiqua" w:hAnsi="Book Antiqua"/>
          <w:sz w:val="24"/>
          <w:szCs w:val="24"/>
        </w:rPr>
        <w:t xml:space="preserve">port of the submission that the FtT’s decision, even if flawed, should nevertheless not be quashed. </w:t>
      </w:r>
      <w:r w:rsidR="00BF263B">
        <w:rPr>
          <w:rFonts w:ascii="Book Antiqua" w:hAnsi="Book Antiqua"/>
          <w:sz w:val="24"/>
          <w:szCs w:val="24"/>
        </w:rPr>
        <w:t>We shall have more to say later on the issue of waiver.</w:t>
      </w:r>
    </w:p>
    <w:p w14:paraId="258E85A9" w14:textId="77777777" w:rsidR="00E356D7" w:rsidRPr="000F04A4" w:rsidRDefault="00F43557" w:rsidP="000F04A4">
      <w:pPr>
        <w:pStyle w:val="ListParagraph"/>
        <w:numPr>
          <w:ilvl w:val="0"/>
          <w:numId w:val="5"/>
        </w:numPr>
        <w:spacing w:before="240" w:line="240" w:lineRule="auto"/>
        <w:ind w:left="567" w:hanging="567"/>
        <w:contextualSpacing w:val="0"/>
        <w:jc w:val="both"/>
        <w:rPr>
          <w:rFonts w:ascii="Book Antiqua" w:hAnsi="Book Antiqua"/>
          <w:sz w:val="24"/>
          <w:szCs w:val="24"/>
        </w:rPr>
      </w:pPr>
      <w:r w:rsidRPr="000F04A4">
        <w:rPr>
          <w:rFonts w:ascii="Book Antiqua" w:hAnsi="Book Antiqua"/>
          <w:sz w:val="24"/>
          <w:szCs w:val="24"/>
        </w:rPr>
        <w:t xml:space="preserve">The interested party’s </w:t>
      </w:r>
      <w:r w:rsidR="00AD008F" w:rsidRPr="000F04A4">
        <w:rPr>
          <w:rFonts w:ascii="Book Antiqua" w:hAnsi="Book Antiqua"/>
          <w:sz w:val="24"/>
          <w:szCs w:val="24"/>
        </w:rPr>
        <w:t>stance before the FtT</w:t>
      </w:r>
      <w:r w:rsidR="00CB698A" w:rsidRPr="000F04A4">
        <w:rPr>
          <w:rFonts w:ascii="Book Antiqua" w:hAnsi="Book Antiqua"/>
          <w:sz w:val="24"/>
          <w:szCs w:val="24"/>
        </w:rPr>
        <w:t xml:space="preserve"> drew upon</w:t>
      </w:r>
      <w:r w:rsidR="004068A1" w:rsidRPr="000F04A4">
        <w:rPr>
          <w:rFonts w:ascii="Book Antiqua" w:hAnsi="Book Antiqua"/>
          <w:sz w:val="24"/>
          <w:szCs w:val="24"/>
        </w:rPr>
        <w:t xml:space="preserve"> the duty of candour, to which we have already referred</w:t>
      </w:r>
      <w:r w:rsidR="00A50E5F" w:rsidRPr="000F04A4">
        <w:rPr>
          <w:rFonts w:ascii="Book Antiqua" w:hAnsi="Book Antiqua"/>
          <w:sz w:val="24"/>
          <w:szCs w:val="24"/>
        </w:rPr>
        <w:t xml:space="preserve">. </w:t>
      </w:r>
      <w:r w:rsidR="002C6707" w:rsidRPr="000F04A4">
        <w:rPr>
          <w:rFonts w:ascii="Book Antiqua" w:hAnsi="Book Antiqua"/>
          <w:sz w:val="24"/>
          <w:szCs w:val="24"/>
        </w:rPr>
        <w:t>The interested party’s argument</w:t>
      </w:r>
      <w:r w:rsidR="005935FA" w:rsidRPr="000F04A4">
        <w:rPr>
          <w:rFonts w:ascii="Book Antiqua" w:hAnsi="Book Antiqua"/>
          <w:sz w:val="24"/>
          <w:szCs w:val="24"/>
        </w:rPr>
        <w:t xml:space="preserve"> was</w:t>
      </w:r>
      <w:r w:rsidRPr="000F04A4">
        <w:rPr>
          <w:rFonts w:ascii="Book Antiqua" w:hAnsi="Book Antiqua"/>
          <w:sz w:val="24"/>
          <w:szCs w:val="24"/>
        </w:rPr>
        <w:t xml:space="preserve"> that, having seen part of the email</w:t>
      </w:r>
      <w:r w:rsidR="00E965CC" w:rsidRPr="000F04A4">
        <w:rPr>
          <w:rFonts w:ascii="Book Antiqua" w:hAnsi="Book Antiqua"/>
          <w:sz w:val="24"/>
          <w:szCs w:val="24"/>
        </w:rPr>
        <w:t xml:space="preserve"> that had been disclosed in compliance with</w:t>
      </w:r>
      <w:r w:rsidR="00A67C87" w:rsidRPr="000F04A4">
        <w:rPr>
          <w:rFonts w:ascii="Book Antiqua" w:hAnsi="Book Antiqua"/>
          <w:sz w:val="24"/>
          <w:szCs w:val="24"/>
        </w:rPr>
        <w:t xml:space="preserve"> the applicant’s</w:t>
      </w:r>
      <w:r w:rsidRPr="000F04A4">
        <w:rPr>
          <w:rFonts w:ascii="Book Antiqua" w:hAnsi="Book Antiqua"/>
          <w:sz w:val="24"/>
          <w:szCs w:val="24"/>
        </w:rPr>
        <w:t xml:space="preserve"> duty of candour, </w:t>
      </w:r>
      <w:r w:rsidR="005935FA" w:rsidRPr="000F04A4">
        <w:rPr>
          <w:rFonts w:ascii="Book Antiqua" w:hAnsi="Book Antiqua"/>
          <w:sz w:val="24"/>
          <w:szCs w:val="24"/>
        </w:rPr>
        <w:t>he</w:t>
      </w:r>
      <w:r w:rsidRPr="000F04A4">
        <w:rPr>
          <w:rFonts w:ascii="Book Antiqua" w:hAnsi="Book Antiqua"/>
          <w:sz w:val="24"/>
          <w:szCs w:val="24"/>
        </w:rPr>
        <w:t xml:space="preserve"> needed to be able to see the rest of it</w:t>
      </w:r>
      <w:r w:rsidR="00CB6FE4" w:rsidRPr="000F04A4">
        <w:rPr>
          <w:rFonts w:ascii="Book Antiqua" w:hAnsi="Book Antiqua"/>
          <w:sz w:val="24"/>
          <w:szCs w:val="24"/>
        </w:rPr>
        <w:t>, in order</w:t>
      </w:r>
      <w:r w:rsidRPr="000F04A4">
        <w:rPr>
          <w:rFonts w:ascii="Book Antiqua" w:hAnsi="Book Antiqua"/>
          <w:sz w:val="24"/>
          <w:szCs w:val="24"/>
        </w:rPr>
        <w:t xml:space="preserve"> to be sure the applicant was not holding something back</w:t>
      </w:r>
      <w:r w:rsidR="0069403E" w:rsidRPr="000F04A4">
        <w:rPr>
          <w:rFonts w:ascii="Book Antiqua" w:hAnsi="Book Antiqua"/>
          <w:sz w:val="24"/>
          <w:szCs w:val="24"/>
        </w:rPr>
        <w:t>, in breach of that duty</w:t>
      </w:r>
      <w:r w:rsidRPr="000F04A4">
        <w:rPr>
          <w:rFonts w:ascii="Book Antiqua" w:hAnsi="Book Antiqua"/>
          <w:sz w:val="24"/>
          <w:szCs w:val="24"/>
        </w:rPr>
        <w:t>.</w:t>
      </w:r>
      <w:r w:rsidR="00CB6FE4" w:rsidRPr="000F04A4">
        <w:rPr>
          <w:rFonts w:ascii="Book Antiqua" w:hAnsi="Book Antiqua"/>
          <w:sz w:val="24"/>
          <w:szCs w:val="24"/>
        </w:rPr>
        <w:t xml:space="preserve"> Th</w:t>
      </w:r>
      <w:r w:rsidR="0069403E" w:rsidRPr="000F04A4">
        <w:rPr>
          <w:rFonts w:ascii="Book Antiqua" w:hAnsi="Book Antiqua"/>
          <w:sz w:val="24"/>
          <w:szCs w:val="24"/>
        </w:rPr>
        <w:t>is</w:t>
      </w:r>
      <w:r w:rsidR="00CB6FE4" w:rsidRPr="000F04A4">
        <w:rPr>
          <w:rFonts w:ascii="Book Antiqua" w:hAnsi="Book Antiqua"/>
          <w:sz w:val="24"/>
          <w:szCs w:val="24"/>
        </w:rPr>
        <w:t>, however, will not do.</w:t>
      </w:r>
      <w:r w:rsidR="00811106" w:rsidRPr="000F04A4">
        <w:rPr>
          <w:rFonts w:ascii="Book Antiqua" w:hAnsi="Book Antiqua"/>
          <w:sz w:val="24"/>
          <w:szCs w:val="24"/>
        </w:rPr>
        <w:t xml:space="preserve"> </w:t>
      </w:r>
      <w:r w:rsidRPr="000F04A4">
        <w:rPr>
          <w:rFonts w:ascii="Book Antiqua" w:hAnsi="Book Antiqua"/>
          <w:sz w:val="24"/>
          <w:szCs w:val="24"/>
        </w:rPr>
        <w:t xml:space="preserve"> </w:t>
      </w:r>
      <w:r w:rsidR="00811106" w:rsidRPr="000F04A4">
        <w:rPr>
          <w:rFonts w:ascii="Book Antiqua" w:hAnsi="Book Antiqua"/>
          <w:sz w:val="24"/>
          <w:szCs w:val="24"/>
        </w:rPr>
        <w:t xml:space="preserve">The </w:t>
      </w:r>
      <w:r w:rsidR="006E4583" w:rsidRPr="000F04A4">
        <w:rPr>
          <w:rFonts w:ascii="Book Antiqua" w:hAnsi="Book Antiqua"/>
          <w:sz w:val="24"/>
          <w:szCs w:val="24"/>
        </w:rPr>
        <w:t xml:space="preserve">interested party </w:t>
      </w:r>
      <w:r w:rsidR="00CA4E3D" w:rsidRPr="000F04A4">
        <w:rPr>
          <w:rFonts w:ascii="Book Antiqua" w:hAnsi="Book Antiqua"/>
          <w:sz w:val="24"/>
          <w:szCs w:val="24"/>
        </w:rPr>
        <w:t>advanced no reason that might</w:t>
      </w:r>
      <w:r w:rsidR="000F1FFD" w:rsidRPr="000F04A4">
        <w:rPr>
          <w:rFonts w:ascii="Book Antiqua" w:hAnsi="Book Antiqua"/>
          <w:sz w:val="24"/>
          <w:szCs w:val="24"/>
        </w:rPr>
        <w:t xml:space="preserve"> have</w:t>
      </w:r>
      <w:r w:rsidR="00CA4E3D" w:rsidRPr="000F04A4">
        <w:rPr>
          <w:rFonts w:ascii="Book Antiqua" w:hAnsi="Book Antiqua"/>
          <w:sz w:val="24"/>
          <w:szCs w:val="24"/>
        </w:rPr>
        <w:t xml:space="preserve"> </w:t>
      </w:r>
      <w:r w:rsidR="00FB455F" w:rsidRPr="000F04A4">
        <w:rPr>
          <w:rFonts w:ascii="Book Antiqua" w:hAnsi="Book Antiqua"/>
          <w:sz w:val="24"/>
          <w:szCs w:val="24"/>
        </w:rPr>
        <w:t>give</w:t>
      </w:r>
      <w:r w:rsidR="000F1FFD" w:rsidRPr="000F04A4">
        <w:rPr>
          <w:rFonts w:ascii="Book Antiqua" w:hAnsi="Book Antiqua"/>
          <w:sz w:val="24"/>
          <w:szCs w:val="24"/>
        </w:rPr>
        <w:t>n the FtT reasonable</w:t>
      </w:r>
      <w:r w:rsidR="00FB455F" w:rsidRPr="000F04A4">
        <w:rPr>
          <w:rFonts w:ascii="Book Antiqua" w:hAnsi="Book Antiqua"/>
          <w:sz w:val="24"/>
          <w:szCs w:val="24"/>
        </w:rPr>
        <w:t xml:space="preserve"> cause to think</w:t>
      </w:r>
      <w:r w:rsidR="00CA4E3D" w:rsidRPr="000F04A4">
        <w:rPr>
          <w:rFonts w:ascii="Book Antiqua" w:hAnsi="Book Antiqua"/>
          <w:sz w:val="24"/>
          <w:szCs w:val="24"/>
        </w:rPr>
        <w:t xml:space="preserve"> the applicant </w:t>
      </w:r>
      <w:r w:rsidR="000F1FFD" w:rsidRPr="000F04A4">
        <w:rPr>
          <w:rFonts w:ascii="Book Antiqua" w:hAnsi="Book Antiqua"/>
          <w:sz w:val="24"/>
          <w:szCs w:val="24"/>
        </w:rPr>
        <w:t>may</w:t>
      </w:r>
      <w:r w:rsidR="00943FD5" w:rsidRPr="000F04A4">
        <w:rPr>
          <w:rFonts w:ascii="Book Antiqua" w:hAnsi="Book Antiqua"/>
          <w:sz w:val="24"/>
          <w:szCs w:val="24"/>
        </w:rPr>
        <w:t xml:space="preserve"> not </w:t>
      </w:r>
      <w:r w:rsidR="000F1FFD" w:rsidRPr="000F04A4">
        <w:rPr>
          <w:rFonts w:ascii="Book Antiqua" w:hAnsi="Book Antiqua"/>
          <w:sz w:val="24"/>
          <w:szCs w:val="24"/>
        </w:rPr>
        <w:t xml:space="preserve">have </w:t>
      </w:r>
      <w:r w:rsidR="00943FD5" w:rsidRPr="000F04A4">
        <w:rPr>
          <w:rFonts w:ascii="Book Antiqua" w:hAnsi="Book Antiqua"/>
          <w:sz w:val="24"/>
          <w:szCs w:val="24"/>
        </w:rPr>
        <w:t xml:space="preserve">complied with the duty </w:t>
      </w:r>
      <w:r w:rsidR="00CF5311" w:rsidRPr="000F04A4">
        <w:rPr>
          <w:rFonts w:ascii="Book Antiqua" w:hAnsi="Book Antiqua"/>
          <w:sz w:val="24"/>
          <w:szCs w:val="24"/>
        </w:rPr>
        <w:t>of candour</w:t>
      </w:r>
      <w:r w:rsidRPr="000F04A4">
        <w:rPr>
          <w:rFonts w:ascii="Book Antiqua" w:hAnsi="Book Antiqua"/>
          <w:sz w:val="24"/>
          <w:szCs w:val="24"/>
        </w:rPr>
        <w:t>. Nor ha</w:t>
      </w:r>
      <w:r w:rsidR="00CF5311" w:rsidRPr="000F04A4">
        <w:rPr>
          <w:rFonts w:ascii="Book Antiqua" w:hAnsi="Book Antiqua"/>
          <w:sz w:val="24"/>
          <w:szCs w:val="24"/>
        </w:rPr>
        <w:t>s any</w:t>
      </w:r>
      <w:r w:rsidR="00C0363A" w:rsidRPr="000F04A4">
        <w:rPr>
          <w:rFonts w:ascii="Book Antiqua" w:hAnsi="Book Antiqua"/>
          <w:sz w:val="24"/>
          <w:szCs w:val="24"/>
        </w:rPr>
        <w:t xml:space="preserve"> such reason been advanced before us. </w:t>
      </w:r>
      <w:r w:rsidR="00FB455F" w:rsidRPr="000F04A4">
        <w:rPr>
          <w:rFonts w:ascii="Book Antiqua" w:hAnsi="Book Antiqua"/>
          <w:sz w:val="24"/>
          <w:szCs w:val="24"/>
        </w:rPr>
        <w:t>As a result, th</w:t>
      </w:r>
      <w:r w:rsidR="00E356D7" w:rsidRPr="000F04A4">
        <w:rPr>
          <w:rFonts w:ascii="Book Antiqua" w:hAnsi="Book Antiqua"/>
          <w:sz w:val="24"/>
          <w:szCs w:val="24"/>
        </w:rPr>
        <w:t>is aspect of the</w:t>
      </w:r>
      <w:r w:rsidR="00C0363A" w:rsidRPr="000F04A4">
        <w:rPr>
          <w:rFonts w:ascii="Book Antiqua" w:hAnsi="Book Antiqua"/>
          <w:sz w:val="24"/>
          <w:szCs w:val="24"/>
        </w:rPr>
        <w:t xml:space="preserve"> </w:t>
      </w:r>
      <w:r w:rsidR="007D6198" w:rsidRPr="000F04A4">
        <w:rPr>
          <w:rFonts w:ascii="Book Antiqua" w:hAnsi="Book Antiqua"/>
          <w:sz w:val="24"/>
          <w:szCs w:val="24"/>
        </w:rPr>
        <w:t>interested party’s case</w:t>
      </w:r>
      <w:r w:rsidR="00C0363A" w:rsidRPr="000F04A4">
        <w:rPr>
          <w:rFonts w:ascii="Book Antiqua" w:hAnsi="Book Antiqua"/>
          <w:sz w:val="24"/>
          <w:szCs w:val="24"/>
        </w:rPr>
        <w:t xml:space="preserve"> is, </w:t>
      </w:r>
      <w:r w:rsidR="00B96E6D" w:rsidRPr="000F04A4">
        <w:rPr>
          <w:rFonts w:ascii="Book Antiqua" w:hAnsi="Book Antiqua"/>
          <w:sz w:val="24"/>
          <w:szCs w:val="24"/>
        </w:rPr>
        <w:t>in reality</w:t>
      </w:r>
      <w:r w:rsidR="00C0363A" w:rsidRPr="000F04A4">
        <w:rPr>
          <w:rFonts w:ascii="Book Antiqua" w:hAnsi="Book Antiqua"/>
          <w:sz w:val="24"/>
          <w:szCs w:val="24"/>
        </w:rPr>
        <w:t>, a fishing expedition.</w:t>
      </w:r>
      <w:r w:rsidR="00E356D7" w:rsidRPr="000F04A4">
        <w:rPr>
          <w:rFonts w:ascii="Book Antiqua" w:hAnsi="Book Antiqua"/>
          <w:sz w:val="24"/>
          <w:szCs w:val="24"/>
        </w:rPr>
        <w:t xml:space="preserve"> </w:t>
      </w:r>
      <w:r w:rsidR="00B96E6D" w:rsidRPr="000F04A4">
        <w:rPr>
          <w:rFonts w:ascii="Book Antiqua" w:hAnsi="Book Antiqua"/>
          <w:sz w:val="24"/>
          <w:szCs w:val="24"/>
        </w:rPr>
        <w:t>The fact that the</w:t>
      </w:r>
      <w:r w:rsidR="00706584" w:rsidRPr="000F04A4">
        <w:rPr>
          <w:rFonts w:ascii="Book Antiqua" w:hAnsi="Book Antiqua"/>
          <w:sz w:val="24"/>
          <w:szCs w:val="24"/>
        </w:rPr>
        <w:t xml:space="preserve"> applicant had disclosed material in accordance with her duty of ca</w:t>
      </w:r>
      <w:r w:rsidR="000638C8" w:rsidRPr="000F04A4">
        <w:rPr>
          <w:rFonts w:ascii="Book Antiqua" w:hAnsi="Book Antiqua"/>
          <w:sz w:val="24"/>
          <w:szCs w:val="24"/>
        </w:rPr>
        <w:t>n</w:t>
      </w:r>
      <w:r w:rsidR="00706584" w:rsidRPr="000F04A4">
        <w:rPr>
          <w:rFonts w:ascii="Book Antiqua" w:hAnsi="Book Antiqua"/>
          <w:sz w:val="24"/>
          <w:szCs w:val="24"/>
        </w:rPr>
        <w:t>dour was being us</w:t>
      </w:r>
      <w:r w:rsidR="003972BA" w:rsidRPr="000F04A4">
        <w:rPr>
          <w:rFonts w:ascii="Book Antiqua" w:hAnsi="Book Antiqua"/>
          <w:sz w:val="24"/>
          <w:szCs w:val="24"/>
        </w:rPr>
        <w:t>ed</w:t>
      </w:r>
      <w:r w:rsidR="00ED1D08" w:rsidRPr="000F04A4">
        <w:rPr>
          <w:rFonts w:ascii="Book Antiqua" w:hAnsi="Book Antiqua"/>
          <w:sz w:val="24"/>
          <w:szCs w:val="24"/>
        </w:rPr>
        <w:t xml:space="preserve"> opportunistically by the interested party.</w:t>
      </w:r>
    </w:p>
    <w:p w14:paraId="67AA6C53" w14:textId="77777777" w:rsidR="00F43557" w:rsidRPr="000F04A4" w:rsidRDefault="00C354C3"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0F04A4">
        <w:rPr>
          <w:rFonts w:ascii="Book Antiqua" w:hAnsi="Book Antiqua"/>
          <w:noProof/>
          <w:sz w:val="24"/>
          <w:szCs w:val="24"/>
        </w:rPr>
        <mc:AlternateContent>
          <mc:Choice Requires="wpi">
            <w:drawing>
              <wp:anchor distT="0" distB="0" distL="114300" distR="114300" simplePos="0" relativeHeight="251661312" behindDoc="0" locked="0" layoutInCell="1" allowOverlap="1" wp14:anchorId="6514CF37" wp14:editId="6A5E6BB6">
                <wp:simplePos x="0" y="0"/>
                <wp:positionH relativeFrom="column">
                  <wp:posOffset>8849325</wp:posOffset>
                </wp:positionH>
                <wp:positionV relativeFrom="paragraph">
                  <wp:posOffset>1109480</wp:posOffset>
                </wp:positionV>
                <wp:extent cx="38520" cy="15120"/>
                <wp:effectExtent l="38100" t="38100" r="57150" b="42545"/>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38520" cy="15120"/>
                      </w14:xfrm>
                    </w14:contentPart>
                  </a:graphicData>
                </a:graphic>
              </wp:anchor>
            </w:drawing>
          </mc:Choice>
          <mc:Fallback>
            <w:pict>
              <v:shapetype w14:anchorId="46A85F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96.1pt;margin-top:86.65pt;width:4.45pt;height: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">
                <v:imagedata r:id="rId24" o:title=""/>
              </v:shape>
            </w:pict>
          </mc:Fallback>
        </mc:AlternateContent>
      </w:r>
      <w:r w:rsidR="007C31EE" w:rsidRPr="000F04A4">
        <w:rPr>
          <w:rFonts w:ascii="Book Antiqua" w:hAnsi="Book Antiqua"/>
          <w:sz w:val="24"/>
          <w:szCs w:val="24"/>
        </w:rPr>
        <w:t xml:space="preserve"> </w:t>
      </w:r>
      <w:r w:rsidR="00AF749F" w:rsidRPr="000F04A4">
        <w:rPr>
          <w:rFonts w:ascii="Book Antiqua" w:hAnsi="Book Antiqua"/>
          <w:sz w:val="24"/>
          <w:szCs w:val="24"/>
        </w:rPr>
        <w:t>In summary</w:t>
      </w:r>
      <w:r w:rsidR="007C31EE" w:rsidRPr="000F04A4">
        <w:rPr>
          <w:rFonts w:ascii="Book Antiqua" w:hAnsi="Book Antiqua"/>
          <w:sz w:val="24"/>
          <w:szCs w:val="24"/>
        </w:rPr>
        <w:t xml:space="preserve">, </w:t>
      </w:r>
      <w:r w:rsidR="007E141D" w:rsidRPr="000F04A4">
        <w:rPr>
          <w:rFonts w:ascii="Book Antiqua" w:hAnsi="Book Antiqua"/>
          <w:sz w:val="24"/>
          <w:szCs w:val="24"/>
        </w:rPr>
        <w:t>neither</w:t>
      </w:r>
      <w:r w:rsidR="005B74DC" w:rsidRPr="000F04A4">
        <w:rPr>
          <w:rFonts w:ascii="Book Antiqua" w:hAnsi="Book Antiqua"/>
          <w:sz w:val="24"/>
          <w:szCs w:val="24"/>
        </w:rPr>
        <w:t xml:space="preserve"> the case law on inferences from reliance on litigation privilege</w:t>
      </w:r>
      <w:r w:rsidR="007E141D" w:rsidRPr="000F04A4">
        <w:rPr>
          <w:rFonts w:ascii="Book Antiqua" w:hAnsi="Book Antiqua"/>
          <w:sz w:val="24"/>
          <w:szCs w:val="24"/>
        </w:rPr>
        <w:t xml:space="preserve"> nor the duty of candour</w:t>
      </w:r>
      <w:r w:rsidR="00F8122F" w:rsidRPr="000F04A4">
        <w:rPr>
          <w:rFonts w:ascii="Book Antiqua" w:hAnsi="Book Antiqua"/>
          <w:sz w:val="24"/>
          <w:szCs w:val="24"/>
        </w:rPr>
        <w:t xml:space="preserve"> provided the</w:t>
      </w:r>
      <w:r w:rsidR="007C31EE" w:rsidRPr="000F04A4">
        <w:rPr>
          <w:rFonts w:ascii="Book Antiqua" w:hAnsi="Book Antiqua"/>
          <w:sz w:val="24"/>
          <w:szCs w:val="24"/>
        </w:rPr>
        <w:t xml:space="preserve"> FtT </w:t>
      </w:r>
      <w:r w:rsidR="00F8122F" w:rsidRPr="000F04A4">
        <w:rPr>
          <w:rFonts w:ascii="Book Antiqua" w:hAnsi="Book Antiqua"/>
          <w:sz w:val="24"/>
          <w:szCs w:val="24"/>
        </w:rPr>
        <w:t>with any</w:t>
      </w:r>
      <w:r w:rsidR="007C31EE" w:rsidRPr="000F04A4">
        <w:rPr>
          <w:rFonts w:ascii="Book Antiqua" w:hAnsi="Book Antiqua"/>
          <w:sz w:val="24"/>
          <w:szCs w:val="24"/>
        </w:rPr>
        <w:t xml:space="preserve"> </w:t>
      </w:r>
      <w:r w:rsidR="00242F8B" w:rsidRPr="000F04A4">
        <w:rPr>
          <w:rFonts w:ascii="Book Antiqua" w:hAnsi="Book Antiqua"/>
          <w:sz w:val="24"/>
          <w:szCs w:val="24"/>
        </w:rPr>
        <w:t>rational basis</w:t>
      </w:r>
      <w:r w:rsidR="007C31EE" w:rsidRPr="000F04A4">
        <w:rPr>
          <w:rFonts w:ascii="Book Antiqua" w:hAnsi="Book Antiqua"/>
          <w:sz w:val="24"/>
          <w:szCs w:val="24"/>
        </w:rPr>
        <w:t xml:space="preserve"> for finding that</w:t>
      </w:r>
      <w:r w:rsidR="0004266C" w:rsidRPr="000F04A4">
        <w:rPr>
          <w:rFonts w:ascii="Book Antiqua" w:hAnsi="Book Antiqua"/>
          <w:sz w:val="24"/>
          <w:szCs w:val="24"/>
        </w:rPr>
        <w:t xml:space="preserve">, if it </w:t>
      </w:r>
      <w:r w:rsidR="00527B77" w:rsidRPr="000F04A4">
        <w:rPr>
          <w:rFonts w:ascii="Book Antiqua" w:hAnsi="Book Antiqua"/>
          <w:sz w:val="24"/>
          <w:szCs w:val="24"/>
        </w:rPr>
        <w:t>“</w:t>
      </w:r>
      <w:r w:rsidR="0004266C" w:rsidRPr="000F04A4">
        <w:rPr>
          <w:rFonts w:ascii="Book Antiqua" w:hAnsi="Book Antiqua"/>
          <w:sz w:val="24"/>
          <w:szCs w:val="24"/>
        </w:rPr>
        <w:t>were to permit</w:t>
      </w:r>
      <w:r w:rsidR="00527B77" w:rsidRPr="000F04A4">
        <w:rPr>
          <w:rFonts w:ascii="Book Antiqua" w:hAnsi="Book Antiqua"/>
          <w:sz w:val="24"/>
          <w:szCs w:val="24"/>
        </w:rPr>
        <w:t xml:space="preserve"> the email redactions to stand, the impression may be created</w:t>
      </w:r>
      <w:r w:rsidR="00B51F1C" w:rsidRPr="000F04A4">
        <w:rPr>
          <w:rFonts w:ascii="Book Antiqua" w:hAnsi="Book Antiqua"/>
          <w:sz w:val="24"/>
          <w:szCs w:val="24"/>
        </w:rPr>
        <w:t xml:space="preserve"> or there may be a perception</w:t>
      </w:r>
      <w:r w:rsidR="00A010FB" w:rsidRPr="000F04A4">
        <w:rPr>
          <w:rFonts w:ascii="Book Antiqua" w:hAnsi="Book Antiqua"/>
          <w:sz w:val="24"/>
          <w:szCs w:val="24"/>
        </w:rPr>
        <w:t xml:space="preserve"> that the tribunal could have been misled on the evidence</w:t>
      </w:r>
      <w:r w:rsidR="00FD6C53" w:rsidRPr="000F04A4">
        <w:rPr>
          <w:rFonts w:ascii="Book Antiqua" w:hAnsi="Book Antiqua"/>
          <w:sz w:val="24"/>
          <w:szCs w:val="24"/>
        </w:rPr>
        <w:t xml:space="preserve"> and we would wish to avoid our decision being tainted in that way”. </w:t>
      </w:r>
    </w:p>
    <w:p w14:paraId="100A9461" w14:textId="77777777" w:rsidR="00A21107" w:rsidRPr="000F04A4" w:rsidRDefault="003708FF" w:rsidP="00042ACC">
      <w:pPr>
        <w:pStyle w:val="ListParagraph"/>
        <w:spacing w:line="240" w:lineRule="auto"/>
        <w:ind w:left="0"/>
        <w:contextualSpacing w:val="0"/>
        <w:jc w:val="both"/>
        <w:rPr>
          <w:rFonts w:ascii="Book Antiqua" w:hAnsi="Book Antiqua"/>
          <w:sz w:val="24"/>
          <w:szCs w:val="24"/>
          <w:u w:val="single"/>
        </w:rPr>
      </w:pPr>
      <w:r>
        <w:rPr>
          <w:rFonts w:ascii="Book Antiqua" w:hAnsi="Book Antiqua"/>
          <w:sz w:val="24"/>
          <w:szCs w:val="24"/>
          <w:u w:val="single"/>
        </w:rPr>
        <w:t>(c)</w:t>
      </w:r>
      <w:r w:rsidR="000E220A">
        <w:rPr>
          <w:rFonts w:ascii="Book Antiqua" w:hAnsi="Book Antiqua"/>
          <w:sz w:val="24"/>
          <w:szCs w:val="24"/>
          <w:u w:val="single"/>
        </w:rPr>
        <w:t xml:space="preserve"> The position so far</w:t>
      </w:r>
    </w:p>
    <w:p w14:paraId="5655B24F" w14:textId="7080FF31" w:rsidR="006C2D56" w:rsidRDefault="00F51C4A"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I</w:t>
      </w:r>
      <w:r w:rsidR="00E436F0">
        <w:rPr>
          <w:rFonts w:ascii="Book Antiqua" w:hAnsi="Book Antiqua"/>
          <w:sz w:val="24"/>
          <w:szCs w:val="24"/>
        </w:rPr>
        <w:t>t is necessary at this point to pause and take stock of the position we have reached</w:t>
      </w:r>
      <w:r w:rsidR="00932B94">
        <w:rPr>
          <w:rFonts w:ascii="Book Antiqua" w:hAnsi="Book Antiqua"/>
          <w:sz w:val="24"/>
          <w:szCs w:val="24"/>
        </w:rPr>
        <w:t xml:space="preserve">. </w:t>
      </w:r>
      <w:r w:rsidR="001C4957">
        <w:rPr>
          <w:rFonts w:ascii="Book Antiqua" w:hAnsi="Book Antiqua"/>
          <w:sz w:val="24"/>
          <w:szCs w:val="24"/>
        </w:rPr>
        <w:t>P</w:t>
      </w:r>
      <w:r w:rsidR="00932B94">
        <w:rPr>
          <w:rFonts w:ascii="Book Antiqua" w:hAnsi="Book Antiqua"/>
          <w:sz w:val="24"/>
          <w:szCs w:val="24"/>
        </w:rPr>
        <w:t xml:space="preserve">roceedings in the First-tier Tribunal </w:t>
      </w:r>
      <w:r w:rsidR="001C4957">
        <w:rPr>
          <w:rFonts w:ascii="Book Antiqua" w:hAnsi="Book Antiqua"/>
          <w:sz w:val="24"/>
          <w:szCs w:val="24"/>
        </w:rPr>
        <w:t>ar</w:t>
      </w:r>
      <w:r w:rsidR="002A231C">
        <w:rPr>
          <w:rFonts w:ascii="Book Antiqua" w:hAnsi="Book Antiqua"/>
          <w:sz w:val="24"/>
          <w:szCs w:val="24"/>
        </w:rPr>
        <w:t>e sufficiently adversarial in nature to</w:t>
      </w:r>
      <w:r w:rsidR="00B9377E">
        <w:rPr>
          <w:rFonts w:ascii="Book Antiqua" w:hAnsi="Book Antiqua"/>
          <w:sz w:val="24"/>
          <w:szCs w:val="24"/>
        </w:rPr>
        <w:t xml:space="preserve"> give rise to litigation privilege. </w:t>
      </w:r>
      <w:r w:rsidR="0037716F">
        <w:rPr>
          <w:rFonts w:ascii="Book Antiqua" w:hAnsi="Book Antiqua"/>
          <w:sz w:val="24"/>
          <w:szCs w:val="24"/>
        </w:rPr>
        <w:t>Although there may be</w:t>
      </w:r>
      <w:r w:rsidR="008F2E55">
        <w:rPr>
          <w:rFonts w:ascii="Book Antiqua" w:hAnsi="Book Antiqua"/>
          <w:sz w:val="24"/>
          <w:szCs w:val="24"/>
        </w:rPr>
        <w:t xml:space="preserve"> extreme</w:t>
      </w:r>
      <w:r w:rsidR="0037716F">
        <w:rPr>
          <w:rFonts w:ascii="Book Antiqua" w:hAnsi="Book Antiqua"/>
          <w:sz w:val="24"/>
          <w:szCs w:val="24"/>
        </w:rPr>
        <w:t xml:space="preserve"> instances where l</w:t>
      </w:r>
      <w:r w:rsidR="00463ABD">
        <w:rPr>
          <w:rFonts w:ascii="Book Antiqua" w:hAnsi="Book Antiqua"/>
          <w:sz w:val="24"/>
          <w:szCs w:val="24"/>
        </w:rPr>
        <w:t>egal advice privilege and, possibly, litigation privilege</w:t>
      </w:r>
      <w:r w:rsidR="009D6080">
        <w:rPr>
          <w:rFonts w:ascii="Book Antiqua" w:hAnsi="Book Antiqua"/>
          <w:sz w:val="24"/>
          <w:szCs w:val="24"/>
        </w:rPr>
        <w:t xml:space="preserve"> have no bearing on the issue to be decided (e</w:t>
      </w:r>
      <w:r w:rsidR="0052616A">
        <w:rPr>
          <w:rFonts w:ascii="Book Antiqua" w:hAnsi="Book Antiqua"/>
          <w:sz w:val="24"/>
          <w:szCs w:val="24"/>
        </w:rPr>
        <w:t>.</w:t>
      </w:r>
      <w:r w:rsidR="009D6080">
        <w:rPr>
          <w:rFonts w:ascii="Book Antiqua" w:hAnsi="Book Antiqua"/>
          <w:sz w:val="24"/>
          <w:szCs w:val="24"/>
        </w:rPr>
        <w:t>g</w:t>
      </w:r>
      <w:r w:rsidR="0052616A">
        <w:rPr>
          <w:rFonts w:ascii="Book Antiqua" w:hAnsi="Book Antiqua"/>
          <w:sz w:val="24"/>
          <w:szCs w:val="24"/>
        </w:rPr>
        <w:t>.</w:t>
      </w:r>
      <w:r w:rsidR="0077061C">
        <w:rPr>
          <w:rFonts w:ascii="Book Antiqua" w:hAnsi="Book Antiqua"/>
          <w:sz w:val="24"/>
          <w:szCs w:val="24"/>
        </w:rPr>
        <w:t xml:space="preserve"> to protect human life: </w:t>
      </w:r>
      <w:r w:rsidR="0077061C" w:rsidRPr="00761563">
        <w:rPr>
          <w:rFonts w:ascii="Book Antiqua" w:hAnsi="Book Antiqua"/>
          <w:sz w:val="24"/>
          <w:szCs w:val="24"/>
          <w:u w:val="single"/>
        </w:rPr>
        <w:t>Brown</w:t>
      </w:r>
      <w:r w:rsidR="0077061C">
        <w:rPr>
          <w:rFonts w:ascii="Book Antiqua" w:hAnsi="Book Antiqua"/>
          <w:sz w:val="24"/>
          <w:szCs w:val="24"/>
        </w:rPr>
        <w:t>)</w:t>
      </w:r>
      <w:r w:rsidR="00DD66EC">
        <w:rPr>
          <w:rFonts w:ascii="Book Antiqua" w:hAnsi="Book Antiqua"/>
          <w:sz w:val="24"/>
          <w:szCs w:val="24"/>
        </w:rPr>
        <w:t>, the</w:t>
      </w:r>
      <w:r w:rsidR="00316EE1">
        <w:rPr>
          <w:rFonts w:ascii="Book Antiqua" w:hAnsi="Book Antiqua"/>
          <w:sz w:val="24"/>
          <w:szCs w:val="24"/>
        </w:rPr>
        <w:t xml:space="preserve"> mere</w:t>
      </w:r>
      <w:r w:rsidR="00DD66EC">
        <w:rPr>
          <w:rFonts w:ascii="Book Antiqua" w:hAnsi="Book Antiqua"/>
          <w:sz w:val="24"/>
          <w:szCs w:val="24"/>
        </w:rPr>
        <w:t xml:space="preserve"> fact that human rights issues are in play</w:t>
      </w:r>
      <w:r w:rsidR="008527EF">
        <w:rPr>
          <w:rFonts w:ascii="Book Antiqua" w:hAnsi="Book Antiqua"/>
          <w:sz w:val="24"/>
          <w:szCs w:val="24"/>
        </w:rPr>
        <w:t xml:space="preserve"> does not mean litigation privilege</w:t>
      </w:r>
      <w:r w:rsidR="001E4255">
        <w:rPr>
          <w:rFonts w:ascii="Book Antiqua" w:hAnsi="Book Antiqua"/>
          <w:sz w:val="24"/>
          <w:szCs w:val="24"/>
        </w:rPr>
        <w:t xml:space="preserve"> has to be balanced against those issues. </w:t>
      </w:r>
      <w:r w:rsidR="00EC6DCD">
        <w:rPr>
          <w:rFonts w:ascii="Book Antiqua" w:hAnsi="Book Antiqua"/>
          <w:sz w:val="24"/>
          <w:szCs w:val="24"/>
        </w:rPr>
        <w:t xml:space="preserve">In the circumstances of this particular case, </w:t>
      </w:r>
      <w:r w:rsidR="00A2599F">
        <w:rPr>
          <w:rFonts w:ascii="Book Antiqua" w:hAnsi="Book Antiqua"/>
          <w:sz w:val="24"/>
          <w:szCs w:val="24"/>
        </w:rPr>
        <w:t xml:space="preserve">(subject to what is said below) </w:t>
      </w:r>
      <w:r w:rsidR="00EC6DCD">
        <w:rPr>
          <w:rFonts w:ascii="Book Antiqua" w:hAnsi="Book Antiqua"/>
          <w:sz w:val="24"/>
          <w:szCs w:val="24"/>
        </w:rPr>
        <w:t>the applicant was entitled to r</w:t>
      </w:r>
      <w:r w:rsidR="00F31952">
        <w:rPr>
          <w:rFonts w:ascii="Book Antiqua" w:hAnsi="Book Antiqua"/>
          <w:sz w:val="24"/>
          <w:szCs w:val="24"/>
        </w:rPr>
        <w:t>ely on litigation privilege.</w:t>
      </w:r>
      <w:r w:rsidR="00C83104">
        <w:rPr>
          <w:rFonts w:ascii="Book Antiqua" w:hAnsi="Book Antiqua"/>
          <w:sz w:val="24"/>
          <w:szCs w:val="24"/>
        </w:rPr>
        <w:t xml:space="preserve"> No adverse inference could be taken as a result of that claim</w:t>
      </w:r>
      <w:r w:rsidR="00BC0D2A">
        <w:rPr>
          <w:rFonts w:ascii="Book Antiqua" w:hAnsi="Book Antiqua"/>
          <w:sz w:val="24"/>
          <w:szCs w:val="24"/>
        </w:rPr>
        <w:t>.</w:t>
      </w:r>
      <w:r w:rsidR="00290ADC">
        <w:rPr>
          <w:rFonts w:ascii="Book Antiqua" w:hAnsi="Book Antiqua"/>
          <w:sz w:val="24"/>
          <w:szCs w:val="24"/>
        </w:rPr>
        <w:t xml:space="preserve"> The </w:t>
      </w:r>
      <w:r w:rsidR="000B7DC8">
        <w:rPr>
          <w:rFonts w:ascii="Book Antiqua" w:hAnsi="Book Antiqua"/>
          <w:sz w:val="24"/>
          <w:szCs w:val="24"/>
        </w:rPr>
        <w:t xml:space="preserve">fact </w:t>
      </w:r>
      <w:r w:rsidR="000B7DC8">
        <w:rPr>
          <w:rFonts w:ascii="Book Antiqua" w:hAnsi="Book Antiqua"/>
          <w:sz w:val="24"/>
          <w:szCs w:val="24"/>
        </w:rPr>
        <w:lastRenderedPageBreak/>
        <w:t>that the applicant had disclosed certain information pursuant to her duty of candour</w:t>
      </w:r>
      <w:r w:rsidR="00207690">
        <w:rPr>
          <w:rFonts w:ascii="Book Antiqua" w:hAnsi="Book Antiqua"/>
          <w:sz w:val="24"/>
          <w:szCs w:val="24"/>
        </w:rPr>
        <w:t xml:space="preserve"> -and that this information formed part of a document in respect of which litigation privilege was claimed</w:t>
      </w:r>
      <w:r w:rsidR="0044242C">
        <w:rPr>
          <w:rFonts w:ascii="Book Antiqua" w:hAnsi="Book Antiqua"/>
          <w:sz w:val="24"/>
          <w:szCs w:val="24"/>
        </w:rPr>
        <w:t xml:space="preserve"> </w:t>
      </w:r>
      <w:r w:rsidR="00A164F4">
        <w:rPr>
          <w:rFonts w:ascii="Book Antiqua" w:hAnsi="Book Antiqua"/>
          <w:sz w:val="24"/>
          <w:szCs w:val="24"/>
        </w:rPr>
        <w:t xml:space="preserve">– </w:t>
      </w:r>
      <w:r w:rsidR="00811E67">
        <w:rPr>
          <w:rFonts w:ascii="Book Antiqua" w:hAnsi="Book Antiqua"/>
          <w:sz w:val="24"/>
          <w:szCs w:val="24"/>
        </w:rPr>
        <w:t>di</w:t>
      </w:r>
      <w:r w:rsidR="00F22919">
        <w:rPr>
          <w:rFonts w:ascii="Book Antiqua" w:hAnsi="Book Antiqua"/>
          <w:sz w:val="24"/>
          <w:szCs w:val="24"/>
        </w:rPr>
        <w:t xml:space="preserve">d not </w:t>
      </w:r>
      <w:r w:rsidR="00EF0FF3">
        <w:rPr>
          <w:rFonts w:ascii="Book Antiqua" w:hAnsi="Book Antiqua"/>
          <w:sz w:val="24"/>
          <w:szCs w:val="24"/>
        </w:rPr>
        <w:t>constitute a reason for thinking the applicant</w:t>
      </w:r>
      <w:r w:rsidR="00947FE0">
        <w:rPr>
          <w:rFonts w:ascii="Book Antiqua" w:hAnsi="Book Antiqua"/>
          <w:sz w:val="24"/>
          <w:szCs w:val="24"/>
        </w:rPr>
        <w:t xml:space="preserve"> had not complied fully with th</w:t>
      </w:r>
      <w:r w:rsidR="00BC0D2A">
        <w:rPr>
          <w:rFonts w:ascii="Book Antiqua" w:hAnsi="Book Antiqua"/>
          <w:sz w:val="24"/>
          <w:szCs w:val="24"/>
        </w:rPr>
        <w:t>at duty</w:t>
      </w:r>
      <w:r w:rsidR="00947FE0">
        <w:rPr>
          <w:rFonts w:ascii="Book Antiqua" w:hAnsi="Book Antiqua"/>
          <w:sz w:val="24"/>
          <w:szCs w:val="24"/>
        </w:rPr>
        <w:t>.</w:t>
      </w:r>
      <w:r w:rsidR="002341D0">
        <w:rPr>
          <w:rFonts w:ascii="Book Antiqua" w:hAnsi="Book Antiqua"/>
          <w:sz w:val="24"/>
          <w:szCs w:val="24"/>
        </w:rPr>
        <w:t xml:space="preserve"> The FtT’s reasoning on these issues was</w:t>
      </w:r>
      <w:r w:rsidR="00540F42">
        <w:rPr>
          <w:rFonts w:ascii="Book Antiqua" w:hAnsi="Book Antiqua"/>
          <w:sz w:val="24"/>
          <w:szCs w:val="24"/>
        </w:rPr>
        <w:t>, therefore, legally defective.</w:t>
      </w:r>
    </w:p>
    <w:p w14:paraId="30A6707F" w14:textId="77777777" w:rsidR="00540F42" w:rsidRDefault="009C1BDC" w:rsidP="00917C8E">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Two matters featured in argument before this Tribunal, which find no expression in the reasons of the FtT</w:t>
      </w:r>
      <w:r w:rsidR="008C4EFE">
        <w:rPr>
          <w:rFonts w:ascii="Book Antiqua" w:hAnsi="Book Antiqua"/>
          <w:sz w:val="24"/>
          <w:szCs w:val="24"/>
        </w:rPr>
        <w:t xml:space="preserve"> but are relevant to the issue of relief. The first is th</w:t>
      </w:r>
      <w:r w:rsidR="00DF71A4">
        <w:rPr>
          <w:rFonts w:ascii="Book Antiqua" w:hAnsi="Book Antiqua"/>
          <w:sz w:val="24"/>
          <w:szCs w:val="24"/>
        </w:rPr>
        <w:t>e interested party’s submission that</w:t>
      </w:r>
      <w:r w:rsidR="009B37F3">
        <w:rPr>
          <w:rFonts w:ascii="Book Antiqua" w:hAnsi="Book Antiqua"/>
          <w:sz w:val="24"/>
          <w:szCs w:val="24"/>
        </w:rPr>
        <w:t xml:space="preserve"> the communication in the email in respect of which litigation privilege is claimed was</w:t>
      </w:r>
      <w:r w:rsidR="00F52BEA">
        <w:rPr>
          <w:rFonts w:ascii="Book Antiqua" w:hAnsi="Book Antiqua"/>
          <w:sz w:val="24"/>
          <w:szCs w:val="24"/>
        </w:rPr>
        <w:t xml:space="preserve"> in law a communication</w:t>
      </w:r>
      <w:r w:rsidR="004535A5">
        <w:rPr>
          <w:rFonts w:ascii="Book Antiqua" w:hAnsi="Book Antiqua"/>
          <w:sz w:val="24"/>
          <w:szCs w:val="24"/>
        </w:rPr>
        <w:t xml:space="preserve"> between two third parties, rather than between the applicant</w:t>
      </w:r>
      <w:r w:rsidR="009151D9">
        <w:rPr>
          <w:rFonts w:ascii="Book Antiqua" w:hAnsi="Book Antiqua"/>
          <w:sz w:val="24"/>
          <w:szCs w:val="24"/>
        </w:rPr>
        <w:t xml:space="preserve"> and a third party. The second is that, even if there was</w:t>
      </w:r>
      <w:r w:rsidR="00A248D1">
        <w:rPr>
          <w:rFonts w:ascii="Book Antiqua" w:hAnsi="Book Antiqua"/>
          <w:sz w:val="24"/>
          <w:szCs w:val="24"/>
        </w:rPr>
        <w:t xml:space="preserve"> claimable</w:t>
      </w:r>
      <w:r w:rsidR="009151D9">
        <w:rPr>
          <w:rFonts w:ascii="Book Antiqua" w:hAnsi="Book Antiqua"/>
          <w:sz w:val="24"/>
          <w:szCs w:val="24"/>
        </w:rPr>
        <w:t xml:space="preserve"> privilege, it had, on the facts of this case, been waived.</w:t>
      </w:r>
    </w:p>
    <w:p w14:paraId="508E8367" w14:textId="57379CCB" w:rsidR="00F51C4A" w:rsidRPr="00FB394E" w:rsidRDefault="00F27537" w:rsidP="00042ACC">
      <w:pPr>
        <w:pStyle w:val="ListParagraph"/>
        <w:spacing w:line="240" w:lineRule="auto"/>
        <w:ind w:left="0"/>
        <w:contextualSpacing w:val="0"/>
        <w:jc w:val="both"/>
        <w:rPr>
          <w:rFonts w:ascii="Book Antiqua" w:hAnsi="Book Antiqua"/>
          <w:sz w:val="24"/>
          <w:szCs w:val="24"/>
          <w:u w:val="single"/>
        </w:rPr>
      </w:pPr>
      <w:r w:rsidRPr="00FB394E">
        <w:rPr>
          <w:rFonts w:ascii="Book Antiqua" w:hAnsi="Book Antiqua"/>
          <w:sz w:val="24"/>
          <w:szCs w:val="24"/>
          <w:u w:val="single"/>
        </w:rPr>
        <w:t>(d) Communication between third parties</w:t>
      </w:r>
      <w:r w:rsidR="002431FC" w:rsidRPr="00FB394E">
        <w:rPr>
          <w:rFonts w:ascii="Book Antiqua" w:hAnsi="Book Antiqua"/>
          <w:sz w:val="24"/>
          <w:szCs w:val="24"/>
          <w:u w:val="single"/>
        </w:rPr>
        <w:t xml:space="preserve"> only?</w:t>
      </w:r>
    </w:p>
    <w:p w14:paraId="0653E50E" w14:textId="588F4D66" w:rsidR="00B5016B" w:rsidRDefault="009A123F" w:rsidP="00C3457B">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Does litigation privilege apply to an email between two officials within FCO?</w:t>
      </w:r>
      <w:r w:rsidR="00F51C4A">
        <w:rPr>
          <w:rFonts w:ascii="Book Antiqua" w:hAnsi="Book Antiqua"/>
          <w:sz w:val="24"/>
          <w:szCs w:val="24"/>
        </w:rPr>
        <w:t xml:space="preserve"> The </w:t>
      </w:r>
      <w:r w:rsidR="008B6ED1">
        <w:rPr>
          <w:rFonts w:ascii="Book Antiqua" w:hAnsi="Book Antiqua"/>
          <w:sz w:val="24"/>
          <w:szCs w:val="24"/>
        </w:rPr>
        <w:t>i</w:t>
      </w:r>
      <w:r>
        <w:rPr>
          <w:rFonts w:ascii="Book Antiqua" w:hAnsi="Book Antiqua"/>
          <w:sz w:val="24"/>
          <w:szCs w:val="24"/>
        </w:rPr>
        <w:t xml:space="preserve">nterested </w:t>
      </w:r>
      <w:r w:rsidR="008B6ED1">
        <w:rPr>
          <w:rFonts w:ascii="Book Antiqua" w:hAnsi="Book Antiqua"/>
          <w:sz w:val="24"/>
          <w:szCs w:val="24"/>
        </w:rPr>
        <w:t>p</w:t>
      </w:r>
      <w:r>
        <w:rPr>
          <w:rFonts w:ascii="Book Antiqua" w:hAnsi="Book Antiqua"/>
          <w:sz w:val="24"/>
          <w:szCs w:val="24"/>
        </w:rPr>
        <w:t>arty submits that it</w:t>
      </w:r>
      <w:r w:rsidR="00F51C4A">
        <w:rPr>
          <w:rFonts w:ascii="Book Antiqua" w:hAnsi="Book Antiqua"/>
          <w:sz w:val="24"/>
          <w:szCs w:val="24"/>
        </w:rPr>
        <w:t xml:space="preserve"> does not</w:t>
      </w:r>
      <w:r w:rsidR="00701CA8">
        <w:rPr>
          <w:rFonts w:ascii="Book Antiqua" w:hAnsi="Book Antiqua"/>
          <w:sz w:val="24"/>
          <w:szCs w:val="24"/>
        </w:rPr>
        <w:t>.</w:t>
      </w:r>
      <w:r w:rsidR="00F51C4A">
        <w:rPr>
          <w:rFonts w:ascii="Book Antiqua" w:hAnsi="Book Antiqua"/>
          <w:sz w:val="24"/>
          <w:szCs w:val="24"/>
        </w:rPr>
        <w:t xml:space="preserve"> </w:t>
      </w:r>
    </w:p>
    <w:p w14:paraId="5B870D5F" w14:textId="77777777" w:rsidR="004D6358" w:rsidRPr="00DC24B4" w:rsidRDefault="00C947ED" w:rsidP="00917C8E">
      <w:pPr>
        <w:pStyle w:val="ListParagraph"/>
        <w:numPr>
          <w:ilvl w:val="0"/>
          <w:numId w:val="5"/>
        </w:numPr>
        <w:spacing w:line="240" w:lineRule="auto"/>
        <w:ind w:left="567" w:hanging="567"/>
        <w:contextualSpacing w:val="0"/>
        <w:jc w:val="both"/>
        <w:rPr>
          <w:rFonts w:ascii="Book Antiqua" w:hAnsi="Book Antiqua"/>
          <w:sz w:val="24"/>
          <w:szCs w:val="24"/>
        </w:rPr>
      </w:pPr>
      <w:r w:rsidRPr="00DC24B4">
        <w:rPr>
          <w:rFonts w:ascii="Book Antiqua" w:hAnsi="Book Antiqua"/>
          <w:sz w:val="24"/>
          <w:szCs w:val="24"/>
        </w:rPr>
        <w:t xml:space="preserve">It is not in dispute that the email in question was between two officials within the FCO, or, now, that it has been disclosed to KR, also working for the FCO. </w:t>
      </w:r>
      <w:r w:rsidR="004D6358" w:rsidRPr="00DC24B4">
        <w:rPr>
          <w:rFonts w:ascii="Book Antiqua" w:hAnsi="Book Antiqua"/>
          <w:sz w:val="24"/>
          <w:szCs w:val="24"/>
        </w:rPr>
        <w:t xml:space="preserve">It is not submitted that, by </w:t>
      </w:r>
      <w:r w:rsidR="004D6358" w:rsidRPr="00042ACC">
        <w:rPr>
          <w:rFonts w:ascii="Book Antiqua" w:hAnsi="Book Antiqua"/>
          <w:sz w:val="24"/>
          <w:szCs w:val="24"/>
          <w:u w:val="single"/>
        </w:rPr>
        <w:t>Carltona</w:t>
      </w:r>
      <w:r w:rsidR="004D6358" w:rsidRPr="00DC24B4">
        <w:rPr>
          <w:rFonts w:ascii="Book Antiqua" w:hAnsi="Book Antiqua"/>
          <w:sz w:val="24"/>
          <w:szCs w:val="24"/>
        </w:rPr>
        <w:t xml:space="preserve"> principles, the relevant individuals are not acting as the Secretary of State for the FCO. </w:t>
      </w:r>
      <w:r w:rsidR="000D1574" w:rsidRPr="00DC24B4">
        <w:rPr>
          <w:rFonts w:ascii="Book Antiqua" w:hAnsi="Book Antiqua"/>
          <w:sz w:val="24"/>
          <w:szCs w:val="24"/>
        </w:rPr>
        <w:t xml:space="preserve"> </w:t>
      </w:r>
    </w:p>
    <w:p w14:paraId="6718D3B2" w14:textId="77777777" w:rsidR="000D1574" w:rsidRDefault="002838D1" w:rsidP="000D157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Is there then to be a distinction drawn between the two Secretaries of State such that they should be seen as two separate legal persons? </w:t>
      </w:r>
    </w:p>
    <w:p w14:paraId="3E7E39DE" w14:textId="5DDF21B3" w:rsidR="002838D1" w:rsidRDefault="002838D1" w:rsidP="000D157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Despite the submissions we received as to </w:t>
      </w:r>
      <w:r w:rsidRPr="009A123F">
        <w:rPr>
          <w:rFonts w:ascii="Book Antiqua" w:hAnsi="Book Antiqua"/>
          <w:sz w:val="24"/>
          <w:szCs w:val="24"/>
          <w:u w:val="single"/>
        </w:rPr>
        <w:t>Town Investments v Department of the Environment</w:t>
      </w:r>
      <w:r w:rsidR="008B6ED1" w:rsidRPr="00042ACC">
        <w:rPr>
          <w:rFonts w:ascii="Book Antiqua" w:hAnsi="Book Antiqua"/>
          <w:sz w:val="24"/>
          <w:szCs w:val="24"/>
        </w:rPr>
        <w:t xml:space="preserve"> </w:t>
      </w:r>
      <w:r w:rsidR="008B6ED1" w:rsidRPr="008B6ED1">
        <w:rPr>
          <w:rFonts w:ascii="Book Antiqua" w:hAnsi="Book Antiqua"/>
          <w:sz w:val="24"/>
          <w:szCs w:val="24"/>
        </w:rPr>
        <w:t>[197</w:t>
      </w:r>
      <w:r w:rsidR="009A123F" w:rsidRPr="008B6ED1">
        <w:rPr>
          <w:rFonts w:ascii="Book Antiqua" w:hAnsi="Book Antiqua"/>
          <w:sz w:val="24"/>
          <w:szCs w:val="24"/>
        </w:rPr>
        <w:t>8]</w:t>
      </w:r>
      <w:r w:rsidR="00042ACC">
        <w:rPr>
          <w:rFonts w:ascii="Book Antiqua" w:hAnsi="Book Antiqua"/>
          <w:sz w:val="24"/>
          <w:szCs w:val="24"/>
        </w:rPr>
        <w:t xml:space="preserve"> A</w:t>
      </w:r>
      <w:r w:rsidR="008B6ED1" w:rsidRPr="008B6ED1">
        <w:rPr>
          <w:rFonts w:ascii="Book Antiqua" w:hAnsi="Book Antiqua"/>
          <w:sz w:val="24"/>
          <w:szCs w:val="24"/>
        </w:rPr>
        <w:t>C 359</w:t>
      </w:r>
      <w:r>
        <w:rPr>
          <w:rFonts w:ascii="Book Antiqua" w:hAnsi="Book Antiqua"/>
          <w:sz w:val="24"/>
          <w:szCs w:val="24"/>
        </w:rPr>
        <w:t xml:space="preserve">, we consider that the position is as analysed by the Upper Tribunal in </w:t>
      </w:r>
      <w:r w:rsidRPr="002838D1">
        <w:rPr>
          <w:rFonts w:ascii="Book Antiqua" w:hAnsi="Book Antiqua"/>
          <w:sz w:val="24"/>
          <w:szCs w:val="24"/>
          <w:u w:val="single"/>
        </w:rPr>
        <w:t>R ota Bakhtiyar v SSHD</w:t>
      </w:r>
      <w:r>
        <w:rPr>
          <w:rFonts w:ascii="Book Antiqua" w:hAnsi="Book Antiqua"/>
          <w:sz w:val="24"/>
          <w:szCs w:val="24"/>
        </w:rPr>
        <w:t xml:space="preserve"> </w:t>
      </w:r>
      <w:r w:rsidR="008B6ED1">
        <w:rPr>
          <w:rFonts w:ascii="Book Antiqua" w:hAnsi="Book Antiqua"/>
          <w:sz w:val="24"/>
          <w:szCs w:val="24"/>
        </w:rPr>
        <w:t xml:space="preserve">[2015] UKUT 519 </w:t>
      </w:r>
      <w:r w:rsidR="00042ACC">
        <w:rPr>
          <w:rFonts w:ascii="Book Antiqua" w:hAnsi="Book Antiqua"/>
          <w:sz w:val="24"/>
          <w:szCs w:val="24"/>
        </w:rPr>
        <w:t>at [28]</w:t>
      </w:r>
      <w:r>
        <w:rPr>
          <w:rFonts w:ascii="Book Antiqua" w:hAnsi="Book Antiqua"/>
          <w:sz w:val="24"/>
          <w:szCs w:val="24"/>
        </w:rPr>
        <w:t>–[31]:</w:t>
      </w:r>
    </w:p>
    <w:p w14:paraId="0B7ECA33" w14:textId="77777777" w:rsidR="002838D1" w:rsidRPr="002838D1" w:rsidRDefault="002838D1" w:rsidP="000F04A4">
      <w:pPr>
        <w:pStyle w:val="NormalWeb"/>
        <w:ind w:left="851"/>
        <w:jc w:val="both"/>
        <w:rPr>
          <w:rFonts w:ascii="Book Antiqua" w:hAnsi="Book Antiqua"/>
          <w:sz w:val="22"/>
          <w:szCs w:val="22"/>
        </w:rPr>
      </w:pPr>
      <w:r w:rsidRPr="002838D1">
        <w:rPr>
          <w:rFonts w:ascii="Book Antiqua" w:hAnsi="Book Antiqua"/>
          <w:sz w:val="22"/>
          <w:szCs w:val="22"/>
        </w:rPr>
        <w:t xml:space="preserve">The truth of the matter is that: </w:t>
      </w:r>
    </w:p>
    <w:p w14:paraId="1A1FC41F" w14:textId="77777777" w:rsidR="002838D1" w:rsidRPr="002838D1" w:rsidRDefault="002838D1" w:rsidP="008E22BD">
      <w:pPr>
        <w:pStyle w:val="NormalWeb"/>
        <w:ind w:left="851"/>
        <w:jc w:val="both"/>
        <w:rPr>
          <w:rFonts w:ascii="Book Antiqua" w:hAnsi="Book Antiqua"/>
          <w:sz w:val="22"/>
          <w:szCs w:val="22"/>
        </w:rPr>
      </w:pPr>
      <w:r w:rsidRPr="002838D1">
        <w:rPr>
          <w:rFonts w:ascii="Book Antiqua" w:hAnsi="Book Antiqua"/>
          <w:sz w:val="22"/>
          <w:szCs w:val="22"/>
        </w:rPr>
        <w:t xml:space="preserve">“It is not private law but public law that governs the relationships between Her Majesty acting in her political capacity, the government departments among which the work of Her Majesty's government is distributed, the ministers of the Crown in charge of the various departments and civil servants of all grades who are employed in those departments. … [Acts of government are commonly attributed to ‘the Crown’, but some difficulties of comprehension could be] eliminated if instead of speaking of ‘the Crown’ we were to speak of ‘the government’ – a term appropriate to embrace both collectively and individually all of the minsters of the Crown and parliamentary secretaries under whose direction the administrative work of government is carried on by the civil servants employed in the various government departments. It is through them that the executive powers of Her Majesty's government in the United Kingdom are exercised, sometimes in the more important administrative matters in Her Majesty's name, but most often under their own official designation. Executive acts of government that are done by any of them are acts done by any of them are acts done by ‘the Crown’ in the fictional sense in which that expression is now used in English public law. … The leases were executed under his official designation by the Minister of the Crown in charge of the government department to which, for administrative and accounting purposes, there is entrusted </w:t>
      </w:r>
      <w:r w:rsidRPr="002838D1">
        <w:rPr>
          <w:rFonts w:ascii="Book Antiqua" w:hAnsi="Book Antiqua"/>
          <w:sz w:val="22"/>
          <w:szCs w:val="22"/>
        </w:rPr>
        <w:lastRenderedPageBreak/>
        <w:t>the responsibility for acquiring and managing accommodation for civil servants employed in other government departments as well as that of which the minister himself is the official head. In my opinion, the tenant was the government acting through its appropriate member or, expressed in the term of art in public law, the tenant was the Crown.”(at 380–381)</w:t>
      </w:r>
    </w:p>
    <w:p w14:paraId="4FB39893" w14:textId="77777777" w:rsidR="002838D1" w:rsidRPr="002838D1" w:rsidRDefault="002838D1" w:rsidP="002838D1">
      <w:pPr>
        <w:pStyle w:val="indent1"/>
        <w:ind w:left="720"/>
        <w:jc w:val="both"/>
        <w:rPr>
          <w:rFonts w:ascii="Book Antiqua" w:hAnsi="Book Antiqua"/>
          <w:sz w:val="22"/>
          <w:szCs w:val="22"/>
        </w:rPr>
      </w:pPr>
      <w:r w:rsidRPr="002838D1">
        <w:rPr>
          <w:rFonts w:ascii="Book Antiqua" w:hAnsi="Book Antiqua"/>
          <w:sz w:val="22"/>
          <w:szCs w:val="22"/>
        </w:rPr>
        <w:t>29 Thus, the distinction between different departments and their minsters was for these purposes irrelevant. The tenant was the government, and the business done in the premises was government business. The counter-inflation provisions applied.</w:t>
      </w:r>
    </w:p>
    <w:p w14:paraId="37F12BE6" w14:textId="77777777" w:rsidR="002838D1" w:rsidRPr="002838D1" w:rsidRDefault="002838D1" w:rsidP="002838D1">
      <w:pPr>
        <w:pStyle w:val="indent1"/>
        <w:ind w:left="720"/>
        <w:jc w:val="both"/>
        <w:rPr>
          <w:rFonts w:ascii="Book Antiqua" w:hAnsi="Book Antiqua"/>
          <w:sz w:val="22"/>
          <w:szCs w:val="22"/>
        </w:rPr>
      </w:pPr>
      <w:r w:rsidRPr="002838D1">
        <w:rPr>
          <w:rFonts w:ascii="Book Antiqua" w:hAnsi="Book Antiqua"/>
          <w:sz w:val="22"/>
          <w:szCs w:val="22"/>
        </w:rPr>
        <w:t>30 In the course of his speech agreeing with Lord Dip</w:t>
      </w:r>
      <w:r w:rsidR="00DC24B4">
        <w:rPr>
          <w:rFonts w:ascii="Book Antiqua" w:hAnsi="Book Antiqua"/>
          <w:sz w:val="22"/>
          <w:szCs w:val="22"/>
        </w:rPr>
        <w:t>l</w:t>
      </w:r>
      <w:r w:rsidRPr="002838D1">
        <w:rPr>
          <w:rFonts w:ascii="Book Antiqua" w:hAnsi="Book Antiqua"/>
          <w:sz w:val="22"/>
          <w:szCs w:val="22"/>
        </w:rPr>
        <w:t>ock, Lord Simon of Glaisdale remarked at p.399 that “the mere fact of incorporation, which is only for administrative convenience, does not make a Secretary of State or a minister or a ministry an entity separate from the Crown”, and at p.400 drew attention to: “The fundamental constitutional doctrine that the Crown in the United Kingdom is one and indivisible”. Interestingly, in his dissenting speech, Lord Morris of Borth-y-Gest noted at p.394 that certain provisions of the leases would have “no possible reason” if the tenant is to be regarded as the government as a whole, rather than some smaller unit. But the decision of the majority makes it clear that those considerations simply do not apply. It is a matter subject to the principles of constitutional and public law, not the choices of private law.</w:t>
      </w:r>
    </w:p>
    <w:p w14:paraId="3A2DF0FE" w14:textId="77777777" w:rsidR="002838D1" w:rsidRPr="002838D1" w:rsidRDefault="002838D1" w:rsidP="002838D1">
      <w:pPr>
        <w:pStyle w:val="indent1"/>
        <w:ind w:left="720"/>
        <w:jc w:val="both"/>
        <w:rPr>
          <w:rFonts w:ascii="Book Antiqua" w:hAnsi="Book Antiqua"/>
          <w:sz w:val="22"/>
          <w:szCs w:val="22"/>
        </w:rPr>
      </w:pPr>
      <w:r w:rsidRPr="002838D1">
        <w:rPr>
          <w:rFonts w:ascii="Book Antiqua" w:hAnsi="Book Antiqua"/>
          <w:sz w:val="22"/>
          <w:szCs w:val="22"/>
        </w:rPr>
        <w:t xml:space="preserve">31 The present case is not about a lease, nor is it about counter-inflation provisions. It is, however, about government. Town Investments makes a number of things clear beyond argument for the purposes of the present application. First, the respondent, although nominally the Secretary of State for the Home Department is, in truth, the government, or ‘the Crown’. Secondly, the Government Legal Department, under the Treasury Solicitor, is part of the same “one and indivisible” entity. </w:t>
      </w:r>
      <w:r>
        <w:rPr>
          <w:rFonts w:ascii="Book Antiqua" w:hAnsi="Book Antiqua"/>
          <w:sz w:val="22"/>
          <w:szCs w:val="22"/>
        </w:rPr>
        <w:t>…</w:t>
      </w:r>
      <w:r w:rsidRPr="002838D1">
        <w:rPr>
          <w:rFonts w:ascii="Book Antiqua" w:hAnsi="Book Antiqua"/>
          <w:sz w:val="22"/>
          <w:szCs w:val="22"/>
        </w:rPr>
        <w:t xml:space="preserve"> </w:t>
      </w:r>
    </w:p>
    <w:p w14:paraId="0F832355" w14:textId="738B10D2" w:rsidR="002838D1" w:rsidRDefault="002838D1" w:rsidP="000D157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The applicant’s submission is not that the Secretary of State for</w:t>
      </w:r>
      <w:r w:rsidR="008B6ED1">
        <w:rPr>
          <w:rFonts w:ascii="Book Antiqua" w:hAnsi="Book Antiqua"/>
          <w:sz w:val="24"/>
          <w:szCs w:val="24"/>
        </w:rPr>
        <w:t xml:space="preserve"> the</w:t>
      </w:r>
      <w:r>
        <w:rPr>
          <w:rFonts w:ascii="Book Antiqua" w:hAnsi="Book Antiqua"/>
          <w:sz w:val="24"/>
          <w:szCs w:val="24"/>
        </w:rPr>
        <w:t xml:space="preserve"> FCO is a party to these proceedings, as Ms Harrison submits, merely that the different Secretaries of </w:t>
      </w:r>
      <w:r w:rsidR="008B6ED1">
        <w:rPr>
          <w:rFonts w:ascii="Book Antiqua" w:hAnsi="Book Antiqua"/>
          <w:sz w:val="24"/>
          <w:szCs w:val="24"/>
        </w:rPr>
        <w:t>S</w:t>
      </w:r>
      <w:r>
        <w:rPr>
          <w:rFonts w:ascii="Book Antiqua" w:hAnsi="Book Antiqua"/>
          <w:sz w:val="24"/>
          <w:szCs w:val="24"/>
        </w:rPr>
        <w:t xml:space="preserve">tate cannot be seen as separate entities for the purposes of applying the principles of litigation privilege.  </w:t>
      </w:r>
    </w:p>
    <w:p w14:paraId="34EF2C4D" w14:textId="777B4127" w:rsidR="008E22BD" w:rsidRDefault="002838D1" w:rsidP="008E22BD">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Further, there is no merit in the submission that it is the Secretary of State for the Home Department</w:t>
      </w:r>
      <w:r w:rsidR="008E22BD">
        <w:rPr>
          <w:rFonts w:ascii="Book Antiqua" w:hAnsi="Book Antiqua"/>
          <w:sz w:val="24"/>
          <w:szCs w:val="24"/>
        </w:rPr>
        <w:t xml:space="preserve"> in her capacity as a corporation sole</w:t>
      </w:r>
      <w:r>
        <w:rPr>
          <w:rFonts w:ascii="Book Antiqua" w:hAnsi="Book Antiqua"/>
          <w:sz w:val="24"/>
          <w:szCs w:val="24"/>
        </w:rPr>
        <w:t xml:space="preserve"> who </w:t>
      </w:r>
      <w:r w:rsidR="008E22BD">
        <w:rPr>
          <w:rFonts w:ascii="Book Antiqua" w:hAnsi="Book Antiqua"/>
          <w:sz w:val="24"/>
          <w:szCs w:val="24"/>
        </w:rPr>
        <w:t xml:space="preserve">must be the respondent in an </w:t>
      </w:r>
      <w:r w:rsidR="001C4957">
        <w:rPr>
          <w:rFonts w:ascii="Book Antiqua" w:hAnsi="Book Antiqua"/>
          <w:sz w:val="24"/>
          <w:szCs w:val="24"/>
        </w:rPr>
        <w:t>appeal</w:t>
      </w:r>
      <w:r w:rsidR="008E22BD">
        <w:rPr>
          <w:rFonts w:ascii="Book Antiqua" w:hAnsi="Book Antiqua"/>
          <w:sz w:val="24"/>
          <w:szCs w:val="24"/>
        </w:rPr>
        <w:t xml:space="preserve">.  First, the relevant legislation refers only to the “Secretary of State” which, by operation of the Interpretation Act 1978 means any of Her Majesties Secretaries of State. Second, there is no basis for the submission that the Secretary of State for the Home Department (as opposed to other ministers) is a corporation sole. While the Ministers of the Crown Act 1975 enables Secretaries of State to be corporations sole, and that has been done in respect of SSFCO, there is no equivalent order in respect of SSHD.  </w:t>
      </w:r>
    </w:p>
    <w:p w14:paraId="56835732" w14:textId="540E4C3B" w:rsidR="000D1574" w:rsidRPr="008E22BD" w:rsidRDefault="008E22BD" w:rsidP="008E22BD">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In addition, </w:t>
      </w:r>
      <w:r w:rsidR="00AA7838">
        <w:rPr>
          <w:rFonts w:ascii="Book Antiqua" w:hAnsi="Book Antiqua"/>
          <w:sz w:val="24"/>
          <w:szCs w:val="24"/>
        </w:rPr>
        <w:t>s</w:t>
      </w:r>
      <w:r w:rsidR="00E85B91" w:rsidRPr="008E22BD">
        <w:rPr>
          <w:rFonts w:ascii="Book Antiqua" w:hAnsi="Book Antiqua"/>
          <w:sz w:val="24"/>
          <w:szCs w:val="24"/>
        </w:rPr>
        <w:t>ection 2 of the 1975 Act provides:</w:t>
      </w:r>
    </w:p>
    <w:p w14:paraId="07B4EF1C" w14:textId="77777777" w:rsidR="00E85B91" w:rsidRPr="00E85B91" w:rsidRDefault="00E85B91" w:rsidP="00E85B91">
      <w:pPr>
        <w:pStyle w:val="ListParagraph"/>
        <w:spacing w:line="240" w:lineRule="auto"/>
        <w:contextualSpacing w:val="0"/>
        <w:jc w:val="both"/>
        <w:rPr>
          <w:rFonts w:ascii="Book Antiqua" w:hAnsi="Book Antiqua"/>
        </w:rPr>
      </w:pPr>
      <w:r w:rsidRPr="00E85B91">
        <w:rPr>
          <w:rFonts w:ascii="Book Antiqua" w:hAnsi="Book Antiqua"/>
        </w:rPr>
        <w:t>(1) This section applies where any enactment (including an order under this Act) provides that a named Secretary of State and his successors shall be a corporation sole, and applies whether or not the office of corporation sole is for the time being vacant.</w:t>
      </w:r>
    </w:p>
    <w:p w14:paraId="4345C5C3" w14:textId="77777777" w:rsidR="00E85B91" w:rsidRPr="00E85B91" w:rsidRDefault="00E85B91" w:rsidP="00E85B91">
      <w:pPr>
        <w:pStyle w:val="ListParagraph"/>
        <w:spacing w:line="240" w:lineRule="auto"/>
        <w:contextualSpacing w:val="0"/>
        <w:jc w:val="both"/>
        <w:rPr>
          <w:rFonts w:ascii="Book Antiqua" w:hAnsi="Book Antiqua"/>
        </w:rPr>
      </w:pPr>
      <w:r w:rsidRPr="00E85B91">
        <w:rPr>
          <w:rFonts w:ascii="Book Antiqua" w:hAnsi="Book Antiqua"/>
        </w:rPr>
        <w:lastRenderedPageBreak/>
        <w:t>(2) Anything done by or in relation to any other Secretary of State for the named Secretary of State as a corporation sole shall have effects as if done by or in relation to the named Secretary of State</w:t>
      </w:r>
    </w:p>
    <w:p w14:paraId="66C09358" w14:textId="6CFE77CE" w:rsidR="0027710F" w:rsidRPr="00DC24B4" w:rsidRDefault="008E22BD" w:rsidP="00DC24B4">
      <w:pPr>
        <w:pStyle w:val="ListParagraph"/>
        <w:numPr>
          <w:ilvl w:val="0"/>
          <w:numId w:val="5"/>
        </w:numPr>
        <w:spacing w:line="240" w:lineRule="auto"/>
        <w:ind w:left="567" w:hanging="567"/>
        <w:contextualSpacing w:val="0"/>
        <w:jc w:val="both"/>
        <w:rPr>
          <w:rFonts w:ascii="Book Antiqua" w:hAnsi="Book Antiqua"/>
          <w:sz w:val="24"/>
          <w:szCs w:val="24"/>
        </w:rPr>
      </w:pPr>
      <w:r w:rsidRPr="008E22BD">
        <w:rPr>
          <w:rFonts w:ascii="Book Antiqua" w:hAnsi="Book Antiqua"/>
          <w:sz w:val="24"/>
          <w:szCs w:val="24"/>
        </w:rPr>
        <w:t>This appears</w:t>
      </w:r>
      <w:r w:rsidR="00761563">
        <w:rPr>
          <w:rFonts w:ascii="Book Antiqua" w:hAnsi="Book Antiqua"/>
          <w:sz w:val="24"/>
          <w:szCs w:val="24"/>
        </w:rPr>
        <w:t xml:space="preserve">, as was recorded in </w:t>
      </w:r>
      <w:r w:rsidR="0027710F" w:rsidRPr="00DC24B4">
        <w:rPr>
          <w:rFonts w:ascii="Book Antiqua" w:hAnsi="Book Antiqua"/>
          <w:sz w:val="24"/>
          <w:szCs w:val="24"/>
          <w:u w:val="single"/>
        </w:rPr>
        <w:t>BAPIO</w:t>
      </w:r>
      <w:r w:rsidRPr="00DC24B4">
        <w:rPr>
          <w:rFonts w:ascii="Book Antiqua" w:hAnsi="Book Antiqua"/>
          <w:sz w:val="24"/>
          <w:szCs w:val="24"/>
          <w:u w:val="single"/>
        </w:rPr>
        <w:t xml:space="preserve"> v SSHD</w:t>
      </w:r>
      <w:r w:rsidRPr="008E22BD">
        <w:rPr>
          <w:rFonts w:ascii="Book Antiqua" w:hAnsi="Book Antiqua"/>
          <w:sz w:val="24"/>
          <w:szCs w:val="24"/>
        </w:rPr>
        <w:t xml:space="preserve"> [2007] EWCA Civ 1139</w:t>
      </w:r>
      <w:r w:rsidR="0027710F" w:rsidRPr="008E22BD">
        <w:rPr>
          <w:rFonts w:ascii="Book Antiqua" w:hAnsi="Book Antiqua"/>
          <w:sz w:val="24"/>
          <w:szCs w:val="24"/>
        </w:rPr>
        <w:t xml:space="preserve"> at [53] </w:t>
      </w:r>
      <w:r w:rsidRPr="008E22BD">
        <w:rPr>
          <w:rFonts w:ascii="Book Antiqua" w:hAnsi="Book Antiqua"/>
          <w:sz w:val="24"/>
          <w:szCs w:val="24"/>
        </w:rPr>
        <w:t>“</w:t>
      </w:r>
      <w:r w:rsidR="0027710F" w:rsidRPr="00DC24B4">
        <w:rPr>
          <w:rFonts w:ascii="Book Antiqua" w:hAnsi="Book Antiqua"/>
          <w:sz w:val="24"/>
          <w:szCs w:val="24"/>
        </w:rPr>
        <w:t>designed to secure continuity of property and contract rights and does not affect the prerogative character of the office itself.</w:t>
      </w:r>
      <w:r w:rsidRPr="00DC24B4">
        <w:rPr>
          <w:rFonts w:ascii="Book Antiqua" w:hAnsi="Book Antiqua"/>
          <w:sz w:val="24"/>
          <w:szCs w:val="24"/>
        </w:rPr>
        <w:t xml:space="preserve">”  We agree. </w:t>
      </w:r>
    </w:p>
    <w:p w14:paraId="04E17814" w14:textId="77777777" w:rsidR="008E22BD" w:rsidRDefault="008E22BD" w:rsidP="00575884">
      <w:pPr>
        <w:pStyle w:val="ListParagraph"/>
        <w:numPr>
          <w:ilvl w:val="0"/>
          <w:numId w:val="5"/>
        </w:numPr>
        <w:spacing w:line="240" w:lineRule="auto"/>
        <w:ind w:left="567" w:hanging="567"/>
        <w:contextualSpacing w:val="0"/>
        <w:jc w:val="both"/>
        <w:rPr>
          <w:rFonts w:ascii="Book Antiqua" w:hAnsi="Book Antiqua"/>
          <w:sz w:val="24"/>
          <w:szCs w:val="24"/>
        </w:rPr>
      </w:pPr>
      <w:r>
        <w:rPr>
          <w:rFonts w:ascii="Book Antiqua" w:hAnsi="Book Antiqua"/>
          <w:sz w:val="24"/>
          <w:szCs w:val="24"/>
        </w:rPr>
        <w:t xml:space="preserve">Accordingly, we are satisfied that as the SSHD and SSFCO are, in effect </w:t>
      </w:r>
      <w:r w:rsidR="00EA41C0">
        <w:rPr>
          <w:rFonts w:ascii="Book Antiqua" w:hAnsi="Book Antiqua"/>
          <w:sz w:val="24"/>
          <w:szCs w:val="24"/>
        </w:rPr>
        <w:t xml:space="preserve">for the purposes of assessing whether litigation privilege applies, one and the same entity, albeit a corporate identity.  While we accept that there would, as identified by the Court of Appeal in </w:t>
      </w:r>
      <w:r w:rsidR="00EA41C0" w:rsidRPr="00EA41C0">
        <w:rPr>
          <w:rFonts w:ascii="Book Antiqua" w:hAnsi="Book Antiqua"/>
          <w:sz w:val="24"/>
          <w:szCs w:val="24"/>
          <w:u w:val="single"/>
        </w:rPr>
        <w:t>Three Rivers (No 5)</w:t>
      </w:r>
      <w:r w:rsidR="00EA41C0">
        <w:rPr>
          <w:rFonts w:ascii="Book Antiqua" w:hAnsi="Book Antiqua"/>
          <w:sz w:val="24"/>
          <w:szCs w:val="24"/>
        </w:rPr>
        <w:t xml:space="preserve"> be an issue as to whether legal advice privilege (this is not a communication to or from a lawyer or its agent) applied to the communication, it has not been submitted to us that such a limitation would apply here. In any event, </w:t>
      </w:r>
      <w:r w:rsidR="00444EBC">
        <w:rPr>
          <w:rFonts w:ascii="Book Antiqua" w:hAnsi="Book Antiqua"/>
          <w:sz w:val="24"/>
          <w:szCs w:val="24"/>
        </w:rPr>
        <w:t xml:space="preserve">there is no evidential basis put forward to suggest that either of the communicants was not authorised to give instructions to the applicant’s lawyers. </w:t>
      </w:r>
      <w:r w:rsidR="00EA41C0">
        <w:rPr>
          <w:rFonts w:ascii="Book Antiqua" w:hAnsi="Book Antiqua"/>
          <w:sz w:val="24"/>
          <w:szCs w:val="24"/>
        </w:rPr>
        <w:t xml:space="preserve"> </w:t>
      </w:r>
    </w:p>
    <w:p w14:paraId="193E11CC" w14:textId="01F81EC9" w:rsidR="0059538A" w:rsidRDefault="0059538A" w:rsidP="0059538A">
      <w:pPr>
        <w:pStyle w:val="ListParagraph"/>
        <w:spacing w:after="0" w:line="240" w:lineRule="auto"/>
        <w:ind w:left="567"/>
        <w:contextualSpacing w:val="0"/>
        <w:jc w:val="both"/>
        <w:rPr>
          <w:rFonts w:ascii="Book Antiqua" w:hAnsi="Book Antiqua"/>
          <w:sz w:val="24"/>
          <w:szCs w:val="24"/>
        </w:rPr>
      </w:pPr>
    </w:p>
    <w:p w14:paraId="7D3D8B4F" w14:textId="77777777" w:rsidR="0059538A" w:rsidRPr="00C81837" w:rsidRDefault="002431FC" w:rsidP="00C81837">
      <w:pPr>
        <w:pStyle w:val="ListParagraph"/>
        <w:spacing w:after="0" w:line="240" w:lineRule="auto"/>
        <w:ind w:left="567"/>
        <w:contextualSpacing w:val="0"/>
        <w:jc w:val="both"/>
        <w:rPr>
          <w:rFonts w:ascii="Book Antiqua" w:hAnsi="Book Antiqua"/>
          <w:sz w:val="24"/>
          <w:szCs w:val="24"/>
          <w:u w:val="single"/>
        </w:rPr>
      </w:pPr>
      <w:r>
        <w:rPr>
          <w:rFonts w:ascii="Book Antiqua" w:hAnsi="Book Antiqua"/>
          <w:sz w:val="24"/>
          <w:szCs w:val="24"/>
          <w:u w:val="single"/>
        </w:rPr>
        <w:t>(e)</w:t>
      </w:r>
      <w:r w:rsidR="009E4321">
        <w:rPr>
          <w:rFonts w:ascii="Book Antiqua" w:hAnsi="Book Antiqua"/>
          <w:sz w:val="24"/>
          <w:szCs w:val="24"/>
          <w:u w:val="single"/>
        </w:rPr>
        <w:t xml:space="preserve"> </w:t>
      </w:r>
      <w:r w:rsidR="0059538A" w:rsidRPr="00C81837">
        <w:rPr>
          <w:rFonts w:ascii="Book Antiqua" w:hAnsi="Book Antiqua"/>
          <w:sz w:val="24"/>
          <w:szCs w:val="24"/>
          <w:u w:val="single"/>
        </w:rPr>
        <w:t>Waiver</w:t>
      </w:r>
    </w:p>
    <w:p w14:paraId="3D164B7D" w14:textId="77777777" w:rsidR="0059538A" w:rsidRPr="0059538A" w:rsidRDefault="0059538A" w:rsidP="0059538A">
      <w:pPr>
        <w:pStyle w:val="ListParagraph"/>
        <w:rPr>
          <w:rFonts w:ascii="Book Antiqua" w:hAnsi="Book Antiqua"/>
          <w:sz w:val="24"/>
          <w:szCs w:val="24"/>
        </w:rPr>
      </w:pPr>
    </w:p>
    <w:p w14:paraId="1B5AC292" w14:textId="4E7F700D" w:rsidR="008D7A3D" w:rsidRPr="008D7A3D" w:rsidRDefault="00C81837" w:rsidP="00917C8E">
      <w:pPr>
        <w:pStyle w:val="ListParagraph"/>
        <w:numPr>
          <w:ilvl w:val="0"/>
          <w:numId w:val="5"/>
        </w:numPr>
        <w:spacing w:after="0" w:line="240" w:lineRule="auto"/>
        <w:ind w:left="567" w:hanging="567"/>
        <w:contextualSpacing w:val="0"/>
        <w:jc w:val="both"/>
        <w:rPr>
          <w:rFonts w:ascii="Book Antiqua" w:hAnsi="Book Antiqua"/>
          <w:sz w:val="24"/>
          <w:szCs w:val="24"/>
        </w:rPr>
      </w:pPr>
      <w:r w:rsidRPr="008D7A3D">
        <w:rPr>
          <w:rFonts w:ascii="Book Antiqua" w:hAnsi="Book Antiqua"/>
          <w:sz w:val="24"/>
          <w:szCs w:val="24"/>
        </w:rPr>
        <w:t xml:space="preserve">The interested party’s case is that there has been, in reality “cherry-picking” by the applicant. </w:t>
      </w:r>
      <w:r w:rsidR="0059538A" w:rsidRPr="008D7A3D">
        <w:rPr>
          <w:rFonts w:ascii="Book Antiqua" w:hAnsi="Book Antiqua"/>
          <w:sz w:val="24"/>
          <w:szCs w:val="24"/>
        </w:rPr>
        <w:t xml:space="preserve"> </w:t>
      </w:r>
      <w:r w:rsidRPr="008D7A3D">
        <w:rPr>
          <w:rFonts w:ascii="Book Antiqua" w:hAnsi="Book Antiqua"/>
          <w:sz w:val="24"/>
          <w:szCs w:val="24"/>
        </w:rPr>
        <w:t xml:space="preserve">That was an issue considered, in similar circumstances, </w:t>
      </w:r>
      <w:r w:rsidR="00A814F9" w:rsidRPr="008D7A3D">
        <w:rPr>
          <w:rFonts w:ascii="Book Antiqua" w:hAnsi="Book Antiqua"/>
          <w:sz w:val="24"/>
          <w:szCs w:val="24"/>
        </w:rPr>
        <w:t xml:space="preserve">in </w:t>
      </w:r>
      <w:r w:rsidR="00A814F9" w:rsidRPr="008D7A3D">
        <w:rPr>
          <w:rFonts w:ascii="Book Antiqua" w:hAnsi="Book Antiqua"/>
          <w:sz w:val="24"/>
          <w:szCs w:val="24"/>
          <w:u w:val="single"/>
        </w:rPr>
        <w:t>Belhaj v DPP</w:t>
      </w:r>
      <w:r w:rsidR="00A814F9" w:rsidRPr="008D7A3D">
        <w:rPr>
          <w:rFonts w:ascii="Book Antiqua" w:hAnsi="Book Antiqua"/>
          <w:sz w:val="24"/>
          <w:szCs w:val="24"/>
        </w:rPr>
        <w:t xml:space="preserve"> </w:t>
      </w:r>
      <w:r w:rsidR="00E21FD5">
        <w:rPr>
          <w:rFonts w:ascii="Book Antiqua" w:hAnsi="Book Antiqua"/>
          <w:sz w:val="24"/>
          <w:szCs w:val="24"/>
        </w:rPr>
        <w:t>[2018] EWHC 514</w:t>
      </w:r>
      <w:r w:rsidR="00A814F9" w:rsidRPr="008D7A3D">
        <w:rPr>
          <w:rFonts w:ascii="Book Antiqua" w:hAnsi="Book Antiqua"/>
          <w:sz w:val="24"/>
          <w:szCs w:val="24"/>
        </w:rPr>
        <w:t xml:space="preserve"> handed down on the same day as </w:t>
      </w:r>
      <w:r w:rsidR="00A814F9" w:rsidRPr="008D7A3D">
        <w:rPr>
          <w:rFonts w:ascii="Book Antiqua" w:hAnsi="Book Antiqua"/>
          <w:sz w:val="24"/>
          <w:szCs w:val="24"/>
          <w:u w:val="single"/>
        </w:rPr>
        <w:t>Belhaj v DPP</w:t>
      </w:r>
      <w:r w:rsidR="008D7A3D" w:rsidRPr="008D7A3D">
        <w:rPr>
          <w:rFonts w:ascii="Book Antiqua" w:hAnsi="Book Antiqua"/>
          <w:sz w:val="24"/>
          <w:szCs w:val="24"/>
        </w:rPr>
        <w:t xml:space="preserve"> [2018] EWHC 513 </w:t>
      </w:r>
      <w:r w:rsidR="00E21FD5">
        <w:rPr>
          <w:rFonts w:ascii="Book Antiqua" w:hAnsi="Book Antiqua"/>
          <w:sz w:val="24"/>
          <w:szCs w:val="24"/>
        </w:rPr>
        <w:t xml:space="preserve">(see above) </w:t>
      </w:r>
      <w:r w:rsidR="008D7A3D" w:rsidRPr="008D7A3D">
        <w:rPr>
          <w:rFonts w:ascii="Book Antiqua" w:hAnsi="Book Antiqua"/>
          <w:sz w:val="24"/>
          <w:szCs w:val="24"/>
        </w:rPr>
        <w:t>which cited with approval the decision of Leg</w:t>
      </w:r>
      <w:r w:rsidR="001C4957">
        <w:rPr>
          <w:rFonts w:ascii="Book Antiqua" w:hAnsi="Book Antiqua"/>
          <w:sz w:val="24"/>
          <w:szCs w:val="24"/>
        </w:rPr>
        <w:t>g</w:t>
      </w:r>
      <w:r w:rsidR="008D7A3D" w:rsidRPr="008D7A3D">
        <w:rPr>
          <w:rFonts w:ascii="Book Antiqua" w:hAnsi="Book Antiqua"/>
          <w:sz w:val="24"/>
          <w:szCs w:val="24"/>
        </w:rPr>
        <w:t xml:space="preserve">att J in </w:t>
      </w:r>
      <w:r w:rsidR="008D7A3D" w:rsidRPr="000F04A4">
        <w:rPr>
          <w:rFonts w:ascii="Book Antiqua" w:hAnsi="Book Antiqua"/>
          <w:sz w:val="24"/>
          <w:szCs w:val="24"/>
          <w:u w:val="single"/>
        </w:rPr>
        <w:t>Mohammad v MOD</w:t>
      </w:r>
      <w:r w:rsidR="008D7A3D" w:rsidRPr="008D7A3D">
        <w:rPr>
          <w:rFonts w:ascii="Book Antiqua" w:hAnsi="Book Antiqua"/>
          <w:sz w:val="24"/>
          <w:szCs w:val="24"/>
        </w:rPr>
        <w:t xml:space="preserve"> [2013] EWHC 4478 where he held at [14]:</w:t>
      </w:r>
    </w:p>
    <w:p w14:paraId="03E70B72" w14:textId="77777777" w:rsidR="008D7A3D" w:rsidRPr="00D1598C" w:rsidRDefault="008D7A3D" w:rsidP="002879AC">
      <w:pPr>
        <w:pStyle w:val="indent1"/>
        <w:ind w:left="851"/>
        <w:jc w:val="both"/>
        <w:rPr>
          <w:rFonts w:ascii="Book Antiqua" w:hAnsi="Book Antiqua"/>
          <w:color w:val="000000" w:themeColor="text1"/>
          <w:sz w:val="22"/>
          <w:szCs w:val="22"/>
        </w:rPr>
      </w:pPr>
      <w:r w:rsidRPr="00D1598C">
        <w:rPr>
          <w:rFonts w:ascii="Book Antiqua" w:hAnsi="Book Antiqua"/>
          <w:color w:val="000000" w:themeColor="text1"/>
          <w:sz w:val="22"/>
          <w:szCs w:val="22"/>
        </w:rPr>
        <w:t xml:space="preserve">The term ‘waiver of privilege’ is an imprecise one, which is capable of referring to at least five legally distinct ways in which a right to assert privilege may be lost: </w:t>
      </w:r>
    </w:p>
    <w:p w14:paraId="51AED4ED" w14:textId="77777777" w:rsidR="008D7A3D" w:rsidRPr="00D1598C" w:rsidRDefault="008D7A3D" w:rsidP="002879AC">
      <w:pPr>
        <w:spacing w:before="100" w:beforeAutospacing="1" w:after="100" w:afterAutospacing="1" w:line="240" w:lineRule="auto"/>
        <w:ind w:left="851"/>
        <w:jc w:val="both"/>
        <w:rPr>
          <w:rFonts w:ascii="Book Antiqua" w:hAnsi="Book Antiqua"/>
          <w:color w:val="000000" w:themeColor="text1"/>
          <w:szCs w:val="22"/>
        </w:rPr>
      </w:pPr>
      <w:r w:rsidRPr="00D1598C">
        <w:rPr>
          <w:rFonts w:ascii="Book Antiqua" w:hAnsi="Book Antiqua"/>
          <w:color w:val="000000" w:themeColor="text1"/>
          <w:szCs w:val="22"/>
        </w:rPr>
        <w:t xml:space="preserve">i) What might be called a ‘true’ waiver occurs if one party either expressly consents to the use of privileged material by another party or chooses to disclose the information to the other party in circumstances which imply consent to its use. Such a waiver may be either general or limited in scope. </w:t>
      </w:r>
    </w:p>
    <w:p w14:paraId="3B2B70FF" w14:textId="77777777" w:rsidR="008D7A3D" w:rsidRPr="00D1598C" w:rsidRDefault="008D7A3D" w:rsidP="002879AC">
      <w:pPr>
        <w:spacing w:before="100" w:beforeAutospacing="1" w:after="100" w:afterAutospacing="1" w:line="240" w:lineRule="auto"/>
        <w:ind w:left="851"/>
        <w:jc w:val="both"/>
        <w:rPr>
          <w:rFonts w:ascii="Book Antiqua" w:hAnsi="Book Antiqua"/>
          <w:color w:val="000000" w:themeColor="text1"/>
          <w:szCs w:val="22"/>
        </w:rPr>
      </w:pPr>
      <w:r w:rsidRPr="00D1598C">
        <w:rPr>
          <w:rFonts w:ascii="Book Antiqua" w:hAnsi="Book Antiqua"/>
          <w:color w:val="000000" w:themeColor="text1"/>
          <w:szCs w:val="22"/>
        </w:rPr>
        <w:t xml:space="preserve">ii) Where a party waives privilege in the above sense by deliberately deploying material in court proceedings, the party also loses the right to assert privilege in relation to other material relating to the same subject matter: see e.g. </w:t>
      </w:r>
      <w:hyperlink r:id="rId25" w:history="1">
        <w:r w:rsidRPr="0052616A">
          <w:rPr>
            <w:rStyle w:val="Hyperlink"/>
            <w:rFonts w:ascii="Book Antiqua" w:hAnsi="Book Antiqua"/>
            <w:i/>
            <w:iCs/>
            <w:color w:val="000000" w:themeColor="text1"/>
            <w:szCs w:val="22"/>
            <w:u w:val="none"/>
          </w:rPr>
          <w:t>Great Atlantic Insurance Co. v Home Insurance Co. [1981] 1 WLR 529</w:t>
        </w:r>
      </w:hyperlink>
      <w:r w:rsidRPr="0052616A">
        <w:rPr>
          <w:rFonts w:ascii="Book Antiqua" w:hAnsi="Book Antiqua"/>
          <w:color w:val="000000" w:themeColor="text1"/>
          <w:szCs w:val="22"/>
        </w:rPr>
        <w:t xml:space="preserve"> </w:t>
      </w:r>
      <w:r w:rsidRPr="00D1598C">
        <w:rPr>
          <w:rFonts w:ascii="Book Antiqua" w:hAnsi="Book Antiqua"/>
          <w:color w:val="000000" w:themeColor="text1"/>
          <w:szCs w:val="22"/>
        </w:rPr>
        <w:t xml:space="preserve">. The underlying principle is one of fairness to prevent ‘cherry picking’: see e.g. </w:t>
      </w:r>
      <w:hyperlink r:id="rId26" w:history="1">
        <w:r w:rsidRPr="0052616A">
          <w:rPr>
            <w:rStyle w:val="Hyperlink"/>
            <w:rFonts w:ascii="Book Antiqua" w:hAnsi="Book Antiqua"/>
            <w:i/>
            <w:iCs/>
            <w:color w:val="000000" w:themeColor="text1"/>
            <w:szCs w:val="22"/>
            <w:u w:val="none"/>
          </w:rPr>
          <w:t>Brennan v Sunderland City Council [2009] ICR 479</w:t>
        </w:r>
      </w:hyperlink>
      <w:r w:rsidRPr="00D1598C">
        <w:rPr>
          <w:rFonts w:ascii="Book Antiqua" w:hAnsi="Book Antiqua"/>
          <w:color w:val="000000" w:themeColor="text1"/>
          <w:szCs w:val="22"/>
        </w:rPr>
        <w:t xml:space="preserve"> , 483–4 at [16].</w:t>
      </w:r>
    </w:p>
    <w:p w14:paraId="0C9ACBDE" w14:textId="77777777" w:rsidR="008D7A3D" w:rsidRPr="00D1598C" w:rsidRDefault="008D7A3D" w:rsidP="002879AC">
      <w:pPr>
        <w:spacing w:before="100" w:beforeAutospacing="1" w:after="100" w:afterAutospacing="1" w:line="240" w:lineRule="auto"/>
        <w:ind w:left="851"/>
        <w:jc w:val="both"/>
        <w:rPr>
          <w:rFonts w:ascii="Book Antiqua" w:hAnsi="Book Antiqua"/>
          <w:color w:val="000000" w:themeColor="text1"/>
          <w:szCs w:val="22"/>
        </w:rPr>
      </w:pPr>
      <w:r w:rsidRPr="00D1598C">
        <w:rPr>
          <w:rFonts w:ascii="Book Antiqua" w:hAnsi="Book Antiqua"/>
          <w:color w:val="000000" w:themeColor="text1"/>
          <w:szCs w:val="22"/>
        </w:rPr>
        <w:t xml:space="preserve">iii) Similarly, a party who by suing its legal advisor puts their confidential relationship in issue cannot claim privilege in relation to information relevant to the determination of that issue. Again the governing principle is one of fairness: see e.g. </w:t>
      </w:r>
      <w:hyperlink r:id="rId27" w:history="1">
        <w:r w:rsidRPr="0052616A">
          <w:rPr>
            <w:rStyle w:val="Hyperlink"/>
            <w:rFonts w:ascii="Book Antiqua" w:hAnsi="Book Antiqua"/>
            <w:i/>
            <w:iCs/>
            <w:color w:val="000000" w:themeColor="text1"/>
            <w:szCs w:val="22"/>
            <w:u w:val="none"/>
          </w:rPr>
          <w:t>Paragon Finance v Freshfields [1999] 1 WLR 1183</w:t>
        </w:r>
      </w:hyperlink>
      <w:r w:rsidRPr="00D1598C">
        <w:rPr>
          <w:rFonts w:ascii="Book Antiqua" w:hAnsi="Book Antiqua"/>
          <w:color w:val="000000" w:themeColor="text1"/>
          <w:szCs w:val="22"/>
        </w:rPr>
        <w:t xml:space="preserve"> . </w:t>
      </w:r>
    </w:p>
    <w:p w14:paraId="298BC656" w14:textId="77777777" w:rsidR="008D7A3D" w:rsidRPr="00D1598C" w:rsidRDefault="008D7A3D" w:rsidP="002879AC">
      <w:pPr>
        <w:spacing w:before="100" w:beforeAutospacing="1" w:after="100" w:afterAutospacing="1" w:line="240" w:lineRule="auto"/>
        <w:ind w:left="851"/>
        <w:jc w:val="both"/>
        <w:rPr>
          <w:rFonts w:ascii="Book Antiqua" w:hAnsi="Book Antiqua"/>
          <w:color w:val="000000" w:themeColor="text1"/>
          <w:szCs w:val="22"/>
        </w:rPr>
      </w:pPr>
      <w:r w:rsidRPr="00D1598C">
        <w:rPr>
          <w:rFonts w:ascii="Book Antiqua" w:hAnsi="Book Antiqua"/>
          <w:color w:val="000000" w:themeColor="text1"/>
          <w:szCs w:val="22"/>
        </w:rPr>
        <w:t xml:space="preserve">iv) Because privilege only protects information which is confidential, if the information concerned ceases to be confidential, privilege cannot be claimed. Where a party does an act which has the effect of making information public, this has </w:t>
      </w:r>
      <w:r w:rsidRPr="00D1598C">
        <w:rPr>
          <w:rFonts w:ascii="Book Antiqua" w:hAnsi="Book Antiqua"/>
          <w:color w:val="000000" w:themeColor="text1"/>
          <w:szCs w:val="22"/>
        </w:rPr>
        <w:lastRenderedPageBreak/>
        <w:t xml:space="preserve">sometimes been described as a waiver of privilege (see e.g. </w:t>
      </w:r>
      <w:hyperlink r:id="rId28" w:history="1">
        <w:r w:rsidRPr="0052616A">
          <w:rPr>
            <w:rStyle w:val="Hyperlink"/>
            <w:rFonts w:ascii="Book Antiqua" w:hAnsi="Book Antiqua"/>
            <w:i/>
            <w:iCs/>
            <w:color w:val="000000" w:themeColor="text1"/>
            <w:szCs w:val="22"/>
            <w:u w:val="none"/>
          </w:rPr>
          <w:t>Goldstone v Williams (1899) 1 Ch 47</w:t>
        </w:r>
      </w:hyperlink>
      <w:r w:rsidRPr="00D1598C">
        <w:rPr>
          <w:rFonts w:ascii="Book Antiqua" w:hAnsi="Book Antiqua"/>
          <w:color w:val="000000" w:themeColor="text1"/>
          <w:szCs w:val="22"/>
        </w:rPr>
        <w:t xml:space="preserve"> ), but it is more accurate to say that privilege cannot be claimed because confidentially has been lost. </w:t>
      </w:r>
    </w:p>
    <w:p w14:paraId="72449E0A" w14:textId="77777777" w:rsidR="008D7A3D" w:rsidRPr="00D1598C" w:rsidRDefault="008D7A3D" w:rsidP="002879AC">
      <w:pPr>
        <w:spacing w:before="100" w:beforeAutospacing="1" w:after="100" w:afterAutospacing="1" w:line="240" w:lineRule="auto"/>
        <w:ind w:left="851"/>
        <w:jc w:val="both"/>
        <w:rPr>
          <w:rFonts w:ascii="Book Antiqua" w:hAnsi="Book Antiqua"/>
          <w:szCs w:val="22"/>
        </w:rPr>
      </w:pPr>
      <w:r w:rsidRPr="00D1598C">
        <w:rPr>
          <w:rFonts w:ascii="Book Antiqua" w:hAnsi="Book Antiqua"/>
          <w:color w:val="000000" w:themeColor="text1"/>
          <w:szCs w:val="22"/>
        </w:rPr>
        <w:t>v) Where a party comes into possession of privileged material by any means, and even if without the knowledge or consent of the other party, the receiving party is free to use such material subject to the equitable jurisdiction of the court to restrain a breach of confidence</w:t>
      </w:r>
      <w:r w:rsidRPr="00D1598C">
        <w:rPr>
          <w:rFonts w:ascii="Book Antiqua" w:hAnsi="Book Antiqua"/>
          <w:szCs w:val="22"/>
        </w:rPr>
        <w:t xml:space="preserve">. </w:t>
      </w:r>
    </w:p>
    <w:p w14:paraId="4D6FECCE" w14:textId="09FA785F" w:rsidR="008F480E" w:rsidRPr="00E21FD5" w:rsidRDefault="00E21FD5" w:rsidP="00F85F45">
      <w:pPr>
        <w:pStyle w:val="ListParagraph"/>
        <w:numPr>
          <w:ilvl w:val="0"/>
          <w:numId w:val="5"/>
        </w:numPr>
        <w:spacing w:after="0" w:line="240" w:lineRule="auto"/>
        <w:ind w:left="567" w:hanging="567"/>
        <w:contextualSpacing w:val="0"/>
        <w:jc w:val="both"/>
        <w:rPr>
          <w:rFonts w:ascii="Book Antiqua" w:hAnsi="Book Antiqua"/>
          <w:sz w:val="24"/>
          <w:szCs w:val="24"/>
        </w:rPr>
      </w:pPr>
      <w:r w:rsidRPr="00F85F45">
        <w:rPr>
          <w:rFonts w:ascii="Book Antiqua" w:hAnsi="Book Antiqua"/>
          <w:sz w:val="24"/>
          <w:szCs w:val="24"/>
        </w:rPr>
        <w:t>While this decision was not cited to us, we consider that the principles set out by Le</w:t>
      </w:r>
      <w:r w:rsidR="001C4957">
        <w:rPr>
          <w:rFonts w:ascii="Book Antiqua" w:hAnsi="Book Antiqua"/>
          <w:sz w:val="24"/>
          <w:szCs w:val="24"/>
        </w:rPr>
        <w:t>g</w:t>
      </w:r>
      <w:r w:rsidRPr="00F85F45">
        <w:rPr>
          <w:rFonts w:ascii="Book Antiqua" w:hAnsi="Book Antiqua"/>
          <w:sz w:val="24"/>
          <w:szCs w:val="24"/>
        </w:rPr>
        <w:t xml:space="preserve">gatt J are an uncontroversial summary of the relevant </w:t>
      </w:r>
      <w:r>
        <w:rPr>
          <w:rFonts w:ascii="Book Antiqua" w:hAnsi="Book Antiqua"/>
          <w:sz w:val="24"/>
          <w:szCs w:val="24"/>
        </w:rPr>
        <w:t xml:space="preserve">principles derived from the </w:t>
      </w:r>
      <w:r w:rsidRPr="00F85F45">
        <w:rPr>
          <w:rFonts w:ascii="Book Antiqua" w:hAnsi="Book Antiqua"/>
          <w:sz w:val="24"/>
          <w:szCs w:val="24"/>
        </w:rPr>
        <w:t xml:space="preserve">case law. </w:t>
      </w:r>
      <w:r w:rsidR="0050252B" w:rsidRPr="00F85F45">
        <w:rPr>
          <w:rFonts w:ascii="Book Antiqua" w:hAnsi="Book Antiqua"/>
          <w:sz w:val="24"/>
          <w:szCs w:val="24"/>
        </w:rPr>
        <w:t>Applying these principles, it cannot be said that it was open to the FtT to conclude that there had been waiver</w:t>
      </w:r>
      <w:r w:rsidR="00AA297D" w:rsidRPr="00F85F45">
        <w:rPr>
          <w:rFonts w:ascii="Book Antiqua" w:hAnsi="Book Antiqua"/>
          <w:sz w:val="24"/>
          <w:szCs w:val="24"/>
        </w:rPr>
        <w:t xml:space="preserve">. </w:t>
      </w:r>
      <w:r w:rsidR="00222CF5" w:rsidRPr="00F85F45">
        <w:rPr>
          <w:rFonts w:ascii="Book Antiqua" w:hAnsi="Book Antiqua"/>
          <w:sz w:val="24"/>
          <w:szCs w:val="24"/>
        </w:rPr>
        <w:t>The</w:t>
      </w:r>
      <w:r w:rsidR="00957640" w:rsidRPr="00F85F45">
        <w:rPr>
          <w:rFonts w:ascii="Book Antiqua" w:hAnsi="Book Antiqua"/>
          <w:sz w:val="24"/>
          <w:szCs w:val="24"/>
        </w:rPr>
        <w:t xml:space="preserve"> unredacted part of the email was disclosed pursuant to the applicant’s duty of candour. This is far removed</w:t>
      </w:r>
      <w:r w:rsidR="002853D9" w:rsidRPr="00F85F45">
        <w:rPr>
          <w:rFonts w:ascii="Book Antiqua" w:hAnsi="Book Antiqua"/>
          <w:sz w:val="24"/>
          <w:szCs w:val="24"/>
        </w:rPr>
        <w:t xml:space="preserve"> from the situation where a party seeks unprompted and of </w:t>
      </w:r>
      <w:r w:rsidR="00766AF0" w:rsidRPr="00F85F45">
        <w:rPr>
          <w:rFonts w:ascii="Book Antiqua" w:hAnsi="Book Antiqua"/>
          <w:sz w:val="24"/>
          <w:szCs w:val="24"/>
        </w:rPr>
        <w:t>their</w:t>
      </w:r>
      <w:r w:rsidR="002853D9" w:rsidRPr="00F85F45">
        <w:rPr>
          <w:rFonts w:ascii="Book Antiqua" w:hAnsi="Book Antiqua"/>
          <w:sz w:val="24"/>
          <w:szCs w:val="24"/>
        </w:rPr>
        <w:t xml:space="preserve"> own </w:t>
      </w:r>
      <w:r w:rsidR="00766AF0" w:rsidRPr="00F85F45">
        <w:rPr>
          <w:rFonts w:ascii="Book Antiqua" w:hAnsi="Book Antiqua"/>
          <w:sz w:val="24"/>
          <w:szCs w:val="24"/>
        </w:rPr>
        <w:t>volition</w:t>
      </w:r>
      <w:r w:rsidR="002853D9" w:rsidRPr="00F85F45">
        <w:rPr>
          <w:rFonts w:ascii="Book Antiqua" w:hAnsi="Book Antiqua"/>
          <w:sz w:val="24"/>
          <w:szCs w:val="24"/>
        </w:rPr>
        <w:t xml:space="preserve"> to use</w:t>
      </w:r>
      <w:r w:rsidR="00766AF0" w:rsidRPr="00F85F45">
        <w:rPr>
          <w:rFonts w:ascii="Book Antiqua" w:hAnsi="Book Antiqua"/>
          <w:sz w:val="24"/>
          <w:szCs w:val="24"/>
        </w:rPr>
        <w:t xml:space="preserve"> privileged material as part of</w:t>
      </w:r>
      <w:r w:rsidR="00D052E5" w:rsidRPr="00F85F45">
        <w:rPr>
          <w:rFonts w:ascii="Book Antiqua" w:hAnsi="Book Antiqua"/>
          <w:sz w:val="24"/>
          <w:szCs w:val="24"/>
        </w:rPr>
        <w:t xml:space="preserve"> their case, whilst attempting to rely on the same privilege to </w:t>
      </w:r>
      <w:r w:rsidR="001F6661" w:rsidRPr="00E21FD5">
        <w:rPr>
          <w:rFonts w:ascii="Book Antiqua" w:hAnsi="Book Antiqua"/>
          <w:sz w:val="24"/>
          <w:szCs w:val="24"/>
        </w:rPr>
        <w:t>withhold other material of the same subject matter. As we have said, it is a matter for the applicant how</w:t>
      </w:r>
      <w:r w:rsidR="00624642" w:rsidRPr="00E21FD5">
        <w:rPr>
          <w:rFonts w:ascii="Book Antiqua" w:hAnsi="Book Antiqua"/>
          <w:sz w:val="24"/>
          <w:szCs w:val="24"/>
        </w:rPr>
        <w:t xml:space="preserve"> to comply with the duty</w:t>
      </w:r>
      <w:r w:rsidR="00435D18" w:rsidRPr="00E21FD5">
        <w:rPr>
          <w:rFonts w:ascii="Book Antiqua" w:hAnsi="Book Antiqua"/>
          <w:sz w:val="24"/>
          <w:szCs w:val="24"/>
        </w:rPr>
        <w:t xml:space="preserve"> of candour</w:t>
      </w:r>
      <w:r w:rsidR="005C2F2D" w:rsidRPr="00E21FD5">
        <w:rPr>
          <w:rFonts w:ascii="Book Antiqua" w:hAnsi="Book Antiqua"/>
          <w:sz w:val="24"/>
          <w:szCs w:val="24"/>
        </w:rPr>
        <w:t>.</w:t>
      </w:r>
    </w:p>
    <w:p w14:paraId="59DC6863" w14:textId="77777777" w:rsidR="007D79DE" w:rsidRDefault="007D79DE" w:rsidP="000F04A4">
      <w:pPr>
        <w:pStyle w:val="ListParagraph"/>
        <w:spacing w:after="0" w:line="240" w:lineRule="auto"/>
        <w:ind w:left="567"/>
        <w:contextualSpacing w:val="0"/>
        <w:jc w:val="both"/>
        <w:rPr>
          <w:rFonts w:ascii="Book Antiqua" w:hAnsi="Book Antiqua"/>
          <w:sz w:val="24"/>
          <w:szCs w:val="24"/>
        </w:rPr>
      </w:pPr>
    </w:p>
    <w:p w14:paraId="779D77BA" w14:textId="75114B9D" w:rsidR="005C2F2D" w:rsidRPr="00FB394E" w:rsidRDefault="00FB394E" w:rsidP="000F04A4">
      <w:pPr>
        <w:spacing w:after="0" w:line="240" w:lineRule="auto"/>
        <w:jc w:val="both"/>
        <w:rPr>
          <w:rFonts w:ascii="Book Antiqua" w:hAnsi="Book Antiqua"/>
          <w:b/>
          <w:sz w:val="24"/>
          <w:szCs w:val="24"/>
          <w:u w:val="single"/>
        </w:rPr>
      </w:pPr>
      <w:r w:rsidRPr="00FB394E">
        <w:rPr>
          <w:rFonts w:ascii="Book Antiqua" w:hAnsi="Book Antiqua"/>
          <w:b/>
          <w:sz w:val="24"/>
          <w:szCs w:val="24"/>
          <w:u w:val="single"/>
        </w:rPr>
        <w:t>Conclusions</w:t>
      </w:r>
    </w:p>
    <w:p w14:paraId="7C5649CC" w14:textId="0EEC24BD" w:rsidR="00291D01" w:rsidRPr="000F04A4" w:rsidRDefault="00291D01">
      <w:pPr>
        <w:pStyle w:val="ListParagraph"/>
        <w:spacing w:after="0" w:line="240" w:lineRule="auto"/>
        <w:ind w:left="567"/>
        <w:contextualSpacing w:val="0"/>
        <w:jc w:val="both"/>
        <w:rPr>
          <w:rFonts w:ascii="Book Antiqua" w:hAnsi="Book Antiqua"/>
          <w:sz w:val="24"/>
          <w:szCs w:val="24"/>
        </w:rPr>
      </w:pPr>
    </w:p>
    <w:p w14:paraId="155A125F" w14:textId="77777777" w:rsidR="00A12382" w:rsidRDefault="001A7157" w:rsidP="00917C8E">
      <w:pPr>
        <w:pStyle w:val="ListParagraph"/>
        <w:numPr>
          <w:ilvl w:val="0"/>
          <w:numId w:val="5"/>
        </w:numPr>
        <w:spacing w:after="0" w:line="240" w:lineRule="auto"/>
        <w:ind w:left="567" w:hanging="567"/>
        <w:contextualSpacing w:val="0"/>
        <w:jc w:val="both"/>
        <w:rPr>
          <w:rFonts w:ascii="Book Antiqua" w:hAnsi="Book Antiqua"/>
          <w:sz w:val="24"/>
          <w:szCs w:val="24"/>
        </w:rPr>
      </w:pPr>
      <w:r>
        <w:rPr>
          <w:rFonts w:ascii="Book Antiqua" w:hAnsi="Book Antiqua"/>
          <w:sz w:val="24"/>
          <w:szCs w:val="24"/>
        </w:rPr>
        <w:t>As we said we would</w:t>
      </w:r>
      <w:r w:rsidR="00B67E03">
        <w:rPr>
          <w:rFonts w:ascii="Book Antiqua" w:hAnsi="Book Antiqua"/>
          <w:sz w:val="24"/>
          <w:szCs w:val="24"/>
        </w:rPr>
        <w:t xml:space="preserve">, we must now return to the question whether the </w:t>
      </w:r>
      <w:r w:rsidR="00455718">
        <w:rPr>
          <w:rFonts w:ascii="Book Antiqua" w:hAnsi="Book Antiqua"/>
          <w:sz w:val="24"/>
          <w:szCs w:val="24"/>
        </w:rPr>
        <w:t xml:space="preserve">high </w:t>
      </w:r>
      <w:r w:rsidR="00B67E03">
        <w:rPr>
          <w:rFonts w:ascii="Book Antiqua" w:hAnsi="Book Antiqua"/>
          <w:sz w:val="24"/>
          <w:szCs w:val="24"/>
        </w:rPr>
        <w:t>threshold for judicially reviewing</w:t>
      </w:r>
      <w:r w:rsidR="006056EC">
        <w:rPr>
          <w:rFonts w:ascii="Book Antiqua" w:hAnsi="Book Antiqua"/>
          <w:sz w:val="24"/>
          <w:szCs w:val="24"/>
        </w:rPr>
        <w:t xml:space="preserve"> the FtT’s </w:t>
      </w:r>
      <w:r w:rsidR="00292049">
        <w:rPr>
          <w:rFonts w:ascii="Book Antiqua" w:hAnsi="Book Antiqua"/>
          <w:sz w:val="24"/>
          <w:szCs w:val="24"/>
        </w:rPr>
        <w:t>procedural/ancillary decision on disclosure</w:t>
      </w:r>
      <w:r w:rsidR="00455718">
        <w:rPr>
          <w:rFonts w:ascii="Book Antiqua" w:hAnsi="Book Antiqua"/>
          <w:sz w:val="24"/>
          <w:szCs w:val="24"/>
        </w:rPr>
        <w:t xml:space="preserve"> has been met. We firmly conclude that it has</w:t>
      </w:r>
      <w:r w:rsidR="00BF21CA">
        <w:rPr>
          <w:rFonts w:ascii="Book Antiqua" w:hAnsi="Book Antiqua"/>
          <w:sz w:val="24"/>
          <w:szCs w:val="24"/>
        </w:rPr>
        <w:t>. T</w:t>
      </w:r>
      <w:r w:rsidR="00930822">
        <w:rPr>
          <w:rFonts w:ascii="Book Antiqua" w:hAnsi="Book Antiqua"/>
          <w:sz w:val="24"/>
          <w:szCs w:val="24"/>
        </w:rPr>
        <w:t>he FtT’s reasons for ordering disclosure are fundamentally flawed</w:t>
      </w:r>
      <w:r w:rsidR="00A7075B">
        <w:rPr>
          <w:rFonts w:ascii="Book Antiqua" w:hAnsi="Book Antiqua"/>
          <w:sz w:val="24"/>
          <w:szCs w:val="24"/>
        </w:rPr>
        <w:t xml:space="preserve">. They cannot be saved </w:t>
      </w:r>
      <w:r w:rsidR="00A23FCE">
        <w:rPr>
          <w:rFonts w:ascii="Book Antiqua" w:hAnsi="Book Antiqua"/>
          <w:sz w:val="24"/>
          <w:szCs w:val="24"/>
        </w:rPr>
        <w:t>by recourse to the</w:t>
      </w:r>
      <w:r w:rsidR="00A12382">
        <w:rPr>
          <w:rFonts w:ascii="Book Antiqua" w:hAnsi="Book Antiqua"/>
          <w:sz w:val="24"/>
          <w:szCs w:val="24"/>
        </w:rPr>
        <w:t xml:space="preserve"> argument</w:t>
      </w:r>
      <w:r w:rsidR="007F6063">
        <w:rPr>
          <w:rFonts w:ascii="Book Antiqua" w:hAnsi="Book Antiqua"/>
          <w:sz w:val="24"/>
          <w:szCs w:val="24"/>
        </w:rPr>
        <w:t xml:space="preserve"> that</w:t>
      </w:r>
      <w:r w:rsidR="00D95D1E">
        <w:rPr>
          <w:rFonts w:ascii="Book Antiqua" w:hAnsi="Book Antiqua"/>
          <w:sz w:val="24"/>
          <w:szCs w:val="24"/>
        </w:rPr>
        <w:t xml:space="preserve"> the communication was not</w:t>
      </w:r>
      <w:r w:rsidR="00A12382">
        <w:rPr>
          <w:rFonts w:ascii="Book Antiqua" w:hAnsi="Book Antiqua"/>
          <w:sz w:val="24"/>
          <w:szCs w:val="24"/>
        </w:rPr>
        <w:t xml:space="preserve"> made</w:t>
      </w:r>
      <w:r w:rsidR="00D95D1E">
        <w:rPr>
          <w:rFonts w:ascii="Book Antiqua" w:hAnsi="Book Antiqua"/>
          <w:sz w:val="24"/>
          <w:szCs w:val="24"/>
        </w:rPr>
        <w:t xml:space="preserve"> to the applicant</w:t>
      </w:r>
      <w:r w:rsidR="007F6063">
        <w:rPr>
          <w:rFonts w:ascii="Book Antiqua" w:hAnsi="Book Antiqua"/>
          <w:sz w:val="24"/>
          <w:szCs w:val="24"/>
        </w:rPr>
        <w:t xml:space="preserve"> (it was)</w:t>
      </w:r>
      <w:r w:rsidR="00D95D1E">
        <w:rPr>
          <w:rFonts w:ascii="Book Antiqua" w:hAnsi="Book Antiqua"/>
          <w:sz w:val="24"/>
          <w:szCs w:val="24"/>
        </w:rPr>
        <w:t xml:space="preserve"> or by recourse to the principle of wa</w:t>
      </w:r>
      <w:r w:rsidR="00A12382">
        <w:rPr>
          <w:rFonts w:ascii="Book Antiqua" w:hAnsi="Book Antiqua"/>
          <w:sz w:val="24"/>
          <w:szCs w:val="24"/>
        </w:rPr>
        <w:t>i</w:t>
      </w:r>
      <w:r w:rsidR="00D95D1E">
        <w:rPr>
          <w:rFonts w:ascii="Book Antiqua" w:hAnsi="Book Antiqua"/>
          <w:sz w:val="24"/>
          <w:szCs w:val="24"/>
        </w:rPr>
        <w:t>ver</w:t>
      </w:r>
      <w:r w:rsidR="007F6063">
        <w:rPr>
          <w:rFonts w:ascii="Book Antiqua" w:hAnsi="Book Antiqua"/>
          <w:sz w:val="24"/>
          <w:szCs w:val="24"/>
        </w:rPr>
        <w:t xml:space="preserve">. </w:t>
      </w:r>
    </w:p>
    <w:p w14:paraId="3B7F7258" w14:textId="77777777" w:rsidR="00640981" w:rsidRDefault="00640981" w:rsidP="00761563">
      <w:pPr>
        <w:pStyle w:val="ListParagraph"/>
        <w:spacing w:after="0" w:line="240" w:lineRule="auto"/>
        <w:ind w:left="567"/>
        <w:contextualSpacing w:val="0"/>
        <w:jc w:val="both"/>
        <w:rPr>
          <w:rFonts w:ascii="Book Antiqua" w:hAnsi="Book Antiqua"/>
          <w:sz w:val="24"/>
          <w:szCs w:val="24"/>
        </w:rPr>
      </w:pPr>
    </w:p>
    <w:p w14:paraId="23527DC6" w14:textId="7B5AB10E" w:rsidR="00CC15AD" w:rsidRDefault="00A12382" w:rsidP="00917C8E">
      <w:pPr>
        <w:pStyle w:val="ListParagraph"/>
        <w:numPr>
          <w:ilvl w:val="0"/>
          <w:numId w:val="5"/>
        </w:numPr>
        <w:spacing w:after="0" w:line="240" w:lineRule="auto"/>
        <w:ind w:left="567" w:hanging="567"/>
        <w:contextualSpacing w:val="0"/>
        <w:jc w:val="both"/>
        <w:rPr>
          <w:rFonts w:ascii="Book Antiqua" w:hAnsi="Book Antiqua"/>
          <w:sz w:val="24"/>
          <w:szCs w:val="24"/>
        </w:rPr>
      </w:pPr>
      <w:r>
        <w:rPr>
          <w:rFonts w:ascii="Book Antiqua" w:hAnsi="Book Antiqua"/>
          <w:sz w:val="24"/>
          <w:szCs w:val="24"/>
        </w:rPr>
        <w:t xml:space="preserve">In these circumstances, </w:t>
      </w:r>
      <w:r w:rsidR="00640981">
        <w:rPr>
          <w:rFonts w:ascii="Book Antiqua" w:hAnsi="Book Antiqua"/>
          <w:sz w:val="24"/>
          <w:szCs w:val="24"/>
        </w:rPr>
        <w:t>t</w:t>
      </w:r>
      <w:r w:rsidR="007F6063">
        <w:rPr>
          <w:rFonts w:ascii="Book Antiqua" w:hAnsi="Book Antiqua"/>
          <w:sz w:val="24"/>
          <w:szCs w:val="24"/>
        </w:rPr>
        <w:t>o</w:t>
      </w:r>
      <w:r w:rsidR="00BF21CA">
        <w:rPr>
          <w:rFonts w:ascii="Book Antiqua" w:hAnsi="Book Antiqua"/>
          <w:sz w:val="24"/>
          <w:szCs w:val="24"/>
        </w:rPr>
        <w:t xml:space="preserve"> permit the FtT’s disclosure direction to </w:t>
      </w:r>
      <w:r w:rsidR="00343396">
        <w:rPr>
          <w:rFonts w:ascii="Book Antiqua" w:hAnsi="Book Antiqua"/>
          <w:sz w:val="24"/>
          <w:szCs w:val="24"/>
        </w:rPr>
        <w:t xml:space="preserve">take effect and await correction, </w:t>
      </w:r>
      <w:r w:rsidR="00E73DDF">
        <w:rPr>
          <w:rFonts w:ascii="Book Antiqua" w:hAnsi="Book Antiqua"/>
          <w:sz w:val="24"/>
          <w:szCs w:val="24"/>
        </w:rPr>
        <w:t>as part of the appeal process following the FtT’s substantive decision</w:t>
      </w:r>
      <w:r w:rsidR="008D50AF">
        <w:rPr>
          <w:rFonts w:ascii="Book Antiqua" w:hAnsi="Book Antiqua"/>
          <w:sz w:val="24"/>
          <w:szCs w:val="24"/>
        </w:rPr>
        <w:t xml:space="preserve">, could not undo the fact that the </w:t>
      </w:r>
      <w:r w:rsidR="00785643">
        <w:rPr>
          <w:rFonts w:ascii="Book Antiqua" w:hAnsi="Book Antiqua"/>
          <w:sz w:val="24"/>
          <w:szCs w:val="24"/>
        </w:rPr>
        <w:t>applicant</w:t>
      </w:r>
      <w:r w:rsidR="008D50AF">
        <w:rPr>
          <w:rFonts w:ascii="Book Antiqua" w:hAnsi="Book Antiqua"/>
          <w:sz w:val="24"/>
          <w:szCs w:val="24"/>
        </w:rPr>
        <w:t xml:space="preserve"> would have been compelled to disclose</w:t>
      </w:r>
      <w:r w:rsidR="00806448">
        <w:rPr>
          <w:rFonts w:ascii="Book Antiqua" w:hAnsi="Book Antiqua"/>
          <w:sz w:val="24"/>
          <w:szCs w:val="24"/>
        </w:rPr>
        <w:t xml:space="preserve"> the privileged material. If, on the other hand, the</w:t>
      </w:r>
      <w:r w:rsidR="00785643">
        <w:rPr>
          <w:rFonts w:ascii="Book Antiqua" w:hAnsi="Book Antiqua"/>
          <w:sz w:val="24"/>
          <w:szCs w:val="24"/>
        </w:rPr>
        <w:t xml:space="preserve"> applicant w</w:t>
      </w:r>
      <w:r w:rsidR="00853984">
        <w:rPr>
          <w:rFonts w:ascii="Book Antiqua" w:hAnsi="Book Antiqua"/>
          <w:sz w:val="24"/>
          <w:szCs w:val="24"/>
        </w:rPr>
        <w:t>as</w:t>
      </w:r>
      <w:r w:rsidR="00785643">
        <w:rPr>
          <w:rFonts w:ascii="Book Antiqua" w:hAnsi="Book Antiqua"/>
          <w:sz w:val="24"/>
          <w:szCs w:val="24"/>
        </w:rPr>
        <w:t xml:space="preserve"> to choose not to rely on the</w:t>
      </w:r>
      <w:r w:rsidR="00AC4091">
        <w:rPr>
          <w:rFonts w:ascii="Book Antiqua" w:hAnsi="Book Antiqua"/>
          <w:sz w:val="24"/>
          <w:szCs w:val="24"/>
        </w:rPr>
        <w:t xml:space="preserve"> unredacted part of the email</w:t>
      </w:r>
      <w:r w:rsidR="00612B24">
        <w:rPr>
          <w:rFonts w:ascii="Book Antiqua" w:hAnsi="Book Antiqua"/>
          <w:sz w:val="24"/>
          <w:szCs w:val="24"/>
        </w:rPr>
        <w:t xml:space="preserve">, the </w:t>
      </w:r>
      <w:r w:rsidR="004770A8">
        <w:rPr>
          <w:rFonts w:ascii="Book Antiqua" w:hAnsi="Book Antiqua"/>
          <w:sz w:val="24"/>
          <w:szCs w:val="24"/>
        </w:rPr>
        <w:t xml:space="preserve">applicant would still have been materially </w:t>
      </w:r>
      <w:r w:rsidR="0079435C">
        <w:rPr>
          <w:rFonts w:ascii="Book Antiqua" w:hAnsi="Book Antiqua"/>
          <w:sz w:val="24"/>
          <w:szCs w:val="24"/>
        </w:rPr>
        <w:t xml:space="preserve">disadvantaged by being forced to run </w:t>
      </w:r>
      <w:r w:rsidR="00853984">
        <w:rPr>
          <w:rFonts w:ascii="Book Antiqua" w:hAnsi="Book Antiqua"/>
          <w:sz w:val="24"/>
          <w:szCs w:val="24"/>
        </w:rPr>
        <w:t>her</w:t>
      </w:r>
      <w:r w:rsidR="0079435C">
        <w:rPr>
          <w:rFonts w:ascii="Book Antiqua" w:hAnsi="Book Antiqua"/>
          <w:sz w:val="24"/>
          <w:szCs w:val="24"/>
        </w:rPr>
        <w:t xml:space="preserve"> case</w:t>
      </w:r>
      <w:r w:rsidR="00FD691C">
        <w:rPr>
          <w:rFonts w:ascii="Book Antiqua" w:hAnsi="Book Antiqua"/>
          <w:sz w:val="24"/>
          <w:szCs w:val="24"/>
        </w:rPr>
        <w:t xml:space="preserve"> in an unsatisfactory manner</w:t>
      </w:r>
      <w:r w:rsidR="00A30596">
        <w:rPr>
          <w:rFonts w:ascii="Book Antiqua" w:hAnsi="Book Antiqua"/>
          <w:sz w:val="24"/>
          <w:szCs w:val="24"/>
        </w:rPr>
        <w:t xml:space="preserve">, in breach of </w:t>
      </w:r>
      <w:r w:rsidR="00853984">
        <w:rPr>
          <w:rFonts w:ascii="Book Antiqua" w:hAnsi="Book Antiqua"/>
          <w:sz w:val="24"/>
          <w:szCs w:val="24"/>
        </w:rPr>
        <w:t>her</w:t>
      </w:r>
      <w:r w:rsidR="00A30596">
        <w:rPr>
          <w:rFonts w:ascii="Book Antiqua" w:hAnsi="Book Antiqua"/>
          <w:sz w:val="24"/>
          <w:szCs w:val="24"/>
        </w:rPr>
        <w:t xml:space="preserve"> fundamental right</w:t>
      </w:r>
      <w:r w:rsidR="00CC15AD">
        <w:rPr>
          <w:rFonts w:ascii="Book Antiqua" w:hAnsi="Book Antiqua"/>
          <w:sz w:val="24"/>
          <w:szCs w:val="24"/>
        </w:rPr>
        <w:t>.</w:t>
      </w:r>
      <w:r w:rsidR="00806448">
        <w:rPr>
          <w:rFonts w:ascii="Book Antiqua" w:hAnsi="Book Antiqua"/>
          <w:sz w:val="24"/>
          <w:szCs w:val="24"/>
        </w:rPr>
        <w:t xml:space="preserve"> </w:t>
      </w:r>
    </w:p>
    <w:p w14:paraId="4F85E19C" w14:textId="77777777" w:rsidR="00291D01" w:rsidRPr="00EA2314" w:rsidRDefault="00291D01" w:rsidP="000F04A4">
      <w:pPr>
        <w:pStyle w:val="ListParagraph"/>
        <w:spacing w:after="0" w:line="240" w:lineRule="auto"/>
        <w:ind w:left="567"/>
        <w:contextualSpacing w:val="0"/>
        <w:jc w:val="both"/>
        <w:rPr>
          <w:rFonts w:ascii="Book Antiqua" w:hAnsi="Book Antiqua"/>
          <w:sz w:val="24"/>
          <w:szCs w:val="24"/>
        </w:rPr>
      </w:pPr>
    </w:p>
    <w:p w14:paraId="5E2D07C5" w14:textId="1ED37F1A" w:rsidR="00291D01" w:rsidRDefault="00EA2314" w:rsidP="00917C8E">
      <w:pPr>
        <w:pStyle w:val="ListParagraph"/>
        <w:numPr>
          <w:ilvl w:val="0"/>
          <w:numId w:val="5"/>
        </w:numPr>
        <w:spacing w:after="0" w:line="240" w:lineRule="auto"/>
        <w:ind w:left="567" w:hanging="567"/>
        <w:contextualSpacing w:val="0"/>
        <w:jc w:val="both"/>
        <w:rPr>
          <w:rFonts w:ascii="Book Antiqua" w:hAnsi="Book Antiqua"/>
          <w:sz w:val="24"/>
          <w:szCs w:val="24"/>
        </w:rPr>
      </w:pPr>
      <w:r w:rsidRPr="00EA2314">
        <w:rPr>
          <w:rFonts w:ascii="Book Antiqua" w:hAnsi="Book Antiqua"/>
          <w:sz w:val="24"/>
          <w:szCs w:val="24"/>
        </w:rPr>
        <w:t xml:space="preserve">For these reasons, </w:t>
      </w:r>
      <w:r w:rsidRPr="004A503D">
        <w:rPr>
          <w:rFonts w:ascii="Book Antiqua" w:hAnsi="Book Antiqua"/>
          <w:sz w:val="24"/>
          <w:szCs w:val="24"/>
        </w:rPr>
        <w:t xml:space="preserve">we are satisfied that the Upper Tribunal should entertain the action. </w:t>
      </w:r>
      <w:r>
        <w:rPr>
          <w:rFonts w:ascii="Book Antiqua" w:hAnsi="Book Antiqua"/>
          <w:sz w:val="24"/>
          <w:szCs w:val="24"/>
        </w:rPr>
        <w:t xml:space="preserve"> </w:t>
      </w:r>
      <w:r w:rsidR="00291D01">
        <w:rPr>
          <w:rFonts w:ascii="Book Antiqua" w:hAnsi="Book Antiqua"/>
          <w:sz w:val="24"/>
          <w:szCs w:val="24"/>
        </w:rPr>
        <w:t xml:space="preserve">Accordingly, we grant permission, and for the reasons set out above, we grant judicial review.  We quash the decision ordering disclosure of the email. It </w:t>
      </w:r>
      <w:r w:rsidR="00D67FC4">
        <w:rPr>
          <w:rFonts w:ascii="Book Antiqua" w:hAnsi="Book Antiqua"/>
          <w:sz w:val="24"/>
          <w:szCs w:val="24"/>
        </w:rPr>
        <w:t>will now be</w:t>
      </w:r>
      <w:r w:rsidR="00142FD8">
        <w:rPr>
          <w:rFonts w:ascii="Book Antiqua" w:hAnsi="Book Antiqua"/>
          <w:sz w:val="24"/>
          <w:szCs w:val="24"/>
        </w:rPr>
        <w:t xml:space="preserve"> </w:t>
      </w:r>
      <w:r w:rsidR="00291D01">
        <w:rPr>
          <w:rFonts w:ascii="Book Antiqua" w:hAnsi="Book Antiqua"/>
          <w:sz w:val="24"/>
          <w:szCs w:val="24"/>
        </w:rPr>
        <w:t xml:space="preserve">for the FtT to make a fresh decision in the light of what we have set out above. </w:t>
      </w:r>
    </w:p>
    <w:p w14:paraId="3A779466" w14:textId="77777777" w:rsidR="00A12BA4" w:rsidRPr="00A12BA4" w:rsidRDefault="00A12BA4" w:rsidP="00A12BA4">
      <w:pPr>
        <w:pStyle w:val="ListParagraph"/>
        <w:rPr>
          <w:rFonts w:ascii="Book Antiqua" w:hAnsi="Book Antiqua"/>
          <w:sz w:val="24"/>
          <w:szCs w:val="24"/>
        </w:rPr>
      </w:pPr>
    </w:p>
    <w:p w14:paraId="754385F9" w14:textId="280BFAB7" w:rsidR="00A12BA4" w:rsidRDefault="00A12BA4" w:rsidP="00917C8E">
      <w:pPr>
        <w:pStyle w:val="ListParagraph"/>
        <w:numPr>
          <w:ilvl w:val="0"/>
          <w:numId w:val="5"/>
        </w:numPr>
        <w:spacing w:after="0" w:line="240" w:lineRule="auto"/>
        <w:ind w:left="567" w:hanging="567"/>
        <w:contextualSpacing w:val="0"/>
        <w:jc w:val="both"/>
        <w:rPr>
          <w:rFonts w:ascii="Book Antiqua" w:hAnsi="Book Antiqua"/>
          <w:sz w:val="24"/>
          <w:szCs w:val="24"/>
        </w:rPr>
      </w:pPr>
      <w:r>
        <w:rPr>
          <w:rFonts w:ascii="Book Antiqua" w:hAnsi="Book Antiqua"/>
          <w:sz w:val="24"/>
          <w:szCs w:val="24"/>
        </w:rPr>
        <w:t>Permission to appeal is refused.</w:t>
      </w:r>
    </w:p>
    <w:p w14:paraId="008FF234" w14:textId="77777777" w:rsidR="00BB4AD9" w:rsidRDefault="00BB4AD9" w:rsidP="00BB4AD9">
      <w:pPr>
        <w:spacing w:after="0" w:line="240" w:lineRule="auto"/>
        <w:jc w:val="both"/>
        <w:rPr>
          <w:rFonts w:ascii="Book Antiqua" w:hAnsi="Book Antiqua"/>
          <w:sz w:val="24"/>
          <w:szCs w:val="24"/>
        </w:rPr>
      </w:pPr>
    </w:p>
    <w:p w14:paraId="6E420F80" w14:textId="77777777" w:rsidR="0053392E" w:rsidRDefault="0053392E" w:rsidP="00BB4AD9">
      <w:pPr>
        <w:spacing w:after="0" w:line="240" w:lineRule="auto"/>
        <w:jc w:val="both"/>
        <w:rPr>
          <w:rFonts w:ascii="Book Antiqua" w:hAnsi="Book Antiqua"/>
          <w:b/>
          <w:sz w:val="24"/>
          <w:szCs w:val="24"/>
          <w:u w:val="single"/>
        </w:rPr>
      </w:pPr>
    </w:p>
    <w:p w14:paraId="4183EBD5" w14:textId="77777777" w:rsidR="0053392E" w:rsidRDefault="0053392E" w:rsidP="00BB4AD9">
      <w:pPr>
        <w:spacing w:after="0" w:line="240" w:lineRule="auto"/>
        <w:jc w:val="both"/>
        <w:rPr>
          <w:rFonts w:ascii="Book Antiqua" w:hAnsi="Book Antiqua"/>
          <w:b/>
          <w:sz w:val="24"/>
          <w:szCs w:val="24"/>
          <w:u w:val="single"/>
        </w:rPr>
      </w:pPr>
    </w:p>
    <w:p w14:paraId="2D4B5C01" w14:textId="77598D05" w:rsidR="00BB4AD9" w:rsidRPr="002879AC" w:rsidRDefault="002879AC" w:rsidP="00BB4AD9">
      <w:pPr>
        <w:spacing w:after="0" w:line="240" w:lineRule="auto"/>
        <w:jc w:val="both"/>
        <w:rPr>
          <w:rFonts w:ascii="Book Antiqua" w:hAnsi="Book Antiqua"/>
          <w:b/>
          <w:sz w:val="24"/>
          <w:szCs w:val="24"/>
          <w:u w:val="single"/>
        </w:rPr>
      </w:pPr>
      <w:bookmarkStart w:id="17" w:name="_GoBack"/>
      <w:bookmarkEnd w:id="17"/>
      <w:r w:rsidRPr="002879AC">
        <w:rPr>
          <w:rFonts w:ascii="Book Antiqua" w:hAnsi="Book Antiqua"/>
          <w:b/>
          <w:sz w:val="24"/>
          <w:szCs w:val="24"/>
          <w:u w:val="single"/>
        </w:rPr>
        <w:lastRenderedPageBreak/>
        <w:t>Postscript</w:t>
      </w:r>
    </w:p>
    <w:p w14:paraId="3F156529" w14:textId="77777777" w:rsidR="00AE27F2" w:rsidRDefault="00AE27F2" w:rsidP="00BB4AD9">
      <w:pPr>
        <w:spacing w:after="0" w:line="240" w:lineRule="auto"/>
        <w:jc w:val="both"/>
        <w:rPr>
          <w:rFonts w:ascii="Book Antiqua" w:hAnsi="Book Antiqua"/>
          <w:sz w:val="24"/>
          <w:szCs w:val="24"/>
        </w:rPr>
      </w:pPr>
    </w:p>
    <w:p w14:paraId="0EA7A57A" w14:textId="3C6A9A28" w:rsidR="002879AC" w:rsidRDefault="00AE27F2" w:rsidP="002879AC">
      <w:pPr>
        <w:spacing w:after="0" w:line="240" w:lineRule="auto"/>
        <w:ind w:left="720"/>
        <w:jc w:val="both"/>
        <w:rPr>
          <w:rFonts w:ascii="Book Antiqua" w:hAnsi="Book Antiqua"/>
          <w:sz w:val="24"/>
          <w:szCs w:val="24"/>
        </w:rPr>
      </w:pPr>
      <w:r>
        <w:rPr>
          <w:rFonts w:ascii="Book Antiqua" w:hAnsi="Book Antiqua"/>
          <w:sz w:val="24"/>
          <w:szCs w:val="24"/>
        </w:rPr>
        <w:t xml:space="preserve">At our request, we have seen the unredacted email. </w:t>
      </w:r>
      <w:r w:rsidR="00FF44A7">
        <w:rPr>
          <w:rFonts w:ascii="Book Antiqua" w:hAnsi="Book Antiqua"/>
          <w:sz w:val="24"/>
          <w:szCs w:val="24"/>
        </w:rPr>
        <w:t>In the event, and as Ms Patr</w:t>
      </w:r>
      <w:r w:rsidR="001F1B65">
        <w:rPr>
          <w:rFonts w:ascii="Book Antiqua" w:hAnsi="Book Antiqua"/>
          <w:sz w:val="24"/>
          <w:szCs w:val="24"/>
        </w:rPr>
        <w:t>y</w:t>
      </w:r>
      <w:r w:rsidR="00F45555">
        <w:rPr>
          <w:rFonts w:ascii="Book Antiqua" w:hAnsi="Book Antiqua"/>
          <w:sz w:val="24"/>
          <w:szCs w:val="24"/>
        </w:rPr>
        <w:t xml:space="preserve"> submitted</w:t>
      </w:r>
      <w:r w:rsidR="00E56BB9">
        <w:rPr>
          <w:rFonts w:ascii="Book Antiqua" w:hAnsi="Book Antiqua"/>
          <w:sz w:val="24"/>
          <w:szCs w:val="24"/>
        </w:rPr>
        <w:t xml:space="preserve"> would be the case</w:t>
      </w:r>
      <w:r w:rsidR="001040AB">
        <w:rPr>
          <w:rFonts w:ascii="Book Antiqua" w:hAnsi="Book Antiqua"/>
          <w:sz w:val="24"/>
          <w:szCs w:val="24"/>
        </w:rPr>
        <w:t>, we</w:t>
      </w:r>
      <w:r w:rsidR="009F3654">
        <w:rPr>
          <w:rFonts w:ascii="Book Antiqua" w:hAnsi="Book Antiqua"/>
          <w:sz w:val="24"/>
          <w:szCs w:val="24"/>
        </w:rPr>
        <w:t xml:space="preserve"> find we</w:t>
      </w:r>
      <w:r w:rsidR="001040AB">
        <w:rPr>
          <w:rFonts w:ascii="Book Antiqua" w:hAnsi="Book Antiqua"/>
          <w:sz w:val="24"/>
          <w:szCs w:val="24"/>
        </w:rPr>
        <w:t xml:space="preserve"> have been able to reach our conclusions on all </w:t>
      </w:r>
      <w:r w:rsidR="00261125">
        <w:rPr>
          <w:rFonts w:ascii="Book Antiqua" w:hAnsi="Book Antiqua"/>
          <w:sz w:val="24"/>
          <w:szCs w:val="24"/>
        </w:rPr>
        <w:t>issues</w:t>
      </w:r>
      <w:r w:rsidR="00035A09">
        <w:rPr>
          <w:rFonts w:ascii="Book Antiqua" w:hAnsi="Book Antiqua"/>
          <w:sz w:val="24"/>
          <w:szCs w:val="24"/>
        </w:rPr>
        <w:t>,</w:t>
      </w:r>
      <w:r w:rsidR="00261125">
        <w:rPr>
          <w:rFonts w:ascii="Book Antiqua" w:hAnsi="Book Antiqua"/>
          <w:sz w:val="24"/>
          <w:szCs w:val="24"/>
        </w:rPr>
        <w:t xml:space="preserve"> without re</w:t>
      </w:r>
      <w:r w:rsidR="00EC71A8">
        <w:rPr>
          <w:rFonts w:ascii="Book Antiqua" w:hAnsi="Book Antiqua"/>
          <w:sz w:val="24"/>
          <w:szCs w:val="24"/>
        </w:rPr>
        <w:t>ference</w:t>
      </w:r>
      <w:r w:rsidR="00261125">
        <w:rPr>
          <w:rFonts w:ascii="Book Antiqua" w:hAnsi="Book Antiqua"/>
          <w:sz w:val="24"/>
          <w:szCs w:val="24"/>
        </w:rPr>
        <w:t xml:space="preserve"> to the</w:t>
      </w:r>
      <w:r w:rsidR="00035A09">
        <w:rPr>
          <w:rFonts w:ascii="Book Antiqua" w:hAnsi="Book Antiqua"/>
          <w:sz w:val="24"/>
          <w:szCs w:val="24"/>
        </w:rPr>
        <w:t xml:space="preserve"> redacted passages.</w:t>
      </w:r>
      <w:r w:rsidR="009F3654">
        <w:rPr>
          <w:rFonts w:ascii="Book Antiqua" w:hAnsi="Book Antiqua"/>
          <w:sz w:val="24"/>
          <w:szCs w:val="24"/>
        </w:rPr>
        <w:t xml:space="preserve"> </w:t>
      </w:r>
    </w:p>
    <w:p w14:paraId="412EFDF0" w14:textId="42D0AE30" w:rsidR="00A12BA4" w:rsidRDefault="00A12BA4" w:rsidP="002879AC">
      <w:pPr>
        <w:spacing w:after="0" w:line="240" w:lineRule="auto"/>
        <w:ind w:left="720"/>
        <w:jc w:val="both"/>
        <w:rPr>
          <w:rFonts w:ascii="Book Antiqua" w:hAnsi="Book Antiqua"/>
          <w:sz w:val="24"/>
          <w:szCs w:val="24"/>
        </w:rPr>
      </w:pPr>
    </w:p>
    <w:p w14:paraId="5AB744A6" w14:textId="43D16CA5" w:rsidR="00A12BA4" w:rsidRDefault="00A12BA4" w:rsidP="002879AC">
      <w:pPr>
        <w:spacing w:after="0" w:line="240" w:lineRule="auto"/>
        <w:ind w:left="720"/>
        <w:jc w:val="both"/>
        <w:rPr>
          <w:rFonts w:ascii="Book Antiqua" w:hAnsi="Book Antiqua"/>
          <w:sz w:val="24"/>
          <w:szCs w:val="24"/>
        </w:rPr>
      </w:pPr>
    </w:p>
    <w:p w14:paraId="08B6F5CB" w14:textId="77777777" w:rsidR="00A12BA4" w:rsidRPr="00D949B7" w:rsidRDefault="00A12BA4" w:rsidP="00A12BA4">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6E00113C" w14:textId="77777777" w:rsidR="00A12BA4" w:rsidRPr="00D949B7" w:rsidRDefault="00A12BA4" w:rsidP="00A12BA4">
      <w:pPr>
        <w:jc w:val="both"/>
        <w:rPr>
          <w:rFonts w:ascii="Book Antiqua" w:hAnsi="Book Antiqua" w:cs="Arial"/>
        </w:rPr>
      </w:pPr>
    </w:p>
    <w:p w14:paraId="13A2163F" w14:textId="26301E75" w:rsidR="00A12BA4" w:rsidRPr="00687601" w:rsidRDefault="00A12BA4" w:rsidP="00A12BA4">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Interested Party</w:t>
      </w:r>
      <w:r w:rsidRPr="00D949B7">
        <w:rPr>
          <w:rFonts w:ascii="Book Antiqua" w:hAnsi="Book Antiqua"/>
        </w:rPr>
        <w:t xml:space="preserve"> is granted anonymity.  No report of these proceedings shall directly or indirectly identify him or any member of their family.  This direction applies to the </w:t>
      </w:r>
      <w:r>
        <w:rPr>
          <w:rFonts w:ascii="Book Antiqua" w:hAnsi="Book Antiqua"/>
        </w:rPr>
        <w:t>applicant, t</w:t>
      </w:r>
      <w:r w:rsidRPr="00D949B7">
        <w:rPr>
          <w:rFonts w:ascii="Book Antiqua" w:hAnsi="Book Antiqua"/>
        </w:rPr>
        <w:t xml:space="preserve">o the </w:t>
      </w:r>
      <w:r>
        <w:rPr>
          <w:rFonts w:ascii="Book Antiqua" w:hAnsi="Book Antiqua"/>
        </w:rPr>
        <w:t>r</w:t>
      </w:r>
      <w:r w:rsidRPr="00D949B7">
        <w:rPr>
          <w:rFonts w:ascii="Book Antiqua" w:hAnsi="Book Antiqua"/>
        </w:rPr>
        <w:t>espondent</w:t>
      </w:r>
      <w:r>
        <w:rPr>
          <w:rFonts w:ascii="Book Antiqua" w:hAnsi="Book Antiqua"/>
        </w:rPr>
        <w:t xml:space="preserve"> and to the Interested Party</w:t>
      </w:r>
      <w:r w:rsidRPr="00D949B7">
        <w:rPr>
          <w:rFonts w:ascii="Book Antiqua" w:hAnsi="Book Antiqua"/>
        </w:rPr>
        <w:t>.  Failure to comply with this direction could lead to contempt of court proceedings.</w:t>
      </w:r>
    </w:p>
    <w:p w14:paraId="25EA1E38" w14:textId="12A6C727" w:rsidR="00A12BA4" w:rsidRPr="009B7433" w:rsidRDefault="00A12BA4" w:rsidP="00A12BA4">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52616A">
        <w:rPr>
          <w:rFonts w:ascii="Book Antiqua" w:hAnsi="Book Antiqua" w:cs="Arial"/>
        </w:rPr>
        <w:t xml:space="preserve">: </w:t>
      </w:r>
      <w:r>
        <w:rPr>
          <w:rFonts w:ascii="Book Antiqua" w:hAnsi="Book Antiqua" w:cs="Arial"/>
        </w:rPr>
        <w:t>19 June 2018</w:t>
      </w:r>
    </w:p>
    <w:p w14:paraId="219600E5" w14:textId="77777777" w:rsidR="00A12BA4" w:rsidRPr="009B7433" w:rsidRDefault="00A12BA4" w:rsidP="00A12BA4">
      <w:pPr>
        <w:tabs>
          <w:tab w:val="left" w:pos="2520"/>
        </w:tabs>
        <w:ind w:left="540" w:hanging="540"/>
        <w:jc w:val="both"/>
        <w:rPr>
          <w:rFonts w:ascii="Book Antiqua" w:hAnsi="Book Antiqua" w:cs="Arial"/>
        </w:rPr>
      </w:pPr>
      <w:r>
        <w:rPr>
          <w:rFonts w:ascii="Book Antiqua" w:hAnsi="Book Antiqua"/>
          <w:noProof/>
          <w:color w:val="000000"/>
        </w:rPr>
        <w:drawing>
          <wp:inline distT="0" distB="0" distL="0" distR="0" wp14:anchorId="47EA8346" wp14:editId="0ABADF96">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12AD0DA9" w14:textId="77777777" w:rsidR="00A12BA4" w:rsidRPr="009B7433" w:rsidRDefault="00A12BA4" w:rsidP="00A12BA4">
      <w:pPr>
        <w:tabs>
          <w:tab w:val="left" w:pos="2520"/>
        </w:tabs>
        <w:ind w:left="540" w:hanging="540"/>
        <w:jc w:val="both"/>
        <w:rPr>
          <w:rFonts w:ascii="Book Antiqua" w:hAnsi="Book Antiqua" w:cs="Arial"/>
        </w:rPr>
      </w:pPr>
    </w:p>
    <w:p w14:paraId="118CF33B" w14:textId="74DCDD2B" w:rsidR="00167E81" w:rsidRDefault="00A12BA4" w:rsidP="008D289F">
      <w:pPr>
        <w:tabs>
          <w:tab w:val="left" w:pos="2520"/>
        </w:tabs>
        <w:ind w:left="540" w:hanging="540"/>
        <w:jc w:val="both"/>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sectPr w:rsidR="00167E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77BB5" w14:textId="77777777" w:rsidR="00194A0A" w:rsidRDefault="00194A0A" w:rsidP="004F3294">
      <w:pPr>
        <w:spacing w:after="0" w:line="240" w:lineRule="auto"/>
      </w:pPr>
      <w:r>
        <w:separator/>
      </w:r>
    </w:p>
  </w:endnote>
  <w:endnote w:type="continuationSeparator" w:id="0">
    <w:p w14:paraId="291BCA55" w14:textId="77777777" w:rsidR="00194A0A" w:rsidRDefault="00194A0A" w:rsidP="004F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7F925" w14:textId="77777777" w:rsidR="00194A0A" w:rsidRDefault="00194A0A" w:rsidP="004F3294">
      <w:pPr>
        <w:spacing w:after="0" w:line="240" w:lineRule="auto"/>
      </w:pPr>
      <w:r>
        <w:separator/>
      </w:r>
    </w:p>
  </w:footnote>
  <w:footnote w:type="continuationSeparator" w:id="0">
    <w:p w14:paraId="6A648E8C" w14:textId="77777777" w:rsidR="00194A0A" w:rsidRDefault="00194A0A" w:rsidP="004F3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085"/>
    <w:multiLevelType w:val="hybridMultilevel"/>
    <w:tmpl w:val="5F8C1554"/>
    <w:lvl w:ilvl="0" w:tplc="B720B69C">
      <w:start w:val="1"/>
      <w:numFmt w:val="lowerRoman"/>
      <w:lvlText w:val="(%1)"/>
      <w:lvlJc w:val="left"/>
      <w:pPr>
        <w:ind w:left="1080" w:hanging="720"/>
      </w:pPr>
      <w:rPr>
        <w:rFonts w:ascii="Book Antiqua" w:eastAsiaTheme="minorHAnsi" w:hAnsi="Book Antiqua"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41A66"/>
    <w:multiLevelType w:val="hybridMultilevel"/>
    <w:tmpl w:val="F95AB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12C50"/>
    <w:multiLevelType w:val="hybridMultilevel"/>
    <w:tmpl w:val="5F8C1554"/>
    <w:lvl w:ilvl="0" w:tplc="B720B69C">
      <w:start w:val="1"/>
      <w:numFmt w:val="lowerRoman"/>
      <w:lvlText w:val="(%1)"/>
      <w:lvlJc w:val="left"/>
      <w:pPr>
        <w:ind w:left="1080" w:hanging="720"/>
      </w:pPr>
      <w:rPr>
        <w:rFonts w:ascii="Book Antiqua" w:eastAsiaTheme="minorHAnsi" w:hAnsi="Book Antiqua"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212694"/>
    <w:multiLevelType w:val="hybridMultilevel"/>
    <w:tmpl w:val="A4B679F8"/>
    <w:lvl w:ilvl="0" w:tplc="504A79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72BBA"/>
    <w:multiLevelType w:val="hybridMultilevel"/>
    <w:tmpl w:val="A8C8A1AE"/>
    <w:lvl w:ilvl="0" w:tplc="C676427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C744D"/>
    <w:multiLevelType w:val="hybridMultilevel"/>
    <w:tmpl w:val="A75E6826"/>
    <w:lvl w:ilvl="0" w:tplc="80EA20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0255E2"/>
    <w:multiLevelType w:val="hybridMultilevel"/>
    <w:tmpl w:val="6262AC46"/>
    <w:lvl w:ilvl="0" w:tplc="E1E46620">
      <w:start w:val="1"/>
      <w:numFmt w:val="decimal"/>
      <w:lvlText w:val="(%1)"/>
      <w:lvlJc w:val="left"/>
      <w:pPr>
        <w:ind w:left="720" w:hanging="360"/>
      </w:pPr>
      <w:rPr>
        <w:rFonts w:ascii="Book Antiqua" w:hAnsi="Book Antiqua"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D246A2"/>
    <w:multiLevelType w:val="multilevel"/>
    <w:tmpl w:val="D3B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6E"/>
    <w:rsid w:val="00004716"/>
    <w:rsid w:val="00022D15"/>
    <w:rsid w:val="00025454"/>
    <w:rsid w:val="000346FC"/>
    <w:rsid w:val="00035A09"/>
    <w:rsid w:val="00035DC8"/>
    <w:rsid w:val="0004266C"/>
    <w:rsid w:val="00042ACC"/>
    <w:rsid w:val="0004311A"/>
    <w:rsid w:val="00047602"/>
    <w:rsid w:val="000620D4"/>
    <w:rsid w:val="000638C8"/>
    <w:rsid w:val="0006779A"/>
    <w:rsid w:val="00071998"/>
    <w:rsid w:val="00071BEB"/>
    <w:rsid w:val="00085202"/>
    <w:rsid w:val="000858AD"/>
    <w:rsid w:val="0009079A"/>
    <w:rsid w:val="00094D4C"/>
    <w:rsid w:val="000A2C99"/>
    <w:rsid w:val="000A2E28"/>
    <w:rsid w:val="000A3E82"/>
    <w:rsid w:val="000A7EFC"/>
    <w:rsid w:val="000B69D6"/>
    <w:rsid w:val="000B7DC8"/>
    <w:rsid w:val="000C1373"/>
    <w:rsid w:val="000C29E4"/>
    <w:rsid w:val="000C42A5"/>
    <w:rsid w:val="000D1574"/>
    <w:rsid w:val="000E1ECC"/>
    <w:rsid w:val="000E220A"/>
    <w:rsid w:val="000E70D1"/>
    <w:rsid w:val="000F04A4"/>
    <w:rsid w:val="000F1FFD"/>
    <w:rsid w:val="001040AB"/>
    <w:rsid w:val="001068A3"/>
    <w:rsid w:val="0010792D"/>
    <w:rsid w:val="00117A3A"/>
    <w:rsid w:val="00122CBC"/>
    <w:rsid w:val="00130021"/>
    <w:rsid w:val="00142FD8"/>
    <w:rsid w:val="00143602"/>
    <w:rsid w:val="00147FEE"/>
    <w:rsid w:val="00152B69"/>
    <w:rsid w:val="00157B84"/>
    <w:rsid w:val="00166F38"/>
    <w:rsid w:val="00167E81"/>
    <w:rsid w:val="00173C77"/>
    <w:rsid w:val="00187793"/>
    <w:rsid w:val="001908A7"/>
    <w:rsid w:val="00191562"/>
    <w:rsid w:val="00194A0A"/>
    <w:rsid w:val="00196722"/>
    <w:rsid w:val="001A2AF9"/>
    <w:rsid w:val="001A5542"/>
    <w:rsid w:val="001A7157"/>
    <w:rsid w:val="001B3FA3"/>
    <w:rsid w:val="001C4957"/>
    <w:rsid w:val="001C7539"/>
    <w:rsid w:val="001D0358"/>
    <w:rsid w:val="001E1480"/>
    <w:rsid w:val="001E4255"/>
    <w:rsid w:val="001F1B65"/>
    <w:rsid w:val="001F6661"/>
    <w:rsid w:val="001F7B7A"/>
    <w:rsid w:val="00207690"/>
    <w:rsid w:val="002112D1"/>
    <w:rsid w:val="00214902"/>
    <w:rsid w:val="00222CF5"/>
    <w:rsid w:val="002261DF"/>
    <w:rsid w:val="002341D0"/>
    <w:rsid w:val="00236929"/>
    <w:rsid w:val="00242F8B"/>
    <w:rsid w:val="002431FC"/>
    <w:rsid w:val="00243632"/>
    <w:rsid w:val="00250D16"/>
    <w:rsid w:val="00261125"/>
    <w:rsid w:val="002663A1"/>
    <w:rsid w:val="0027710F"/>
    <w:rsid w:val="002838D1"/>
    <w:rsid w:val="00283C29"/>
    <w:rsid w:val="002853D9"/>
    <w:rsid w:val="00285523"/>
    <w:rsid w:val="002879AC"/>
    <w:rsid w:val="00290ADC"/>
    <w:rsid w:val="00291D01"/>
    <w:rsid w:val="00292049"/>
    <w:rsid w:val="002A14EA"/>
    <w:rsid w:val="002A231C"/>
    <w:rsid w:val="002C5800"/>
    <w:rsid w:val="002C6707"/>
    <w:rsid w:val="002E453B"/>
    <w:rsid w:val="002F722D"/>
    <w:rsid w:val="002F7CA1"/>
    <w:rsid w:val="00303E2F"/>
    <w:rsid w:val="003141C4"/>
    <w:rsid w:val="00315DDD"/>
    <w:rsid w:val="00316EE1"/>
    <w:rsid w:val="00326599"/>
    <w:rsid w:val="00326FBC"/>
    <w:rsid w:val="00334AFA"/>
    <w:rsid w:val="00343139"/>
    <w:rsid w:val="00343396"/>
    <w:rsid w:val="003444FE"/>
    <w:rsid w:val="00356030"/>
    <w:rsid w:val="00365C67"/>
    <w:rsid w:val="003708FF"/>
    <w:rsid w:val="0037716F"/>
    <w:rsid w:val="00383577"/>
    <w:rsid w:val="0038517D"/>
    <w:rsid w:val="003919AB"/>
    <w:rsid w:val="003972BA"/>
    <w:rsid w:val="003A0B95"/>
    <w:rsid w:val="003A4621"/>
    <w:rsid w:val="003A7AE8"/>
    <w:rsid w:val="003C0766"/>
    <w:rsid w:val="003F0A99"/>
    <w:rsid w:val="00405B36"/>
    <w:rsid w:val="004068A1"/>
    <w:rsid w:val="00417AA3"/>
    <w:rsid w:val="00425832"/>
    <w:rsid w:val="00435D18"/>
    <w:rsid w:val="00441891"/>
    <w:rsid w:val="00441FFF"/>
    <w:rsid w:val="0044242C"/>
    <w:rsid w:val="00444EBC"/>
    <w:rsid w:val="004535A5"/>
    <w:rsid w:val="00455718"/>
    <w:rsid w:val="00457959"/>
    <w:rsid w:val="0046097F"/>
    <w:rsid w:val="004625BA"/>
    <w:rsid w:val="00463ABD"/>
    <w:rsid w:val="004770A8"/>
    <w:rsid w:val="00482BB3"/>
    <w:rsid w:val="00492F9B"/>
    <w:rsid w:val="00493447"/>
    <w:rsid w:val="00494A84"/>
    <w:rsid w:val="004A2B86"/>
    <w:rsid w:val="004C1112"/>
    <w:rsid w:val="004C3DCF"/>
    <w:rsid w:val="004D2B1F"/>
    <w:rsid w:val="004D2E64"/>
    <w:rsid w:val="004D3ACB"/>
    <w:rsid w:val="004D6358"/>
    <w:rsid w:val="004F2197"/>
    <w:rsid w:val="004F3294"/>
    <w:rsid w:val="0050252B"/>
    <w:rsid w:val="0050606E"/>
    <w:rsid w:val="0050644C"/>
    <w:rsid w:val="00510712"/>
    <w:rsid w:val="0052616A"/>
    <w:rsid w:val="00527B77"/>
    <w:rsid w:val="0053250A"/>
    <w:rsid w:val="0053392E"/>
    <w:rsid w:val="00540F42"/>
    <w:rsid w:val="00542501"/>
    <w:rsid w:val="00575884"/>
    <w:rsid w:val="005935FA"/>
    <w:rsid w:val="0059538A"/>
    <w:rsid w:val="005A258D"/>
    <w:rsid w:val="005B12FB"/>
    <w:rsid w:val="005B74DC"/>
    <w:rsid w:val="005C2B88"/>
    <w:rsid w:val="005C2F2D"/>
    <w:rsid w:val="005E32DF"/>
    <w:rsid w:val="005E4A19"/>
    <w:rsid w:val="005F45C4"/>
    <w:rsid w:val="005F5B33"/>
    <w:rsid w:val="005F7146"/>
    <w:rsid w:val="00600431"/>
    <w:rsid w:val="006056EC"/>
    <w:rsid w:val="00612B24"/>
    <w:rsid w:val="00613518"/>
    <w:rsid w:val="006141B1"/>
    <w:rsid w:val="00624638"/>
    <w:rsid w:val="00624642"/>
    <w:rsid w:val="00624F42"/>
    <w:rsid w:val="00640981"/>
    <w:rsid w:val="00642F6B"/>
    <w:rsid w:val="00650452"/>
    <w:rsid w:val="00651F11"/>
    <w:rsid w:val="006551A1"/>
    <w:rsid w:val="0065562D"/>
    <w:rsid w:val="006556E9"/>
    <w:rsid w:val="00661E2E"/>
    <w:rsid w:val="00667B27"/>
    <w:rsid w:val="00673252"/>
    <w:rsid w:val="006744D0"/>
    <w:rsid w:val="00677E93"/>
    <w:rsid w:val="006847E3"/>
    <w:rsid w:val="0068497B"/>
    <w:rsid w:val="00690E7D"/>
    <w:rsid w:val="0069403E"/>
    <w:rsid w:val="006B38C1"/>
    <w:rsid w:val="006B661D"/>
    <w:rsid w:val="006C2D56"/>
    <w:rsid w:val="006C439F"/>
    <w:rsid w:val="006E1719"/>
    <w:rsid w:val="006E2A5D"/>
    <w:rsid w:val="006E4583"/>
    <w:rsid w:val="006F61F8"/>
    <w:rsid w:val="006F7FD8"/>
    <w:rsid w:val="00701CA8"/>
    <w:rsid w:val="00706584"/>
    <w:rsid w:val="00710069"/>
    <w:rsid w:val="00710707"/>
    <w:rsid w:val="00721E24"/>
    <w:rsid w:val="0072245F"/>
    <w:rsid w:val="00726CED"/>
    <w:rsid w:val="00731DBD"/>
    <w:rsid w:val="0073310B"/>
    <w:rsid w:val="00737530"/>
    <w:rsid w:val="00741D09"/>
    <w:rsid w:val="00745EC2"/>
    <w:rsid w:val="00751053"/>
    <w:rsid w:val="00761563"/>
    <w:rsid w:val="00766AF0"/>
    <w:rsid w:val="0077061C"/>
    <w:rsid w:val="00772A69"/>
    <w:rsid w:val="0077402D"/>
    <w:rsid w:val="00782012"/>
    <w:rsid w:val="00785643"/>
    <w:rsid w:val="00785C61"/>
    <w:rsid w:val="0079264B"/>
    <w:rsid w:val="0079435C"/>
    <w:rsid w:val="0079447F"/>
    <w:rsid w:val="007A4D79"/>
    <w:rsid w:val="007B305C"/>
    <w:rsid w:val="007C0846"/>
    <w:rsid w:val="007C31EE"/>
    <w:rsid w:val="007D45A7"/>
    <w:rsid w:val="007D6198"/>
    <w:rsid w:val="007D79DE"/>
    <w:rsid w:val="007E141D"/>
    <w:rsid w:val="007F4504"/>
    <w:rsid w:val="007F6063"/>
    <w:rsid w:val="00806448"/>
    <w:rsid w:val="00811106"/>
    <w:rsid w:val="00811E67"/>
    <w:rsid w:val="00814459"/>
    <w:rsid w:val="00816A97"/>
    <w:rsid w:val="00820FF0"/>
    <w:rsid w:val="00832EE2"/>
    <w:rsid w:val="008372A3"/>
    <w:rsid w:val="00850E29"/>
    <w:rsid w:val="00850F2C"/>
    <w:rsid w:val="008527EF"/>
    <w:rsid w:val="0085363E"/>
    <w:rsid w:val="00853984"/>
    <w:rsid w:val="00863D57"/>
    <w:rsid w:val="008652C6"/>
    <w:rsid w:val="00877F01"/>
    <w:rsid w:val="00882F7C"/>
    <w:rsid w:val="00885282"/>
    <w:rsid w:val="008A06A0"/>
    <w:rsid w:val="008A7BF2"/>
    <w:rsid w:val="008B3B93"/>
    <w:rsid w:val="008B6ED1"/>
    <w:rsid w:val="008C4EFE"/>
    <w:rsid w:val="008D289F"/>
    <w:rsid w:val="008D43D2"/>
    <w:rsid w:val="008D50AF"/>
    <w:rsid w:val="008D6534"/>
    <w:rsid w:val="008D7A3D"/>
    <w:rsid w:val="008E22BD"/>
    <w:rsid w:val="008F2E55"/>
    <w:rsid w:val="008F480E"/>
    <w:rsid w:val="008F7FEB"/>
    <w:rsid w:val="00911539"/>
    <w:rsid w:val="009139CC"/>
    <w:rsid w:val="009151D9"/>
    <w:rsid w:val="00917C8E"/>
    <w:rsid w:val="00930822"/>
    <w:rsid w:val="00932B94"/>
    <w:rsid w:val="00943FD5"/>
    <w:rsid w:val="009456DA"/>
    <w:rsid w:val="00947FE0"/>
    <w:rsid w:val="009536DF"/>
    <w:rsid w:val="00957640"/>
    <w:rsid w:val="00977A0D"/>
    <w:rsid w:val="00980425"/>
    <w:rsid w:val="00990150"/>
    <w:rsid w:val="00996785"/>
    <w:rsid w:val="009A123F"/>
    <w:rsid w:val="009A5992"/>
    <w:rsid w:val="009B37F3"/>
    <w:rsid w:val="009C059E"/>
    <w:rsid w:val="009C1A24"/>
    <w:rsid w:val="009C1BDC"/>
    <w:rsid w:val="009C696E"/>
    <w:rsid w:val="009D6080"/>
    <w:rsid w:val="009E4321"/>
    <w:rsid w:val="009F3654"/>
    <w:rsid w:val="00A010FB"/>
    <w:rsid w:val="00A12382"/>
    <w:rsid w:val="00A12BA4"/>
    <w:rsid w:val="00A164F4"/>
    <w:rsid w:val="00A207E6"/>
    <w:rsid w:val="00A21107"/>
    <w:rsid w:val="00A23FCE"/>
    <w:rsid w:val="00A248D1"/>
    <w:rsid w:val="00A2599F"/>
    <w:rsid w:val="00A303E4"/>
    <w:rsid w:val="00A30596"/>
    <w:rsid w:val="00A36490"/>
    <w:rsid w:val="00A4122A"/>
    <w:rsid w:val="00A50E5F"/>
    <w:rsid w:val="00A521DD"/>
    <w:rsid w:val="00A56D1B"/>
    <w:rsid w:val="00A67C87"/>
    <w:rsid w:val="00A7075B"/>
    <w:rsid w:val="00A814F9"/>
    <w:rsid w:val="00A95390"/>
    <w:rsid w:val="00AA12F2"/>
    <w:rsid w:val="00AA297D"/>
    <w:rsid w:val="00AA51B1"/>
    <w:rsid w:val="00AA7838"/>
    <w:rsid w:val="00AB2857"/>
    <w:rsid w:val="00AB3A33"/>
    <w:rsid w:val="00AB49A3"/>
    <w:rsid w:val="00AC4091"/>
    <w:rsid w:val="00AC5142"/>
    <w:rsid w:val="00AD008F"/>
    <w:rsid w:val="00AE27F2"/>
    <w:rsid w:val="00AF4C27"/>
    <w:rsid w:val="00AF658F"/>
    <w:rsid w:val="00AF749F"/>
    <w:rsid w:val="00B21856"/>
    <w:rsid w:val="00B2309F"/>
    <w:rsid w:val="00B27912"/>
    <w:rsid w:val="00B5016B"/>
    <w:rsid w:val="00B51F1C"/>
    <w:rsid w:val="00B67E03"/>
    <w:rsid w:val="00B82AFE"/>
    <w:rsid w:val="00B83F1D"/>
    <w:rsid w:val="00B9344A"/>
    <w:rsid w:val="00B9377E"/>
    <w:rsid w:val="00B96412"/>
    <w:rsid w:val="00B96E6D"/>
    <w:rsid w:val="00B970B0"/>
    <w:rsid w:val="00BA13DD"/>
    <w:rsid w:val="00BB4AD9"/>
    <w:rsid w:val="00BC0D2A"/>
    <w:rsid w:val="00BF21CA"/>
    <w:rsid w:val="00BF263B"/>
    <w:rsid w:val="00BF5C93"/>
    <w:rsid w:val="00C0363A"/>
    <w:rsid w:val="00C1053E"/>
    <w:rsid w:val="00C119F5"/>
    <w:rsid w:val="00C257CC"/>
    <w:rsid w:val="00C3457B"/>
    <w:rsid w:val="00C354C3"/>
    <w:rsid w:val="00C47E00"/>
    <w:rsid w:val="00C559A6"/>
    <w:rsid w:val="00C606FC"/>
    <w:rsid w:val="00C73675"/>
    <w:rsid w:val="00C81837"/>
    <w:rsid w:val="00C82D80"/>
    <w:rsid w:val="00C83104"/>
    <w:rsid w:val="00C947ED"/>
    <w:rsid w:val="00CA4E3D"/>
    <w:rsid w:val="00CB1260"/>
    <w:rsid w:val="00CB698A"/>
    <w:rsid w:val="00CB6FE4"/>
    <w:rsid w:val="00CC15AD"/>
    <w:rsid w:val="00CC2483"/>
    <w:rsid w:val="00CC457B"/>
    <w:rsid w:val="00CC45B7"/>
    <w:rsid w:val="00CC576F"/>
    <w:rsid w:val="00CD1A5C"/>
    <w:rsid w:val="00CE3FFD"/>
    <w:rsid w:val="00CF5311"/>
    <w:rsid w:val="00D052E5"/>
    <w:rsid w:val="00D1246E"/>
    <w:rsid w:val="00D1598C"/>
    <w:rsid w:val="00D33996"/>
    <w:rsid w:val="00D457A7"/>
    <w:rsid w:val="00D55A57"/>
    <w:rsid w:val="00D567F6"/>
    <w:rsid w:val="00D67FC4"/>
    <w:rsid w:val="00D7040F"/>
    <w:rsid w:val="00D77A90"/>
    <w:rsid w:val="00D95D1E"/>
    <w:rsid w:val="00DB3C36"/>
    <w:rsid w:val="00DC24B4"/>
    <w:rsid w:val="00DC6091"/>
    <w:rsid w:val="00DD66EC"/>
    <w:rsid w:val="00DF4F44"/>
    <w:rsid w:val="00DF71A4"/>
    <w:rsid w:val="00E0524C"/>
    <w:rsid w:val="00E21FD5"/>
    <w:rsid w:val="00E30D3B"/>
    <w:rsid w:val="00E33BA7"/>
    <w:rsid w:val="00E356D7"/>
    <w:rsid w:val="00E378F1"/>
    <w:rsid w:val="00E436F0"/>
    <w:rsid w:val="00E56BB9"/>
    <w:rsid w:val="00E674F6"/>
    <w:rsid w:val="00E704FC"/>
    <w:rsid w:val="00E73DDF"/>
    <w:rsid w:val="00E81916"/>
    <w:rsid w:val="00E8237D"/>
    <w:rsid w:val="00E85B91"/>
    <w:rsid w:val="00E965CC"/>
    <w:rsid w:val="00EA13DD"/>
    <w:rsid w:val="00EA1415"/>
    <w:rsid w:val="00EA2314"/>
    <w:rsid w:val="00EA41C0"/>
    <w:rsid w:val="00EC6573"/>
    <w:rsid w:val="00EC6DCD"/>
    <w:rsid w:val="00EC71A8"/>
    <w:rsid w:val="00ED1D08"/>
    <w:rsid w:val="00EE21AF"/>
    <w:rsid w:val="00EF0FF3"/>
    <w:rsid w:val="00F11FF4"/>
    <w:rsid w:val="00F14C19"/>
    <w:rsid w:val="00F1687C"/>
    <w:rsid w:val="00F16AA4"/>
    <w:rsid w:val="00F22919"/>
    <w:rsid w:val="00F27537"/>
    <w:rsid w:val="00F30B43"/>
    <w:rsid w:val="00F31952"/>
    <w:rsid w:val="00F35629"/>
    <w:rsid w:val="00F379C3"/>
    <w:rsid w:val="00F42346"/>
    <w:rsid w:val="00F43557"/>
    <w:rsid w:val="00F45555"/>
    <w:rsid w:val="00F51C4A"/>
    <w:rsid w:val="00F52022"/>
    <w:rsid w:val="00F52BEA"/>
    <w:rsid w:val="00F57B14"/>
    <w:rsid w:val="00F60680"/>
    <w:rsid w:val="00F62639"/>
    <w:rsid w:val="00F64F3E"/>
    <w:rsid w:val="00F8122F"/>
    <w:rsid w:val="00F85F45"/>
    <w:rsid w:val="00F910D6"/>
    <w:rsid w:val="00F92A2A"/>
    <w:rsid w:val="00F92E61"/>
    <w:rsid w:val="00FB394E"/>
    <w:rsid w:val="00FB455F"/>
    <w:rsid w:val="00FC0B22"/>
    <w:rsid w:val="00FC2241"/>
    <w:rsid w:val="00FD1570"/>
    <w:rsid w:val="00FD691C"/>
    <w:rsid w:val="00FD6C53"/>
    <w:rsid w:val="00FF44A7"/>
  </w:rsids>
  <m:mathPr>
    <m:mathFont m:val="Cambria Math"/>
    <m:brkBin m:val="before"/>
    <m:brkBinSub m:val="--"/>
    <m:smallFrac m:val="0"/>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1B95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47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82BB3"/>
    <w:pPr>
      <w:spacing w:before="100" w:beforeAutospacing="1" w:after="100" w:afterAutospacing="1" w:line="240" w:lineRule="auto"/>
      <w:outlineLvl w:val="1"/>
    </w:pPr>
    <w:rPr>
      <w:rFonts w:ascii="Times New Roman" w:eastAsia="Times New Roman" w:hAnsi="Times New Roman" w:cs="Times New Roman"/>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294"/>
  </w:style>
  <w:style w:type="paragraph" w:styleId="Footer">
    <w:name w:val="footer"/>
    <w:basedOn w:val="Normal"/>
    <w:link w:val="FooterChar"/>
    <w:uiPriority w:val="99"/>
    <w:unhideWhenUsed/>
    <w:rsid w:val="004F3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294"/>
  </w:style>
  <w:style w:type="character" w:customStyle="1" w:styleId="Heading2Char">
    <w:name w:val="Heading 2 Char"/>
    <w:basedOn w:val="DefaultParagraphFont"/>
    <w:link w:val="Heading2"/>
    <w:uiPriority w:val="9"/>
    <w:rsid w:val="00482BB3"/>
    <w:rPr>
      <w:rFonts w:ascii="Times New Roman" w:eastAsia="Times New Roman" w:hAnsi="Times New Roman" w:cs="Times New Roman"/>
      <w:b/>
      <w:bCs/>
      <w:sz w:val="36"/>
      <w:szCs w:val="36"/>
      <w:lang w:eastAsia="en-GB" w:bidi="ar-SA"/>
    </w:rPr>
  </w:style>
  <w:style w:type="paragraph" w:styleId="NormalWeb">
    <w:name w:val="Normal (Web)"/>
    <w:basedOn w:val="Normal"/>
    <w:uiPriority w:val="99"/>
    <w:semiHidden/>
    <w:unhideWhenUsed/>
    <w:rsid w:val="00482BB3"/>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Heading1Char">
    <w:name w:val="Heading 1 Char"/>
    <w:basedOn w:val="DefaultParagraphFont"/>
    <w:link w:val="Heading1"/>
    <w:uiPriority w:val="9"/>
    <w:rsid w:val="0079447F"/>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79447F"/>
    <w:rPr>
      <w:color w:val="0000FF"/>
      <w:u w:val="single"/>
    </w:rPr>
  </w:style>
  <w:style w:type="paragraph" w:styleId="ListParagraph">
    <w:name w:val="List Paragraph"/>
    <w:basedOn w:val="Normal"/>
    <w:uiPriority w:val="34"/>
    <w:qFormat/>
    <w:rsid w:val="00B27912"/>
    <w:pPr>
      <w:ind w:left="720"/>
      <w:contextualSpacing/>
    </w:pPr>
  </w:style>
  <w:style w:type="character" w:customStyle="1" w:styleId="starpage">
    <w:name w:val="starpage"/>
    <w:basedOn w:val="DefaultParagraphFont"/>
    <w:rsid w:val="00C82D80"/>
  </w:style>
  <w:style w:type="paragraph" w:customStyle="1" w:styleId="indent1">
    <w:name w:val="indent1"/>
    <w:basedOn w:val="Normal"/>
    <w:rsid w:val="0027710F"/>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Emphasis">
    <w:name w:val="Emphasis"/>
    <w:basedOn w:val="DefaultParagraphFont"/>
    <w:uiPriority w:val="20"/>
    <w:qFormat/>
    <w:rsid w:val="00832EE2"/>
    <w:rPr>
      <w:i/>
      <w:iCs/>
    </w:rPr>
  </w:style>
  <w:style w:type="character" w:styleId="CommentReference">
    <w:name w:val="annotation reference"/>
    <w:basedOn w:val="DefaultParagraphFont"/>
    <w:uiPriority w:val="99"/>
    <w:semiHidden/>
    <w:unhideWhenUsed/>
    <w:rsid w:val="00F42346"/>
    <w:rPr>
      <w:sz w:val="16"/>
      <w:szCs w:val="16"/>
    </w:rPr>
  </w:style>
  <w:style w:type="paragraph" w:styleId="CommentText">
    <w:name w:val="annotation text"/>
    <w:basedOn w:val="Normal"/>
    <w:link w:val="CommentTextChar"/>
    <w:uiPriority w:val="99"/>
    <w:semiHidden/>
    <w:unhideWhenUsed/>
    <w:rsid w:val="00F42346"/>
    <w:pPr>
      <w:spacing w:line="240" w:lineRule="auto"/>
    </w:pPr>
    <w:rPr>
      <w:sz w:val="20"/>
      <w:szCs w:val="18"/>
    </w:rPr>
  </w:style>
  <w:style w:type="character" w:customStyle="1" w:styleId="CommentTextChar">
    <w:name w:val="Comment Text Char"/>
    <w:basedOn w:val="DefaultParagraphFont"/>
    <w:link w:val="CommentText"/>
    <w:uiPriority w:val="99"/>
    <w:semiHidden/>
    <w:rsid w:val="00F42346"/>
    <w:rPr>
      <w:sz w:val="20"/>
      <w:szCs w:val="18"/>
    </w:rPr>
  </w:style>
  <w:style w:type="paragraph" w:styleId="CommentSubject">
    <w:name w:val="annotation subject"/>
    <w:basedOn w:val="CommentText"/>
    <w:next w:val="CommentText"/>
    <w:link w:val="CommentSubjectChar"/>
    <w:uiPriority w:val="99"/>
    <w:semiHidden/>
    <w:unhideWhenUsed/>
    <w:rsid w:val="00F42346"/>
    <w:rPr>
      <w:b/>
      <w:bCs/>
    </w:rPr>
  </w:style>
  <w:style w:type="character" w:customStyle="1" w:styleId="CommentSubjectChar">
    <w:name w:val="Comment Subject Char"/>
    <w:basedOn w:val="CommentTextChar"/>
    <w:link w:val="CommentSubject"/>
    <w:uiPriority w:val="99"/>
    <w:semiHidden/>
    <w:rsid w:val="00F42346"/>
    <w:rPr>
      <w:b/>
      <w:bCs/>
      <w:sz w:val="20"/>
      <w:szCs w:val="18"/>
    </w:rPr>
  </w:style>
  <w:style w:type="paragraph" w:styleId="BalloonText">
    <w:name w:val="Balloon Text"/>
    <w:basedOn w:val="Normal"/>
    <w:link w:val="BalloonTextChar"/>
    <w:uiPriority w:val="99"/>
    <w:semiHidden/>
    <w:unhideWhenUsed/>
    <w:rsid w:val="00F4234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42346"/>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2248">
      <w:bodyDiv w:val="1"/>
      <w:marLeft w:val="0"/>
      <w:marRight w:val="0"/>
      <w:marTop w:val="0"/>
      <w:marBottom w:val="0"/>
      <w:divBdr>
        <w:top w:val="none" w:sz="0" w:space="0" w:color="auto"/>
        <w:left w:val="none" w:sz="0" w:space="0" w:color="auto"/>
        <w:bottom w:val="none" w:sz="0" w:space="0" w:color="auto"/>
        <w:right w:val="none" w:sz="0" w:space="0" w:color="auto"/>
      </w:divBdr>
    </w:div>
    <w:div w:id="46149551">
      <w:bodyDiv w:val="1"/>
      <w:marLeft w:val="0"/>
      <w:marRight w:val="0"/>
      <w:marTop w:val="0"/>
      <w:marBottom w:val="0"/>
      <w:divBdr>
        <w:top w:val="none" w:sz="0" w:space="0" w:color="auto"/>
        <w:left w:val="none" w:sz="0" w:space="0" w:color="auto"/>
        <w:bottom w:val="none" w:sz="0" w:space="0" w:color="auto"/>
        <w:right w:val="none" w:sz="0" w:space="0" w:color="auto"/>
      </w:divBdr>
    </w:div>
    <w:div w:id="133259126">
      <w:bodyDiv w:val="1"/>
      <w:marLeft w:val="0"/>
      <w:marRight w:val="0"/>
      <w:marTop w:val="0"/>
      <w:marBottom w:val="0"/>
      <w:divBdr>
        <w:top w:val="none" w:sz="0" w:space="0" w:color="auto"/>
        <w:left w:val="none" w:sz="0" w:space="0" w:color="auto"/>
        <w:bottom w:val="none" w:sz="0" w:space="0" w:color="auto"/>
        <w:right w:val="none" w:sz="0" w:space="0" w:color="auto"/>
      </w:divBdr>
      <w:divsChild>
        <w:div w:id="58708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07893">
      <w:bodyDiv w:val="1"/>
      <w:marLeft w:val="0"/>
      <w:marRight w:val="0"/>
      <w:marTop w:val="0"/>
      <w:marBottom w:val="0"/>
      <w:divBdr>
        <w:top w:val="none" w:sz="0" w:space="0" w:color="auto"/>
        <w:left w:val="none" w:sz="0" w:space="0" w:color="auto"/>
        <w:bottom w:val="none" w:sz="0" w:space="0" w:color="auto"/>
        <w:right w:val="none" w:sz="0" w:space="0" w:color="auto"/>
      </w:divBdr>
    </w:div>
    <w:div w:id="233705948">
      <w:bodyDiv w:val="1"/>
      <w:marLeft w:val="0"/>
      <w:marRight w:val="0"/>
      <w:marTop w:val="0"/>
      <w:marBottom w:val="0"/>
      <w:divBdr>
        <w:top w:val="none" w:sz="0" w:space="0" w:color="auto"/>
        <w:left w:val="none" w:sz="0" w:space="0" w:color="auto"/>
        <w:bottom w:val="none" w:sz="0" w:space="0" w:color="auto"/>
        <w:right w:val="none" w:sz="0" w:space="0" w:color="auto"/>
      </w:divBdr>
      <w:divsChild>
        <w:div w:id="1255555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252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6848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643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9678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827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5261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847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00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5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632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31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25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964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86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4992806">
      <w:bodyDiv w:val="1"/>
      <w:marLeft w:val="0"/>
      <w:marRight w:val="0"/>
      <w:marTop w:val="0"/>
      <w:marBottom w:val="0"/>
      <w:divBdr>
        <w:top w:val="none" w:sz="0" w:space="0" w:color="auto"/>
        <w:left w:val="none" w:sz="0" w:space="0" w:color="auto"/>
        <w:bottom w:val="none" w:sz="0" w:space="0" w:color="auto"/>
        <w:right w:val="none" w:sz="0" w:space="0" w:color="auto"/>
      </w:divBdr>
      <w:divsChild>
        <w:div w:id="882639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8360775">
      <w:bodyDiv w:val="1"/>
      <w:marLeft w:val="0"/>
      <w:marRight w:val="0"/>
      <w:marTop w:val="0"/>
      <w:marBottom w:val="0"/>
      <w:divBdr>
        <w:top w:val="none" w:sz="0" w:space="0" w:color="auto"/>
        <w:left w:val="none" w:sz="0" w:space="0" w:color="auto"/>
        <w:bottom w:val="none" w:sz="0" w:space="0" w:color="auto"/>
        <w:right w:val="none" w:sz="0" w:space="0" w:color="auto"/>
      </w:divBdr>
    </w:div>
    <w:div w:id="887765502">
      <w:bodyDiv w:val="1"/>
      <w:marLeft w:val="0"/>
      <w:marRight w:val="0"/>
      <w:marTop w:val="0"/>
      <w:marBottom w:val="0"/>
      <w:divBdr>
        <w:top w:val="none" w:sz="0" w:space="0" w:color="auto"/>
        <w:left w:val="none" w:sz="0" w:space="0" w:color="auto"/>
        <w:bottom w:val="none" w:sz="0" w:space="0" w:color="auto"/>
        <w:right w:val="none" w:sz="0" w:space="0" w:color="auto"/>
      </w:divBdr>
    </w:div>
    <w:div w:id="911163682">
      <w:bodyDiv w:val="1"/>
      <w:marLeft w:val="0"/>
      <w:marRight w:val="0"/>
      <w:marTop w:val="0"/>
      <w:marBottom w:val="0"/>
      <w:divBdr>
        <w:top w:val="none" w:sz="0" w:space="0" w:color="auto"/>
        <w:left w:val="none" w:sz="0" w:space="0" w:color="auto"/>
        <w:bottom w:val="none" w:sz="0" w:space="0" w:color="auto"/>
        <w:right w:val="none" w:sz="0" w:space="0" w:color="auto"/>
      </w:divBdr>
      <w:divsChild>
        <w:div w:id="95194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650">
      <w:bodyDiv w:val="1"/>
      <w:marLeft w:val="0"/>
      <w:marRight w:val="0"/>
      <w:marTop w:val="0"/>
      <w:marBottom w:val="0"/>
      <w:divBdr>
        <w:top w:val="none" w:sz="0" w:space="0" w:color="auto"/>
        <w:left w:val="none" w:sz="0" w:space="0" w:color="auto"/>
        <w:bottom w:val="none" w:sz="0" w:space="0" w:color="auto"/>
        <w:right w:val="none" w:sz="0" w:space="0" w:color="auto"/>
      </w:divBdr>
    </w:div>
    <w:div w:id="1227450691">
      <w:bodyDiv w:val="1"/>
      <w:marLeft w:val="0"/>
      <w:marRight w:val="0"/>
      <w:marTop w:val="0"/>
      <w:marBottom w:val="0"/>
      <w:divBdr>
        <w:top w:val="none" w:sz="0" w:space="0" w:color="auto"/>
        <w:left w:val="none" w:sz="0" w:space="0" w:color="auto"/>
        <w:bottom w:val="none" w:sz="0" w:space="0" w:color="auto"/>
        <w:right w:val="none" w:sz="0" w:space="0" w:color="auto"/>
      </w:divBdr>
      <w:divsChild>
        <w:div w:id="1087724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886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648243">
      <w:bodyDiv w:val="1"/>
      <w:marLeft w:val="0"/>
      <w:marRight w:val="0"/>
      <w:marTop w:val="0"/>
      <w:marBottom w:val="0"/>
      <w:divBdr>
        <w:top w:val="none" w:sz="0" w:space="0" w:color="auto"/>
        <w:left w:val="none" w:sz="0" w:space="0" w:color="auto"/>
        <w:bottom w:val="none" w:sz="0" w:space="0" w:color="auto"/>
        <w:right w:val="none" w:sz="0" w:space="0" w:color="auto"/>
      </w:divBdr>
      <w:divsChild>
        <w:div w:id="1951038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833401">
      <w:bodyDiv w:val="1"/>
      <w:marLeft w:val="0"/>
      <w:marRight w:val="0"/>
      <w:marTop w:val="0"/>
      <w:marBottom w:val="0"/>
      <w:divBdr>
        <w:top w:val="none" w:sz="0" w:space="0" w:color="auto"/>
        <w:left w:val="none" w:sz="0" w:space="0" w:color="auto"/>
        <w:bottom w:val="none" w:sz="0" w:space="0" w:color="auto"/>
        <w:right w:val="none" w:sz="0" w:space="0" w:color="auto"/>
      </w:divBdr>
      <w:divsChild>
        <w:div w:id="2061589483">
          <w:marLeft w:val="0"/>
          <w:marRight w:val="0"/>
          <w:marTop w:val="0"/>
          <w:marBottom w:val="0"/>
          <w:divBdr>
            <w:top w:val="none" w:sz="0" w:space="0" w:color="auto"/>
            <w:left w:val="none" w:sz="0" w:space="0" w:color="auto"/>
            <w:bottom w:val="none" w:sz="0" w:space="0" w:color="auto"/>
            <w:right w:val="none" w:sz="0" w:space="0" w:color="auto"/>
          </w:divBdr>
        </w:div>
        <w:div w:id="1814132100">
          <w:marLeft w:val="0"/>
          <w:marRight w:val="0"/>
          <w:marTop w:val="0"/>
          <w:marBottom w:val="0"/>
          <w:divBdr>
            <w:top w:val="none" w:sz="0" w:space="0" w:color="auto"/>
            <w:left w:val="none" w:sz="0" w:space="0" w:color="auto"/>
            <w:bottom w:val="none" w:sz="0" w:space="0" w:color="auto"/>
            <w:right w:val="none" w:sz="0" w:space="0" w:color="auto"/>
          </w:divBdr>
        </w:div>
      </w:divsChild>
    </w:div>
    <w:div w:id="1868829089">
      <w:bodyDiv w:val="1"/>
      <w:marLeft w:val="0"/>
      <w:marRight w:val="0"/>
      <w:marTop w:val="0"/>
      <w:marBottom w:val="0"/>
      <w:divBdr>
        <w:top w:val="none" w:sz="0" w:space="0" w:color="auto"/>
        <w:left w:val="none" w:sz="0" w:space="0" w:color="auto"/>
        <w:bottom w:val="none" w:sz="0" w:space="0" w:color="auto"/>
        <w:right w:val="none" w:sz="0" w:space="0" w:color="auto"/>
      </w:divBdr>
    </w:div>
    <w:div w:id="1932733959">
      <w:bodyDiv w:val="1"/>
      <w:marLeft w:val="0"/>
      <w:marRight w:val="0"/>
      <w:marTop w:val="0"/>
      <w:marBottom w:val="0"/>
      <w:divBdr>
        <w:top w:val="none" w:sz="0" w:space="0" w:color="auto"/>
        <w:left w:val="none" w:sz="0" w:space="0" w:color="auto"/>
        <w:bottom w:val="none" w:sz="0" w:space="0" w:color="auto"/>
        <w:right w:val="none" w:sz="0" w:space="0" w:color="auto"/>
      </w:divBdr>
      <w:divsChild>
        <w:div w:id="2036954634">
          <w:marLeft w:val="0"/>
          <w:marRight w:val="0"/>
          <w:marTop w:val="0"/>
          <w:marBottom w:val="0"/>
          <w:divBdr>
            <w:top w:val="none" w:sz="0" w:space="0" w:color="auto"/>
            <w:left w:val="none" w:sz="0" w:space="0" w:color="auto"/>
            <w:bottom w:val="none" w:sz="0" w:space="0" w:color="auto"/>
            <w:right w:val="none" w:sz="0" w:space="0" w:color="auto"/>
          </w:divBdr>
        </w:div>
        <w:div w:id="353196283">
          <w:marLeft w:val="0"/>
          <w:marRight w:val="0"/>
          <w:marTop w:val="0"/>
          <w:marBottom w:val="0"/>
          <w:divBdr>
            <w:top w:val="none" w:sz="0" w:space="0" w:color="auto"/>
            <w:left w:val="none" w:sz="0" w:space="0" w:color="auto"/>
            <w:bottom w:val="none" w:sz="0" w:space="0" w:color="auto"/>
            <w:right w:val="none" w:sz="0" w:space="0" w:color="auto"/>
          </w:divBdr>
        </w:div>
        <w:div w:id="832530619">
          <w:marLeft w:val="0"/>
          <w:marRight w:val="0"/>
          <w:marTop w:val="0"/>
          <w:marBottom w:val="0"/>
          <w:divBdr>
            <w:top w:val="none" w:sz="0" w:space="0" w:color="auto"/>
            <w:left w:val="none" w:sz="0" w:space="0" w:color="auto"/>
            <w:bottom w:val="none" w:sz="0" w:space="0" w:color="auto"/>
            <w:right w:val="none" w:sz="0" w:space="0" w:color="auto"/>
          </w:divBdr>
        </w:div>
        <w:div w:id="2075735324">
          <w:marLeft w:val="0"/>
          <w:marRight w:val="0"/>
          <w:marTop w:val="0"/>
          <w:marBottom w:val="0"/>
          <w:divBdr>
            <w:top w:val="none" w:sz="0" w:space="0" w:color="auto"/>
            <w:left w:val="none" w:sz="0" w:space="0" w:color="auto"/>
            <w:bottom w:val="none" w:sz="0" w:space="0" w:color="auto"/>
            <w:right w:val="none" w:sz="0" w:space="0" w:color="auto"/>
          </w:divBdr>
        </w:div>
        <w:div w:id="332223937">
          <w:marLeft w:val="0"/>
          <w:marRight w:val="0"/>
          <w:marTop w:val="0"/>
          <w:marBottom w:val="0"/>
          <w:divBdr>
            <w:top w:val="none" w:sz="0" w:space="0" w:color="auto"/>
            <w:left w:val="none" w:sz="0" w:space="0" w:color="auto"/>
            <w:bottom w:val="none" w:sz="0" w:space="0" w:color="auto"/>
            <w:right w:val="none" w:sz="0" w:space="0" w:color="auto"/>
          </w:divBdr>
        </w:div>
        <w:div w:id="28991056">
          <w:marLeft w:val="0"/>
          <w:marRight w:val="0"/>
          <w:marTop w:val="0"/>
          <w:marBottom w:val="0"/>
          <w:divBdr>
            <w:top w:val="none" w:sz="0" w:space="0" w:color="auto"/>
            <w:left w:val="none" w:sz="0" w:space="0" w:color="auto"/>
            <w:bottom w:val="none" w:sz="0" w:space="0" w:color="auto"/>
            <w:right w:val="none" w:sz="0" w:space="0" w:color="auto"/>
          </w:divBdr>
        </w:div>
        <w:div w:id="1137605414">
          <w:marLeft w:val="0"/>
          <w:marRight w:val="0"/>
          <w:marTop w:val="0"/>
          <w:marBottom w:val="0"/>
          <w:divBdr>
            <w:top w:val="none" w:sz="0" w:space="0" w:color="auto"/>
            <w:left w:val="none" w:sz="0" w:space="0" w:color="auto"/>
            <w:bottom w:val="none" w:sz="0" w:space="0" w:color="auto"/>
            <w:right w:val="none" w:sz="0" w:space="0" w:color="auto"/>
          </w:divBdr>
        </w:div>
        <w:div w:id="269051722">
          <w:marLeft w:val="0"/>
          <w:marRight w:val="0"/>
          <w:marTop w:val="0"/>
          <w:marBottom w:val="0"/>
          <w:divBdr>
            <w:top w:val="none" w:sz="0" w:space="0" w:color="auto"/>
            <w:left w:val="none" w:sz="0" w:space="0" w:color="auto"/>
            <w:bottom w:val="none" w:sz="0" w:space="0" w:color="auto"/>
            <w:right w:val="none" w:sz="0" w:space="0" w:color="auto"/>
          </w:divBdr>
        </w:div>
        <w:div w:id="435684794">
          <w:marLeft w:val="0"/>
          <w:marRight w:val="0"/>
          <w:marTop w:val="0"/>
          <w:marBottom w:val="0"/>
          <w:divBdr>
            <w:top w:val="none" w:sz="0" w:space="0" w:color="auto"/>
            <w:left w:val="none" w:sz="0" w:space="0" w:color="auto"/>
            <w:bottom w:val="none" w:sz="0" w:space="0" w:color="auto"/>
            <w:right w:val="none" w:sz="0" w:space="0" w:color="auto"/>
          </w:divBdr>
        </w:div>
        <w:div w:id="1144814947">
          <w:marLeft w:val="0"/>
          <w:marRight w:val="0"/>
          <w:marTop w:val="0"/>
          <w:marBottom w:val="0"/>
          <w:divBdr>
            <w:top w:val="none" w:sz="0" w:space="0" w:color="auto"/>
            <w:left w:val="none" w:sz="0" w:space="0" w:color="auto"/>
            <w:bottom w:val="none" w:sz="0" w:space="0" w:color="auto"/>
            <w:right w:val="none" w:sz="0" w:space="0" w:color="auto"/>
          </w:divBdr>
        </w:div>
        <w:div w:id="1613898768">
          <w:marLeft w:val="0"/>
          <w:marRight w:val="0"/>
          <w:marTop w:val="0"/>
          <w:marBottom w:val="0"/>
          <w:divBdr>
            <w:top w:val="none" w:sz="0" w:space="0" w:color="auto"/>
            <w:left w:val="none" w:sz="0" w:space="0" w:color="auto"/>
            <w:bottom w:val="none" w:sz="0" w:space="0" w:color="auto"/>
            <w:right w:val="none" w:sz="0" w:space="0" w:color="auto"/>
          </w:divBdr>
        </w:div>
        <w:div w:id="212356084">
          <w:marLeft w:val="0"/>
          <w:marRight w:val="0"/>
          <w:marTop w:val="0"/>
          <w:marBottom w:val="0"/>
          <w:divBdr>
            <w:top w:val="none" w:sz="0" w:space="0" w:color="auto"/>
            <w:left w:val="none" w:sz="0" w:space="0" w:color="auto"/>
            <w:bottom w:val="none" w:sz="0" w:space="0" w:color="auto"/>
            <w:right w:val="none" w:sz="0" w:space="0" w:color="auto"/>
          </w:divBdr>
        </w:div>
        <w:div w:id="1957366894">
          <w:marLeft w:val="0"/>
          <w:marRight w:val="0"/>
          <w:marTop w:val="0"/>
          <w:marBottom w:val="0"/>
          <w:divBdr>
            <w:top w:val="none" w:sz="0" w:space="0" w:color="auto"/>
            <w:left w:val="none" w:sz="0" w:space="0" w:color="auto"/>
            <w:bottom w:val="none" w:sz="0" w:space="0" w:color="auto"/>
            <w:right w:val="none" w:sz="0" w:space="0" w:color="auto"/>
          </w:divBdr>
        </w:div>
        <w:div w:id="1453093789">
          <w:marLeft w:val="0"/>
          <w:marRight w:val="0"/>
          <w:marTop w:val="0"/>
          <w:marBottom w:val="0"/>
          <w:divBdr>
            <w:top w:val="none" w:sz="0" w:space="0" w:color="auto"/>
            <w:left w:val="none" w:sz="0" w:space="0" w:color="auto"/>
            <w:bottom w:val="none" w:sz="0" w:space="0" w:color="auto"/>
            <w:right w:val="none" w:sz="0" w:space="0" w:color="auto"/>
          </w:divBdr>
        </w:div>
        <w:div w:id="1904751598">
          <w:marLeft w:val="0"/>
          <w:marRight w:val="0"/>
          <w:marTop w:val="0"/>
          <w:marBottom w:val="0"/>
          <w:divBdr>
            <w:top w:val="none" w:sz="0" w:space="0" w:color="auto"/>
            <w:left w:val="none" w:sz="0" w:space="0" w:color="auto"/>
            <w:bottom w:val="none" w:sz="0" w:space="0" w:color="auto"/>
            <w:right w:val="none" w:sz="0" w:space="0" w:color="auto"/>
          </w:divBdr>
        </w:div>
        <w:div w:id="1509097761">
          <w:marLeft w:val="0"/>
          <w:marRight w:val="0"/>
          <w:marTop w:val="0"/>
          <w:marBottom w:val="0"/>
          <w:divBdr>
            <w:top w:val="none" w:sz="0" w:space="0" w:color="auto"/>
            <w:left w:val="none" w:sz="0" w:space="0" w:color="auto"/>
            <w:bottom w:val="none" w:sz="0" w:space="0" w:color="auto"/>
            <w:right w:val="none" w:sz="0" w:space="0" w:color="auto"/>
          </w:divBdr>
        </w:div>
        <w:div w:id="1581603213">
          <w:marLeft w:val="0"/>
          <w:marRight w:val="0"/>
          <w:marTop w:val="0"/>
          <w:marBottom w:val="0"/>
          <w:divBdr>
            <w:top w:val="none" w:sz="0" w:space="0" w:color="auto"/>
            <w:left w:val="none" w:sz="0" w:space="0" w:color="auto"/>
            <w:bottom w:val="none" w:sz="0" w:space="0" w:color="auto"/>
            <w:right w:val="none" w:sz="0" w:space="0" w:color="auto"/>
          </w:divBdr>
        </w:div>
        <w:div w:id="349532116">
          <w:marLeft w:val="0"/>
          <w:marRight w:val="0"/>
          <w:marTop w:val="0"/>
          <w:marBottom w:val="0"/>
          <w:divBdr>
            <w:top w:val="none" w:sz="0" w:space="0" w:color="auto"/>
            <w:left w:val="none" w:sz="0" w:space="0" w:color="auto"/>
            <w:bottom w:val="none" w:sz="0" w:space="0" w:color="auto"/>
            <w:right w:val="none" w:sz="0" w:space="0" w:color="auto"/>
          </w:divBdr>
        </w:div>
        <w:div w:id="968366080">
          <w:marLeft w:val="0"/>
          <w:marRight w:val="0"/>
          <w:marTop w:val="0"/>
          <w:marBottom w:val="0"/>
          <w:divBdr>
            <w:top w:val="none" w:sz="0" w:space="0" w:color="auto"/>
            <w:left w:val="none" w:sz="0" w:space="0" w:color="auto"/>
            <w:bottom w:val="none" w:sz="0" w:space="0" w:color="auto"/>
            <w:right w:val="none" w:sz="0" w:space="0" w:color="auto"/>
          </w:divBdr>
        </w:div>
        <w:div w:id="896933772">
          <w:marLeft w:val="0"/>
          <w:marRight w:val="0"/>
          <w:marTop w:val="0"/>
          <w:marBottom w:val="0"/>
          <w:divBdr>
            <w:top w:val="none" w:sz="0" w:space="0" w:color="auto"/>
            <w:left w:val="none" w:sz="0" w:space="0" w:color="auto"/>
            <w:bottom w:val="none" w:sz="0" w:space="0" w:color="auto"/>
            <w:right w:val="none" w:sz="0" w:space="0" w:color="auto"/>
          </w:divBdr>
        </w:div>
        <w:div w:id="1635912861">
          <w:marLeft w:val="0"/>
          <w:marRight w:val="0"/>
          <w:marTop w:val="0"/>
          <w:marBottom w:val="0"/>
          <w:divBdr>
            <w:top w:val="none" w:sz="0" w:space="0" w:color="auto"/>
            <w:left w:val="none" w:sz="0" w:space="0" w:color="auto"/>
            <w:bottom w:val="none" w:sz="0" w:space="0" w:color="auto"/>
            <w:right w:val="none" w:sz="0" w:space="0" w:color="auto"/>
          </w:divBdr>
        </w:div>
        <w:div w:id="2110541418">
          <w:marLeft w:val="0"/>
          <w:marRight w:val="0"/>
          <w:marTop w:val="0"/>
          <w:marBottom w:val="0"/>
          <w:divBdr>
            <w:top w:val="none" w:sz="0" w:space="0" w:color="auto"/>
            <w:left w:val="none" w:sz="0" w:space="0" w:color="auto"/>
            <w:bottom w:val="none" w:sz="0" w:space="0" w:color="auto"/>
            <w:right w:val="none" w:sz="0" w:space="0" w:color="auto"/>
          </w:divBdr>
        </w:div>
        <w:div w:id="1678925182">
          <w:marLeft w:val="0"/>
          <w:marRight w:val="0"/>
          <w:marTop w:val="0"/>
          <w:marBottom w:val="0"/>
          <w:divBdr>
            <w:top w:val="none" w:sz="0" w:space="0" w:color="auto"/>
            <w:left w:val="none" w:sz="0" w:space="0" w:color="auto"/>
            <w:bottom w:val="none" w:sz="0" w:space="0" w:color="auto"/>
            <w:right w:val="none" w:sz="0" w:space="0" w:color="auto"/>
          </w:divBdr>
        </w:div>
        <w:div w:id="1419591766">
          <w:marLeft w:val="0"/>
          <w:marRight w:val="0"/>
          <w:marTop w:val="0"/>
          <w:marBottom w:val="0"/>
          <w:divBdr>
            <w:top w:val="none" w:sz="0" w:space="0" w:color="auto"/>
            <w:left w:val="none" w:sz="0" w:space="0" w:color="auto"/>
            <w:bottom w:val="none" w:sz="0" w:space="0" w:color="auto"/>
            <w:right w:val="none" w:sz="0" w:space="0" w:color="auto"/>
          </w:divBdr>
        </w:div>
        <w:div w:id="925113483">
          <w:marLeft w:val="0"/>
          <w:marRight w:val="0"/>
          <w:marTop w:val="0"/>
          <w:marBottom w:val="0"/>
          <w:divBdr>
            <w:top w:val="none" w:sz="0" w:space="0" w:color="auto"/>
            <w:left w:val="none" w:sz="0" w:space="0" w:color="auto"/>
            <w:bottom w:val="none" w:sz="0" w:space="0" w:color="auto"/>
            <w:right w:val="none" w:sz="0" w:space="0" w:color="auto"/>
          </w:divBdr>
        </w:div>
        <w:div w:id="563177457">
          <w:marLeft w:val="0"/>
          <w:marRight w:val="0"/>
          <w:marTop w:val="0"/>
          <w:marBottom w:val="0"/>
          <w:divBdr>
            <w:top w:val="none" w:sz="0" w:space="0" w:color="auto"/>
            <w:left w:val="none" w:sz="0" w:space="0" w:color="auto"/>
            <w:bottom w:val="none" w:sz="0" w:space="0" w:color="auto"/>
            <w:right w:val="none" w:sz="0" w:space="0" w:color="auto"/>
          </w:divBdr>
        </w:div>
        <w:div w:id="854423025">
          <w:marLeft w:val="0"/>
          <w:marRight w:val="0"/>
          <w:marTop w:val="0"/>
          <w:marBottom w:val="0"/>
          <w:divBdr>
            <w:top w:val="none" w:sz="0" w:space="0" w:color="auto"/>
            <w:left w:val="none" w:sz="0" w:space="0" w:color="auto"/>
            <w:bottom w:val="none" w:sz="0" w:space="0" w:color="auto"/>
            <w:right w:val="none" w:sz="0" w:space="0" w:color="auto"/>
          </w:divBdr>
        </w:div>
        <w:div w:id="1460567087">
          <w:marLeft w:val="0"/>
          <w:marRight w:val="0"/>
          <w:marTop w:val="0"/>
          <w:marBottom w:val="0"/>
          <w:divBdr>
            <w:top w:val="none" w:sz="0" w:space="0" w:color="auto"/>
            <w:left w:val="none" w:sz="0" w:space="0" w:color="auto"/>
            <w:bottom w:val="none" w:sz="0" w:space="0" w:color="auto"/>
            <w:right w:val="none" w:sz="0" w:space="0" w:color="auto"/>
          </w:divBdr>
        </w:div>
        <w:div w:id="1215311731">
          <w:marLeft w:val="0"/>
          <w:marRight w:val="0"/>
          <w:marTop w:val="0"/>
          <w:marBottom w:val="0"/>
          <w:divBdr>
            <w:top w:val="none" w:sz="0" w:space="0" w:color="auto"/>
            <w:left w:val="none" w:sz="0" w:space="0" w:color="auto"/>
            <w:bottom w:val="none" w:sz="0" w:space="0" w:color="auto"/>
            <w:right w:val="none" w:sz="0" w:space="0" w:color="auto"/>
          </w:divBdr>
        </w:div>
        <w:div w:id="1934120927">
          <w:marLeft w:val="0"/>
          <w:marRight w:val="0"/>
          <w:marTop w:val="0"/>
          <w:marBottom w:val="0"/>
          <w:divBdr>
            <w:top w:val="none" w:sz="0" w:space="0" w:color="auto"/>
            <w:left w:val="none" w:sz="0" w:space="0" w:color="auto"/>
            <w:bottom w:val="none" w:sz="0" w:space="0" w:color="auto"/>
            <w:right w:val="none" w:sz="0" w:space="0" w:color="auto"/>
          </w:divBdr>
        </w:div>
        <w:div w:id="789394991">
          <w:marLeft w:val="0"/>
          <w:marRight w:val="0"/>
          <w:marTop w:val="0"/>
          <w:marBottom w:val="0"/>
          <w:divBdr>
            <w:top w:val="none" w:sz="0" w:space="0" w:color="auto"/>
            <w:left w:val="none" w:sz="0" w:space="0" w:color="auto"/>
            <w:bottom w:val="none" w:sz="0" w:space="0" w:color="auto"/>
            <w:right w:val="none" w:sz="0" w:space="0" w:color="auto"/>
          </w:divBdr>
        </w:div>
        <w:div w:id="1213927671">
          <w:marLeft w:val="0"/>
          <w:marRight w:val="0"/>
          <w:marTop w:val="0"/>
          <w:marBottom w:val="0"/>
          <w:divBdr>
            <w:top w:val="none" w:sz="0" w:space="0" w:color="auto"/>
            <w:left w:val="none" w:sz="0" w:space="0" w:color="auto"/>
            <w:bottom w:val="none" w:sz="0" w:space="0" w:color="auto"/>
            <w:right w:val="none" w:sz="0" w:space="0" w:color="auto"/>
          </w:divBdr>
        </w:div>
        <w:div w:id="1492912482">
          <w:marLeft w:val="0"/>
          <w:marRight w:val="0"/>
          <w:marTop w:val="0"/>
          <w:marBottom w:val="0"/>
          <w:divBdr>
            <w:top w:val="none" w:sz="0" w:space="0" w:color="auto"/>
            <w:left w:val="none" w:sz="0" w:space="0" w:color="auto"/>
            <w:bottom w:val="none" w:sz="0" w:space="0" w:color="auto"/>
            <w:right w:val="none" w:sz="0" w:space="0" w:color="auto"/>
          </w:divBdr>
        </w:div>
        <w:div w:id="1851338045">
          <w:marLeft w:val="0"/>
          <w:marRight w:val="0"/>
          <w:marTop w:val="0"/>
          <w:marBottom w:val="0"/>
          <w:divBdr>
            <w:top w:val="none" w:sz="0" w:space="0" w:color="auto"/>
            <w:left w:val="none" w:sz="0" w:space="0" w:color="auto"/>
            <w:bottom w:val="none" w:sz="0" w:space="0" w:color="auto"/>
            <w:right w:val="none" w:sz="0" w:space="0" w:color="auto"/>
          </w:divBdr>
        </w:div>
        <w:div w:id="281352902">
          <w:marLeft w:val="0"/>
          <w:marRight w:val="0"/>
          <w:marTop w:val="0"/>
          <w:marBottom w:val="0"/>
          <w:divBdr>
            <w:top w:val="none" w:sz="0" w:space="0" w:color="auto"/>
            <w:left w:val="none" w:sz="0" w:space="0" w:color="auto"/>
            <w:bottom w:val="none" w:sz="0" w:space="0" w:color="auto"/>
            <w:right w:val="none" w:sz="0" w:space="0" w:color="auto"/>
          </w:divBdr>
        </w:div>
        <w:div w:id="786893756">
          <w:marLeft w:val="0"/>
          <w:marRight w:val="0"/>
          <w:marTop w:val="0"/>
          <w:marBottom w:val="0"/>
          <w:divBdr>
            <w:top w:val="none" w:sz="0" w:space="0" w:color="auto"/>
            <w:left w:val="none" w:sz="0" w:space="0" w:color="auto"/>
            <w:bottom w:val="none" w:sz="0" w:space="0" w:color="auto"/>
            <w:right w:val="none" w:sz="0" w:space="0" w:color="auto"/>
          </w:divBdr>
        </w:div>
        <w:div w:id="624585986">
          <w:marLeft w:val="0"/>
          <w:marRight w:val="0"/>
          <w:marTop w:val="0"/>
          <w:marBottom w:val="0"/>
          <w:divBdr>
            <w:top w:val="none" w:sz="0" w:space="0" w:color="auto"/>
            <w:left w:val="none" w:sz="0" w:space="0" w:color="auto"/>
            <w:bottom w:val="none" w:sz="0" w:space="0" w:color="auto"/>
            <w:right w:val="none" w:sz="0" w:space="0" w:color="auto"/>
          </w:divBdr>
        </w:div>
        <w:div w:id="445927897">
          <w:marLeft w:val="0"/>
          <w:marRight w:val="0"/>
          <w:marTop w:val="0"/>
          <w:marBottom w:val="0"/>
          <w:divBdr>
            <w:top w:val="none" w:sz="0" w:space="0" w:color="auto"/>
            <w:left w:val="none" w:sz="0" w:space="0" w:color="auto"/>
            <w:bottom w:val="none" w:sz="0" w:space="0" w:color="auto"/>
            <w:right w:val="none" w:sz="0" w:space="0" w:color="auto"/>
          </w:divBdr>
        </w:div>
        <w:div w:id="620188132">
          <w:marLeft w:val="0"/>
          <w:marRight w:val="0"/>
          <w:marTop w:val="0"/>
          <w:marBottom w:val="0"/>
          <w:divBdr>
            <w:top w:val="none" w:sz="0" w:space="0" w:color="auto"/>
            <w:left w:val="none" w:sz="0" w:space="0" w:color="auto"/>
            <w:bottom w:val="none" w:sz="0" w:space="0" w:color="auto"/>
            <w:right w:val="none" w:sz="0" w:space="0" w:color="auto"/>
          </w:divBdr>
        </w:div>
        <w:div w:id="742334045">
          <w:marLeft w:val="0"/>
          <w:marRight w:val="0"/>
          <w:marTop w:val="0"/>
          <w:marBottom w:val="0"/>
          <w:divBdr>
            <w:top w:val="none" w:sz="0" w:space="0" w:color="auto"/>
            <w:left w:val="none" w:sz="0" w:space="0" w:color="auto"/>
            <w:bottom w:val="none" w:sz="0" w:space="0" w:color="auto"/>
            <w:right w:val="none" w:sz="0" w:space="0" w:color="auto"/>
          </w:divBdr>
        </w:div>
        <w:div w:id="1551334531">
          <w:marLeft w:val="0"/>
          <w:marRight w:val="0"/>
          <w:marTop w:val="0"/>
          <w:marBottom w:val="0"/>
          <w:divBdr>
            <w:top w:val="none" w:sz="0" w:space="0" w:color="auto"/>
            <w:left w:val="none" w:sz="0" w:space="0" w:color="auto"/>
            <w:bottom w:val="none" w:sz="0" w:space="0" w:color="auto"/>
            <w:right w:val="none" w:sz="0" w:space="0" w:color="auto"/>
          </w:divBdr>
        </w:div>
        <w:div w:id="1285192406">
          <w:marLeft w:val="0"/>
          <w:marRight w:val="0"/>
          <w:marTop w:val="0"/>
          <w:marBottom w:val="0"/>
          <w:divBdr>
            <w:top w:val="none" w:sz="0" w:space="0" w:color="auto"/>
            <w:left w:val="none" w:sz="0" w:space="0" w:color="auto"/>
            <w:bottom w:val="none" w:sz="0" w:space="0" w:color="auto"/>
            <w:right w:val="none" w:sz="0" w:space="0" w:color="auto"/>
          </w:divBdr>
        </w:div>
        <w:div w:id="576138896">
          <w:marLeft w:val="0"/>
          <w:marRight w:val="0"/>
          <w:marTop w:val="0"/>
          <w:marBottom w:val="0"/>
          <w:divBdr>
            <w:top w:val="none" w:sz="0" w:space="0" w:color="auto"/>
            <w:left w:val="none" w:sz="0" w:space="0" w:color="auto"/>
            <w:bottom w:val="none" w:sz="0" w:space="0" w:color="auto"/>
            <w:right w:val="none" w:sz="0" w:space="0" w:color="auto"/>
          </w:divBdr>
        </w:div>
        <w:div w:id="1717118025">
          <w:marLeft w:val="0"/>
          <w:marRight w:val="0"/>
          <w:marTop w:val="0"/>
          <w:marBottom w:val="0"/>
          <w:divBdr>
            <w:top w:val="none" w:sz="0" w:space="0" w:color="auto"/>
            <w:left w:val="none" w:sz="0" w:space="0" w:color="auto"/>
            <w:bottom w:val="none" w:sz="0" w:space="0" w:color="auto"/>
            <w:right w:val="none" w:sz="0" w:space="0" w:color="auto"/>
          </w:divBdr>
        </w:div>
        <w:div w:id="289479159">
          <w:marLeft w:val="0"/>
          <w:marRight w:val="0"/>
          <w:marTop w:val="0"/>
          <w:marBottom w:val="0"/>
          <w:divBdr>
            <w:top w:val="none" w:sz="0" w:space="0" w:color="auto"/>
            <w:left w:val="none" w:sz="0" w:space="0" w:color="auto"/>
            <w:bottom w:val="none" w:sz="0" w:space="0" w:color="auto"/>
            <w:right w:val="none" w:sz="0" w:space="0" w:color="auto"/>
          </w:divBdr>
        </w:div>
        <w:div w:id="770508461">
          <w:marLeft w:val="0"/>
          <w:marRight w:val="0"/>
          <w:marTop w:val="0"/>
          <w:marBottom w:val="0"/>
          <w:divBdr>
            <w:top w:val="none" w:sz="0" w:space="0" w:color="auto"/>
            <w:left w:val="none" w:sz="0" w:space="0" w:color="auto"/>
            <w:bottom w:val="none" w:sz="0" w:space="0" w:color="auto"/>
            <w:right w:val="none" w:sz="0" w:space="0" w:color="auto"/>
          </w:divBdr>
        </w:div>
        <w:div w:id="486751674">
          <w:marLeft w:val="0"/>
          <w:marRight w:val="0"/>
          <w:marTop w:val="0"/>
          <w:marBottom w:val="0"/>
          <w:divBdr>
            <w:top w:val="none" w:sz="0" w:space="0" w:color="auto"/>
            <w:left w:val="none" w:sz="0" w:space="0" w:color="auto"/>
            <w:bottom w:val="none" w:sz="0" w:space="0" w:color="auto"/>
            <w:right w:val="none" w:sz="0" w:space="0" w:color="auto"/>
          </w:divBdr>
        </w:div>
        <w:div w:id="641352921">
          <w:marLeft w:val="0"/>
          <w:marRight w:val="0"/>
          <w:marTop w:val="0"/>
          <w:marBottom w:val="0"/>
          <w:divBdr>
            <w:top w:val="none" w:sz="0" w:space="0" w:color="auto"/>
            <w:left w:val="none" w:sz="0" w:space="0" w:color="auto"/>
            <w:bottom w:val="none" w:sz="0" w:space="0" w:color="auto"/>
            <w:right w:val="none" w:sz="0" w:space="0" w:color="auto"/>
          </w:divBdr>
        </w:div>
        <w:div w:id="1456603897">
          <w:marLeft w:val="0"/>
          <w:marRight w:val="0"/>
          <w:marTop w:val="0"/>
          <w:marBottom w:val="0"/>
          <w:divBdr>
            <w:top w:val="none" w:sz="0" w:space="0" w:color="auto"/>
            <w:left w:val="none" w:sz="0" w:space="0" w:color="auto"/>
            <w:bottom w:val="none" w:sz="0" w:space="0" w:color="auto"/>
            <w:right w:val="none" w:sz="0" w:space="0" w:color="auto"/>
          </w:divBdr>
        </w:div>
        <w:div w:id="504636616">
          <w:marLeft w:val="0"/>
          <w:marRight w:val="0"/>
          <w:marTop w:val="0"/>
          <w:marBottom w:val="0"/>
          <w:divBdr>
            <w:top w:val="none" w:sz="0" w:space="0" w:color="auto"/>
            <w:left w:val="none" w:sz="0" w:space="0" w:color="auto"/>
            <w:bottom w:val="none" w:sz="0" w:space="0" w:color="auto"/>
            <w:right w:val="none" w:sz="0" w:space="0" w:color="auto"/>
          </w:divBdr>
        </w:div>
        <w:div w:id="627783434">
          <w:marLeft w:val="0"/>
          <w:marRight w:val="0"/>
          <w:marTop w:val="0"/>
          <w:marBottom w:val="0"/>
          <w:divBdr>
            <w:top w:val="none" w:sz="0" w:space="0" w:color="auto"/>
            <w:left w:val="none" w:sz="0" w:space="0" w:color="auto"/>
            <w:bottom w:val="none" w:sz="0" w:space="0" w:color="auto"/>
            <w:right w:val="none" w:sz="0" w:space="0" w:color="auto"/>
          </w:divBdr>
        </w:div>
        <w:div w:id="370961615">
          <w:marLeft w:val="0"/>
          <w:marRight w:val="0"/>
          <w:marTop w:val="0"/>
          <w:marBottom w:val="0"/>
          <w:divBdr>
            <w:top w:val="none" w:sz="0" w:space="0" w:color="auto"/>
            <w:left w:val="none" w:sz="0" w:space="0" w:color="auto"/>
            <w:bottom w:val="none" w:sz="0" w:space="0" w:color="auto"/>
            <w:right w:val="none" w:sz="0" w:space="0" w:color="auto"/>
          </w:divBdr>
        </w:div>
        <w:div w:id="1688168782">
          <w:marLeft w:val="0"/>
          <w:marRight w:val="0"/>
          <w:marTop w:val="0"/>
          <w:marBottom w:val="0"/>
          <w:divBdr>
            <w:top w:val="none" w:sz="0" w:space="0" w:color="auto"/>
            <w:left w:val="none" w:sz="0" w:space="0" w:color="auto"/>
            <w:bottom w:val="none" w:sz="0" w:space="0" w:color="auto"/>
            <w:right w:val="none" w:sz="0" w:space="0" w:color="auto"/>
          </w:divBdr>
        </w:div>
      </w:divsChild>
    </w:div>
    <w:div w:id="1942569429">
      <w:bodyDiv w:val="1"/>
      <w:marLeft w:val="0"/>
      <w:marRight w:val="0"/>
      <w:marTop w:val="0"/>
      <w:marBottom w:val="0"/>
      <w:divBdr>
        <w:top w:val="none" w:sz="0" w:space="0" w:color="auto"/>
        <w:left w:val="none" w:sz="0" w:space="0" w:color="auto"/>
        <w:bottom w:val="none" w:sz="0" w:space="0" w:color="auto"/>
        <w:right w:val="none" w:sz="0" w:space="0" w:color="auto"/>
      </w:divBdr>
      <w:divsChild>
        <w:div w:id="5972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co.uk/maf/wluk/app/document?src=doc&amp;linktype=ref&amp;context=52&amp;crumb-action=replace&amp;docguid=I101A68D0E44A11DA8D70A0E70A78ED65" TargetMode="External"/><Relationship Id="rId13" Type="http://schemas.openxmlformats.org/officeDocument/2006/relationships/hyperlink" Target="https://login.westlaw.co.uk/maf/wluk/app/document?src=doc&amp;linktype=ref&amp;context=52&amp;crumb-action=replace&amp;docguid=I61E77D00E42311DAA7CF8F68F6EE57AB" TargetMode="External"/><Relationship Id="rId18" Type="http://schemas.openxmlformats.org/officeDocument/2006/relationships/hyperlink" Target="https://login.westlaw.co.uk/maf/wluk/app/document?src=doc&amp;linktype=ref&amp;context=151&amp;crumb-action=replace&amp;docguid=I7ED0AA40E42811DA8FC2A0F0355337E9" TargetMode="External"/><Relationship Id="rId26" Type="http://schemas.openxmlformats.org/officeDocument/2006/relationships/hyperlink" Target="https://login.westlaw.co.uk/maf/wluk/app/document?src=doc&amp;linktype=ref&amp;context=173&amp;crumb-action=replace&amp;docguid=ID6633340DDFE11DD8C2CCFACA99F7EBA" TargetMode="External"/><Relationship Id="rId3" Type="http://schemas.openxmlformats.org/officeDocument/2006/relationships/styles" Target="styles.xml"/><Relationship Id="rId21" Type="http://schemas.openxmlformats.org/officeDocument/2006/relationships/hyperlink" Target="http://www.bailii.org/cgi-bin/redirect.cgi?path=/ew/cases/EWCA/Civ/2001/1152.html" TargetMode="External"/><Relationship Id="rId7" Type="http://schemas.openxmlformats.org/officeDocument/2006/relationships/endnotes" Target="endnotes.xml"/><Relationship Id="rId12" Type="http://schemas.openxmlformats.org/officeDocument/2006/relationships/hyperlink" Target="https://login.westlaw.co.uk/maf/wluk/app/document?src=doc&amp;linktype=ref&amp;context=52&amp;crumb-action=replace&amp;docguid=I5588A280E45211DA8D70A0E70A78ED65" TargetMode="External"/><Relationship Id="rId17" Type="http://schemas.openxmlformats.org/officeDocument/2006/relationships/hyperlink" Target="https://login.westlaw.co.uk/maf/wluk/app/document?src=doc&amp;linktype=ref&amp;context=151&amp;crumb-action=replace&amp;docguid=I8C4F11D0E43611DA8FC2A0F0355337E9" TargetMode="External"/><Relationship Id="rId25" Type="http://schemas.openxmlformats.org/officeDocument/2006/relationships/hyperlink" Target="https://login.westlaw.co.uk/maf/wluk/app/document?src=doc&amp;linktype=ref&amp;context=173&amp;crumb-action=replace&amp;docguid=IB3C6F930E42711DA8FC2A0F0355337E9" TargetMode="External"/><Relationship Id="rId2" Type="http://schemas.openxmlformats.org/officeDocument/2006/relationships/numbering" Target="numbering.xml"/><Relationship Id="rId16" Type="http://schemas.openxmlformats.org/officeDocument/2006/relationships/hyperlink" Target="http://www.bailii.org/cgi-bin/redirect.cgi?path=/uk/cases/UKHL/1979/2..html.sino_text" TargetMode="External"/><Relationship Id="rId20" Type="http://schemas.openxmlformats.org/officeDocument/2006/relationships/hyperlink" Target="https://login.westlaw.co.uk/maf/wluk/app/document?src=doc&amp;linktype=ref&amp;context=151&amp;crumb-action=replace&amp;docguid=I897AEB90E42811DA8FC2A0F0355337E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co.uk/maf/wluk/app/document?src=doc&amp;linktype=ref&amp;context=52&amp;crumb-action=replace&amp;docguid=I5FA29610E42311DAA7CF8F68F6EE57AB"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bailii.org/ew/cases/EWHC/Admin/2005/2815.html" TargetMode="External"/><Relationship Id="rId23" Type="http://schemas.openxmlformats.org/officeDocument/2006/relationships/customXml" Target="ink/ink1.xml"/><Relationship Id="rId28" Type="http://schemas.openxmlformats.org/officeDocument/2006/relationships/hyperlink" Target="https://login.westlaw.co.uk/maf/wluk/app/document?src=doc&amp;linktype=ref&amp;context=173&amp;crumb-action=replace&amp;docguid=IB2539310E42711DA8FC2A0F0355337E9" TargetMode="External"/><Relationship Id="rId10" Type="http://schemas.openxmlformats.org/officeDocument/2006/relationships/hyperlink" Target="https://login.westlaw.co.uk/maf/wluk/app/document?src=doc&amp;linktype=ref&amp;context=52&amp;crumb-action=replace&amp;docguid=I0DD74C10E44911DA8D70A0E70A78ED65" TargetMode="External"/><Relationship Id="rId19" Type="http://schemas.openxmlformats.org/officeDocument/2006/relationships/hyperlink" Target="https://login.westlaw.co.uk/maf/wluk/app/document?src=doc&amp;linktype=ref&amp;context=151&amp;crumb-action=replace&amp;docguid=I192CC480E42811DA8FC2A0F0355337E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gin.westlaw.co.uk/maf/wluk/app/document?src=doc&amp;linktype=ref&amp;context=52&amp;crumb-action=replace&amp;docguid=I602C1160E42311DAA7CF8F68F6EE57AB" TargetMode="External"/><Relationship Id="rId14" Type="http://schemas.openxmlformats.org/officeDocument/2006/relationships/hyperlink" Target="http://www.bailii.org/cgi-bin/redirect.cgi?path=/uk/cases/UKHL/1984/5.html" TargetMode="External"/><Relationship Id="rId22" Type="http://schemas.openxmlformats.org/officeDocument/2006/relationships/hyperlink" Target="https://login.westlaw.co.uk/maf/wluk/app/document?src=doc&amp;linktype=ref&amp;context=89&amp;crumb-action=replace&amp;docguid=IB5A3A870E42711DA8FC2A0F0355337E9" TargetMode="External"/><Relationship Id="rId27" Type="http://schemas.openxmlformats.org/officeDocument/2006/relationships/hyperlink" Target="https://login.westlaw.co.uk/maf/wluk/app/document?src=doc&amp;linktype=ref&amp;context=173&amp;crumb-action=replace&amp;docguid=I19B41CF0E42811DA8FC2A0F0355337E9"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06T13:00:12.743"/>
    </inkml:context>
    <inkml:brush xml:id="br0">
      <inkml:brushProperty name="width" value="0.05" units="cm"/>
      <inkml:brushProperty name="height" value="0.05" units="cm"/>
    </inkml:brush>
  </inkml:definitions>
  <inkml:trace contextRef="#ctx0" brushRef="#br0">0 42 7623,'106'-41'0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49E59-087D-4BC3-B75B-11EC0C3F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11634</Words>
  <Characters>66318</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2018-07-18T16:40:00Z</dcterms:created>
  <dcterms:modified xsi:type="dcterms:W3CDTF">2018-07-18T16:40:00Z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