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665290" w:rsidRDefault="00C67A0A" w:rsidP="00F97703">
      <w:pPr>
        <w:jc w:val="center"/>
        <w:rPr>
          <w:rFonts w:ascii="Book Antiqua" w:hAnsi="Book Antiqua" w:cs="Arial"/>
          <w:color w:val="000000"/>
          <w:sz w:val="16"/>
          <w:szCs w:val="16"/>
        </w:rPr>
      </w:pPr>
      <w:r w:rsidRPr="00665290">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3629BE" w:rsidRPr="00665290" w:rsidRDefault="003629BE" w:rsidP="003629BE">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r w:rsidR="003A3CE4">
        <w:rPr>
          <w:rFonts w:ascii="Book Antiqua" w:hAnsi="Book Antiqua" w:cs="Arial"/>
        </w:rPr>
        <w:t>AA/00577/2016</w:t>
      </w:r>
    </w:p>
    <w:p w:rsidR="003629BE" w:rsidRDefault="003629BE" w:rsidP="003629BE">
      <w:pPr>
        <w:jc w:val="center"/>
        <w:outlineLvl w:val="0"/>
        <w:rPr>
          <w:rFonts w:ascii="Book Antiqua" w:hAnsi="Book Antiqua" w:cs="Arial"/>
          <w:b/>
          <w:color w:val="000000"/>
          <w:u w:val="single"/>
        </w:rPr>
      </w:pPr>
    </w:p>
    <w:p w:rsidR="003629BE" w:rsidRDefault="003629BE" w:rsidP="003629BE">
      <w:pPr>
        <w:jc w:val="center"/>
        <w:outlineLvl w:val="0"/>
        <w:rPr>
          <w:rFonts w:ascii="Book Antiqua" w:hAnsi="Book Antiqua" w:cs="Arial"/>
          <w:b/>
          <w:color w:val="000000"/>
          <w:u w:val="single"/>
        </w:rPr>
      </w:pPr>
    </w:p>
    <w:p w:rsidR="003629BE" w:rsidRDefault="003629BE" w:rsidP="003629BE">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3629BE" w:rsidRPr="00D32B8A" w:rsidRDefault="003629BE" w:rsidP="003629BE">
      <w:pPr>
        <w:jc w:val="center"/>
        <w:outlineLvl w:val="0"/>
        <w:rPr>
          <w:rFonts w:ascii="Book Antiqua" w:hAnsi="Book Antiqua" w:cs="Arial"/>
          <w:b/>
          <w:color w:val="000000"/>
          <w:u w:val="single"/>
        </w:rPr>
      </w:pPr>
    </w:p>
    <w:p w:rsidR="00E533BA" w:rsidRPr="00D32B8A" w:rsidRDefault="00E533BA" w:rsidP="003629BE">
      <w:pPr>
        <w:tabs>
          <w:tab w:val="right" w:pos="9720"/>
        </w:tabs>
        <w:ind w:right="-82"/>
        <w:jc w:val="center"/>
        <w:rPr>
          <w:rFonts w:ascii="Book Antiqua" w:hAnsi="Book Antiqua" w:cs="Arial"/>
          <w:color w:val="000000"/>
        </w:rPr>
      </w:pPr>
    </w:p>
    <w:tbl>
      <w:tblPr>
        <w:tblW w:w="0" w:type="auto"/>
        <w:tblLook w:val="01E0" w:firstRow="1" w:lastRow="1" w:firstColumn="1" w:lastColumn="1" w:noHBand="0" w:noVBand="0"/>
      </w:tblPr>
      <w:tblGrid>
        <w:gridCol w:w="5102"/>
        <w:gridCol w:w="4536"/>
      </w:tblGrid>
      <w:tr w:rsidR="00E533BA" w:rsidRPr="003C5723" w:rsidTr="000D612D">
        <w:tc>
          <w:tcPr>
            <w:tcW w:w="5211"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3A3CE4">
              <w:rPr>
                <w:rFonts w:ascii="Book Antiqua" w:hAnsi="Book Antiqua" w:cs="Arial"/>
                <w:b/>
              </w:rPr>
              <w:t>Bradford</w:t>
            </w:r>
          </w:p>
        </w:tc>
        <w:tc>
          <w:tcPr>
            <w:tcW w:w="4617"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3A3CE4">
              <w:rPr>
                <w:rFonts w:ascii="Book Antiqua" w:hAnsi="Book Antiqua" w:cs="Arial"/>
                <w:b/>
                <w:color w:val="000000"/>
              </w:rPr>
              <w:t>cision</w:t>
            </w:r>
            <w:r w:rsidR="000D612D">
              <w:rPr>
                <w:rFonts w:ascii="Book Antiqua" w:hAnsi="Book Antiqua" w:cs="Arial"/>
                <w:b/>
                <w:color w:val="000000"/>
              </w:rPr>
              <w:t xml:space="preserve"> and Reasons P</w:t>
            </w:r>
            <w:r w:rsidRPr="003C5723">
              <w:rPr>
                <w:rFonts w:ascii="Book Antiqua" w:hAnsi="Book Antiqua" w:cs="Arial"/>
                <w:b/>
                <w:color w:val="000000"/>
              </w:rPr>
              <w:t>romulgated</w:t>
            </w:r>
          </w:p>
        </w:tc>
      </w:tr>
      <w:tr w:rsidR="00E533BA" w:rsidRPr="003C5723" w:rsidTr="000D612D">
        <w:tc>
          <w:tcPr>
            <w:tcW w:w="5211" w:type="dxa"/>
            <w:shd w:val="clear" w:color="auto" w:fill="auto"/>
          </w:tcPr>
          <w:p w:rsidR="00E533BA" w:rsidRPr="003C5723" w:rsidRDefault="000D612D"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3A3CE4">
              <w:rPr>
                <w:rFonts w:ascii="Book Antiqua" w:hAnsi="Book Antiqua" w:cs="Arial"/>
                <w:b/>
              </w:rPr>
              <w:t>31 July 2018</w:t>
            </w:r>
          </w:p>
        </w:tc>
        <w:tc>
          <w:tcPr>
            <w:tcW w:w="4617" w:type="dxa"/>
            <w:shd w:val="clear" w:color="auto" w:fill="auto"/>
          </w:tcPr>
          <w:p w:rsidR="00E533BA" w:rsidRPr="003C5723" w:rsidRDefault="000D612D" w:rsidP="003C5723">
            <w:pPr>
              <w:jc w:val="both"/>
              <w:rPr>
                <w:rFonts w:ascii="Book Antiqua" w:hAnsi="Book Antiqua" w:cs="Arial"/>
                <w:b/>
              </w:rPr>
            </w:pPr>
            <w:r>
              <w:rPr>
                <w:rFonts w:ascii="Book Antiqua" w:hAnsi="Book Antiqua" w:cs="Arial"/>
                <w:b/>
              </w:rPr>
              <w:t xml:space="preserve">On 10 September 2018 </w:t>
            </w:r>
          </w:p>
        </w:tc>
      </w:tr>
    </w:tbl>
    <w:p w:rsidR="00E533BA" w:rsidRPr="00D32B8A" w:rsidRDefault="00E533BA" w:rsidP="00C345E1">
      <w:pPr>
        <w:jc w:val="center"/>
        <w:rPr>
          <w:rFonts w:ascii="Book Antiqua" w:hAnsi="Book Antiqua" w:cs="Arial"/>
          <w:color w:val="000000"/>
        </w:rPr>
      </w:pPr>
    </w:p>
    <w:p w:rsidR="00C345E1" w:rsidRPr="00D32B8A" w:rsidRDefault="00C345E1" w:rsidP="00C345E1">
      <w:pPr>
        <w:jc w:val="center"/>
        <w:rPr>
          <w:rFonts w:ascii="Book Antiqua" w:hAnsi="Book Antiqua" w:cs="Arial"/>
          <w:b/>
          <w:u w:val="single"/>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Default="001B186A" w:rsidP="00A15234">
      <w:pPr>
        <w:jc w:val="center"/>
        <w:rPr>
          <w:rFonts w:ascii="Book Antiqua" w:hAnsi="Book Antiqua" w:cs="Arial"/>
          <w:b/>
          <w:color w:val="000000"/>
        </w:rPr>
      </w:pPr>
    </w:p>
    <w:p w:rsidR="003629BE" w:rsidRPr="00D32B8A" w:rsidRDefault="003629BE"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EF7051" w:rsidRPr="00D32B8A" w:rsidRDefault="00EF7051" w:rsidP="00B467EA">
      <w:pPr>
        <w:jc w:val="center"/>
        <w:outlineLvl w:val="0"/>
        <w:rPr>
          <w:rFonts w:ascii="Book Antiqua" w:hAnsi="Book Antiqua" w:cs="Arial"/>
          <w:b/>
        </w:rPr>
      </w:pPr>
    </w:p>
    <w:p w:rsidR="00A845DC" w:rsidRDefault="00DF105A" w:rsidP="00A15234">
      <w:pPr>
        <w:jc w:val="center"/>
        <w:rPr>
          <w:rFonts w:ascii="Book Antiqua" w:hAnsi="Book Antiqua" w:cs="Arial"/>
          <w:b/>
        </w:rPr>
      </w:pPr>
      <w:r>
        <w:rPr>
          <w:rFonts w:ascii="Book Antiqua" w:hAnsi="Book Antiqua" w:cs="Arial"/>
          <w:b/>
        </w:rPr>
        <w:t>[</w:t>
      </w:r>
      <w:r w:rsidR="00A05D67" w:rsidRPr="00030C7E">
        <w:rPr>
          <w:rFonts w:ascii="Book Antiqua" w:hAnsi="Book Antiqua" w:cs="Arial"/>
          <w:b/>
        </w:rPr>
        <w:t>M</w:t>
      </w:r>
      <w:r>
        <w:rPr>
          <w:rFonts w:ascii="Book Antiqua" w:hAnsi="Book Antiqua" w:cs="Arial"/>
          <w:b/>
        </w:rPr>
        <w:t xml:space="preserve"> </w:t>
      </w:r>
      <w:r w:rsidR="00030C7E">
        <w:rPr>
          <w:rFonts w:ascii="Book Antiqua" w:hAnsi="Book Antiqua" w:cs="Arial"/>
          <w:b/>
        </w:rPr>
        <w:t>S</w:t>
      </w:r>
      <w:r>
        <w:rPr>
          <w:rFonts w:ascii="Book Antiqua" w:hAnsi="Book Antiqua" w:cs="Arial"/>
          <w:b/>
        </w:rPr>
        <w:t>]</w:t>
      </w:r>
      <w:bookmarkStart w:id="0" w:name="_GoBack"/>
      <w:bookmarkEnd w:id="0"/>
    </w:p>
    <w:p w:rsidR="00030C7E" w:rsidRPr="00030C7E" w:rsidRDefault="00030C7E" w:rsidP="00A15234">
      <w:pPr>
        <w:jc w:val="center"/>
        <w:rPr>
          <w:rFonts w:ascii="Book Antiqua" w:hAnsi="Book Antiqua" w:cs="Arial"/>
          <w:b/>
        </w:rPr>
      </w:pPr>
      <w:r>
        <w:rPr>
          <w:rFonts w:ascii="Book Antiqua" w:hAnsi="Book Antiqua" w:cs="Arial"/>
          <w:b/>
        </w:rPr>
        <w:t>(</w:t>
      </w:r>
      <w:r w:rsidR="006D56B0">
        <w:rPr>
          <w:rFonts w:ascii="Book Antiqua" w:hAnsi="Book Antiqua" w:cs="Arial"/>
          <w:b/>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3629BE" w:rsidRPr="00D32B8A" w:rsidRDefault="003629BE"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3629BE">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3629BE">
        <w:rPr>
          <w:rFonts w:ascii="Book Antiqua" w:hAnsi="Book Antiqua" w:cs="Arial"/>
        </w:rPr>
        <w:tab/>
      </w:r>
      <w:r w:rsidR="006D56B0">
        <w:rPr>
          <w:rFonts w:ascii="Book Antiqua" w:hAnsi="Book Antiqua" w:cs="Arial"/>
        </w:rPr>
        <w:t>Ms Logan</w:t>
      </w:r>
      <w:r w:rsidR="00AC5BEF">
        <w:rPr>
          <w:rFonts w:ascii="Book Antiqua" w:hAnsi="Book Antiqua" w:cs="Arial"/>
        </w:rPr>
        <w:t xml:space="preserve"> instructed by Accu Legal Solicitors</w:t>
      </w:r>
      <w:r w:rsidR="006D56B0">
        <w:rPr>
          <w:rFonts w:ascii="Book Antiqua" w:hAnsi="Book Antiqua" w:cs="Arial"/>
        </w:rPr>
        <w:t xml:space="preserve"> </w:t>
      </w:r>
      <w:r w:rsidRPr="00D32B8A">
        <w:rPr>
          <w:rFonts w:ascii="Book Antiqua" w:hAnsi="Book Antiqua" w:cs="Arial"/>
        </w:rPr>
        <w:tab/>
      </w:r>
    </w:p>
    <w:p w:rsidR="00DE7DB7" w:rsidRPr="00D32B8A" w:rsidRDefault="00DE7DB7" w:rsidP="003629BE">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3629BE">
        <w:rPr>
          <w:rFonts w:ascii="Book Antiqua" w:hAnsi="Book Antiqua" w:cs="Arial"/>
        </w:rPr>
        <w:tab/>
      </w:r>
      <w:r w:rsidR="00AC5BEF">
        <w:rPr>
          <w:rFonts w:ascii="Book Antiqua" w:hAnsi="Book Antiqua" w:cs="Arial"/>
        </w:rPr>
        <w:t xml:space="preserve">Mr </w:t>
      </w:r>
      <w:proofErr w:type="spellStart"/>
      <w:r w:rsidR="00AC5BEF">
        <w:rPr>
          <w:rFonts w:ascii="Book Antiqua" w:hAnsi="Book Antiqua" w:cs="Arial"/>
        </w:rPr>
        <w:t>D</w:t>
      </w:r>
      <w:r w:rsidR="00492EB7">
        <w:rPr>
          <w:rFonts w:ascii="Book Antiqua" w:hAnsi="Book Antiqua" w:cs="Arial"/>
        </w:rPr>
        <w:t>imuycz</w:t>
      </w:r>
      <w:proofErr w:type="spellEnd"/>
      <w:r w:rsidR="00AC5BEF">
        <w:rPr>
          <w:rFonts w:ascii="Book Antiqua" w:hAnsi="Book Antiqua" w:cs="Arial"/>
        </w:rPr>
        <w:t xml:space="preserve"> </w:t>
      </w:r>
      <w:r w:rsidR="00540F34">
        <w:rPr>
          <w:rFonts w:ascii="Book Antiqua" w:hAnsi="Book Antiqua" w:cs="Arial"/>
        </w:rPr>
        <w:t>Senior Home Office Presenting Officer</w:t>
      </w:r>
      <w:r w:rsidR="00AC5BEF">
        <w:rPr>
          <w:rFonts w:ascii="Book Antiqua" w:hAnsi="Book Antiqua" w:cs="Arial"/>
        </w:rPr>
        <w:t xml:space="preserve"> </w:t>
      </w:r>
      <w:r w:rsidRPr="00D32B8A">
        <w:rPr>
          <w:rFonts w:ascii="Book Antiqua" w:hAnsi="Book Antiqua" w:cs="Arial"/>
        </w:rPr>
        <w:tab/>
      </w:r>
    </w:p>
    <w:p w:rsidR="00DE7DB7" w:rsidRDefault="00DE7DB7" w:rsidP="00402B9E">
      <w:pPr>
        <w:tabs>
          <w:tab w:val="left" w:pos="2520"/>
        </w:tabs>
        <w:jc w:val="center"/>
        <w:rPr>
          <w:rFonts w:ascii="Book Antiqua" w:hAnsi="Book Antiqua" w:cs="Arial"/>
        </w:rPr>
      </w:pPr>
    </w:p>
    <w:p w:rsidR="003629BE" w:rsidRPr="00D32B8A" w:rsidRDefault="003629BE"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540F34">
        <w:rPr>
          <w:rFonts w:ascii="Book Antiqua" w:hAnsi="Book Antiqua"/>
          <w:b/>
          <w:u w:val="single"/>
        </w:rPr>
        <w:t>RROR OF LAW FINDING A</w:t>
      </w:r>
      <w:r>
        <w:rPr>
          <w:rFonts w:ascii="Book Antiqua" w:hAnsi="Book Antiqua"/>
          <w:b/>
          <w:u w:val="single"/>
        </w:rPr>
        <w:t>ND REASONS</w:t>
      </w:r>
    </w:p>
    <w:p w:rsidR="00BE485D" w:rsidRDefault="0035389D"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The appellant appeals with permission a decision of First-tier Tribunal Judge Walker promulgated on 3 May 2017 in which the Judge dismissed the appellant’s appeal on protection and human rights grounds.</w:t>
      </w:r>
    </w:p>
    <w:p w:rsidR="0035389D" w:rsidRDefault="0035389D"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The appellant, a citizen of Sri Lanka born on 10 July 1983</w:t>
      </w:r>
      <w:r w:rsidR="00492EB7">
        <w:rPr>
          <w:rFonts w:ascii="Book Antiqua" w:hAnsi="Book Antiqua" w:cs="Arial"/>
        </w:rPr>
        <w:t>,</w:t>
      </w:r>
      <w:r>
        <w:rPr>
          <w:rFonts w:ascii="Book Antiqua" w:hAnsi="Book Antiqua" w:cs="Arial"/>
        </w:rPr>
        <w:t xml:space="preserve"> entered the United Kingdom on 27 September 2010 lawfully as a Tier 4 (General) Student</w:t>
      </w:r>
      <w:r w:rsidR="00492EB7">
        <w:rPr>
          <w:rFonts w:ascii="Book Antiqua" w:hAnsi="Book Antiqua" w:cs="Arial"/>
        </w:rPr>
        <w:t xml:space="preserve"> Migrant</w:t>
      </w:r>
      <w:r>
        <w:rPr>
          <w:rFonts w:ascii="Book Antiqua" w:hAnsi="Book Antiqua" w:cs="Arial"/>
        </w:rPr>
        <w:t xml:space="preserve">. His </w:t>
      </w:r>
      <w:r>
        <w:rPr>
          <w:rFonts w:ascii="Book Antiqua" w:hAnsi="Book Antiqua" w:cs="Arial"/>
        </w:rPr>
        <w:lastRenderedPageBreak/>
        <w:t>leave was extended to 19 June 2014. On 17 June 2014 the appellant claimed asylum</w:t>
      </w:r>
      <w:r w:rsidR="0079390B">
        <w:rPr>
          <w:rFonts w:ascii="Book Antiqua" w:hAnsi="Book Antiqua" w:cs="Arial"/>
        </w:rPr>
        <w:t>. His claim was refused on 26 April 2016 giving rise to these proceedings.</w:t>
      </w:r>
    </w:p>
    <w:p w:rsidR="0079390B" w:rsidRDefault="0079390B"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The Judge considered the basis of the claim together with the documentary and oral evidence before setting out findings of fact from [55] of the decision under challenge. Those findings can be summarised in the following terms:</w:t>
      </w:r>
    </w:p>
    <w:p w:rsidR="0079390B" w:rsidRDefault="00BD10E1"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w:t>
      </w:r>
      <w:r w:rsidR="00E17722">
        <w:rPr>
          <w:rFonts w:ascii="Book Antiqua" w:hAnsi="Book Antiqua" w:cs="Arial"/>
        </w:rPr>
        <w:t>he Judge did not find the appellant had left and returned to Sri Lanka with no problems prior to his final departure as contended by the respondent [55].</w:t>
      </w:r>
    </w:p>
    <w:p w:rsidR="00E17722" w:rsidRDefault="0065500C"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There was insufficient evidence for the Judge to be satisfied that the appellant had paid a bribe to immigration officers to enable him to leave Sri Lanka without difficulties. The appellant’s evidence relating to employment of an agent in order to leave Sri Lanka is insubstantial and inadequate. The appellant is still in touch with his father yet there was no evidence from the appellant’s father and his friends explaining steps taken to enable the appellant to leave Sri Lanka safely. No explanation ha</w:t>
      </w:r>
      <w:r w:rsidR="009C5FC1">
        <w:rPr>
          <w:rFonts w:ascii="Book Antiqua" w:hAnsi="Book Antiqua" w:cs="Arial"/>
        </w:rPr>
        <w:t>s</w:t>
      </w:r>
      <w:r>
        <w:rPr>
          <w:rFonts w:ascii="Book Antiqua" w:hAnsi="Book Antiqua" w:cs="Arial"/>
        </w:rPr>
        <w:t xml:space="preserve"> been provided for the absence of such evidence [56].</w:t>
      </w:r>
    </w:p>
    <w:p w:rsidR="0065500C" w:rsidRDefault="008358B2"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accepts the appellant’s brother has a business called Digital Communication</w:t>
      </w:r>
      <w:r w:rsidR="009C5FC1">
        <w:rPr>
          <w:rFonts w:ascii="Book Antiqua" w:hAnsi="Book Antiqua" w:cs="Arial"/>
        </w:rPr>
        <w:t xml:space="preserve"> (DC)</w:t>
      </w:r>
      <w:r>
        <w:rPr>
          <w:rFonts w:ascii="Book Antiqua" w:hAnsi="Book Antiqua" w:cs="Arial"/>
        </w:rPr>
        <w:t xml:space="preserve"> operating in Colombo. The Judge did not accept the respondent’s contention that the documents the appellant supplied in relation to the DC business do not refer to GS. The Judge was satisfied that GS was an employee of DC and/or the appellant’s brother. The Judge accepts the memorial notice referring to GS dying on 23 March 2010 although there was no evidence to support the appellant’s contention he was killed by the Sri Lankan authorities or anyone else.</w:t>
      </w:r>
      <w:r w:rsidR="00287061">
        <w:rPr>
          <w:rFonts w:ascii="Book Antiqua" w:hAnsi="Book Antiqua" w:cs="Arial"/>
        </w:rPr>
        <w:t xml:space="preserve"> </w:t>
      </w:r>
      <w:r w:rsidR="009C5FC1">
        <w:rPr>
          <w:rFonts w:ascii="Book Antiqua" w:hAnsi="Book Antiqua" w:cs="Arial"/>
        </w:rPr>
        <w:t>The Judge f</w:t>
      </w:r>
      <w:r w:rsidR="00287061">
        <w:rPr>
          <w:rFonts w:ascii="Book Antiqua" w:hAnsi="Book Antiqua" w:cs="Arial"/>
        </w:rPr>
        <w:t>ound</w:t>
      </w:r>
      <w:r w:rsidR="009C5FC1">
        <w:rPr>
          <w:rFonts w:ascii="Book Antiqua" w:hAnsi="Book Antiqua" w:cs="Arial"/>
        </w:rPr>
        <w:t xml:space="preserve"> it</w:t>
      </w:r>
      <w:r w:rsidR="00287061">
        <w:rPr>
          <w:rFonts w:ascii="Book Antiqua" w:hAnsi="Book Antiqua" w:cs="Arial"/>
        </w:rPr>
        <w:t xml:space="preserve"> noticeable there was no mention of the death made by the appellants father in his letter [57].</w:t>
      </w:r>
    </w:p>
    <w:p w:rsidR="00287061" w:rsidRDefault="00287061"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was not satisfied the appellant was employed by his brother to work for DC. Although the appellant described his role as that of a full-time manager of the shop</w:t>
      </w:r>
      <w:r w:rsidR="00FE44F6">
        <w:rPr>
          <w:rFonts w:ascii="Book Antiqua" w:hAnsi="Book Antiqua" w:cs="Arial"/>
        </w:rPr>
        <w:t>, his</w:t>
      </w:r>
      <w:r>
        <w:rPr>
          <w:rFonts w:ascii="Book Antiqua" w:hAnsi="Book Antiqua" w:cs="Arial"/>
        </w:rPr>
        <w:t xml:space="preserve"> name did not appear on a single item of correspondence or internal business document. The appellant’s claim the Sri Lankan authorities seized</w:t>
      </w:r>
      <w:r w:rsidR="00FE44F6">
        <w:rPr>
          <w:rFonts w:ascii="Book Antiqua" w:hAnsi="Book Antiqua" w:cs="Arial"/>
        </w:rPr>
        <w:t xml:space="preserve"> the</w:t>
      </w:r>
      <w:r>
        <w:rPr>
          <w:rFonts w:ascii="Book Antiqua" w:hAnsi="Book Antiqua" w:cs="Arial"/>
        </w:rPr>
        <w:t xml:space="preserve"> documents from the business was undermined by the fact the appellant produced some documents</w:t>
      </w:r>
      <w:r w:rsidR="00C70408">
        <w:rPr>
          <w:rFonts w:ascii="Book Antiqua" w:hAnsi="Book Antiqua" w:cs="Arial"/>
        </w:rPr>
        <w:t xml:space="preserve"> showing </w:t>
      </w:r>
      <w:r w:rsidR="00FE44F6">
        <w:rPr>
          <w:rFonts w:ascii="Book Antiqua" w:hAnsi="Book Antiqua" w:cs="Arial"/>
        </w:rPr>
        <w:t xml:space="preserve">all </w:t>
      </w:r>
      <w:r w:rsidR="00C70408">
        <w:rPr>
          <w:rFonts w:ascii="Book Antiqua" w:hAnsi="Book Antiqua" w:cs="Arial"/>
        </w:rPr>
        <w:t>were not taken [58].</w:t>
      </w:r>
    </w:p>
    <w:p w:rsidR="00C70408" w:rsidRDefault="00C70408"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appellants claim other </w:t>
      </w:r>
      <w:r w:rsidR="00E92A7C">
        <w:rPr>
          <w:rFonts w:ascii="Book Antiqua" w:hAnsi="Book Antiqua" w:cs="Arial"/>
        </w:rPr>
        <w:t xml:space="preserve">named </w:t>
      </w:r>
      <w:r>
        <w:rPr>
          <w:rFonts w:ascii="Book Antiqua" w:hAnsi="Book Antiqua" w:cs="Arial"/>
        </w:rPr>
        <w:t xml:space="preserve">employees </w:t>
      </w:r>
      <w:r w:rsidR="00FE44F6">
        <w:rPr>
          <w:rFonts w:ascii="Book Antiqua" w:hAnsi="Book Antiqua" w:cs="Arial"/>
        </w:rPr>
        <w:t xml:space="preserve">were </w:t>
      </w:r>
      <w:r>
        <w:rPr>
          <w:rFonts w:ascii="Book Antiqua" w:hAnsi="Book Antiqua" w:cs="Arial"/>
        </w:rPr>
        <w:t xml:space="preserve">working at the shop was noted but also </w:t>
      </w:r>
      <w:r w:rsidR="00E92A7C">
        <w:rPr>
          <w:rFonts w:ascii="Book Antiqua" w:hAnsi="Book Antiqua" w:cs="Arial"/>
        </w:rPr>
        <w:t xml:space="preserve">there being </w:t>
      </w:r>
      <w:r>
        <w:rPr>
          <w:rFonts w:ascii="Book Antiqua" w:hAnsi="Book Antiqua" w:cs="Arial"/>
        </w:rPr>
        <w:t>no reference to them in the business documents provided when the appellant was interviewed [59].</w:t>
      </w:r>
    </w:p>
    <w:p w:rsidR="00C70408" w:rsidRDefault="00E92A7C"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On the </w:t>
      </w:r>
      <w:r w:rsidR="00C70408">
        <w:rPr>
          <w:rFonts w:ascii="Book Antiqua" w:hAnsi="Book Antiqua" w:cs="Arial"/>
        </w:rPr>
        <w:t>day the hearing the appellant produced a household list which is the only document connecting with the business premises of DC. The Judge did not accept this explanation in relation to the production of the document as the appellant was aware the respondent’s case was that there were no documents showing a connection between him and the DC business</w:t>
      </w:r>
      <w:r w:rsidR="00DA5A48">
        <w:rPr>
          <w:rFonts w:ascii="Book Antiqua" w:hAnsi="Book Antiqua" w:cs="Arial"/>
        </w:rPr>
        <w:t>. The Judge does not accept the document was fortuitously found a matter of days before the appeal hearing in a bag at his brother’s house which had not been searched before [60].</w:t>
      </w:r>
    </w:p>
    <w:p w:rsidR="00DA5A48" w:rsidRDefault="00DA5A48"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lastRenderedPageBreak/>
        <w:t>The Judge found weaknesses in the content of the documents itself, which was found to be designed to be an official record of householders, family members or other residents a</w:t>
      </w:r>
      <w:r w:rsidR="001B0A0F">
        <w:rPr>
          <w:rFonts w:ascii="Book Antiqua" w:hAnsi="Book Antiqua" w:cs="Arial"/>
        </w:rPr>
        <w:t xml:space="preserve">nd </w:t>
      </w:r>
      <w:r>
        <w:rPr>
          <w:rFonts w:ascii="Book Antiqua" w:hAnsi="Book Antiqua" w:cs="Arial"/>
        </w:rPr>
        <w:t xml:space="preserve">not well suited to record occupies of business premises. The Judge noted that intended period of stay referring to periods of days, weeks, months etc </w:t>
      </w:r>
      <w:r w:rsidR="001B0A0F">
        <w:rPr>
          <w:rFonts w:ascii="Book Antiqua" w:hAnsi="Book Antiqua" w:cs="Arial"/>
        </w:rPr>
        <w:t xml:space="preserve">have been </w:t>
      </w:r>
      <w:r>
        <w:rPr>
          <w:rFonts w:ascii="Book Antiqua" w:hAnsi="Book Antiqua" w:cs="Arial"/>
        </w:rPr>
        <w:t>completed by reference to a number of hours</w:t>
      </w:r>
      <w:r w:rsidR="001B0A0F">
        <w:rPr>
          <w:rFonts w:ascii="Book Antiqua" w:hAnsi="Book Antiqua" w:cs="Arial"/>
        </w:rPr>
        <w:t xml:space="preserve"> and</w:t>
      </w:r>
      <w:r w:rsidR="004C2555">
        <w:rPr>
          <w:rFonts w:ascii="Book Antiqua" w:hAnsi="Book Antiqua" w:cs="Arial"/>
        </w:rPr>
        <w:t xml:space="preserve"> that the document referred to other members of staff other than GS</w:t>
      </w:r>
      <w:r w:rsidR="00014B60">
        <w:rPr>
          <w:rFonts w:ascii="Book Antiqua" w:hAnsi="Book Antiqua" w:cs="Arial"/>
        </w:rPr>
        <w:t>,</w:t>
      </w:r>
      <w:r w:rsidR="004C2555">
        <w:rPr>
          <w:rFonts w:ascii="Book Antiqua" w:hAnsi="Book Antiqua" w:cs="Arial"/>
        </w:rPr>
        <w:t xml:space="preserve"> w</w:t>
      </w:r>
      <w:r w:rsidR="001B0A0F">
        <w:rPr>
          <w:rFonts w:ascii="Book Antiqua" w:hAnsi="Book Antiqua" w:cs="Arial"/>
        </w:rPr>
        <w:t>h</w:t>
      </w:r>
      <w:r w:rsidR="004C2555">
        <w:rPr>
          <w:rFonts w:ascii="Book Antiqua" w:hAnsi="Book Antiqua" w:cs="Arial"/>
        </w:rPr>
        <w:t>ere</w:t>
      </w:r>
      <w:r w:rsidR="001B0A0F">
        <w:rPr>
          <w:rFonts w:ascii="Book Antiqua" w:hAnsi="Book Antiqua" w:cs="Arial"/>
        </w:rPr>
        <w:t>a</w:t>
      </w:r>
      <w:r w:rsidR="004C2555">
        <w:rPr>
          <w:rFonts w:ascii="Book Antiqua" w:hAnsi="Book Antiqua" w:cs="Arial"/>
        </w:rPr>
        <w:t>s o</w:t>
      </w:r>
      <w:r w:rsidR="001B0A0F">
        <w:rPr>
          <w:rFonts w:ascii="Book Antiqua" w:hAnsi="Book Antiqua" w:cs="Arial"/>
        </w:rPr>
        <w:t xml:space="preserve">ther </w:t>
      </w:r>
      <w:r w:rsidR="004C2555">
        <w:rPr>
          <w:rFonts w:ascii="Book Antiqua" w:hAnsi="Book Antiqua" w:cs="Arial"/>
        </w:rPr>
        <w:t xml:space="preserve">documents relating to </w:t>
      </w:r>
      <w:r w:rsidR="00014B60">
        <w:rPr>
          <w:rFonts w:ascii="Book Antiqua" w:hAnsi="Book Antiqua" w:cs="Arial"/>
        </w:rPr>
        <w:t>an E</w:t>
      </w:r>
      <w:r w:rsidR="004C2555">
        <w:rPr>
          <w:rFonts w:ascii="Book Antiqua" w:hAnsi="Book Antiqua" w:cs="Arial"/>
        </w:rPr>
        <w:t xml:space="preserve">mployees </w:t>
      </w:r>
      <w:r w:rsidR="00014B60">
        <w:rPr>
          <w:rFonts w:ascii="Book Antiqua" w:hAnsi="Book Antiqua" w:cs="Arial"/>
        </w:rPr>
        <w:t>T</w:t>
      </w:r>
      <w:r w:rsidR="004C2555">
        <w:rPr>
          <w:rFonts w:ascii="Book Antiqua" w:hAnsi="Book Antiqua" w:cs="Arial"/>
        </w:rPr>
        <w:t xml:space="preserve">rust </w:t>
      </w:r>
      <w:r w:rsidR="00014B60">
        <w:rPr>
          <w:rFonts w:ascii="Book Antiqua" w:hAnsi="Book Antiqua" w:cs="Arial"/>
        </w:rPr>
        <w:t>F</w:t>
      </w:r>
      <w:r w:rsidR="004C2555">
        <w:rPr>
          <w:rFonts w:ascii="Book Antiqua" w:hAnsi="Book Antiqua" w:cs="Arial"/>
        </w:rPr>
        <w:t xml:space="preserve">und </w:t>
      </w:r>
      <w:r w:rsidR="00014B60">
        <w:rPr>
          <w:rFonts w:ascii="Book Antiqua" w:hAnsi="Book Antiqua" w:cs="Arial"/>
        </w:rPr>
        <w:t>B</w:t>
      </w:r>
      <w:r w:rsidR="004C2555">
        <w:rPr>
          <w:rFonts w:ascii="Book Antiqua" w:hAnsi="Book Antiqua" w:cs="Arial"/>
        </w:rPr>
        <w:t>oard listing the names of employees made no reference to those two people, an absence that had not been explained [61].</w:t>
      </w:r>
    </w:p>
    <w:p w:rsidR="004C2555" w:rsidRDefault="00014B60"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w:t>
      </w:r>
      <w:r w:rsidR="004C2555">
        <w:rPr>
          <w:rFonts w:ascii="Book Antiqua" w:hAnsi="Book Antiqua" w:cs="Arial"/>
        </w:rPr>
        <w:t>Judge finds this is a document that is not genuine and has been produced at the last minute in order to support the appellant’s case [62].</w:t>
      </w:r>
    </w:p>
    <w:p w:rsidR="004C2555" w:rsidRDefault="004C2555"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noted the appellant had provided very little detail of his own address or evidence to establish that he was living in Colombo at all. The Judge accepts that while studying in Colombo he stayed with his brother</w:t>
      </w:r>
      <w:r w:rsidR="00AB22CA">
        <w:rPr>
          <w:rFonts w:ascii="Book Antiqua" w:hAnsi="Book Antiqua" w:cs="Arial"/>
        </w:rPr>
        <w:t xml:space="preserve"> and that is Visa application shows his local address as that of his brother whereas in the Statement of Evidence form the appellant stated his last address in Sri Lanka was an address in Trincomalee which is the same address as that of his father. The appellant’s account was that he was arrested in Colombo and then on release he only lived at his father’s friend’s house in Thikari </w:t>
      </w:r>
      <w:r w:rsidR="00152C7F">
        <w:rPr>
          <w:rFonts w:ascii="Book Antiqua" w:hAnsi="Book Antiqua" w:cs="Arial"/>
        </w:rPr>
        <w:t xml:space="preserve">which </w:t>
      </w:r>
      <w:r w:rsidR="00AB22CA">
        <w:rPr>
          <w:rFonts w:ascii="Book Antiqua" w:hAnsi="Book Antiqua" w:cs="Arial"/>
        </w:rPr>
        <w:t>was found inconsistent with this last address being in</w:t>
      </w:r>
      <w:r w:rsidR="006D068B">
        <w:rPr>
          <w:rFonts w:ascii="Book Antiqua" w:hAnsi="Book Antiqua" w:cs="Arial"/>
        </w:rPr>
        <w:t xml:space="preserve"> Trincomalee [63].</w:t>
      </w:r>
    </w:p>
    <w:p w:rsidR="006D068B" w:rsidRDefault="004D659E"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considered the medical evidence noting the author, Mr Mason, identified scarring on the appellant’s forehead, left eyebrow, on both shoulder blades, and the assessment of the scarring in terms of consistency and age</w:t>
      </w:r>
      <w:r w:rsidR="0089592F">
        <w:rPr>
          <w:rFonts w:ascii="Book Antiqua" w:hAnsi="Book Antiqua" w:cs="Arial"/>
        </w:rPr>
        <w:t xml:space="preserve">, the fact it was accepted scars 1 to 4 could have been caused accidentally as well as by deliberate means, that scar 5 could be the result of infected abrasion or insect bites and that scar 6 could be caused by scraping the heel against a </w:t>
      </w:r>
      <w:proofErr w:type="gramStart"/>
      <w:r w:rsidR="0089592F">
        <w:rPr>
          <w:rFonts w:ascii="Book Antiqua" w:hAnsi="Book Antiqua" w:cs="Arial"/>
        </w:rPr>
        <w:t>hard edged</w:t>
      </w:r>
      <w:proofErr w:type="gramEnd"/>
      <w:r w:rsidR="0089592F">
        <w:rPr>
          <w:rFonts w:ascii="Book Antiqua" w:hAnsi="Book Antiqua" w:cs="Arial"/>
        </w:rPr>
        <w:t xml:space="preserve"> object [64].</w:t>
      </w:r>
    </w:p>
    <w:p w:rsidR="0089592F" w:rsidRDefault="0089592F"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Although Mr Mason considered </w:t>
      </w:r>
      <w:r w:rsidR="00152C7F">
        <w:rPr>
          <w:rFonts w:ascii="Book Antiqua" w:hAnsi="Book Antiqua" w:cs="Arial"/>
        </w:rPr>
        <w:t xml:space="preserve">it unlikely </w:t>
      </w:r>
      <w:r>
        <w:rPr>
          <w:rFonts w:ascii="Book Antiqua" w:hAnsi="Book Antiqua" w:cs="Arial"/>
        </w:rPr>
        <w:t>the scars were self-inflicted or inflicted by proxy the Judge found his explanation for this finding inadequate</w:t>
      </w:r>
      <w:r w:rsidR="001564FE">
        <w:rPr>
          <w:rFonts w:ascii="Book Antiqua" w:hAnsi="Book Antiqua" w:cs="Arial"/>
        </w:rPr>
        <w:t>,</w:t>
      </w:r>
      <w:r w:rsidR="00614C50">
        <w:rPr>
          <w:rFonts w:ascii="Book Antiqua" w:hAnsi="Book Antiqua" w:cs="Arial"/>
        </w:rPr>
        <w:t xml:space="preserve"> based upon a simple statement the conclusion </w:t>
      </w:r>
      <w:r w:rsidR="001564FE">
        <w:rPr>
          <w:rFonts w:ascii="Book Antiqua" w:hAnsi="Book Antiqua" w:cs="Arial"/>
        </w:rPr>
        <w:t xml:space="preserve">had been </w:t>
      </w:r>
      <w:r w:rsidR="00614C50">
        <w:rPr>
          <w:rFonts w:ascii="Book Antiqua" w:hAnsi="Book Antiqua" w:cs="Arial"/>
        </w:rPr>
        <w:t>reached by virtue of the number</w:t>
      </w:r>
      <w:r w:rsidR="001564FE">
        <w:rPr>
          <w:rFonts w:ascii="Book Antiqua" w:hAnsi="Book Antiqua" w:cs="Arial"/>
        </w:rPr>
        <w:t>,</w:t>
      </w:r>
      <w:r w:rsidR="00614C50">
        <w:rPr>
          <w:rFonts w:ascii="Book Antiqua" w:hAnsi="Book Antiqua" w:cs="Arial"/>
        </w:rPr>
        <w:t xml:space="preserve"> appearance</w:t>
      </w:r>
      <w:r w:rsidR="001564FE">
        <w:rPr>
          <w:rFonts w:ascii="Book Antiqua" w:hAnsi="Book Antiqua" w:cs="Arial"/>
        </w:rPr>
        <w:t>,</w:t>
      </w:r>
      <w:r w:rsidR="00614C50">
        <w:rPr>
          <w:rFonts w:ascii="Book Antiqua" w:hAnsi="Book Antiqua" w:cs="Arial"/>
        </w:rPr>
        <w:t xml:space="preserve"> and characteristics of the scarring</w:t>
      </w:r>
      <w:r w:rsidR="001564FE">
        <w:rPr>
          <w:rFonts w:ascii="Book Antiqua" w:hAnsi="Book Antiqua" w:cs="Arial"/>
        </w:rPr>
        <w:t>,</w:t>
      </w:r>
      <w:r w:rsidR="00614C50">
        <w:rPr>
          <w:rFonts w:ascii="Book Antiqua" w:hAnsi="Book Antiqua" w:cs="Arial"/>
        </w:rPr>
        <w:t xml:space="preserve"> without explaining what it is about the appearance of the scars </w:t>
      </w:r>
      <w:r w:rsidR="001564FE">
        <w:rPr>
          <w:rFonts w:ascii="Book Antiqua" w:hAnsi="Book Antiqua" w:cs="Arial"/>
        </w:rPr>
        <w:t xml:space="preserve">or </w:t>
      </w:r>
      <w:r w:rsidR="00614C50">
        <w:rPr>
          <w:rFonts w:ascii="Book Antiqua" w:hAnsi="Book Antiqua" w:cs="Arial"/>
        </w:rPr>
        <w:t xml:space="preserve">what are the characteristics </w:t>
      </w:r>
      <w:r w:rsidR="001564FE">
        <w:rPr>
          <w:rFonts w:ascii="Book Antiqua" w:hAnsi="Book Antiqua" w:cs="Arial"/>
        </w:rPr>
        <w:t xml:space="preserve">which </w:t>
      </w:r>
      <w:r w:rsidR="00614C50">
        <w:rPr>
          <w:rFonts w:ascii="Book Antiqua" w:hAnsi="Book Antiqua" w:cs="Arial"/>
        </w:rPr>
        <w:t>enabled him to reach the conclusion [65].</w:t>
      </w:r>
    </w:p>
    <w:p w:rsidR="00614C50" w:rsidRDefault="00614C50"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Judge noted </w:t>
      </w:r>
      <w:r w:rsidR="001564FE">
        <w:rPr>
          <w:rFonts w:ascii="Book Antiqua" w:hAnsi="Book Antiqua" w:cs="Arial"/>
        </w:rPr>
        <w:t xml:space="preserve">a </w:t>
      </w:r>
      <w:r>
        <w:rPr>
          <w:rFonts w:ascii="Book Antiqua" w:hAnsi="Book Antiqua" w:cs="Arial"/>
        </w:rPr>
        <w:t xml:space="preserve">significant aspect of the medical evidence is an important omission that the appellant claimed </w:t>
      </w:r>
      <w:r w:rsidR="00D137DB">
        <w:rPr>
          <w:rFonts w:ascii="Book Antiqua" w:hAnsi="Book Antiqua" w:cs="Arial"/>
        </w:rPr>
        <w:t>in his a</w:t>
      </w:r>
      <w:r>
        <w:rPr>
          <w:rFonts w:ascii="Book Antiqua" w:hAnsi="Book Antiqua" w:cs="Arial"/>
        </w:rPr>
        <w:t xml:space="preserve">sylum interview that </w:t>
      </w:r>
      <w:r w:rsidR="00D137DB">
        <w:rPr>
          <w:rFonts w:ascii="Book Antiqua" w:hAnsi="Book Antiqua" w:cs="Arial"/>
        </w:rPr>
        <w:t xml:space="preserve">when he </w:t>
      </w:r>
      <w:r>
        <w:rPr>
          <w:rFonts w:ascii="Book Antiqua" w:hAnsi="Book Antiqua" w:cs="Arial"/>
        </w:rPr>
        <w:t xml:space="preserve">was tortured the authorities burnt his leg and that in </w:t>
      </w:r>
      <w:r w:rsidR="00D137DB">
        <w:rPr>
          <w:rFonts w:ascii="Book Antiqua" w:hAnsi="Book Antiqua" w:cs="Arial"/>
        </w:rPr>
        <w:t xml:space="preserve">his </w:t>
      </w:r>
      <w:r>
        <w:rPr>
          <w:rFonts w:ascii="Book Antiqua" w:hAnsi="Book Antiqua" w:cs="Arial"/>
        </w:rPr>
        <w:t xml:space="preserve">witness statement that both his legs were burned and that he had scars on his legs. The Judge would have expected deliberate burns to leave scars </w:t>
      </w:r>
      <w:r w:rsidR="00D137DB">
        <w:rPr>
          <w:rFonts w:ascii="Book Antiqua" w:hAnsi="Book Antiqua" w:cs="Arial"/>
        </w:rPr>
        <w:t xml:space="preserve">and for </w:t>
      </w:r>
      <w:r>
        <w:rPr>
          <w:rFonts w:ascii="Book Antiqua" w:hAnsi="Book Antiqua" w:cs="Arial"/>
        </w:rPr>
        <w:t>the</w:t>
      </w:r>
      <w:r w:rsidR="00D137DB">
        <w:rPr>
          <w:rFonts w:ascii="Book Antiqua" w:hAnsi="Book Antiqua" w:cs="Arial"/>
        </w:rPr>
        <w:t>re t</w:t>
      </w:r>
      <w:r>
        <w:rPr>
          <w:rFonts w:ascii="Book Antiqua" w:hAnsi="Book Antiqua" w:cs="Arial"/>
        </w:rPr>
        <w:t>o be scars on both legs</w:t>
      </w:r>
      <w:r w:rsidR="00D137DB">
        <w:rPr>
          <w:rFonts w:ascii="Book Antiqua" w:hAnsi="Book Antiqua" w:cs="Arial"/>
        </w:rPr>
        <w:t>;</w:t>
      </w:r>
      <w:r>
        <w:rPr>
          <w:rFonts w:ascii="Book Antiqua" w:hAnsi="Book Antiqua" w:cs="Arial"/>
        </w:rPr>
        <w:t xml:space="preserve"> although there was no reference by Mr Mason the scars which he found to be consistent</w:t>
      </w:r>
      <w:r w:rsidR="001313C8">
        <w:rPr>
          <w:rFonts w:ascii="Book Antiqua" w:hAnsi="Book Antiqua" w:cs="Arial"/>
        </w:rPr>
        <w:t xml:space="preserve"> in this area, the only finding</w:t>
      </w:r>
      <w:r w:rsidR="00A4791A">
        <w:rPr>
          <w:rFonts w:ascii="Book Antiqua" w:hAnsi="Book Antiqua" w:cs="Arial"/>
        </w:rPr>
        <w:t xml:space="preserve"> of </w:t>
      </w:r>
      <w:r w:rsidR="001313C8">
        <w:rPr>
          <w:rFonts w:ascii="Book Antiqua" w:hAnsi="Book Antiqua" w:cs="Arial"/>
        </w:rPr>
        <w:t>consisten</w:t>
      </w:r>
      <w:r w:rsidR="00A4791A">
        <w:rPr>
          <w:rFonts w:ascii="Book Antiqua" w:hAnsi="Book Antiqua" w:cs="Arial"/>
        </w:rPr>
        <w:t xml:space="preserve">cy </w:t>
      </w:r>
      <w:r w:rsidR="001313C8">
        <w:rPr>
          <w:rFonts w:ascii="Book Antiqua" w:hAnsi="Book Antiqua" w:cs="Arial"/>
        </w:rPr>
        <w:t xml:space="preserve">with </w:t>
      </w:r>
      <w:r w:rsidR="0049749E">
        <w:rPr>
          <w:rFonts w:ascii="Book Antiqua" w:hAnsi="Book Antiqua" w:cs="Arial"/>
        </w:rPr>
        <w:t xml:space="preserve">a </w:t>
      </w:r>
      <w:r w:rsidR="001313C8">
        <w:rPr>
          <w:rFonts w:ascii="Book Antiqua" w:hAnsi="Book Antiqua" w:cs="Arial"/>
        </w:rPr>
        <w:t xml:space="preserve">burn </w:t>
      </w:r>
      <w:r w:rsidR="00A4791A">
        <w:rPr>
          <w:rFonts w:ascii="Book Antiqua" w:hAnsi="Book Antiqua" w:cs="Arial"/>
        </w:rPr>
        <w:t xml:space="preserve">is </w:t>
      </w:r>
      <w:r w:rsidR="001313C8">
        <w:rPr>
          <w:rFonts w:ascii="Book Antiqua" w:hAnsi="Book Antiqua" w:cs="Arial"/>
        </w:rPr>
        <w:t xml:space="preserve">the scar on the left foot which it was </w:t>
      </w:r>
      <w:r w:rsidR="00365F7F">
        <w:rPr>
          <w:rFonts w:ascii="Book Antiqua" w:hAnsi="Book Antiqua" w:cs="Arial"/>
        </w:rPr>
        <w:t xml:space="preserve">said </w:t>
      </w:r>
      <w:r w:rsidR="001313C8">
        <w:rPr>
          <w:rFonts w:ascii="Book Antiqua" w:hAnsi="Book Antiqua" w:cs="Arial"/>
        </w:rPr>
        <w:t xml:space="preserve">might arise as a result of a superficial burn which might arise from infected insect bites or deep abrasion caused by accidental injury in everyday life. The Judge notes Mr Mason describes no scars on either of the appellants legs </w:t>
      </w:r>
      <w:r w:rsidR="00365F7F">
        <w:rPr>
          <w:rFonts w:ascii="Book Antiqua" w:hAnsi="Book Antiqua" w:cs="Arial"/>
        </w:rPr>
        <w:t xml:space="preserve">for </w:t>
      </w:r>
      <w:r w:rsidR="001313C8">
        <w:rPr>
          <w:rFonts w:ascii="Book Antiqua" w:hAnsi="Book Antiqua" w:cs="Arial"/>
        </w:rPr>
        <w:t>which no explanation has been given</w:t>
      </w:r>
      <w:r w:rsidR="00365F7F">
        <w:rPr>
          <w:rFonts w:ascii="Book Antiqua" w:hAnsi="Book Antiqua" w:cs="Arial"/>
        </w:rPr>
        <w:t xml:space="preserve"> </w:t>
      </w:r>
      <w:r w:rsidR="00365F7F">
        <w:rPr>
          <w:rFonts w:ascii="Book Antiqua" w:hAnsi="Book Antiqua" w:cs="Arial"/>
        </w:rPr>
        <w:lastRenderedPageBreak/>
        <w:t>and</w:t>
      </w:r>
      <w:r w:rsidR="001313C8">
        <w:rPr>
          <w:rFonts w:ascii="Book Antiqua" w:hAnsi="Book Antiqua" w:cs="Arial"/>
        </w:rPr>
        <w:t xml:space="preserve"> did not accept reference to </w:t>
      </w:r>
      <w:r w:rsidR="00365F7F">
        <w:rPr>
          <w:rFonts w:ascii="Book Antiqua" w:hAnsi="Book Antiqua" w:cs="Arial"/>
        </w:rPr>
        <w:t xml:space="preserve">there being a </w:t>
      </w:r>
      <w:r w:rsidR="001313C8">
        <w:rPr>
          <w:rFonts w:ascii="Book Antiqua" w:hAnsi="Book Antiqua" w:cs="Arial"/>
        </w:rPr>
        <w:t>burn on a leg was a reference to be</w:t>
      </w:r>
      <w:r w:rsidR="00365F7F">
        <w:rPr>
          <w:rFonts w:ascii="Book Antiqua" w:hAnsi="Book Antiqua" w:cs="Arial"/>
        </w:rPr>
        <w:t xml:space="preserve">ing </w:t>
      </w:r>
      <w:r w:rsidR="001313C8">
        <w:rPr>
          <w:rFonts w:ascii="Book Antiqua" w:hAnsi="Book Antiqua" w:cs="Arial"/>
        </w:rPr>
        <w:t xml:space="preserve">burnt on </w:t>
      </w:r>
      <w:r w:rsidR="00365F7F">
        <w:rPr>
          <w:rFonts w:ascii="Book Antiqua" w:hAnsi="Book Antiqua" w:cs="Arial"/>
        </w:rPr>
        <w:t xml:space="preserve">his </w:t>
      </w:r>
      <w:r w:rsidR="001313C8">
        <w:rPr>
          <w:rFonts w:ascii="Book Antiqua" w:hAnsi="Book Antiqua" w:cs="Arial"/>
        </w:rPr>
        <w:t>foot [66].</w:t>
      </w:r>
    </w:p>
    <w:p w:rsidR="001313C8" w:rsidRDefault="001313C8"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In relation to court documents provided by the appellant, </w:t>
      </w:r>
      <w:r w:rsidR="00365F7F">
        <w:rPr>
          <w:rFonts w:ascii="Book Antiqua" w:hAnsi="Book Antiqua" w:cs="Arial"/>
        </w:rPr>
        <w:t xml:space="preserve">the </w:t>
      </w:r>
      <w:r>
        <w:rPr>
          <w:rFonts w:ascii="Book Antiqua" w:hAnsi="Book Antiqua" w:cs="Arial"/>
        </w:rPr>
        <w:t>Judge pla</w:t>
      </w:r>
      <w:r w:rsidR="00365F7F">
        <w:rPr>
          <w:rFonts w:ascii="Book Antiqua" w:hAnsi="Book Antiqua" w:cs="Arial"/>
        </w:rPr>
        <w:t xml:space="preserve">ces </w:t>
      </w:r>
      <w:r>
        <w:rPr>
          <w:rFonts w:ascii="Book Antiqua" w:hAnsi="Book Antiqua" w:cs="Arial"/>
        </w:rPr>
        <w:t>no weight on a verification report prepared by the respondent</w:t>
      </w:r>
      <w:r w:rsidR="000A2FE8">
        <w:rPr>
          <w:rFonts w:ascii="Book Antiqua" w:hAnsi="Book Antiqua" w:cs="Arial"/>
        </w:rPr>
        <w:t xml:space="preserve"> [67].</w:t>
      </w:r>
    </w:p>
    <w:p w:rsidR="000A2FE8" w:rsidRDefault="000A2FE8"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considered whether the documents were genuine</w:t>
      </w:r>
      <w:r w:rsidR="0070393C">
        <w:rPr>
          <w:rFonts w:ascii="Book Antiqua" w:hAnsi="Book Antiqua" w:cs="Arial"/>
        </w:rPr>
        <w:t>,</w:t>
      </w:r>
      <w:r>
        <w:rPr>
          <w:rFonts w:ascii="Book Antiqua" w:hAnsi="Book Antiqua" w:cs="Arial"/>
        </w:rPr>
        <w:t xml:space="preserve"> bearing in mind the decision </w:t>
      </w:r>
      <w:r w:rsidR="0070393C">
        <w:rPr>
          <w:rFonts w:ascii="Book Antiqua" w:hAnsi="Book Antiqua" w:cs="Arial"/>
        </w:rPr>
        <w:t xml:space="preserve">in </w:t>
      </w:r>
      <w:r>
        <w:rPr>
          <w:rFonts w:ascii="Book Antiqua" w:hAnsi="Book Antiqua" w:cs="Arial"/>
        </w:rPr>
        <w:t>Tanveer Ahmed</w:t>
      </w:r>
      <w:r w:rsidR="0070393C">
        <w:rPr>
          <w:rFonts w:ascii="Book Antiqua" w:hAnsi="Book Antiqua" w:cs="Arial"/>
        </w:rPr>
        <w:t>, but</w:t>
      </w:r>
      <w:r>
        <w:rPr>
          <w:rFonts w:ascii="Book Antiqua" w:hAnsi="Book Antiqua" w:cs="Arial"/>
        </w:rPr>
        <w:t xml:space="preserve"> was not satisfied they are even </w:t>
      </w:r>
      <w:r w:rsidR="0070393C">
        <w:rPr>
          <w:rFonts w:ascii="Book Antiqua" w:hAnsi="Book Antiqua" w:cs="Arial"/>
        </w:rPr>
        <w:t xml:space="preserve">to </w:t>
      </w:r>
      <w:r>
        <w:rPr>
          <w:rFonts w:ascii="Book Antiqua" w:hAnsi="Book Antiqua" w:cs="Arial"/>
        </w:rPr>
        <w:t>the lower standard as a result of a number of inconsistencies both internal and with the other evidence [68].</w:t>
      </w:r>
      <w:r w:rsidR="000709B5">
        <w:rPr>
          <w:rFonts w:ascii="Book Antiqua" w:hAnsi="Book Antiqua" w:cs="Arial"/>
        </w:rPr>
        <w:t xml:space="preserve"> These matters are identified by the Judge between [69 – 76] of the decision under challenge.</w:t>
      </w:r>
    </w:p>
    <w:p w:rsidR="000709B5" w:rsidRDefault="000709B5"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Judge noted the appellant sought to establish the veracity of the court documents by means of a letter from a Mr </w:t>
      </w:r>
      <w:r w:rsidR="0070393C">
        <w:rPr>
          <w:rFonts w:ascii="Book Antiqua" w:hAnsi="Book Antiqua" w:cs="Arial"/>
        </w:rPr>
        <w:t>H</w:t>
      </w:r>
      <w:r>
        <w:rPr>
          <w:rFonts w:ascii="Book Antiqua" w:hAnsi="Book Antiqua" w:cs="Arial"/>
        </w:rPr>
        <w:t>andagama</w:t>
      </w:r>
      <w:r w:rsidR="0070393C">
        <w:rPr>
          <w:rFonts w:ascii="Book Antiqua" w:hAnsi="Book Antiqua" w:cs="Arial"/>
        </w:rPr>
        <w:t xml:space="preserve"> but</w:t>
      </w:r>
      <w:r w:rsidR="00DB43F8">
        <w:rPr>
          <w:rFonts w:ascii="Book Antiqua" w:hAnsi="Book Antiqua" w:cs="Arial"/>
        </w:rPr>
        <w:t xml:space="preserve"> found the letter itself contains some weaknesses, noting in particular, that the claim the registrar of the High Court in Colombo ha</w:t>
      </w:r>
      <w:r w:rsidR="0070393C">
        <w:rPr>
          <w:rFonts w:ascii="Book Antiqua" w:hAnsi="Book Antiqua" w:cs="Arial"/>
        </w:rPr>
        <w:t>d</w:t>
      </w:r>
      <w:r w:rsidR="00DB43F8">
        <w:rPr>
          <w:rFonts w:ascii="Book Antiqua" w:hAnsi="Book Antiqua" w:cs="Arial"/>
        </w:rPr>
        <w:t xml:space="preserve"> verified the court documents as be</w:t>
      </w:r>
      <w:r w:rsidR="0070393C">
        <w:rPr>
          <w:rFonts w:ascii="Book Antiqua" w:hAnsi="Book Antiqua" w:cs="Arial"/>
        </w:rPr>
        <w:t xml:space="preserve">ing </w:t>
      </w:r>
      <w:r w:rsidR="00DB43F8">
        <w:rPr>
          <w:rFonts w:ascii="Book Antiqua" w:hAnsi="Book Antiqua" w:cs="Arial"/>
        </w:rPr>
        <w:t xml:space="preserve">genuine was not supported by anything in writing from the </w:t>
      </w:r>
      <w:r w:rsidR="0070393C">
        <w:rPr>
          <w:rFonts w:ascii="Book Antiqua" w:hAnsi="Book Antiqua" w:cs="Arial"/>
        </w:rPr>
        <w:t>C</w:t>
      </w:r>
      <w:r w:rsidR="00DB43F8">
        <w:rPr>
          <w:rFonts w:ascii="Book Antiqua" w:hAnsi="Book Antiqua" w:cs="Arial"/>
        </w:rPr>
        <w:t>ourt confirming this. The Judge found it “odd” that an advocate would pay a fee for a verification service and come away with only a verbal assurance and that if assurance was given in writing it had not been produced [76].</w:t>
      </w:r>
    </w:p>
    <w:p w:rsidR="00DB43F8" w:rsidRDefault="00DB43F8"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did not find the appellant’s explanation for not claiming asylum earlier credible</w:t>
      </w:r>
      <w:r w:rsidR="00B0338C">
        <w:rPr>
          <w:rFonts w:ascii="Book Antiqua" w:hAnsi="Book Antiqua" w:cs="Arial"/>
        </w:rPr>
        <w:t xml:space="preserve"> [77 – 78] leading to a finding the appellant had failed to take advantage of a reasonable opportunity to make an asylum claim which was relevant to assessing the credibility of his claim [79].</w:t>
      </w:r>
    </w:p>
    <w:p w:rsidR="00B0338C" w:rsidRDefault="00B0338C"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Judge was not satisfied to </w:t>
      </w:r>
      <w:r w:rsidR="00B5020F">
        <w:rPr>
          <w:rFonts w:ascii="Book Antiqua" w:hAnsi="Book Antiqua" w:cs="Arial"/>
        </w:rPr>
        <w:t xml:space="preserve">the </w:t>
      </w:r>
      <w:r>
        <w:rPr>
          <w:rFonts w:ascii="Book Antiqua" w:hAnsi="Book Antiqua" w:cs="Arial"/>
        </w:rPr>
        <w:t xml:space="preserve">lower standard </w:t>
      </w:r>
      <w:r w:rsidR="00B5020F">
        <w:rPr>
          <w:rFonts w:ascii="Book Antiqua" w:hAnsi="Book Antiqua" w:cs="Arial"/>
        </w:rPr>
        <w:t xml:space="preserve">that </w:t>
      </w:r>
      <w:r>
        <w:rPr>
          <w:rFonts w:ascii="Book Antiqua" w:hAnsi="Book Antiqua" w:cs="Arial"/>
        </w:rPr>
        <w:t xml:space="preserve">the appellant was arrested and detained is claimed </w:t>
      </w:r>
      <w:r w:rsidR="00B5020F">
        <w:rPr>
          <w:rFonts w:ascii="Book Antiqua" w:hAnsi="Book Antiqua" w:cs="Arial"/>
        </w:rPr>
        <w:t xml:space="preserve">or </w:t>
      </w:r>
      <w:r>
        <w:rPr>
          <w:rFonts w:ascii="Book Antiqua" w:hAnsi="Book Antiqua" w:cs="Arial"/>
        </w:rPr>
        <w:t>that the court documents relied upon by him a</w:t>
      </w:r>
      <w:r w:rsidR="00B5020F">
        <w:rPr>
          <w:rFonts w:ascii="Book Antiqua" w:hAnsi="Book Antiqua" w:cs="Arial"/>
        </w:rPr>
        <w:t>re</w:t>
      </w:r>
      <w:r>
        <w:rPr>
          <w:rFonts w:ascii="Book Antiqua" w:hAnsi="Book Antiqua" w:cs="Arial"/>
        </w:rPr>
        <w:t xml:space="preserve"> genuine </w:t>
      </w:r>
      <w:r w:rsidR="00B5020F">
        <w:rPr>
          <w:rFonts w:ascii="Book Antiqua" w:hAnsi="Book Antiqua" w:cs="Arial"/>
        </w:rPr>
        <w:t xml:space="preserve">and </w:t>
      </w:r>
      <w:r>
        <w:rPr>
          <w:rFonts w:ascii="Book Antiqua" w:hAnsi="Book Antiqua" w:cs="Arial"/>
        </w:rPr>
        <w:t>was not satisfied the appellant is wanted by the authorities for breach of bail or for any other reason</w:t>
      </w:r>
      <w:r w:rsidR="00034A10">
        <w:rPr>
          <w:rFonts w:ascii="Book Antiqua" w:hAnsi="Book Antiqua" w:cs="Arial"/>
        </w:rPr>
        <w:t xml:space="preserve"> [81].</w:t>
      </w:r>
    </w:p>
    <w:p w:rsidR="00034A10" w:rsidRDefault="00034A10"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Judge notes the findings are not dependent upon a finding in respect of the appellant’s claimed employment by his brother and </w:t>
      </w:r>
      <w:r w:rsidR="00B5020F">
        <w:rPr>
          <w:rFonts w:ascii="Book Antiqua" w:hAnsi="Book Antiqua" w:cs="Arial"/>
        </w:rPr>
        <w:t xml:space="preserve">if the appellant </w:t>
      </w:r>
      <w:r>
        <w:rPr>
          <w:rFonts w:ascii="Book Antiqua" w:hAnsi="Book Antiqua" w:cs="Arial"/>
        </w:rPr>
        <w:t xml:space="preserve">were employed </w:t>
      </w:r>
      <w:r w:rsidR="00B5020F">
        <w:rPr>
          <w:rFonts w:ascii="Book Antiqua" w:hAnsi="Book Antiqua" w:cs="Arial"/>
        </w:rPr>
        <w:t xml:space="preserve">the </w:t>
      </w:r>
      <w:r>
        <w:rPr>
          <w:rFonts w:ascii="Book Antiqua" w:hAnsi="Book Antiqua" w:cs="Arial"/>
        </w:rPr>
        <w:t xml:space="preserve">Judge still </w:t>
      </w:r>
      <w:r w:rsidR="00E17E9E">
        <w:rPr>
          <w:rFonts w:ascii="Book Antiqua" w:hAnsi="Book Antiqua" w:cs="Arial"/>
        </w:rPr>
        <w:t xml:space="preserve">did </w:t>
      </w:r>
      <w:r>
        <w:rPr>
          <w:rFonts w:ascii="Book Antiqua" w:hAnsi="Book Antiqua" w:cs="Arial"/>
        </w:rPr>
        <w:t>not accept the remainder of the appellant’s account [82].</w:t>
      </w:r>
    </w:p>
    <w:p w:rsidR="00034A10" w:rsidRDefault="00034A10"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The Judge was not satisfied the appellant is at risk of persecution a</w:t>
      </w:r>
      <w:r w:rsidR="00E17E9E">
        <w:rPr>
          <w:rFonts w:ascii="Book Antiqua" w:hAnsi="Book Antiqua" w:cs="Arial"/>
        </w:rPr>
        <w:t xml:space="preserve">nd is </w:t>
      </w:r>
      <w:r>
        <w:rPr>
          <w:rFonts w:ascii="Book Antiqua" w:hAnsi="Book Antiqua" w:cs="Arial"/>
        </w:rPr>
        <w:t>not satisfied the authorities in Sri Lanka have any interest in him.</w:t>
      </w:r>
      <w:r w:rsidR="007000E8">
        <w:rPr>
          <w:rFonts w:ascii="Book Antiqua" w:hAnsi="Book Antiqua" w:cs="Arial"/>
        </w:rPr>
        <w:t xml:space="preserve"> The appellant’s own account is that he was not himself a supporter of the LTTE </w:t>
      </w:r>
      <w:r w:rsidR="00E17E9E">
        <w:rPr>
          <w:rFonts w:ascii="Book Antiqua" w:hAnsi="Book Antiqua" w:cs="Arial"/>
        </w:rPr>
        <w:t xml:space="preserve">and </w:t>
      </w:r>
      <w:r w:rsidR="007000E8">
        <w:rPr>
          <w:rFonts w:ascii="Book Antiqua" w:hAnsi="Book Antiqua" w:cs="Arial"/>
        </w:rPr>
        <w:t xml:space="preserve">that </w:t>
      </w:r>
      <w:r w:rsidR="00E17E9E">
        <w:rPr>
          <w:rFonts w:ascii="Book Antiqua" w:hAnsi="Book Antiqua" w:cs="Arial"/>
        </w:rPr>
        <w:t xml:space="preserve">he was only </w:t>
      </w:r>
      <w:r w:rsidR="007000E8">
        <w:rPr>
          <w:rFonts w:ascii="Book Antiqua" w:hAnsi="Book Antiqua" w:cs="Arial"/>
        </w:rPr>
        <w:t xml:space="preserve">suspected of being so because of DC’s dealings with the named individual. </w:t>
      </w:r>
      <w:r w:rsidR="00E17E9E">
        <w:rPr>
          <w:rFonts w:ascii="Book Antiqua" w:hAnsi="Book Antiqua" w:cs="Arial"/>
        </w:rPr>
        <w:t xml:space="preserve">The </w:t>
      </w:r>
      <w:r w:rsidR="007000E8">
        <w:rPr>
          <w:rFonts w:ascii="Book Antiqua" w:hAnsi="Book Antiqua" w:cs="Arial"/>
        </w:rPr>
        <w:t xml:space="preserve">Judge did not accept the appellant’s account was credible </w:t>
      </w:r>
      <w:r w:rsidR="00E17E9E">
        <w:rPr>
          <w:rFonts w:ascii="Book Antiqua" w:hAnsi="Book Antiqua" w:cs="Arial"/>
        </w:rPr>
        <w:t xml:space="preserve">or </w:t>
      </w:r>
      <w:r w:rsidR="007000E8">
        <w:rPr>
          <w:rFonts w:ascii="Book Antiqua" w:hAnsi="Book Antiqua" w:cs="Arial"/>
        </w:rPr>
        <w:t xml:space="preserve">that he is a person who falls within the risk categories </w:t>
      </w:r>
      <w:r w:rsidR="00E17E9E">
        <w:rPr>
          <w:rFonts w:ascii="Book Antiqua" w:hAnsi="Book Antiqua" w:cs="Arial"/>
        </w:rPr>
        <w:t xml:space="preserve">identified </w:t>
      </w:r>
      <w:r w:rsidR="007000E8">
        <w:rPr>
          <w:rFonts w:ascii="Book Antiqua" w:hAnsi="Book Antiqua" w:cs="Arial"/>
        </w:rPr>
        <w:t>in the country guidance case of GJ [83 – 87].</w:t>
      </w:r>
    </w:p>
    <w:p w:rsidR="007000E8" w:rsidRDefault="00B7030A" w:rsidP="00665290">
      <w:pPr>
        <w:numPr>
          <w:ilvl w:val="0"/>
          <w:numId w:val="6"/>
        </w:numPr>
        <w:tabs>
          <w:tab w:val="left" w:pos="1418"/>
        </w:tabs>
        <w:spacing w:before="120"/>
        <w:ind w:left="1418" w:hanging="567"/>
        <w:jc w:val="both"/>
        <w:rPr>
          <w:rFonts w:ascii="Book Antiqua" w:hAnsi="Book Antiqua" w:cs="Arial"/>
        </w:rPr>
      </w:pPr>
      <w:r>
        <w:rPr>
          <w:rFonts w:ascii="Book Antiqua" w:hAnsi="Book Antiqua" w:cs="Arial"/>
        </w:rPr>
        <w:t xml:space="preserve">The Judge notes no arguments were put forward in respect of article 8 ECHR although if they had been the claim would be rejected as the appellant has no family in the UK, his father </w:t>
      </w:r>
      <w:r w:rsidR="00DD766E">
        <w:rPr>
          <w:rFonts w:ascii="Book Antiqua" w:hAnsi="Book Antiqua" w:cs="Arial"/>
        </w:rPr>
        <w:t xml:space="preserve">lives in Sri Lanka </w:t>
      </w:r>
      <w:r>
        <w:rPr>
          <w:rFonts w:ascii="Book Antiqua" w:hAnsi="Book Antiqua" w:cs="Arial"/>
        </w:rPr>
        <w:t xml:space="preserve">where the appellant was born and </w:t>
      </w:r>
      <w:r w:rsidR="00DD766E">
        <w:rPr>
          <w:rFonts w:ascii="Book Antiqua" w:hAnsi="Book Antiqua" w:cs="Arial"/>
        </w:rPr>
        <w:t>educated,</w:t>
      </w:r>
      <w:r>
        <w:rPr>
          <w:rFonts w:ascii="Book Antiqua" w:hAnsi="Book Antiqua" w:cs="Arial"/>
        </w:rPr>
        <w:t xml:space="preserve"> and no reason </w:t>
      </w:r>
      <w:r w:rsidR="00DD766E">
        <w:rPr>
          <w:rFonts w:ascii="Book Antiqua" w:hAnsi="Book Antiqua" w:cs="Arial"/>
        </w:rPr>
        <w:t xml:space="preserve">had </w:t>
      </w:r>
      <w:r>
        <w:rPr>
          <w:rFonts w:ascii="Book Antiqua" w:hAnsi="Book Antiqua" w:cs="Arial"/>
        </w:rPr>
        <w:t>been established as to why he could not return there [88].</w:t>
      </w:r>
    </w:p>
    <w:p w:rsidR="0079390B" w:rsidRDefault="00357D1F"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lastRenderedPageBreak/>
        <w:t>The appellant sought permission to appeal</w:t>
      </w:r>
      <w:r w:rsidR="00210B87">
        <w:rPr>
          <w:rFonts w:ascii="Book Antiqua" w:hAnsi="Book Antiqua" w:cs="Arial"/>
        </w:rPr>
        <w:t xml:space="preserve"> which was initially refused by another judge of the First-tier Tribunal </w:t>
      </w:r>
      <w:r w:rsidR="00DD766E">
        <w:rPr>
          <w:rFonts w:ascii="Book Antiqua" w:hAnsi="Book Antiqua" w:cs="Arial"/>
        </w:rPr>
        <w:t xml:space="preserve">but </w:t>
      </w:r>
      <w:r w:rsidR="00210B87">
        <w:rPr>
          <w:rFonts w:ascii="Book Antiqua" w:hAnsi="Book Antiqua" w:cs="Arial"/>
        </w:rPr>
        <w:t>granted on a renewed application by the Upper Tribunal on 29 January 2018.</w:t>
      </w:r>
    </w:p>
    <w:p w:rsidR="00D32B8A" w:rsidRDefault="00DD766E" w:rsidP="003629BE">
      <w:pPr>
        <w:pStyle w:val="Heading5"/>
        <w:spacing w:before="240"/>
        <w:jc w:val="both"/>
        <w:rPr>
          <w:rFonts w:ascii="Book Antiqua" w:hAnsi="Book Antiqua" w:cs="Arial"/>
          <w:sz w:val="24"/>
        </w:rPr>
      </w:pPr>
      <w:r>
        <w:rPr>
          <w:rFonts w:ascii="Book Antiqua" w:hAnsi="Book Antiqua" w:cs="Arial"/>
          <w:sz w:val="24"/>
        </w:rPr>
        <w:t>Error of law</w:t>
      </w:r>
    </w:p>
    <w:p w:rsidR="00533631" w:rsidRDefault="00E04FE6"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The appellant asserts the Judge erred in considering the medical evidence</w:t>
      </w:r>
      <w:r w:rsidR="00DD766E">
        <w:rPr>
          <w:rFonts w:ascii="Book Antiqua" w:hAnsi="Book Antiqua" w:cs="Arial"/>
        </w:rPr>
        <w:t>,</w:t>
      </w:r>
      <w:r>
        <w:rPr>
          <w:rFonts w:ascii="Book Antiqua" w:hAnsi="Book Antiqua" w:cs="Arial"/>
        </w:rPr>
        <w:t xml:space="preserve"> </w:t>
      </w:r>
      <w:r w:rsidR="0065416B">
        <w:rPr>
          <w:rFonts w:ascii="Book Antiqua" w:hAnsi="Book Antiqua" w:cs="Arial"/>
        </w:rPr>
        <w:t>and</w:t>
      </w:r>
      <w:r w:rsidR="00DD766E">
        <w:rPr>
          <w:rFonts w:ascii="Book Antiqua" w:hAnsi="Book Antiqua" w:cs="Arial"/>
        </w:rPr>
        <w:t xml:space="preserve"> in</w:t>
      </w:r>
      <w:r w:rsidR="0065416B">
        <w:rPr>
          <w:rFonts w:ascii="Book Antiqua" w:hAnsi="Book Antiqua" w:cs="Arial"/>
        </w:rPr>
        <w:t xml:space="preserve"> making the findings recorded in relation to the same</w:t>
      </w:r>
      <w:r w:rsidR="00DD766E">
        <w:rPr>
          <w:rFonts w:ascii="Book Antiqua" w:hAnsi="Book Antiqua" w:cs="Arial"/>
        </w:rPr>
        <w:t>,</w:t>
      </w:r>
      <w:r w:rsidR="0065416B">
        <w:rPr>
          <w:rFonts w:ascii="Book Antiqua" w:hAnsi="Book Antiqua" w:cs="Arial"/>
        </w:rPr>
        <w:t xml:space="preserve"> despite the fact Mr Mason is an independent expert who undertakes medico legal work and has experience of 35 years of managing patients such as the appellant. </w:t>
      </w:r>
      <w:r w:rsidR="00475C5C">
        <w:rPr>
          <w:rFonts w:ascii="Book Antiqua" w:hAnsi="Book Antiqua" w:cs="Arial"/>
        </w:rPr>
        <w:t>The appellant states the medical expert</w:t>
      </w:r>
      <w:r w:rsidR="00ED2C75">
        <w:rPr>
          <w:rFonts w:ascii="Book Antiqua" w:hAnsi="Book Antiqua" w:cs="Arial"/>
        </w:rPr>
        <w:t>’</w:t>
      </w:r>
      <w:r w:rsidR="00475C5C">
        <w:rPr>
          <w:rFonts w:ascii="Book Antiqua" w:hAnsi="Book Antiqua" w:cs="Arial"/>
        </w:rPr>
        <w:t xml:space="preserve">s conclusion was that </w:t>
      </w:r>
      <w:r w:rsidR="00ED2C75">
        <w:rPr>
          <w:rFonts w:ascii="Book Antiqua" w:hAnsi="Book Antiqua" w:cs="Arial"/>
        </w:rPr>
        <w:t xml:space="preserve">the </w:t>
      </w:r>
      <w:r w:rsidR="00475C5C">
        <w:rPr>
          <w:rFonts w:ascii="Book Antiqua" w:hAnsi="Book Antiqua" w:cs="Arial"/>
        </w:rPr>
        <w:t xml:space="preserve">scars are consistent with the appellant’s account as to the manner in which the wounds that cause them arose and that the Judge erred in putting himself in the position of an expert </w:t>
      </w:r>
      <w:r w:rsidR="00ED2C75">
        <w:rPr>
          <w:rFonts w:ascii="Book Antiqua" w:hAnsi="Book Antiqua" w:cs="Arial"/>
        </w:rPr>
        <w:t xml:space="preserve">and </w:t>
      </w:r>
      <w:r w:rsidR="00475C5C">
        <w:rPr>
          <w:rFonts w:ascii="Book Antiqua" w:hAnsi="Book Antiqua" w:cs="Arial"/>
        </w:rPr>
        <w:t xml:space="preserve">in questioning the medical evidence whilst not providing sufficient reasons for the findings made. The appellant asserts the Judge erred by arriving at credibility findings in isolation of the medical evidence </w:t>
      </w:r>
      <w:r w:rsidR="00ED2C75">
        <w:rPr>
          <w:rFonts w:ascii="Book Antiqua" w:hAnsi="Book Antiqua" w:cs="Arial"/>
        </w:rPr>
        <w:t xml:space="preserve">and </w:t>
      </w:r>
      <w:r w:rsidR="00475C5C">
        <w:rPr>
          <w:rFonts w:ascii="Book Antiqua" w:hAnsi="Book Antiqua" w:cs="Arial"/>
        </w:rPr>
        <w:t>that the correct approach should have been for the Judge to assess in light of all the evidence</w:t>
      </w:r>
      <w:r w:rsidR="00ED2C75">
        <w:rPr>
          <w:rFonts w:ascii="Book Antiqua" w:hAnsi="Book Antiqua" w:cs="Arial"/>
        </w:rPr>
        <w:t>,</w:t>
      </w:r>
      <w:r w:rsidR="00475C5C">
        <w:rPr>
          <w:rFonts w:ascii="Book Antiqua" w:hAnsi="Book Antiqua" w:cs="Arial"/>
        </w:rPr>
        <w:t xml:space="preserve"> including the medical evidence</w:t>
      </w:r>
      <w:r w:rsidR="00ED2C75">
        <w:rPr>
          <w:rFonts w:ascii="Book Antiqua" w:hAnsi="Book Antiqua" w:cs="Arial"/>
        </w:rPr>
        <w:t>,</w:t>
      </w:r>
      <w:r w:rsidR="00475C5C">
        <w:rPr>
          <w:rFonts w:ascii="Book Antiqua" w:hAnsi="Book Antiqua" w:cs="Arial"/>
        </w:rPr>
        <w:t xml:space="preserve"> whether the appellant was telling the truth. The appellant claims the Judge erred as he failed to make findings as to whether he accepts or rejects the independent expert report </w:t>
      </w:r>
      <w:r w:rsidR="00533631">
        <w:rPr>
          <w:rFonts w:ascii="Book Antiqua" w:hAnsi="Book Antiqua" w:cs="Arial"/>
        </w:rPr>
        <w:t>o</w:t>
      </w:r>
      <w:r w:rsidR="00ED2C75">
        <w:rPr>
          <w:rFonts w:ascii="Book Antiqua" w:hAnsi="Book Antiqua" w:cs="Arial"/>
        </w:rPr>
        <w:t xml:space="preserve">r </w:t>
      </w:r>
      <w:r w:rsidR="00533631">
        <w:rPr>
          <w:rFonts w:ascii="Book Antiqua" w:hAnsi="Book Antiqua" w:cs="Arial"/>
        </w:rPr>
        <w:t>the expert</w:t>
      </w:r>
      <w:r w:rsidR="00ED2C75">
        <w:rPr>
          <w:rFonts w:ascii="Book Antiqua" w:hAnsi="Book Antiqua" w:cs="Arial"/>
        </w:rPr>
        <w:t>’</w:t>
      </w:r>
      <w:r w:rsidR="00533631">
        <w:rPr>
          <w:rFonts w:ascii="Book Antiqua" w:hAnsi="Book Antiqua" w:cs="Arial"/>
        </w:rPr>
        <w:t xml:space="preserve">s conclusion that the injuries are consistent with the appellant’s claim of being tortured. </w:t>
      </w:r>
    </w:p>
    <w:p w:rsidR="00743E16" w:rsidRDefault="00533631"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It is not disputed or in fact challenged by the Judge that Mr Mason is who he claims to be, namely a specialist in accident and emergency medicine. The report dated 25 August 2016 </w:t>
      </w:r>
      <w:r w:rsidR="00591537">
        <w:rPr>
          <w:rFonts w:ascii="Book Antiqua" w:hAnsi="Book Antiqua" w:cs="Arial"/>
        </w:rPr>
        <w:t>examin</w:t>
      </w:r>
      <w:r w:rsidR="00D604FA">
        <w:rPr>
          <w:rFonts w:ascii="Book Antiqua" w:hAnsi="Book Antiqua" w:cs="Arial"/>
        </w:rPr>
        <w:t>ed t</w:t>
      </w:r>
      <w:r w:rsidR="00591537">
        <w:rPr>
          <w:rFonts w:ascii="Book Antiqua" w:hAnsi="Book Antiqua" w:cs="Arial"/>
        </w:rPr>
        <w:t>he scars b</w:t>
      </w:r>
      <w:r w:rsidR="00D604FA">
        <w:rPr>
          <w:rFonts w:ascii="Book Antiqua" w:hAnsi="Book Antiqua" w:cs="Arial"/>
        </w:rPr>
        <w:t>r</w:t>
      </w:r>
      <w:r w:rsidR="00591537">
        <w:rPr>
          <w:rFonts w:ascii="Book Antiqua" w:hAnsi="Book Antiqua" w:cs="Arial"/>
        </w:rPr>
        <w:t>ought to the doctor’s attention by the appellant (see 1.4 of the report) which were identified by Mr Mason has be</w:t>
      </w:r>
      <w:r w:rsidR="00D604FA">
        <w:rPr>
          <w:rFonts w:ascii="Book Antiqua" w:hAnsi="Book Antiqua" w:cs="Arial"/>
        </w:rPr>
        <w:t xml:space="preserve">ing </w:t>
      </w:r>
      <w:r w:rsidR="00591537">
        <w:rPr>
          <w:rFonts w:ascii="Book Antiqua" w:hAnsi="Book Antiqua" w:cs="Arial"/>
        </w:rPr>
        <w:t xml:space="preserve">mature scars which was to say they resulted from injuries that occurred in excess of 12 months ago </w:t>
      </w:r>
      <w:r w:rsidR="00A9718B">
        <w:rPr>
          <w:rFonts w:ascii="Book Antiqua" w:hAnsi="Book Antiqua" w:cs="Arial"/>
        </w:rPr>
        <w:t>and that a more precise dating of the scars could not be made. As noted by the Judge, Mr Mason found that the scars are non-specific in relation to scars 1 to 5 and that scar 6 is the sort of scar that would result from a wound caused when the skin at that point strikes or is struck obliquely</w:t>
      </w:r>
      <w:r w:rsidR="00743E16">
        <w:rPr>
          <w:rFonts w:ascii="Book Antiqua" w:hAnsi="Book Antiqua" w:cs="Arial"/>
        </w:rPr>
        <w:t xml:space="preserve"> raising a flap with the proximal base which might arise as a result of an accidental fall against a </w:t>
      </w:r>
      <w:proofErr w:type="gramStart"/>
      <w:r w:rsidR="00743E16">
        <w:rPr>
          <w:rFonts w:ascii="Book Antiqua" w:hAnsi="Book Antiqua" w:cs="Arial"/>
        </w:rPr>
        <w:t>hard edged</w:t>
      </w:r>
      <w:proofErr w:type="gramEnd"/>
      <w:r w:rsidR="00743E16">
        <w:rPr>
          <w:rFonts w:ascii="Book Antiqua" w:hAnsi="Book Antiqua" w:cs="Arial"/>
        </w:rPr>
        <w:t xml:space="preserve"> object or could be the result of a deliberate blow to the ankle with a hard edged object. In his </w:t>
      </w:r>
      <w:r w:rsidR="00CB4416">
        <w:rPr>
          <w:rFonts w:ascii="Book Antiqua" w:hAnsi="Book Antiqua" w:cs="Arial"/>
        </w:rPr>
        <w:t>‘O</w:t>
      </w:r>
      <w:r w:rsidR="00743E16">
        <w:rPr>
          <w:rFonts w:ascii="Book Antiqua" w:hAnsi="Book Antiqua" w:cs="Arial"/>
        </w:rPr>
        <w:t>pinion</w:t>
      </w:r>
      <w:r w:rsidR="00CB4416">
        <w:rPr>
          <w:rFonts w:ascii="Book Antiqua" w:hAnsi="Book Antiqua" w:cs="Arial"/>
        </w:rPr>
        <w:t>’</w:t>
      </w:r>
      <w:r w:rsidR="00743E16">
        <w:rPr>
          <w:rFonts w:ascii="Book Antiqua" w:hAnsi="Book Antiqua" w:cs="Arial"/>
        </w:rPr>
        <w:t xml:space="preserve"> section Mr Mason writes:</w:t>
      </w:r>
    </w:p>
    <w:p w:rsidR="00743E16" w:rsidRPr="00665290" w:rsidRDefault="00743E16" w:rsidP="00665290">
      <w:pPr>
        <w:spacing w:before="120"/>
        <w:ind w:left="1985" w:hanging="564"/>
        <w:jc w:val="both"/>
        <w:rPr>
          <w:rFonts w:ascii="Book Antiqua" w:hAnsi="Book Antiqua" w:cs="Arial"/>
          <w:szCs w:val="20"/>
        </w:rPr>
      </w:pPr>
      <w:r w:rsidRPr="00665290">
        <w:rPr>
          <w:rFonts w:ascii="Book Antiqua" w:hAnsi="Book Antiqua" w:cs="Arial"/>
          <w:szCs w:val="20"/>
        </w:rPr>
        <w:t>6. Opinion:</w:t>
      </w:r>
    </w:p>
    <w:p w:rsidR="00743E16" w:rsidRPr="00665290" w:rsidRDefault="00743E16"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6.1 </w:t>
      </w:r>
      <w:r w:rsidR="00CB4416" w:rsidRPr="00665290">
        <w:rPr>
          <w:rFonts w:ascii="Book Antiqua" w:hAnsi="Book Antiqua" w:cs="Arial"/>
          <w:szCs w:val="20"/>
        </w:rPr>
        <w:tab/>
        <w:t>T</w:t>
      </w:r>
      <w:r w:rsidRPr="00665290">
        <w:rPr>
          <w:rFonts w:ascii="Book Antiqua" w:hAnsi="Book Antiqua" w:cs="Arial"/>
          <w:szCs w:val="20"/>
        </w:rPr>
        <w:t xml:space="preserve">he scars on </w:t>
      </w:r>
      <w:r w:rsidR="00CB4416" w:rsidRPr="00665290">
        <w:rPr>
          <w:rFonts w:ascii="Book Antiqua" w:hAnsi="Book Antiqua" w:cs="Arial"/>
          <w:szCs w:val="20"/>
        </w:rPr>
        <w:t>[</w:t>
      </w:r>
      <w:r w:rsidRPr="00665290">
        <w:rPr>
          <w:rFonts w:ascii="Book Antiqua" w:hAnsi="Book Antiqua" w:cs="Arial"/>
          <w:szCs w:val="20"/>
        </w:rPr>
        <w:t xml:space="preserve">Mr </w:t>
      </w:r>
      <w:r w:rsidR="00CB4416" w:rsidRPr="00665290">
        <w:rPr>
          <w:rFonts w:ascii="Book Antiqua" w:hAnsi="Book Antiqua" w:cs="Arial"/>
          <w:szCs w:val="20"/>
        </w:rPr>
        <w:t>S]</w:t>
      </w:r>
      <w:r w:rsidRPr="00665290">
        <w:rPr>
          <w:rFonts w:ascii="Book Antiqua" w:hAnsi="Book Antiqua" w:cs="Arial"/>
          <w:szCs w:val="20"/>
        </w:rPr>
        <w:t xml:space="preserve"> face, back and left hand</w:t>
      </w:r>
      <w:r w:rsidR="00DE49C7" w:rsidRPr="00665290">
        <w:rPr>
          <w:rFonts w:ascii="Book Antiqua" w:hAnsi="Book Antiqua" w:cs="Arial"/>
          <w:szCs w:val="20"/>
        </w:rPr>
        <w:t xml:space="preserve"> are all non-specific. They are the sort of scars that might arise as a result of accidental or deliberate injuries.</w:t>
      </w:r>
    </w:p>
    <w:p w:rsidR="00DE49C7" w:rsidRPr="00665290" w:rsidRDefault="00DE49C7"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6.2 </w:t>
      </w:r>
      <w:r w:rsidR="00CB4416" w:rsidRPr="00665290">
        <w:rPr>
          <w:rFonts w:ascii="Book Antiqua" w:hAnsi="Book Antiqua" w:cs="Arial"/>
          <w:szCs w:val="20"/>
        </w:rPr>
        <w:tab/>
        <w:t>[</w:t>
      </w:r>
      <w:r w:rsidRPr="00665290">
        <w:rPr>
          <w:rFonts w:ascii="Book Antiqua" w:hAnsi="Book Antiqua" w:cs="Arial"/>
          <w:szCs w:val="20"/>
        </w:rPr>
        <w:t>Mr S</w:t>
      </w:r>
      <w:r w:rsidR="00CB4416" w:rsidRPr="00665290">
        <w:rPr>
          <w:rFonts w:ascii="Book Antiqua" w:hAnsi="Book Antiqua" w:cs="Arial"/>
          <w:szCs w:val="20"/>
        </w:rPr>
        <w:t>]</w:t>
      </w:r>
      <w:r w:rsidRPr="00665290">
        <w:rPr>
          <w:rFonts w:ascii="Book Antiqua" w:hAnsi="Book Antiqua" w:cs="Arial"/>
          <w:szCs w:val="20"/>
        </w:rPr>
        <w:t xml:space="preserve"> described to me how he was punched in his face and his eyebrows were lacerated. The lacerations healed to form the scars described above (scars 1 and 2). Punches to the face frequently split the skin overlying the upper orbital reach particularly if the fist bears signet rings. The scars on </w:t>
      </w:r>
      <w:r w:rsidR="00CB4416" w:rsidRPr="00665290">
        <w:rPr>
          <w:rFonts w:ascii="Book Antiqua" w:hAnsi="Book Antiqua" w:cs="Arial"/>
          <w:szCs w:val="20"/>
        </w:rPr>
        <w:t>[</w:t>
      </w:r>
      <w:r w:rsidRPr="00665290">
        <w:rPr>
          <w:rFonts w:ascii="Book Antiqua" w:hAnsi="Book Antiqua" w:cs="Arial"/>
          <w:szCs w:val="20"/>
        </w:rPr>
        <w:t xml:space="preserve">Mr </w:t>
      </w:r>
      <w:r w:rsidR="00CB4416" w:rsidRPr="00665290">
        <w:rPr>
          <w:rFonts w:ascii="Book Antiqua" w:hAnsi="Book Antiqua" w:cs="Arial"/>
          <w:szCs w:val="20"/>
        </w:rPr>
        <w:t>S]</w:t>
      </w:r>
      <w:r w:rsidRPr="00665290">
        <w:rPr>
          <w:rFonts w:ascii="Book Antiqua" w:hAnsi="Book Antiqua" w:cs="Arial"/>
          <w:szCs w:val="20"/>
        </w:rPr>
        <w:t xml:space="preserve"> face </w:t>
      </w:r>
      <w:proofErr w:type="gramStart"/>
      <w:r w:rsidRPr="00665290">
        <w:rPr>
          <w:rFonts w:ascii="Book Antiqua" w:hAnsi="Book Antiqua" w:cs="Arial"/>
          <w:szCs w:val="20"/>
        </w:rPr>
        <w:t>are</w:t>
      </w:r>
      <w:proofErr w:type="gramEnd"/>
      <w:r w:rsidRPr="00665290">
        <w:rPr>
          <w:rFonts w:ascii="Book Antiqua" w:hAnsi="Book Antiqua" w:cs="Arial"/>
          <w:szCs w:val="20"/>
        </w:rPr>
        <w:t xml:space="preserve"> highly consistent with his account that the wounds that cause them resulted from being punched there.</w:t>
      </w:r>
    </w:p>
    <w:p w:rsidR="00866523" w:rsidRPr="00665290" w:rsidRDefault="00866523" w:rsidP="00665290">
      <w:pPr>
        <w:spacing w:before="120"/>
        <w:ind w:left="1985" w:hanging="564"/>
        <w:jc w:val="both"/>
        <w:rPr>
          <w:rFonts w:ascii="Book Antiqua" w:hAnsi="Book Antiqua" w:cs="Arial"/>
          <w:szCs w:val="20"/>
        </w:rPr>
      </w:pPr>
      <w:r w:rsidRPr="00665290">
        <w:rPr>
          <w:rFonts w:ascii="Book Antiqua" w:hAnsi="Book Antiqua" w:cs="Arial"/>
          <w:szCs w:val="20"/>
        </w:rPr>
        <w:lastRenderedPageBreak/>
        <w:t xml:space="preserve">6.3 </w:t>
      </w:r>
      <w:r w:rsidR="00F62AFB" w:rsidRPr="00665290">
        <w:rPr>
          <w:rFonts w:ascii="Book Antiqua" w:hAnsi="Book Antiqua" w:cs="Arial"/>
          <w:szCs w:val="20"/>
        </w:rPr>
        <w:tab/>
        <w:t>[</w:t>
      </w:r>
      <w:r w:rsidRPr="00665290">
        <w:rPr>
          <w:rFonts w:ascii="Book Antiqua" w:hAnsi="Book Antiqua" w:cs="Arial"/>
          <w:szCs w:val="20"/>
        </w:rPr>
        <w:t>Mr S</w:t>
      </w:r>
      <w:r w:rsidR="00F62AFB" w:rsidRPr="00665290">
        <w:rPr>
          <w:rFonts w:ascii="Book Antiqua" w:hAnsi="Book Antiqua" w:cs="Arial"/>
          <w:szCs w:val="20"/>
        </w:rPr>
        <w:t>]</w:t>
      </w:r>
      <w:r w:rsidRPr="00665290">
        <w:rPr>
          <w:rFonts w:ascii="Book Antiqua" w:hAnsi="Book Antiqua" w:cs="Arial"/>
          <w:szCs w:val="20"/>
        </w:rPr>
        <w:t xml:space="preserve"> described how he was dragged across rough ground and sustained lacerations to his back. Scars 3 on the upper part of his back lie over the most prominent part of his skin overlying the shoulder blades. The scars, although non-specific, are consistent with his account </w:t>
      </w:r>
      <w:r w:rsidR="00F62AFB" w:rsidRPr="00665290">
        <w:rPr>
          <w:rFonts w:ascii="Book Antiqua" w:hAnsi="Book Antiqua" w:cs="Arial"/>
          <w:szCs w:val="20"/>
        </w:rPr>
        <w:t xml:space="preserve">of being </w:t>
      </w:r>
      <w:r w:rsidRPr="00665290">
        <w:rPr>
          <w:rFonts w:ascii="Book Antiqua" w:hAnsi="Book Antiqua" w:cs="Arial"/>
          <w:szCs w:val="20"/>
        </w:rPr>
        <w:t>cut there as a result of being dragged across rough ground, although an accidental injury might also account for these scars.</w:t>
      </w:r>
    </w:p>
    <w:p w:rsidR="00866523" w:rsidRPr="00665290" w:rsidRDefault="00866523"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6.4 </w:t>
      </w:r>
      <w:r w:rsidR="00F62AFB" w:rsidRPr="00665290">
        <w:rPr>
          <w:rFonts w:ascii="Book Antiqua" w:hAnsi="Book Antiqua" w:cs="Arial"/>
          <w:szCs w:val="20"/>
        </w:rPr>
        <w:tab/>
        <w:t>T</w:t>
      </w:r>
      <w:r w:rsidRPr="00665290">
        <w:rPr>
          <w:rFonts w:ascii="Book Antiqua" w:hAnsi="Book Antiqua" w:cs="Arial"/>
          <w:szCs w:val="20"/>
        </w:rPr>
        <w:t xml:space="preserve">he scars on </w:t>
      </w:r>
      <w:r w:rsidR="00F62AFB" w:rsidRPr="00665290">
        <w:rPr>
          <w:rFonts w:ascii="Book Antiqua" w:hAnsi="Book Antiqua" w:cs="Arial"/>
          <w:szCs w:val="20"/>
        </w:rPr>
        <w:t>[</w:t>
      </w:r>
      <w:r w:rsidRPr="00665290">
        <w:rPr>
          <w:rFonts w:ascii="Book Antiqua" w:hAnsi="Book Antiqua" w:cs="Arial"/>
          <w:szCs w:val="20"/>
        </w:rPr>
        <w:t xml:space="preserve">Mr </w:t>
      </w:r>
      <w:r w:rsidR="00F62AFB" w:rsidRPr="00665290">
        <w:rPr>
          <w:rFonts w:ascii="Book Antiqua" w:hAnsi="Book Antiqua" w:cs="Arial"/>
          <w:szCs w:val="20"/>
        </w:rPr>
        <w:t>S]</w:t>
      </w:r>
      <w:r w:rsidRPr="00665290">
        <w:rPr>
          <w:rFonts w:ascii="Book Antiqua" w:hAnsi="Book Antiqua" w:cs="Arial"/>
          <w:szCs w:val="20"/>
        </w:rPr>
        <w:t xml:space="preserve"> left wrist</w:t>
      </w:r>
      <w:r w:rsidR="00AB1116" w:rsidRPr="00665290">
        <w:rPr>
          <w:rFonts w:ascii="Book Antiqua" w:hAnsi="Book Antiqua" w:cs="Arial"/>
          <w:szCs w:val="20"/>
        </w:rPr>
        <w:t xml:space="preserve"> (scar 4) are consistent with his account of being struck there with an iron bar such as is used in reinforced concrete. These bars frequently have ridges and a blow from one of the bars might well lacerate the skin in</w:t>
      </w:r>
      <w:r w:rsidR="00F62AFB" w:rsidRPr="00665290">
        <w:rPr>
          <w:rFonts w:ascii="Book Antiqua" w:hAnsi="Book Antiqua" w:cs="Arial"/>
          <w:szCs w:val="20"/>
        </w:rPr>
        <w:t xml:space="preserve"> </w:t>
      </w:r>
      <w:r w:rsidR="00AB1116" w:rsidRPr="00665290">
        <w:rPr>
          <w:rFonts w:ascii="Book Antiqua" w:hAnsi="Book Antiqua" w:cs="Arial"/>
          <w:szCs w:val="20"/>
        </w:rPr>
        <w:t>t</w:t>
      </w:r>
      <w:r w:rsidR="00F62AFB" w:rsidRPr="00665290">
        <w:rPr>
          <w:rFonts w:ascii="Book Antiqua" w:hAnsi="Book Antiqua" w:cs="Arial"/>
          <w:szCs w:val="20"/>
        </w:rPr>
        <w:t>w</w:t>
      </w:r>
      <w:r w:rsidR="00AB1116" w:rsidRPr="00665290">
        <w:rPr>
          <w:rFonts w:ascii="Book Antiqua" w:hAnsi="Book Antiqua" w:cs="Arial"/>
          <w:szCs w:val="20"/>
        </w:rPr>
        <w:t>o places leaving small, parallel scars such as these. An accidental injury might also account for these scars.</w:t>
      </w:r>
    </w:p>
    <w:p w:rsidR="00AB1116" w:rsidRPr="00665290" w:rsidRDefault="00AB1116"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6.5 </w:t>
      </w:r>
      <w:r w:rsidR="00F62AFB" w:rsidRPr="00665290">
        <w:rPr>
          <w:rFonts w:ascii="Book Antiqua" w:hAnsi="Book Antiqua" w:cs="Arial"/>
          <w:szCs w:val="20"/>
        </w:rPr>
        <w:tab/>
        <w:t>S</w:t>
      </w:r>
      <w:r w:rsidRPr="00665290">
        <w:rPr>
          <w:rFonts w:ascii="Book Antiqua" w:hAnsi="Book Antiqua" w:cs="Arial"/>
          <w:szCs w:val="20"/>
        </w:rPr>
        <w:t xml:space="preserve">cars on </w:t>
      </w:r>
      <w:r w:rsidR="00F62AFB" w:rsidRPr="00665290">
        <w:rPr>
          <w:rFonts w:ascii="Book Antiqua" w:hAnsi="Book Antiqua" w:cs="Arial"/>
          <w:szCs w:val="20"/>
        </w:rPr>
        <w:t>[</w:t>
      </w:r>
      <w:r w:rsidRPr="00665290">
        <w:rPr>
          <w:rFonts w:ascii="Book Antiqua" w:hAnsi="Book Antiqua" w:cs="Arial"/>
          <w:szCs w:val="20"/>
        </w:rPr>
        <w:t xml:space="preserve">Mr </w:t>
      </w:r>
      <w:r w:rsidR="00F62AFB" w:rsidRPr="00665290">
        <w:rPr>
          <w:rFonts w:ascii="Book Antiqua" w:hAnsi="Book Antiqua" w:cs="Arial"/>
          <w:szCs w:val="20"/>
        </w:rPr>
        <w:t xml:space="preserve">S] </w:t>
      </w:r>
      <w:r w:rsidRPr="00665290">
        <w:rPr>
          <w:rFonts w:ascii="Book Antiqua" w:hAnsi="Book Antiqua" w:cs="Arial"/>
          <w:szCs w:val="20"/>
        </w:rPr>
        <w:t>feet (scars 5) are non-specific. Little information can be gained from the characteristics of the scars. They are consistent with scars from superficial burns but could equally well be the result of infected abrasions or insect bites.</w:t>
      </w:r>
    </w:p>
    <w:p w:rsidR="00AB1116" w:rsidRPr="00665290" w:rsidRDefault="00AB1116"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6.6 </w:t>
      </w:r>
      <w:r w:rsidR="00F179C0" w:rsidRPr="00665290">
        <w:rPr>
          <w:rFonts w:ascii="Book Antiqua" w:hAnsi="Book Antiqua" w:cs="Arial"/>
          <w:szCs w:val="20"/>
        </w:rPr>
        <w:tab/>
        <w:t>T</w:t>
      </w:r>
      <w:r w:rsidR="00873D3D" w:rsidRPr="00665290">
        <w:rPr>
          <w:rFonts w:ascii="Book Antiqua" w:hAnsi="Book Antiqua" w:cs="Arial"/>
          <w:szCs w:val="20"/>
        </w:rPr>
        <w:t xml:space="preserve">he scar on </w:t>
      </w:r>
      <w:r w:rsidR="00F179C0" w:rsidRPr="00665290">
        <w:rPr>
          <w:rFonts w:ascii="Book Antiqua" w:hAnsi="Book Antiqua" w:cs="Arial"/>
          <w:szCs w:val="20"/>
        </w:rPr>
        <w:t>[</w:t>
      </w:r>
      <w:r w:rsidR="00873D3D" w:rsidRPr="00665290">
        <w:rPr>
          <w:rFonts w:ascii="Book Antiqua" w:hAnsi="Book Antiqua" w:cs="Arial"/>
          <w:szCs w:val="20"/>
        </w:rPr>
        <w:t xml:space="preserve">Mr </w:t>
      </w:r>
      <w:r w:rsidR="00F179C0" w:rsidRPr="00665290">
        <w:rPr>
          <w:rFonts w:ascii="Book Antiqua" w:hAnsi="Book Antiqua" w:cs="Arial"/>
          <w:szCs w:val="20"/>
        </w:rPr>
        <w:t xml:space="preserve">S] </w:t>
      </w:r>
      <w:r w:rsidR="00873D3D" w:rsidRPr="00665290">
        <w:rPr>
          <w:rFonts w:ascii="Book Antiqua" w:hAnsi="Book Antiqua" w:cs="Arial"/>
          <w:szCs w:val="20"/>
        </w:rPr>
        <w:t xml:space="preserve">right ankle (scar 6) is the sort of scar that would result from a blow to the area with </w:t>
      </w:r>
      <w:r w:rsidR="00F179C0" w:rsidRPr="00665290">
        <w:rPr>
          <w:rFonts w:ascii="Book Antiqua" w:hAnsi="Book Antiqua" w:cs="Arial"/>
          <w:szCs w:val="20"/>
        </w:rPr>
        <w:t xml:space="preserve">a </w:t>
      </w:r>
      <w:r w:rsidR="00873D3D" w:rsidRPr="00665290">
        <w:rPr>
          <w:rFonts w:ascii="Book Antiqua" w:hAnsi="Book Antiqua" w:cs="Arial"/>
          <w:szCs w:val="20"/>
        </w:rPr>
        <w:t>hard object</w:t>
      </w:r>
      <w:r w:rsidR="007D3E4D" w:rsidRPr="00665290">
        <w:rPr>
          <w:rFonts w:ascii="Book Antiqua" w:hAnsi="Book Antiqua" w:cs="Arial"/>
          <w:szCs w:val="20"/>
        </w:rPr>
        <w:t xml:space="preserve"> such as a metal bar or any other hard object, splitting the skin and dragging it upwards. </w:t>
      </w:r>
      <w:r w:rsidR="00F179C0" w:rsidRPr="00665290">
        <w:rPr>
          <w:rFonts w:ascii="Book Antiqua" w:hAnsi="Book Antiqua" w:cs="Arial"/>
          <w:szCs w:val="20"/>
        </w:rPr>
        <w:t>[</w:t>
      </w:r>
      <w:r w:rsidR="007D3E4D" w:rsidRPr="00665290">
        <w:rPr>
          <w:rFonts w:ascii="Book Antiqua" w:hAnsi="Book Antiqua" w:cs="Arial"/>
          <w:szCs w:val="20"/>
        </w:rPr>
        <w:t>Mr S</w:t>
      </w:r>
      <w:r w:rsidR="00F179C0" w:rsidRPr="00665290">
        <w:rPr>
          <w:rFonts w:ascii="Book Antiqua" w:hAnsi="Book Antiqua" w:cs="Arial"/>
          <w:szCs w:val="20"/>
        </w:rPr>
        <w:t>]</w:t>
      </w:r>
      <w:r w:rsidR="007D3E4D" w:rsidRPr="00665290">
        <w:rPr>
          <w:rFonts w:ascii="Book Antiqua" w:hAnsi="Book Antiqua" w:cs="Arial"/>
          <w:szCs w:val="20"/>
        </w:rPr>
        <w:t xml:space="preserve"> describes how the laceration occurred when his feet were being beaten with the metal bar. One such blow </w:t>
      </w:r>
      <w:r w:rsidR="00F179C0" w:rsidRPr="00665290">
        <w:rPr>
          <w:rFonts w:ascii="Book Antiqua" w:hAnsi="Book Antiqua" w:cs="Arial"/>
          <w:szCs w:val="20"/>
        </w:rPr>
        <w:t xml:space="preserve">missed </w:t>
      </w:r>
      <w:r w:rsidR="007D3E4D" w:rsidRPr="00665290">
        <w:rPr>
          <w:rFonts w:ascii="Book Antiqua" w:hAnsi="Book Antiqua" w:cs="Arial"/>
          <w:szCs w:val="20"/>
        </w:rPr>
        <w:t>the so</w:t>
      </w:r>
      <w:r w:rsidR="00F179C0" w:rsidRPr="00665290">
        <w:rPr>
          <w:rFonts w:ascii="Book Antiqua" w:hAnsi="Book Antiqua" w:cs="Arial"/>
          <w:szCs w:val="20"/>
        </w:rPr>
        <w:t xml:space="preserve">le </w:t>
      </w:r>
      <w:r w:rsidR="007D3E4D" w:rsidRPr="00665290">
        <w:rPr>
          <w:rFonts w:ascii="Book Antiqua" w:hAnsi="Book Antiqua" w:cs="Arial"/>
          <w:szCs w:val="20"/>
        </w:rPr>
        <w:t xml:space="preserve">of his </w:t>
      </w:r>
      <w:r w:rsidR="00F179C0" w:rsidRPr="00665290">
        <w:rPr>
          <w:rFonts w:ascii="Book Antiqua" w:hAnsi="Book Antiqua" w:cs="Arial"/>
          <w:szCs w:val="20"/>
        </w:rPr>
        <w:t xml:space="preserve">foot and </w:t>
      </w:r>
      <w:r w:rsidR="007D3E4D" w:rsidRPr="00665290">
        <w:rPr>
          <w:rFonts w:ascii="Book Antiqua" w:hAnsi="Book Antiqua" w:cs="Arial"/>
          <w:szCs w:val="20"/>
        </w:rPr>
        <w:t>instead struck his ankle causing the laceration which healed to form this scar. This scar is in my opinion highly consistent with his account of how the wound that caused it arose but scraping the heel against a hard</w:t>
      </w:r>
      <w:r w:rsidR="00FF0384" w:rsidRPr="00665290">
        <w:rPr>
          <w:rFonts w:ascii="Book Antiqua" w:hAnsi="Book Antiqua" w:cs="Arial"/>
          <w:szCs w:val="20"/>
        </w:rPr>
        <w:t>-</w:t>
      </w:r>
      <w:r w:rsidR="007D3E4D" w:rsidRPr="00665290">
        <w:rPr>
          <w:rFonts w:ascii="Book Antiqua" w:hAnsi="Book Antiqua" w:cs="Arial"/>
          <w:szCs w:val="20"/>
        </w:rPr>
        <w:t xml:space="preserve"> edged object might also result in a wound that healed t</w:t>
      </w:r>
      <w:r w:rsidR="00FF0384" w:rsidRPr="00665290">
        <w:rPr>
          <w:rFonts w:ascii="Book Antiqua" w:hAnsi="Book Antiqua" w:cs="Arial"/>
          <w:szCs w:val="20"/>
        </w:rPr>
        <w:t xml:space="preserve">o form a </w:t>
      </w:r>
      <w:r w:rsidR="007D3E4D" w:rsidRPr="00665290">
        <w:rPr>
          <w:rFonts w:ascii="Book Antiqua" w:hAnsi="Book Antiqua" w:cs="Arial"/>
          <w:szCs w:val="20"/>
        </w:rPr>
        <w:t>scar such as this.</w:t>
      </w:r>
    </w:p>
    <w:p w:rsidR="007D3E4D" w:rsidRPr="00665290" w:rsidRDefault="007D3E4D"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6.7 </w:t>
      </w:r>
      <w:r w:rsidR="00FF0384" w:rsidRPr="00665290">
        <w:rPr>
          <w:rFonts w:ascii="Book Antiqua" w:hAnsi="Book Antiqua" w:cs="Arial"/>
          <w:szCs w:val="20"/>
        </w:rPr>
        <w:tab/>
        <w:t>I</w:t>
      </w:r>
      <w:r w:rsidRPr="00665290">
        <w:rPr>
          <w:rFonts w:ascii="Book Antiqua" w:hAnsi="Book Antiqua" w:cs="Arial"/>
          <w:szCs w:val="20"/>
        </w:rPr>
        <w:t>t is in my opinion extremely unlikely by virtue of their number, appearance and other characteristics</w:t>
      </w:r>
      <w:r w:rsidR="00D47F9A" w:rsidRPr="00665290">
        <w:rPr>
          <w:rFonts w:ascii="Book Antiqua" w:hAnsi="Book Antiqua" w:cs="Arial"/>
          <w:szCs w:val="20"/>
        </w:rPr>
        <w:t xml:space="preserve"> that the wounds that resulted in the scars described above were </w:t>
      </w:r>
      <w:r w:rsidR="00457E3D" w:rsidRPr="00665290">
        <w:rPr>
          <w:rFonts w:ascii="Book Antiqua" w:hAnsi="Book Antiqua" w:cs="Arial"/>
          <w:szCs w:val="20"/>
        </w:rPr>
        <w:t>self-inflicted or</w:t>
      </w:r>
      <w:r w:rsidR="00D47F9A" w:rsidRPr="00665290">
        <w:rPr>
          <w:rFonts w:ascii="Book Antiqua" w:hAnsi="Book Antiqua" w:cs="Arial"/>
          <w:szCs w:val="20"/>
        </w:rPr>
        <w:t xml:space="preserve"> were inflicted on </w:t>
      </w:r>
      <w:r w:rsidR="00FF0384" w:rsidRPr="00665290">
        <w:rPr>
          <w:rFonts w:ascii="Book Antiqua" w:hAnsi="Book Antiqua" w:cs="Arial"/>
          <w:szCs w:val="20"/>
        </w:rPr>
        <w:t>[</w:t>
      </w:r>
      <w:r w:rsidR="00D47F9A" w:rsidRPr="00665290">
        <w:rPr>
          <w:rFonts w:ascii="Book Antiqua" w:hAnsi="Book Antiqua" w:cs="Arial"/>
          <w:szCs w:val="20"/>
        </w:rPr>
        <w:t>Mr S</w:t>
      </w:r>
      <w:r w:rsidR="00FF0384" w:rsidRPr="00665290">
        <w:rPr>
          <w:rFonts w:ascii="Book Antiqua" w:hAnsi="Book Antiqua" w:cs="Arial"/>
          <w:szCs w:val="20"/>
        </w:rPr>
        <w:t>]</w:t>
      </w:r>
      <w:r w:rsidR="00D47F9A" w:rsidRPr="00665290">
        <w:rPr>
          <w:rFonts w:ascii="Book Antiqua" w:hAnsi="Book Antiqua" w:cs="Arial"/>
          <w:szCs w:val="20"/>
        </w:rPr>
        <w:t xml:space="preserve"> with his consent (self-inflicted injuries by proxy – SIBP) although it is recognised that these possibilities cannot be entirely eliminated on the basis of the scars characteristics alone.</w:t>
      </w:r>
    </w:p>
    <w:p w:rsidR="00D47F9A" w:rsidRDefault="00D47F9A"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In his conclusions Mr Mason writes:</w:t>
      </w:r>
    </w:p>
    <w:p w:rsidR="00D47F9A" w:rsidRPr="00665290" w:rsidRDefault="00D47F9A"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7.1 </w:t>
      </w:r>
      <w:r w:rsidR="00FF0384" w:rsidRPr="00665290">
        <w:rPr>
          <w:rFonts w:ascii="Book Antiqua" w:hAnsi="Book Antiqua" w:cs="Arial"/>
          <w:szCs w:val="20"/>
        </w:rPr>
        <w:tab/>
        <w:t>F</w:t>
      </w:r>
      <w:r w:rsidR="0048415E" w:rsidRPr="00665290">
        <w:rPr>
          <w:rFonts w:ascii="Book Antiqua" w:hAnsi="Book Antiqua" w:cs="Arial"/>
          <w:szCs w:val="20"/>
        </w:rPr>
        <w:t xml:space="preserve">ollowing my </w:t>
      </w:r>
      <w:r w:rsidR="00FF0384" w:rsidRPr="00665290">
        <w:rPr>
          <w:rFonts w:ascii="Book Antiqua" w:hAnsi="Book Antiqua" w:cs="Arial"/>
          <w:szCs w:val="20"/>
        </w:rPr>
        <w:t>e</w:t>
      </w:r>
      <w:r w:rsidR="0048415E" w:rsidRPr="00665290">
        <w:rPr>
          <w:rFonts w:ascii="Book Antiqua" w:hAnsi="Book Antiqua" w:cs="Arial"/>
          <w:szCs w:val="20"/>
        </w:rPr>
        <w:t xml:space="preserve">valuation of </w:t>
      </w:r>
      <w:r w:rsidR="00FF0384" w:rsidRPr="00665290">
        <w:rPr>
          <w:rFonts w:ascii="Book Antiqua" w:hAnsi="Book Antiqua" w:cs="Arial"/>
          <w:szCs w:val="20"/>
        </w:rPr>
        <w:t>[</w:t>
      </w:r>
      <w:r w:rsidR="0048415E" w:rsidRPr="00665290">
        <w:rPr>
          <w:rFonts w:ascii="Book Antiqua" w:hAnsi="Book Antiqua" w:cs="Arial"/>
          <w:szCs w:val="20"/>
        </w:rPr>
        <w:t xml:space="preserve">Mr </w:t>
      </w:r>
      <w:r w:rsidR="00FF0384" w:rsidRPr="00665290">
        <w:rPr>
          <w:rFonts w:ascii="Book Antiqua" w:hAnsi="Book Antiqua" w:cs="Arial"/>
          <w:szCs w:val="20"/>
        </w:rPr>
        <w:t>S]</w:t>
      </w:r>
      <w:r w:rsidR="0048415E" w:rsidRPr="00665290">
        <w:rPr>
          <w:rFonts w:ascii="Book Antiqua" w:hAnsi="Book Antiqua" w:cs="Arial"/>
          <w:szCs w:val="20"/>
        </w:rPr>
        <w:t xml:space="preserve"> scars, in particular their number, characteristic patterns of distribution, it is my overall opinion that they are consistent with his account as to the manner in which the wounds that caused them arose.</w:t>
      </w:r>
    </w:p>
    <w:p w:rsidR="0048415E" w:rsidRPr="00665290" w:rsidRDefault="0048415E"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7.2 </w:t>
      </w:r>
      <w:r w:rsidR="00F46992" w:rsidRPr="00665290">
        <w:rPr>
          <w:rFonts w:ascii="Book Antiqua" w:hAnsi="Book Antiqua" w:cs="Arial"/>
          <w:szCs w:val="20"/>
        </w:rPr>
        <w:tab/>
        <w:t xml:space="preserve">In </w:t>
      </w:r>
      <w:r w:rsidRPr="00665290">
        <w:rPr>
          <w:rFonts w:ascii="Book Antiqua" w:hAnsi="Book Antiqua" w:cs="Arial"/>
          <w:szCs w:val="20"/>
        </w:rPr>
        <w:t>using the term “consistent” and “highly consistent” I am mindful of past guidance by the Courts to medical experts on the use of terminology.</w:t>
      </w:r>
    </w:p>
    <w:p w:rsidR="0048415E" w:rsidRPr="00665290" w:rsidRDefault="0048415E"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7.3 </w:t>
      </w:r>
      <w:r w:rsidR="00F46992" w:rsidRPr="00665290">
        <w:rPr>
          <w:rFonts w:ascii="Book Antiqua" w:hAnsi="Book Antiqua" w:cs="Arial"/>
          <w:szCs w:val="20"/>
        </w:rPr>
        <w:tab/>
        <w:t>I</w:t>
      </w:r>
      <w:r w:rsidRPr="00665290">
        <w:rPr>
          <w:rFonts w:ascii="Book Antiqua" w:hAnsi="Book Antiqua" w:cs="Arial"/>
          <w:szCs w:val="20"/>
        </w:rPr>
        <w:t xml:space="preserve">n reaching my conclusions I do not rely on any uncorroborated assertion by </w:t>
      </w:r>
      <w:r w:rsidR="00F46992" w:rsidRPr="00665290">
        <w:rPr>
          <w:rFonts w:ascii="Book Antiqua" w:hAnsi="Book Antiqua" w:cs="Arial"/>
          <w:szCs w:val="20"/>
        </w:rPr>
        <w:t>[</w:t>
      </w:r>
      <w:r w:rsidRPr="00665290">
        <w:rPr>
          <w:rFonts w:ascii="Book Antiqua" w:hAnsi="Book Antiqua" w:cs="Arial"/>
          <w:szCs w:val="20"/>
        </w:rPr>
        <w:t>Mr S</w:t>
      </w:r>
      <w:r w:rsidR="00F46992" w:rsidRPr="00665290">
        <w:rPr>
          <w:rFonts w:ascii="Book Antiqua" w:hAnsi="Book Antiqua" w:cs="Arial"/>
          <w:szCs w:val="20"/>
        </w:rPr>
        <w:t>]</w:t>
      </w:r>
      <w:r w:rsidRPr="00665290">
        <w:rPr>
          <w:rFonts w:ascii="Book Antiqua" w:hAnsi="Book Antiqua" w:cs="Arial"/>
          <w:szCs w:val="20"/>
        </w:rPr>
        <w:t>.</w:t>
      </w:r>
    </w:p>
    <w:p w:rsidR="0048415E" w:rsidRPr="00665290" w:rsidRDefault="0048415E" w:rsidP="00665290">
      <w:pPr>
        <w:spacing w:before="120"/>
        <w:ind w:left="1985" w:hanging="564"/>
        <w:jc w:val="both"/>
        <w:rPr>
          <w:rFonts w:ascii="Book Antiqua" w:hAnsi="Book Antiqua" w:cs="Arial"/>
          <w:szCs w:val="20"/>
        </w:rPr>
      </w:pPr>
      <w:r w:rsidRPr="00665290">
        <w:rPr>
          <w:rFonts w:ascii="Book Antiqua" w:hAnsi="Book Antiqua" w:cs="Arial"/>
          <w:szCs w:val="20"/>
        </w:rPr>
        <w:t xml:space="preserve">7.4 </w:t>
      </w:r>
      <w:r w:rsidR="00F46992" w:rsidRPr="00665290">
        <w:rPr>
          <w:rFonts w:ascii="Book Antiqua" w:hAnsi="Book Antiqua" w:cs="Arial"/>
          <w:szCs w:val="20"/>
        </w:rPr>
        <w:tab/>
      </w:r>
      <w:r w:rsidRPr="00665290">
        <w:rPr>
          <w:rFonts w:ascii="Book Antiqua" w:hAnsi="Book Antiqua" w:cs="Arial"/>
          <w:szCs w:val="20"/>
        </w:rPr>
        <w:t>I am familiar with the Istanbul Protocol</w:t>
      </w:r>
      <w:r w:rsidR="00E103F7" w:rsidRPr="00665290">
        <w:rPr>
          <w:rFonts w:ascii="Book Antiqua" w:hAnsi="Book Antiqua" w:cs="Arial"/>
          <w:szCs w:val="20"/>
        </w:rPr>
        <w:t xml:space="preserve"> (Manual on the effective investigation and documentation of torture and other cruel, inhumane or degrading treatment or punishment.)</w:t>
      </w:r>
    </w:p>
    <w:p w:rsidR="00E103F7" w:rsidRPr="00665290" w:rsidRDefault="00E103F7" w:rsidP="00665290">
      <w:pPr>
        <w:spacing w:before="120"/>
        <w:ind w:left="1985" w:hanging="564"/>
        <w:jc w:val="both"/>
        <w:rPr>
          <w:rFonts w:ascii="Book Antiqua" w:hAnsi="Book Antiqua" w:cs="Arial"/>
          <w:szCs w:val="20"/>
        </w:rPr>
      </w:pPr>
      <w:r w:rsidRPr="00665290">
        <w:rPr>
          <w:rFonts w:ascii="Book Antiqua" w:hAnsi="Book Antiqua" w:cs="Arial"/>
          <w:szCs w:val="20"/>
        </w:rPr>
        <w:lastRenderedPageBreak/>
        <w:t xml:space="preserve">7.5 </w:t>
      </w:r>
      <w:r w:rsidR="00F46992" w:rsidRPr="00665290">
        <w:rPr>
          <w:rFonts w:ascii="Book Antiqua" w:hAnsi="Book Antiqua" w:cs="Arial"/>
          <w:szCs w:val="20"/>
        </w:rPr>
        <w:tab/>
      </w:r>
      <w:r w:rsidRPr="00665290">
        <w:rPr>
          <w:rFonts w:ascii="Book Antiqua" w:hAnsi="Book Antiqua" w:cs="Arial"/>
          <w:szCs w:val="20"/>
        </w:rPr>
        <w:t xml:space="preserve">I have followed the Ikarian </w:t>
      </w:r>
      <w:r w:rsidR="00F46992" w:rsidRPr="00665290">
        <w:rPr>
          <w:rFonts w:ascii="Book Antiqua" w:hAnsi="Book Antiqua" w:cs="Arial"/>
          <w:szCs w:val="20"/>
        </w:rPr>
        <w:t>R</w:t>
      </w:r>
      <w:r w:rsidRPr="00665290">
        <w:rPr>
          <w:rFonts w:ascii="Book Antiqua" w:hAnsi="Book Antiqua" w:cs="Arial"/>
          <w:szCs w:val="20"/>
        </w:rPr>
        <w:t>eefer guidelines and the Practice Directions of the Immigration and Asylum Chambers of the First Tier Tribunal and Upper Tribunal in the preparation of this report.</w:t>
      </w:r>
    </w:p>
    <w:p w:rsidR="00FD1BDB" w:rsidRDefault="005479F8"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 xml:space="preserve">It is not made out that the Judge sought to discredit the expert </w:t>
      </w:r>
      <w:r w:rsidR="009321AE">
        <w:rPr>
          <w:rFonts w:ascii="Book Antiqua" w:hAnsi="Book Antiqua" w:cs="Arial"/>
        </w:rPr>
        <w:t xml:space="preserve">and </w:t>
      </w:r>
      <w:r>
        <w:rPr>
          <w:rFonts w:ascii="Book Antiqua" w:hAnsi="Book Antiqua" w:cs="Arial"/>
        </w:rPr>
        <w:t xml:space="preserve">the Judge was entitled to assess what weight </w:t>
      </w:r>
      <w:r w:rsidR="009321AE">
        <w:rPr>
          <w:rFonts w:ascii="Book Antiqua" w:hAnsi="Book Antiqua" w:cs="Arial"/>
        </w:rPr>
        <w:t xml:space="preserve">could </w:t>
      </w:r>
      <w:r>
        <w:rPr>
          <w:rFonts w:ascii="Book Antiqua" w:hAnsi="Book Antiqua" w:cs="Arial"/>
        </w:rPr>
        <w:t xml:space="preserve">be given to the </w:t>
      </w:r>
      <w:r w:rsidR="00457E3D">
        <w:rPr>
          <w:rFonts w:ascii="Book Antiqua" w:hAnsi="Book Antiqua" w:cs="Arial"/>
        </w:rPr>
        <w:t>expert’s</w:t>
      </w:r>
      <w:r>
        <w:rPr>
          <w:rFonts w:ascii="Book Antiqua" w:hAnsi="Book Antiqua" w:cs="Arial"/>
        </w:rPr>
        <w:t xml:space="preserve"> report in light of the evidence considered as a whole.</w:t>
      </w:r>
    </w:p>
    <w:p w:rsidR="009F69CA" w:rsidRPr="009F69CA" w:rsidRDefault="009321AE" w:rsidP="00665290">
      <w:pPr>
        <w:numPr>
          <w:ilvl w:val="0"/>
          <w:numId w:val="3"/>
        </w:numPr>
        <w:tabs>
          <w:tab w:val="clear" w:pos="1080"/>
          <w:tab w:val="num" w:pos="851"/>
        </w:tabs>
        <w:spacing w:before="240"/>
        <w:ind w:left="851" w:hanging="567"/>
        <w:jc w:val="both"/>
        <w:rPr>
          <w:rFonts w:ascii="Book Antiqua" w:hAnsi="Book Antiqua" w:cs="Arial"/>
        </w:rPr>
      </w:pPr>
      <w:bookmarkStart w:id="2" w:name="medical11"/>
      <w:r>
        <w:rPr>
          <w:rFonts w:ascii="Book Antiqua" w:hAnsi="Book Antiqua" w:cs="Arial"/>
        </w:rPr>
        <w:t xml:space="preserve">In relation to the </w:t>
      </w:r>
      <w:r w:rsidR="009F69CA" w:rsidRPr="009F69CA">
        <w:rPr>
          <w:rFonts w:ascii="Book Antiqua" w:hAnsi="Book Antiqua" w:cs="Arial"/>
        </w:rPr>
        <w:t xml:space="preserve">Istanbul Protocol </w:t>
      </w:r>
      <w:bookmarkEnd w:id="2"/>
      <w:r w:rsidR="009F69CA" w:rsidRPr="009F69CA">
        <w:rPr>
          <w:rFonts w:ascii="Book Antiqua" w:hAnsi="Book Antiqua" w:cs="Arial"/>
        </w:rPr>
        <w:t>on Medical Reports</w:t>
      </w:r>
      <w:r>
        <w:rPr>
          <w:rFonts w:ascii="Book Antiqua" w:hAnsi="Book Antiqua" w:cs="Arial"/>
        </w:rPr>
        <w:t xml:space="preserve">; </w:t>
      </w:r>
      <w:r w:rsidR="009F69CA" w:rsidRPr="009F69CA">
        <w:rPr>
          <w:rFonts w:ascii="Book Antiqua" w:hAnsi="Book Antiqua" w:cs="Arial"/>
        </w:rPr>
        <w:t>Paragraphs 186 and 187 of the Istanbul Protocol in relation to the term “consistency” state:</w:t>
      </w:r>
    </w:p>
    <w:p w:rsidR="009F69CA" w:rsidRPr="009F69CA" w:rsidRDefault="009F69CA" w:rsidP="00665290">
      <w:pPr>
        <w:spacing w:before="120"/>
        <w:ind w:left="1985" w:right="567" w:hanging="567"/>
        <w:jc w:val="both"/>
        <w:rPr>
          <w:rFonts w:ascii="Book Antiqua" w:hAnsi="Book Antiqua" w:cs="Arial"/>
        </w:rPr>
      </w:pPr>
      <w:r w:rsidRPr="009F69CA">
        <w:rPr>
          <w:rFonts w:ascii="Book Antiqua" w:hAnsi="Book Antiqua" w:cs="Arial"/>
        </w:rPr>
        <w:t>“186</w:t>
      </w:r>
      <w:r w:rsidR="00665290">
        <w:rPr>
          <w:rFonts w:ascii="Book Antiqua" w:hAnsi="Book Antiqua" w:cs="Arial"/>
        </w:rPr>
        <w:tab/>
      </w:r>
      <w:r w:rsidRPr="009F69CA">
        <w:rPr>
          <w:rFonts w:ascii="Book Antiqua" w:hAnsi="Book Antiqua" w:cs="Arial"/>
        </w:rPr>
        <w:t>…</w:t>
      </w:r>
      <w:r w:rsidR="00665290">
        <w:rPr>
          <w:rFonts w:ascii="Book Antiqua" w:hAnsi="Book Antiqua" w:cs="Arial"/>
        </w:rPr>
        <w:t xml:space="preserve"> </w:t>
      </w:r>
      <w:r w:rsidRPr="009F69CA">
        <w:rPr>
          <w:rFonts w:ascii="Book Antiqua" w:hAnsi="Book Antiqua" w:cs="Arial"/>
        </w:rPr>
        <w:t>for each lesion and for the overall pattern of lesions, the physician should indicate the degree of consistency between it and the attribution:</w:t>
      </w:r>
    </w:p>
    <w:p w:rsidR="009F69CA" w:rsidRPr="009F69CA" w:rsidRDefault="009F69CA" w:rsidP="00665290">
      <w:pPr>
        <w:spacing w:before="120"/>
        <w:ind w:left="2552" w:right="567" w:hanging="567"/>
        <w:jc w:val="both"/>
        <w:rPr>
          <w:rFonts w:ascii="Book Antiqua" w:hAnsi="Book Antiqua" w:cs="Arial"/>
        </w:rPr>
      </w:pPr>
      <w:r w:rsidRPr="009F69CA">
        <w:rPr>
          <w:rFonts w:ascii="Book Antiqua" w:hAnsi="Book Antiqua" w:cs="Arial"/>
        </w:rPr>
        <w:t>(a)</w:t>
      </w:r>
      <w:r w:rsidRPr="009F69CA">
        <w:rPr>
          <w:rFonts w:ascii="Book Antiqua" w:hAnsi="Book Antiqua" w:cs="Arial"/>
        </w:rPr>
        <w:tab/>
        <w:t>Not consistent: the lesion could not have been caused by the trauma described;</w:t>
      </w:r>
    </w:p>
    <w:p w:rsidR="009F69CA" w:rsidRPr="009F69CA" w:rsidRDefault="009F69CA" w:rsidP="00665290">
      <w:pPr>
        <w:spacing w:before="120"/>
        <w:ind w:left="2552" w:right="567" w:hanging="567"/>
        <w:jc w:val="both"/>
        <w:rPr>
          <w:rFonts w:ascii="Book Antiqua" w:hAnsi="Book Antiqua" w:cs="Arial"/>
        </w:rPr>
      </w:pPr>
      <w:r w:rsidRPr="009F69CA">
        <w:rPr>
          <w:rFonts w:ascii="Book Antiqua" w:hAnsi="Book Antiqua" w:cs="Arial"/>
        </w:rPr>
        <w:t>(b)</w:t>
      </w:r>
      <w:r w:rsidRPr="009F69CA">
        <w:rPr>
          <w:rFonts w:ascii="Book Antiqua" w:hAnsi="Book Antiqua" w:cs="Arial"/>
        </w:rPr>
        <w:tab/>
        <w:t xml:space="preserve">Consistent with: the lesion could have been caused by the trauma described, but it is </w:t>
      </w:r>
      <w:proofErr w:type="gramStart"/>
      <w:r w:rsidRPr="009F69CA">
        <w:rPr>
          <w:rFonts w:ascii="Book Antiqua" w:hAnsi="Book Antiqua" w:cs="Arial"/>
        </w:rPr>
        <w:t>non specific</w:t>
      </w:r>
      <w:proofErr w:type="gramEnd"/>
      <w:r w:rsidRPr="009F69CA">
        <w:rPr>
          <w:rFonts w:ascii="Book Antiqua" w:hAnsi="Book Antiqua" w:cs="Arial"/>
        </w:rPr>
        <w:t xml:space="preserve"> and there are many other possible causes;</w:t>
      </w:r>
    </w:p>
    <w:p w:rsidR="009F69CA" w:rsidRPr="009F69CA" w:rsidRDefault="009F69CA" w:rsidP="00665290">
      <w:pPr>
        <w:spacing w:before="120"/>
        <w:ind w:left="2552" w:right="567" w:hanging="567"/>
        <w:jc w:val="both"/>
        <w:rPr>
          <w:rFonts w:ascii="Book Antiqua" w:hAnsi="Book Antiqua" w:cs="Arial"/>
        </w:rPr>
      </w:pPr>
      <w:r w:rsidRPr="009F69CA">
        <w:rPr>
          <w:rFonts w:ascii="Book Antiqua" w:hAnsi="Book Antiqua" w:cs="Arial"/>
        </w:rPr>
        <w:t>(c)</w:t>
      </w:r>
      <w:r w:rsidRPr="009F69CA">
        <w:rPr>
          <w:rFonts w:ascii="Book Antiqua" w:hAnsi="Book Antiqua" w:cs="Arial"/>
        </w:rPr>
        <w:tab/>
        <w:t>Highly consistent: the lesion could have been caused by the trauma described, and there are few other possible causes;</w:t>
      </w:r>
    </w:p>
    <w:p w:rsidR="009F69CA" w:rsidRPr="009F69CA" w:rsidRDefault="009F69CA" w:rsidP="00665290">
      <w:pPr>
        <w:spacing w:before="120"/>
        <w:ind w:left="2552" w:right="567" w:hanging="567"/>
        <w:jc w:val="both"/>
        <w:rPr>
          <w:rFonts w:ascii="Book Antiqua" w:hAnsi="Book Antiqua" w:cs="Arial"/>
        </w:rPr>
      </w:pPr>
      <w:r w:rsidRPr="009F69CA">
        <w:rPr>
          <w:rFonts w:ascii="Book Antiqua" w:hAnsi="Book Antiqua" w:cs="Arial"/>
        </w:rPr>
        <w:t>(d)</w:t>
      </w:r>
      <w:r w:rsidRPr="009F69CA">
        <w:rPr>
          <w:rFonts w:ascii="Book Antiqua" w:hAnsi="Book Antiqua" w:cs="Arial"/>
        </w:rPr>
        <w:tab/>
        <w:t>Typical of: this is an appearance that is usually found with this type of trauma, but there are other possible causes;</w:t>
      </w:r>
    </w:p>
    <w:p w:rsidR="009F69CA" w:rsidRPr="009F69CA" w:rsidRDefault="009F69CA" w:rsidP="00665290">
      <w:pPr>
        <w:spacing w:before="120"/>
        <w:ind w:left="2552" w:right="567" w:hanging="567"/>
        <w:jc w:val="both"/>
        <w:rPr>
          <w:rFonts w:ascii="Book Antiqua" w:hAnsi="Book Antiqua" w:cs="Arial"/>
        </w:rPr>
      </w:pPr>
      <w:r w:rsidRPr="009F69CA">
        <w:rPr>
          <w:rFonts w:ascii="Book Antiqua" w:hAnsi="Book Antiqua" w:cs="Arial"/>
        </w:rPr>
        <w:t>(e)</w:t>
      </w:r>
      <w:r w:rsidRPr="009F69CA">
        <w:rPr>
          <w:rFonts w:ascii="Book Antiqua" w:hAnsi="Book Antiqua" w:cs="Arial"/>
        </w:rPr>
        <w:tab/>
        <w:t>Diagnostic of: this appearance could not have been caused in any way other than that described.</w:t>
      </w:r>
    </w:p>
    <w:p w:rsidR="009F69CA" w:rsidRDefault="009F69CA" w:rsidP="00665290">
      <w:pPr>
        <w:spacing w:before="120"/>
        <w:ind w:left="1985" w:right="567" w:hanging="567"/>
        <w:jc w:val="both"/>
        <w:rPr>
          <w:rFonts w:ascii="Book Antiqua" w:hAnsi="Book Antiqua" w:cs="Arial"/>
        </w:rPr>
      </w:pPr>
      <w:r w:rsidRPr="009F69CA">
        <w:rPr>
          <w:rFonts w:ascii="Book Antiqua" w:hAnsi="Book Antiqua" w:cs="Arial"/>
        </w:rPr>
        <w:t>187</w:t>
      </w:r>
      <w:r w:rsidR="00665290">
        <w:rPr>
          <w:rFonts w:ascii="Book Antiqua" w:hAnsi="Book Antiqua" w:cs="Arial"/>
        </w:rPr>
        <w:tab/>
      </w:r>
      <w:r w:rsidRPr="009F69CA">
        <w:rPr>
          <w:rFonts w:ascii="Book Antiqua" w:hAnsi="Book Antiqua" w:cs="Arial"/>
        </w:rPr>
        <w:t>…</w:t>
      </w:r>
      <w:r w:rsidR="00665290">
        <w:rPr>
          <w:rFonts w:ascii="Book Antiqua" w:hAnsi="Book Antiqua" w:cs="Arial"/>
        </w:rPr>
        <w:t xml:space="preserve"> </w:t>
      </w:r>
      <w:r w:rsidRPr="009F69CA">
        <w:rPr>
          <w:rFonts w:ascii="Book Antiqua" w:hAnsi="Book Antiqua" w:cs="Arial"/>
        </w:rPr>
        <w:t>Ultimately it is the overall evaluation of all lesions and not the consistency of each lesion with a particular form of torture that is important in assessing the torture story.”</w:t>
      </w:r>
    </w:p>
    <w:p w:rsidR="001A42DC" w:rsidRDefault="004662DF"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 Judge was arguably entitled to find that the fact the scarring was </w:t>
      </w:r>
      <w:r w:rsidR="000377A2">
        <w:rPr>
          <w:rFonts w:ascii="Book Antiqua" w:hAnsi="Book Antiqua" w:cs="Arial"/>
        </w:rPr>
        <w:t>‘</w:t>
      </w:r>
      <w:r>
        <w:rPr>
          <w:rFonts w:ascii="Book Antiqua" w:hAnsi="Book Antiqua" w:cs="Arial"/>
        </w:rPr>
        <w:t>consistent</w:t>
      </w:r>
      <w:r w:rsidR="000377A2">
        <w:rPr>
          <w:rFonts w:ascii="Book Antiqua" w:hAnsi="Book Antiqua" w:cs="Arial"/>
        </w:rPr>
        <w:t>’</w:t>
      </w:r>
      <w:r>
        <w:rPr>
          <w:rFonts w:ascii="Book Antiqua" w:hAnsi="Book Antiqua" w:cs="Arial"/>
        </w:rPr>
        <w:t xml:space="preserve"> with the appellant’s account as to the manner in which the wounds that cause them arose indicat</w:t>
      </w:r>
      <w:r w:rsidR="000377A2">
        <w:rPr>
          <w:rFonts w:ascii="Book Antiqua" w:hAnsi="Book Antiqua" w:cs="Arial"/>
        </w:rPr>
        <w:t xml:space="preserve">ed </w:t>
      </w:r>
      <w:r>
        <w:rPr>
          <w:rFonts w:ascii="Book Antiqua" w:hAnsi="Book Antiqua" w:cs="Arial"/>
        </w:rPr>
        <w:t xml:space="preserve">that there were also many other possible causes. This is not a case in which the evidence before the Judge </w:t>
      </w:r>
      <w:r w:rsidR="00EE6708">
        <w:rPr>
          <w:rFonts w:ascii="Book Antiqua" w:hAnsi="Book Antiqua" w:cs="Arial"/>
        </w:rPr>
        <w:t xml:space="preserve">established to the lower standard that </w:t>
      </w:r>
      <w:r w:rsidR="000377A2">
        <w:rPr>
          <w:rFonts w:ascii="Book Antiqua" w:hAnsi="Book Antiqua" w:cs="Arial"/>
        </w:rPr>
        <w:t>t</w:t>
      </w:r>
      <w:r w:rsidR="00EE6708" w:rsidRPr="00EE6708">
        <w:rPr>
          <w:rFonts w:ascii="Book Antiqua" w:hAnsi="Book Antiqua" w:cs="Arial"/>
        </w:rPr>
        <w:t xml:space="preserve">he medical evidence was </w:t>
      </w:r>
      <w:r w:rsidR="001A42DC">
        <w:rPr>
          <w:rFonts w:ascii="Book Antiqua" w:hAnsi="Book Antiqua" w:cs="Arial"/>
        </w:rPr>
        <w:t xml:space="preserve">sufficiently compelling such that </w:t>
      </w:r>
      <w:r w:rsidR="00EE6708" w:rsidRPr="00EE6708">
        <w:rPr>
          <w:rFonts w:ascii="Book Antiqua" w:hAnsi="Book Antiqua" w:cs="Arial"/>
        </w:rPr>
        <w:t>strong reservations about the veracity of the appellant’s account of events could</w:t>
      </w:r>
      <w:r w:rsidR="00BE5605">
        <w:rPr>
          <w:rFonts w:ascii="Book Antiqua" w:hAnsi="Book Antiqua" w:cs="Arial"/>
        </w:rPr>
        <w:t xml:space="preserve"> not</w:t>
      </w:r>
      <w:r w:rsidR="00EE6708" w:rsidRPr="00EE6708">
        <w:rPr>
          <w:rFonts w:ascii="Book Antiqua" w:hAnsi="Book Antiqua" w:cs="Arial"/>
        </w:rPr>
        <w:t xml:space="preserve"> displace a finding of torture to the lower standard</w:t>
      </w:r>
      <w:r w:rsidR="001A42DC">
        <w:rPr>
          <w:rFonts w:ascii="Book Antiqua" w:hAnsi="Book Antiqua" w:cs="Arial"/>
        </w:rPr>
        <w:t>.</w:t>
      </w:r>
    </w:p>
    <w:p w:rsidR="009F69CA" w:rsidRDefault="001A42DC"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The claim the Judge considered the medical evidence in isolation, such as to create an artificial separation of this evidence from the remainder of the evidence</w:t>
      </w:r>
      <w:r w:rsidR="00BE5605">
        <w:rPr>
          <w:rFonts w:ascii="Book Antiqua" w:hAnsi="Book Antiqua" w:cs="Arial"/>
        </w:rPr>
        <w:t xml:space="preserve"> as </w:t>
      </w:r>
      <w:r>
        <w:rPr>
          <w:rFonts w:ascii="Book Antiqua" w:hAnsi="Book Antiqua" w:cs="Arial"/>
        </w:rPr>
        <w:t>submitted by the appellant, is not established</w:t>
      </w:r>
      <w:r w:rsidR="00BE5605">
        <w:rPr>
          <w:rFonts w:ascii="Book Antiqua" w:hAnsi="Book Antiqua" w:cs="Arial"/>
        </w:rPr>
        <w:t xml:space="preserve"> from a </w:t>
      </w:r>
      <w:r w:rsidR="00DD50FF">
        <w:rPr>
          <w:rFonts w:ascii="Book Antiqua" w:hAnsi="Book Antiqua" w:cs="Arial"/>
        </w:rPr>
        <w:t xml:space="preserve">reading of the determination. The Judge clearly considered the evidence as a whole and sets out in detail the concerns that arose both in relation to the medical and the other aspects of the evidence relied upon by the appellant. The Judge finds that aspects of the evidence undermined the weight he was invited to place upon Mr Mason’s report </w:t>
      </w:r>
      <w:r w:rsidR="00E06CED">
        <w:rPr>
          <w:rFonts w:ascii="Book Antiqua" w:hAnsi="Book Antiqua" w:cs="Arial"/>
        </w:rPr>
        <w:t xml:space="preserve">and </w:t>
      </w:r>
      <w:r w:rsidR="00DD50FF">
        <w:rPr>
          <w:rFonts w:ascii="Book Antiqua" w:hAnsi="Book Antiqua" w:cs="Arial"/>
        </w:rPr>
        <w:t xml:space="preserve">only </w:t>
      </w:r>
      <w:r w:rsidR="00DD50FF">
        <w:rPr>
          <w:rFonts w:ascii="Book Antiqua" w:hAnsi="Book Antiqua" w:cs="Arial"/>
        </w:rPr>
        <w:lastRenderedPageBreak/>
        <w:t xml:space="preserve">draws together the threads of the evidence as a whole </w:t>
      </w:r>
      <w:r w:rsidR="00E06CED">
        <w:rPr>
          <w:rFonts w:ascii="Book Antiqua" w:hAnsi="Book Antiqua" w:cs="Arial"/>
        </w:rPr>
        <w:t xml:space="preserve">once </w:t>
      </w:r>
      <w:r w:rsidR="00DD50FF">
        <w:rPr>
          <w:rFonts w:ascii="Book Antiqua" w:hAnsi="Book Antiqua" w:cs="Arial"/>
        </w:rPr>
        <w:t>all the material</w:t>
      </w:r>
      <w:r w:rsidR="00E54729">
        <w:rPr>
          <w:rFonts w:ascii="Book Antiqua" w:hAnsi="Book Antiqua" w:cs="Arial"/>
        </w:rPr>
        <w:t xml:space="preserve"> has been properly considered.</w:t>
      </w:r>
      <w:r w:rsidR="00DD50FF">
        <w:rPr>
          <w:rFonts w:ascii="Book Antiqua" w:hAnsi="Book Antiqua" w:cs="Arial"/>
        </w:rPr>
        <w:t xml:space="preserve"> </w:t>
      </w:r>
    </w:p>
    <w:p w:rsidR="00554AF3" w:rsidRDefault="00E54729"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 xml:space="preserve">There is no obligation upon the Judge to </w:t>
      </w:r>
      <w:r w:rsidR="00554AF3" w:rsidRPr="00554AF3">
        <w:rPr>
          <w:rFonts w:ascii="Book Antiqua" w:hAnsi="Book Antiqua" w:cs="Arial"/>
        </w:rPr>
        <w:t>come up with a definitive alternative account of how the scarring occurred.</w:t>
      </w:r>
    </w:p>
    <w:p w:rsidR="00573199" w:rsidRPr="005E7BDE" w:rsidRDefault="00E54729" w:rsidP="00665290">
      <w:pPr>
        <w:numPr>
          <w:ilvl w:val="0"/>
          <w:numId w:val="3"/>
        </w:numPr>
        <w:tabs>
          <w:tab w:val="clear" w:pos="1080"/>
          <w:tab w:val="left" w:pos="851"/>
        </w:tabs>
        <w:spacing w:before="240"/>
        <w:ind w:left="851" w:hanging="567"/>
        <w:jc w:val="both"/>
        <w:rPr>
          <w:rFonts w:ascii="Book Antiqua" w:hAnsi="Book Antiqua" w:cs="Arial"/>
        </w:rPr>
      </w:pPr>
      <w:r w:rsidRPr="005E7BDE">
        <w:rPr>
          <w:rFonts w:ascii="Book Antiqua" w:hAnsi="Book Antiqua" w:cs="Arial"/>
        </w:rPr>
        <w:t>In relation to the issue of bribery</w:t>
      </w:r>
      <w:r w:rsidR="00E06CED" w:rsidRPr="005E7BDE">
        <w:rPr>
          <w:rFonts w:ascii="Book Antiqua" w:hAnsi="Book Antiqua" w:cs="Arial"/>
        </w:rPr>
        <w:t>,</w:t>
      </w:r>
      <w:r w:rsidRPr="005E7BDE">
        <w:rPr>
          <w:rFonts w:ascii="Book Antiqua" w:hAnsi="Book Antiqua" w:cs="Arial"/>
        </w:rPr>
        <w:t xml:space="preserve"> the appellant asserts the Judge erred</w:t>
      </w:r>
      <w:r w:rsidR="00573199" w:rsidRPr="005E7BDE">
        <w:rPr>
          <w:rFonts w:ascii="Book Antiqua" w:hAnsi="Book Antiqua" w:cs="Arial"/>
        </w:rPr>
        <w:t xml:space="preserve"> on the basis it </w:t>
      </w:r>
      <w:r w:rsidR="00E06CED" w:rsidRPr="005E7BDE">
        <w:rPr>
          <w:rFonts w:ascii="Book Antiqua" w:hAnsi="Book Antiqua" w:cs="Arial"/>
        </w:rPr>
        <w:t xml:space="preserve">is said </w:t>
      </w:r>
      <w:r w:rsidR="00573199" w:rsidRPr="005E7BDE">
        <w:rPr>
          <w:rFonts w:ascii="Book Antiqua" w:hAnsi="Book Antiqua" w:cs="Arial"/>
        </w:rPr>
        <w:t>to find that the appellant did not pay a bribe in the circumstances of this case was contrary to the objective evidence and country guidance which amounted to a failure to consider all the circumstances of the case with anxious scrutiny.</w:t>
      </w:r>
      <w:r w:rsidR="005E7BDE" w:rsidRPr="005E7BDE">
        <w:rPr>
          <w:rFonts w:ascii="Book Antiqua" w:hAnsi="Book Antiqua" w:cs="Arial"/>
        </w:rPr>
        <w:t xml:space="preserve"> </w:t>
      </w:r>
      <w:r w:rsidR="00573199" w:rsidRPr="005E7BDE">
        <w:rPr>
          <w:rFonts w:ascii="Book Antiqua" w:hAnsi="Book Antiqua" w:cs="Arial"/>
        </w:rPr>
        <w:t xml:space="preserve">It is not disputed that the country guidance refers to the payments of bribes and indeed this has been a common </w:t>
      </w:r>
      <w:r w:rsidR="005E7BDE">
        <w:rPr>
          <w:rFonts w:ascii="Book Antiqua" w:hAnsi="Book Antiqua" w:cs="Arial"/>
        </w:rPr>
        <w:t xml:space="preserve">aspect of </w:t>
      </w:r>
      <w:r w:rsidR="00573199" w:rsidRPr="005E7BDE">
        <w:rPr>
          <w:rFonts w:ascii="Book Antiqua" w:hAnsi="Book Antiqua" w:cs="Arial"/>
        </w:rPr>
        <w:t>Sri Lankan cases for a number of years. The Judge’s finding is not that bribes are never paid but that on the facts of this case</w:t>
      </w:r>
      <w:r w:rsidR="005E7BDE">
        <w:rPr>
          <w:rFonts w:ascii="Book Antiqua" w:hAnsi="Book Antiqua" w:cs="Arial"/>
        </w:rPr>
        <w:t>,</w:t>
      </w:r>
      <w:r w:rsidR="00573199" w:rsidRPr="005E7BDE">
        <w:rPr>
          <w:rFonts w:ascii="Book Antiqua" w:hAnsi="Book Antiqua" w:cs="Arial"/>
        </w:rPr>
        <w:t xml:space="preserve"> on the evidence the Judge was required to consider</w:t>
      </w:r>
      <w:r w:rsidR="005E7BDE">
        <w:rPr>
          <w:rFonts w:ascii="Book Antiqua" w:hAnsi="Book Antiqua" w:cs="Arial"/>
        </w:rPr>
        <w:t>,</w:t>
      </w:r>
      <w:r w:rsidR="00573199" w:rsidRPr="005E7BDE">
        <w:rPr>
          <w:rFonts w:ascii="Book Antiqua" w:hAnsi="Book Antiqua" w:cs="Arial"/>
        </w:rPr>
        <w:t xml:space="preserve"> it was not accepted the appellant had established that he had paid a bribe as alleged. This is a subjective assessment</w:t>
      </w:r>
      <w:r w:rsidR="00A41903" w:rsidRPr="005E7BDE">
        <w:rPr>
          <w:rFonts w:ascii="Book Antiqua" w:hAnsi="Book Antiqua" w:cs="Arial"/>
        </w:rPr>
        <w:t xml:space="preserve"> in which the finding is that there was insufficient evidence to establish that such a bribe was paid. On the basis </w:t>
      </w:r>
      <w:r w:rsidR="005E7BDE">
        <w:rPr>
          <w:rFonts w:ascii="Book Antiqua" w:hAnsi="Book Antiqua" w:cs="Arial"/>
        </w:rPr>
        <w:t xml:space="preserve">of </w:t>
      </w:r>
      <w:r w:rsidR="00A41903" w:rsidRPr="005E7BDE">
        <w:rPr>
          <w:rFonts w:ascii="Book Antiqua" w:hAnsi="Book Antiqua" w:cs="Arial"/>
        </w:rPr>
        <w:t>the material available to the Judge and reasoning set out at [56] no arguable legal error is made out.</w:t>
      </w:r>
    </w:p>
    <w:p w:rsidR="003B3602" w:rsidRDefault="00A41903" w:rsidP="00665290">
      <w:pPr>
        <w:numPr>
          <w:ilvl w:val="0"/>
          <w:numId w:val="3"/>
        </w:numPr>
        <w:tabs>
          <w:tab w:val="clear" w:pos="1080"/>
          <w:tab w:val="left" w:pos="851"/>
        </w:tabs>
        <w:spacing w:before="240"/>
        <w:ind w:left="851" w:hanging="567"/>
        <w:jc w:val="both"/>
        <w:rPr>
          <w:rFonts w:ascii="Book Antiqua" w:hAnsi="Book Antiqua" w:cs="Arial"/>
        </w:rPr>
      </w:pPr>
      <w:r>
        <w:rPr>
          <w:rFonts w:ascii="Book Antiqua" w:hAnsi="Book Antiqua" w:cs="Arial"/>
        </w:rPr>
        <w:t>In relation to the arrest warrant relied upon by the appellant, the Judge</w:t>
      </w:r>
      <w:r w:rsidR="005B3261">
        <w:rPr>
          <w:rFonts w:ascii="Book Antiqua" w:hAnsi="Book Antiqua" w:cs="Arial"/>
        </w:rPr>
        <w:t xml:space="preserve"> noted a number of internally inconsistent aspects arising from the appellant’s evidence concerning the court documents and at [71]</w:t>
      </w:r>
      <w:r w:rsidR="00DE7795">
        <w:rPr>
          <w:rFonts w:ascii="Book Antiqua" w:hAnsi="Book Antiqua" w:cs="Arial"/>
        </w:rPr>
        <w:t xml:space="preserve"> that the appellant said the police had sent a document, a warrant, asking for an explanation </w:t>
      </w:r>
      <w:r w:rsidR="00D03818">
        <w:rPr>
          <w:rFonts w:ascii="Book Antiqua" w:hAnsi="Book Antiqua" w:cs="Arial"/>
        </w:rPr>
        <w:t xml:space="preserve">for </w:t>
      </w:r>
      <w:r w:rsidR="00DE7795">
        <w:rPr>
          <w:rFonts w:ascii="Book Antiqua" w:hAnsi="Book Antiqua" w:cs="Arial"/>
        </w:rPr>
        <w:t>why he had not come to sign on at the police station and that this letter was in his house</w:t>
      </w:r>
      <w:r w:rsidR="00D03818">
        <w:rPr>
          <w:rFonts w:ascii="Book Antiqua" w:hAnsi="Book Antiqua" w:cs="Arial"/>
        </w:rPr>
        <w:t>;</w:t>
      </w:r>
      <w:r w:rsidR="00DE7795">
        <w:rPr>
          <w:rFonts w:ascii="Book Antiqua" w:hAnsi="Book Antiqua" w:cs="Arial"/>
        </w:rPr>
        <w:t xml:space="preserve"> although no such letter had been produced by him suggesting the statement was untrue. The Judge notes the document he has now provided does not include a letter asking for an explanation of not signing on at the police station which was therefore found to be an inconsistent statement. At [72</w:t>
      </w:r>
      <w:r w:rsidR="003B3602">
        <w:rPr>
          <w:rFonts w:ascii="Book Antiqua" w:hAnsi="Book Antiqua" w:cs="Arial"/>
        </w:rPr>
        <w:t xml:space="preserve"> – 74] the Judge writes:</w:t>
      </w:r>
    </w:p>
    <w:p w:rsidR="003B3602" w:rsidRPr="00665290" w:rsidRDefault="00665290" w:rsidP="00665290">
      <w:pPr>
        <w:tabs>
          <w:tab w:val="left" w:pos="1985"/>
        </w:tabs>
        <w:spacing w:before="120"/>
        <w:ind w:left="1985" w:right="567" w:hanging="567"/>
        <w:jc w:val="both"/>
        <w:rPr>
          <w:rFonts w:ascii="Book Antiqua" w:hAnsi="Book Antiqua" w:cs="Arial"/>
          <w:sz w:val="22"/>
          <w:szCs w:val="20"/>
        </w:rPr>
      </w:pPr>
      <w:r w:rsidRPr="00665290">
        <w:rPr>
          <w:rFonts w:ascii="Book Antiqua" w:hAnsi="Book Antiqua" w:cs="Arial"/>
          <w:sz w:val="22"/>
          <w:szCs w:val="20"/>
        </w:rPr>
        <w:t>“</w:t>
      </w:r>
      <w:r w:rsidR="003B3602" w:rsidRPr="00665290">
        <w:rPr>
          <w:rFonts w:ascii="Book Antiqua" w:hAnsi="Book Antiqua" w:cs="Arial"/>
          <w:sz w:val="22"/>
          <w:szCs w:val="20"/>
        </w:rPr>
        <w:t xml:space="preserve">72. </w:t>
      </w:r>
      <w:r w:rsidR="00D03818" w:rsidRPr="00665290">
        <w:rPr>
          <w:rFonts w:ascii="Book Antiqua" w:hAnsi="Book Antiqua" w:cs="Arial"/>
          <w:sz w:val="22"/>
          <w:szCs w:val="20"/>
        </w:rPr>
        <w:tab/>
      </w:r>
      <w:r w:rsidR="003B3602" w:rsidRPr="00665290">
        <w:rPr>
          <w:rFonts w:ascii="Book Antiqua" w:hAnsi="Book Antiqua" w:cs="Arial"/>
          <w:sz w:val="22"/>
          <w:szCs w:val="20"/>
        </w:rPr>
        <w:t>The court documents themselves also contain weaknesses. At first sight they appear to amount to complete file commencing with the initial request for an order seeking detention, and authorisation of further detention, the Appellant’s release on bail and then an application for a warrant in respect of his breach of bail. However, there appears to be a document missing from this history and its absence is not explained. At pages 42 to 44 there are no documents which appear to authorise detention for a period of 90 days from 10 October 2009 until 9 January 2010.</w:t>
      </w:r>
      <w:r w:rsidR="006877BD" w:rsidRPr="00665290">
        <w:rPr>
          <w:rFonts w:ascii="Book Antiqua" w:hAnsi="Book Antiqua" w:cs="Arial"/>
          <w:sz w:val="22"/>
          <w:szCs w:val="20"/>
        </w:rPr>
        <w:t xml:space="preserve"> This appears to be under the terms of “</w:t>
      </w:r>
      <w:r w:rsidR="006877BD" w:rsidRPr="00665290">
        <w:rPr>
          <w:rFonts w:ascii="Book Antiqua" w:hAnsi="Book Antiqua" w:cs="Arial"/>
          <w:i/>
          <w:sz w:val="22"/>
          <w:szCs w:val="20"/>
        </w:rPr>
        <w:t>section 19 (1) of 1538/37”</w:t>
      </w:r>
      <w:r w:rsidR="006877BD" w:rsidRPr="00665290">
        <w:rPr>
          <w:rFonts w:ascii="Book Antiqua" w:hAnsi="Book Antiqua" w:cs="Arial"/>
          <w:sz w:val="22"/>
          <w:szCs w:val="20"/>
        </w:rPr>
        <w:t xml:space="preserve">. The document at pages 35 to 39, which is described as the “Facts Reported to the Magistrates” (“the Facts”), Which </w:t>
      </w:r>
      <w:r w:rsidR="00260644" w:rsidRPr="00665290">
        <w:rPr>
          <w:rFonts w:ascii="Book Antiqua" w:hAnsi="Book Antiqua" w:cs="Arial"/>
          <w:sz w:val="22"/>
          <w:szCs w:val="20"/>
        </w:rPr>
        <w:t>s</w:t>
      </w:r>
      <w:r w:rsidR="006877BD" w:rsidRPr="00665290">
        <w:rPr>
          <w:rFonts w:ascii="Book Antiqua" w:hAnsi="Book Antiqua" w:cs="Arial"/>
          <w:sz w:val="22"/>
          <w:szCs w:val="20"/>
        </w:rPr>
        <w:t xml:space="preserve">tates </w:t>
      </w:r>
      <w:r w:rsidR="00260644" w:rsidRPr="00665290">
        <w:rPr>
          <w:rFonts w:ascii="Book Antiqua" w:hAnsi="Book Antiqua" w:cs="Arial"/>
          <w:sz w:val="22"/>
          <w:szCs w:val="20"/>
        </w:rPr>
        <w:t>t</w:t>
      </w:r>
      <w:r w:rsidR="006877BD" w:rsidRPr="00665290">
        <w:rPr>
          <w:rFonts w:ascii="Book Antiqua" w:hAnsi="Book Antiqua" w:cs="Arial"/>
          <w:sz w:val="22"/>
          <w:szCs w:val="20"/>
        </w:rPr>
        <w:t xml:space="preserve">hat </w:t>
      </w:r>
      <w:r w:rsidR="00260644" w:rsidRPr="00665290">
        <w:rPr>
          <w:rFonts w:ascii="Book Antiqua" w:hAnsi="Book Antiqua" w:cs="Arial"/>
          <w:sz w:val="22"/>
          <w:szCs w:val="20"/>
        </w:rPr>
        <w:t>i</w:t>
      </w:r>
      <w:r w:rsidR="006877BD" w:rsidRPr="00665290">
        <w:rPr>
          <w:rFonts w:ascii="Book Antiqua" w:hAnsi="Book Antiqua" w:cs="Arial"/>
          <w:sz w:val="22"/>
          <w:szCs w:val="20"/>
        </w:rPr>
        <w:t xml:space="preserve">t </w:t>
      </w:r>
      <w:r w:rsidR="00260644" w:rsidRPr="00665290">
        <w:rPr>
          <w:rFonts w:ascii="Book Antiqua" w:hAnsi="Book Antiqua" w:cs="Arial"/>
          <w:sz w:val="22"/>
          <w:szCs w:val="20"/>
        </w:rPr>
        <w:t>w</w:t>
      </w:r>
      <w:r w:rsidR="006877BD" w:rsidRPr="00665290">
        <w:rPr>
          <w:rFonts w:ascii="Book Antiqua" w:hAnsi="Book Antiqua" w:cs="Arial"/>
          <w:sz w:val="22"/>
          <w:szCs w:val="20"/>
        </w:rPr>
        <w:t xml:space="preserve">as </w:t>
      </w:r>
      <w:r w:rsidR="00260644" w:rsidRPr="00665290">
        <w:rPr>
          <w:rFonts w:ascii="Book Antiqua" w:hAnsi="Book Antiqua" w:cs="Arial"/>
          <w:sz w:val="22"/>
          <w:szCs w:val="20"/>
        </w:rPr>
        <w:t>m</w:t>
      </w:r>
      <w:r w:rsidR="006877BD" w:rsidRPr="00665290">
        <w:rPr>
          <w:rFonts w:ascii="Book Antiqua" w:hAnsi="Book Antiqua" w:cs="Arial"/>
          <w:sz w:val="22"/>
          <w:szCs w:val="20"/>
        </w:rPr>
        <w:t xml:space="preserve">ade on 31 January 2010, </w:t>
      </w:r>
      <w:r w:rsidR="00260644" w:rsidRPr="00665290">
        <w:rPr>
          <w:rFonts w:ascii="Book Antiqua" w:hAnsi="Book Antiqua" w:cs="Arial"/>
          <w:sz w:val="22"/>
          <w:szCs w:val="20"/>
        </w:rPr>
        <w:t>s</w:t>
      </w:r>
      <w:r w:rsidR="006877BD" w:rsidRPr="00665290">
        <w:rPr>
          <w:rFonts w:ascii="Book Antiqua" w:hAnsi="Book Antiqua" w:cs="Arial"/>
          <w:sz w:val="22"/>
          <w:szCs w:val="20"/>
        </w:rPr>
        <w:t xml:space="preserve">ets out the </w:t>
      </w:r>
      <w:r w:rsidR="00260644" w:rsidRPr="00665290">
        <w:rPr>
          <w:rFonts w:ascii="Book Antiqua" w:hAnsi="Book Antiqua" w:cs="Arial"/>
          <w:sz w:val="22"/>
          <w:szCs w:val="20"/>
        </w:rPr>
        <w:t>h</w:t>
      </w:r>
      <w:r w:rsidR="006877BD" w:rsidRPr="00665290">
        <w:rPr>
          <w:rFonts w:ascii="Book Antiqua" w:hAnsi="Book Antiqua" w:cs="Arial"/>
          <w:sz w:val="22"/>
          <w:szCs w:val="20"/>
        </w:rPr>
        <w:t xml:space="preserve">istory of the Appellants </w:t>
      </w:r>
      <w:r w:rsidR="00260644" w:rsidRPr="00665290">
        <w:rPr>
          <w:rFonts w:ascii="Book Antiqua" w:hAnsi="Book Antiqua" w:cs="Arial"/>
          <w:sz w:val="22"/>
          <w:szCs w:val="20"/>
        </w:rPr>
        <w:t>d</w:t>
      </w:r>
      <w:r w:rsidR="006877BD" w:rsidRPr="00665290">
        <w:rPr>
          <w:rFonts w:ascii="Book Antiqua" w:hAnsi="Book Antiqua" w:cs="Arial"/>
          <w:sz w:val="22"/>
          <w:szCs w:val="20"/>
        </w:rPr>
        <w:t>etention and (at Page 37)</w:t>
      </w:r>
      <w:r w:rsidR="00260644" w:rsidRPr="00665290">
        <w:rPr>
          <w:rFonts w:ascii="Book Antiqua" w:hAnsi="Book Antiqua" w:cs="Arial"/>
          <w:sz w:val="22"/>
          <w:szCs w:val="20"/>
        </w:rPr>
        <w:t xml:space="preserve"> refers to his being detained under the same provision for 90 days from 10 October 2009.</w:t>
      </w:r>
      <w:r w:rsidR="00FA2EF9" w:rsidRPr="00665290">
        <w:rPr>
          <w:rFonts w:ascii="Book Antiqua" w:hAnsi="Book Antiqua" w:cs="Arial"/>
          <w:sz w:val="22"/>
          <w:szCs w:val="20"/>
        </w:rPr>
        <w:t xml:space="preserve"> There is no explanation anywhere in the documentation for his continued detention from 9 January 2010 to 1 February 2010. Given the nature and formality of the documentation, I would expect to see some explanation in these documents for this period of detention.</w:t>
      </w:r>
    </w:p>
    <w:p w:rsidR="00FA2EF9" w:rsidRPr="00665290" w:rsidRDefault="00FA2EF9" w:rsidP="00665290">
      <w:pPr>
        <w:tabs>
          <w:tab w:val="left" w:pos="1985"/>
        </w:tabs>
        <w:spacing w:before="120"/>
        <w:ind w:left="1985" w:right="567" w:hanging="567"/>
        <w:jc w:val="both"/>
        <w:rPr>
          <w:rFonts w:ascii="Book Antiqua" w:hAnsi="Book Antiqua" w:cs="Arial"/>
          <w:sz w:val="22"/>
          <w:szCs w:val="20"/>
        </w:rPr>
      </w:pPr>
      <w:r w:rsidRPr="00665290">
        <w:rPr>
          <w:rFonts w:ascii="Book Antiqua" w:hAnsi="Book Antiqua" w:cs="Arial"/>
          <w:sz w:val="22"/>
          <w:szCs w:val="20"/>
        </w:rPr>
        <w:t xml:space="preserve">73. </w:t>
      </w:r>
      <w:r w:rsidR="00272212" w:rsidRPr="00665290">
        <w:rPr>
          <w:rFonts w:ascii="Book Antiqua" w:hAnsi="Book Antiqua" w:cs="Arial"/>
          <w:sz w:val="22"/>
          <w:szCs w:val="20"/>
        </w:rPr>
        <w:tab/>
      </w:r>
      <w:r w:rsidRPr="00665290">
        <w:rPr>
          <w:rFonts w:ascii="Book Antiqua" w:hAnsi="Book Antiqua" w:cs="Arial"/>
          <w:sz w:val="22"/>
          <w:szCs w:val="20"/>
        </w:rPr>
        <w:t>More significantly, the Facts also recount that “</w:t>
      </w:r>
      <w:r w:rsidRPr="00665290">
        <w:rPr>
          <w:rFonts w:ascii="Book Antiqua" w:hAnsi="Book Antiqua" w:cs="Arial"/>
          <w:i/>
          <w:sz w:val="22"/>
          <w:szCs w:val="20"/>
        </w:rPr>
        <w:t>The accused in custody admitted to the above charges”</w:t>
      </w:r>
      <w:r w:rsidR="009731D0" w:rsidRPr="00665290">
        <w:rPr>
          <w:rFonts w:ascii="Book Antiqua" w:hAnsi="Book Antiqua" w:cs="Arial"/>
          <w:sz w:val="22"/>
          <w:szCs w:val="20"/>
        </w:rPr>
        <w:t xml:space="preserve"> (page 37). However, the document which appears to show the Appellant’s release (page 45) states “</w:t>
      </w:r>
      <w:r w:rsidR="009731D0" w:rsidRPr="00665290">
        <w:rPr>
          <w:rFonts w:ascii="Book Antiqua" w:hAnsi="Book Antiqua" w:cs="Arial"/>
          <w:i/>
          <w:sz w:val="22"/>
          <w:szCs w:val="20"/>
        </w:rPr>
        <w:t xml:space="preserve">there is no </w:t>
      </w:r>
      <w:r w:rsidR="009731D0" w:rsidRPr="00665290">
        <w:rPr>
          <w:rFonts w:ascii="Book Antiqua" w:hAnsi="Book Antiqua" w:cs="Arial"/>
          <w:i/>
          <w:sz w:val="22"/>
          <w:szCs w:val="20"/>
        </w:rPr>
        <w:lastRenderedPageBreak/>
        <w:t>evidence submitted against the suspect”.</w:t>
      </w:r>
      <w:r w:rsidR="009731D0" w:rsidRPr="00665290">
        <w:rPr>
          <w:rFonts w:ascii="Book Antiqua" w:hAnsi="Book Antiqua" w:cs="Arial"/>
          <w:sz w:val="22"/>
          <w:szCs w:val="20"/>
        </w:rPr>
        <w:t xml:space="preserve"> I find it very unlikely that the Appellant’s own confession would not amount to evidence against him and so find the documents are inconsistent with each other. In addition, at no point has the Appellant stated that he in fact confessed, whether intentionally or by trick, to the offences.</w:t>
      </w:r>
      <w:r w:rsidR="007A6C33" w:rsidRPr="00665290">
        <w:rPr>
          <w:rFonts w:ascii="Book Antiqua" w:hAnsi="Book Antiqua" w:cs="Arial"/>
          <w:sz w:val="22"/>
          <w:szCs w:val="20"/>
        </w:rPr>
        <w:t xml:space="preserve"> I accept that he stated in his witness statement that he sign</w:t>
      </w:r>
      <w:r w:rsidR="00272212" w:rsidRPr="00665290">
        <w:rPr>
          <w:rFonts w:ascii="Book Antiqua" w:hAnsi="Book Antiqua" w:cs="Arial"/>
          <w:sz w:val="22"/>
          <w:szCs w:val="20"/>
        </w:rPr>
        <w:t>ed</w:t>
      </w:r>
      <w:r w:rsidR="007A6C33" w:rsidRPr="00665290">
        <w:rPr>
          <w:rFonts w:ascii="Book Antiqua" w:hAnsi="Book Antiqua" w:cs="Arial"/>
          <w:sz w:val="22"/>
          <w:szCs w:val="20"/>
        </w:rPr>
        <w:t xml:space="preserve"> some documents in Sinhalese which he did not understand and some blank documents (para 14) however, I would expect that if these were in fact confessions intended to be used against him he would have become aware of this during the course of the proceedings.</w:t>
      </w:r>
    </w:p>
    <w:p w:rsidR="007A6C33" w:rsidRPr="00665290" w:rsidRDefault="007A6C33" w:rsidP="00665290">
      <w:pPr>
        <w:tabs>
          <w:tab w:val="left" w:pos="1985"/>
        </w:tabs>
        <w:spacing w:before="120"/>
        <w:ind w:left="1985" w:right="567" w:hanging="567"/>
        <w:jc w:val="both"/>
        <w:rPr>
          <w:rFonts w:ascii="Book Antiqua" w:hAnsi="Book Antiqua" w:cs="Arial"/>
          <w:sz w:val="22"/>
          <w:szCs w:val="20"/>
        </w:rPr>
      </w:pPr>
      <w:r w:rsidRPr="00665290">
        <w:rPr>
          <w:rFonts w:ascii="Book Antiqua" w:hAnsi="Book Antiqua" w:cs="Arial"/>
          <w:sz w:val="22"/>
          <w:szCs w:val="20"/>
        </w:rPr>
        <w:t xml:space="preserve">74. </w:t>
      </w:r>
      <w:r w:rsidR="00272212" w:rsidRPr="00665290">
        <w:rPr>
          <w:rFonts w:ascii="Book Antiqua" w:hAnsi="Book Antiqua" w:cs="Arial"/>
          <w:sz w:val="22"/>
          <w:szCs w:val="20"/>
        </w:rPr>
        <w:tab/>
      </w:r>
      <w:r w:rsidRPr="00665290">
        <w:rPr>
          <w:rFonts w:ascii="Book Antiqua" w:hAnsi="Book Antiqua" w:cs="Arial"/>
          <w:sz w:val="22"/>
          <w:szCs w:val="20"/>
        </w:rPr>
        <w:t xml:space="preserve">The last of the court documents </w:t>
      </w:r>
      <w:r w:rsidR="00272212" w:rsidRPr="00665290">
        <w:rPr>
          <w:rFonts w:ascii="Book Antiqua" w:hAnsi="Book Antiqua" w:cs="Arial"/>
          <w:sz w:val="22"/>
          <w:szCs w:val="20"/>
        </w:rPr>
        <w:t>i</w:t>
      </w:r>
      <w:r w:rsidRPr="00665290">
        <w:rPr>
          <w:rFonts w:ascii="Book Antiqua" w:hAnsi="Book Antiqua" w:cs="Arial"/>
          <w:sz w:val="22"/>
          <w:szCs w:val="20"/>
        </w:rPr>
        <w:t>s a warrant for the Appellant’s arrest following his failure to comply with his bail conditions (page 46). This was not issued until 2 September 2016, almost 7 months after his first failure</w:t>
      </w:r>
      <w:r w:rsidR="00D141AD" w:rsidRPr="00665290">
        <w:rPr>
          <w:rFonts w:ascii="Book Antiqua" w:hAnsi="Book Antiqua" w:cs="Arial"/>
          <w:sz w:val="22"/>
          <w:szCs w:val="20"/>
        </w:rPr>
        <w:t xml:space="preserve"> to attend the police station. I consider it unlikely that the authorities would wait such a long time before taking action in respect of the Appellant’s alleged breach of bail, especially if, as alleged by the Appellant, they were in fact seeking him the very day after he was released.</w:t>
      </w:r>
      <w:r w:rsidR="00665290" w:rsidRPr="00665290">
        <w:rPr>
          <w:rFonts w:ascii="Book Antiqua" w:hAnsi="Book Antiqua" w:cs="Arial"/>
          <w:sz w:val="22"/>
          <w:szCs w:val="20"/>
        </w:rPr>
        <w:t>”</w:t>
      </w:r>
    </w:p>
    <w:p w:rsidR="00B70E8D" w:rsidRDefault="00D141AD"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 xml:space="preserve">The appellant makes the point that the arrest warrant was issued on 4 October 2010 when he was already in the United Kingdom and that when he travelled to the UK there was no arrest warrant extant against him and so he was not on the </w:t>
      </w:r>
      <w:r w:rsidR="00C7734E">
        <w:rPr>
          <w:rFonts w:ascii="Book Antiqua" w:hAnsi="Book Antiqua" w:cs="Arial"/>
        </w:rPr>
        <w:t>‘</w:t>
      </w:r>
      <w:r>
        <w:rPr>
          <w:rFonts w:ascii="Book Antiqua" w:hAnsi="Book Antiqua" w:cs="Arial"/>
        </w:rPr>
        <w:t>stop list</w:t>
      </w:r>
      <w:r w:rsidR="00C7734E">
        <w:rPr>
          <w:rFonts w:ascii="Book Antiqua" w:hAnsi="Book Antiqua" w:cs="Arial"/>
        </w:rPr>
        <w:t>’</w:t>
      </w:r>
      <w:r>
        <w:rPr>
          <w:rFonts w:ascii="Book Antiqua" w:hAnsi="Book Antiqua" w:cs="Arial"/>
        </w:rPr>
        <w:t>.</w:t>
      </w:r>
      <w:r w:rsidR="001C0054">
        <w:rPr>
          <w:rFonts w:ascii="Book Antiqua" w:hAnsi="Book Antiqua" w:cs="Arial"/>
        </w:rPr>
        <w:t xml:space="preserve"> It was argued that a period of seven months was not </w:t>
      </w:r>
      <w:r w:rsidR="00C7734E">
        <w:rPr>
          <w:rFonts w:ascii="Book Antiqua" w:hAnsi="Book Antiqua" w:cs="Arial"/>
        </w:rPr>
        <w:t>an un</w:t>
      </w:r>
      <w:r w:rsidR="001C0054">
        <w:rPr>
          <w:rFonts w:ascii="Book Antiqua" w:hAnsi="Book Antiqua" w:cs="Arial"/>
        </w:rPr>
        <w:t>reasonable period of time and it was argued there was no inconsistency in the evidence provided by the appellant.</w:t>
      </w:r>
      <w:r w:rsidR="00DB40C9">
        <w:rPr>
          <w:rFonts w:ascii="Book Antiqua" w:hAnsi="Book Antiqua" w:cs="Arial"/>
        </w:rPr>
        <w:t xml:space="preserve"> </w:t>
      </w:r>
      <w:r w:rsidR="00C7734E">
        <w:rPr>
          <w:rFonts w:ascii="Book Antiqua" w:hAnsi="Book Antiqua" w:cs="Arial"/>
        </w:rPr>
        <w:t xml:space="preserve">It was </w:t>
      </w:r>
      <w:r w:rsidR="00DB40C9">
        <w:rPr>
          <w:rFonts w:ascii="Book Antiqua" w:hAnsi="Book Antiqua" w:cs="Arial"/>
        </w:rPr>
        <w:t>argued on the respondent’s behalf that the Judge made no material error. An issue concerning the seal of the police station being provided</w:t>
      </w:r>
      <w:r w:rsidR="00C7734E">
        <w:rPr>
          <w:rFonts w:ascii="Book Antiqua" w:hAnsi="Book Antiqua" w:cs="Arial"/>
        </w:rPr>
        <w:t>,</w:t>
      </w:r>
      <w:r w:rsidR="00DB40C9">
        <w:rPr>
          <w:rFonts w:ascii="Book Antiqua" w:hAnsi="Book Antiqua" w:cs="Arial"/>
        </w:rPr>
        <w:t xml:space="preserve"> by reference to a translation</w:t>
      </w:r>
      <w:r w:rsidR="00C7734E">
        <w:rPr>
          <w:rFonts w:ascii="Book Antiqua" w:hAnsi="Book Antiqua" w:cs="Arial"/>
        </w:rPr>
        <w:t>,</w:t>
      </w:r>
      <w:r w:rsidR="00DB40C9">
        <w:rPr>
          <w:rFonts w:ascii="Book Antiqua" w:hAnsi="Book Antiqua" w:cs="Arial"/>
        </w:rPr>
        <w:t xml:space="preserve"> was not an issue that </w:t>
      </w:r>
      <w:r w:rsidR="00C7734E">
        <w:rPr>
          <w:rFonts w:ascii="Book Antiqua" w:hAnsi="Book Antiqua" w:cs="Arial"/>
        </w:rPr>
        <w:t>a</w:t>
      </w:r>
      <w:r w:rsidR="00DB40C9">
        <w:rPr>
          <w:rFonts w:ascii="Book Antiqua" w:hAnsi="Book Antiqua" w:cs="Arial"/>
        </w:rPr>
        <w:t xml:space="preserve">rose before the Judge nor the High Court seal on the translated document </w:t>
      </w:r>
      <w:r w:rsidR="00C7734E">
        <w:rPr>
          <w:rFonts w:ascii="Book Antiqua" w:hAnsi="Book Antiqua" w:cs="Arial"/>
        </w:rPr>
        <w:t xml:space="preserve">and it </w:t>
      </w:r>
      <w:r w:rsidR="00DB40C9">
        <w:rPr>
          <w:rFonts w:ascii="Book Antiqua" w:hAnsi="Book Antiqua" w:cs="Arial"/>
        </w:rPr>
        <w:t xml:space="preserve">was accepted there was no independent document report accepted by the Judge. </w:t>
      </w:r>
      <w:r w:rsidR="00C7734E">
        <w:rPr>
          <w:rFonts w:ascii="Book Antiqua" w:hAnsi="Book Antiqua" w:cs="Arial"/>
        </w:rPr>
        <w:t xml:space="preserve">It was </w:t>
      </w:r>
      <w:r w:rsidR="00DB40C9">
        <w:rPr>
          <w:rFonts w:ascii="Book Antiqua" w:hAnsi="Book Antiqua" w:cs="Arial"/>
        </w:rPr>
        <w:t xml:space="preserve">argued on the respondent’s behalf that the Judge was entitled to rely on the documents in the round and to rely on </w:t>
      </w:r>
      <w:r w:rsidR="004E2890">
        <w:rPr>
          <w:rFonts w:ascii="Book Antiqua" w:hAnsi="Book Antiqua" w:cs="Arial"/>
        </w:rPr>
        <w:t xml:space="preserve">the </w:t>
      </w:r>
      <w:r w:rsidR="00DB40C9">
        <w:rPr>
          <w:rFonts w:ascii="Book Antiqua" w:hAnsi="Book Antiqua" w:cs="Arial"/>
        </w:rPr>
        <w:t>discrepancies in the evidence</w:t>
      </w:r>
      <w:r w:rsidR="00113054">
        <w:rPr>
          <w:rFonts w:ascii="Book Antiqua" w:hAnsi="Book Antiqua" w:cs="Arial"/>
        </w:rPr>
        <w:t xml:space="preserve"> that the Judge notes in the decision. It </w:t>
      </w:r>
      <w:r w:rsidR="004E2890">
        <w:rPr>
          <w:rFonts w:ascii="Book Antiqua" w:hAnsi="Book Antiqua" w:cs="Arial"/>
        </w:rPr>
        <w:t xml:space="preserve">was submitted it is </w:t>
      </w:r>
      <w:r w:rsidR="00113054">
        <w:rPr>
          <w:rFonts w:ascii="Book Antiqua" w:hAnsi="Book Antiqua" w:cs="Arial"/>
        </w:rPr>
        <w:t xml:space="preserve">not made out the conclusions in relation to the court documentation were not reasonably open to the </w:t>
      </w:r>
      <w:r w:rsidR="004E2890">
        <w:rPr>
          <w:rFonts w:ascii="Book Antiqua" w:hAnsi="Book Antiqua" w:cs="Arial"/>
        </w:rPr>
        <w:t>J</w:t>
      </w:r>
      <w:r w:rsidR="00113054">
        <w:rPr>
          <w:rFonts w:ascii="Book Antiqua" w:hAnsi="Book Antiqua" w:cs="Arial"/>
        </w:rPr>
        <w:t>udge on the basis of the information made available.</w:t>
      </w:r>
    </w:p>
    <w:p w:rsidR="003B3602" w:rsidRDefault="00B70E8D"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 xml:space="preserve">The appellant asserts further error in relation to the death of GS </w:t>
      </w:r>
      <w:r w:rsidR="004E2890">
        <w:rPr>
          <w:rFonts w:ascii="Book Antiqua" w:hAnsi="Book Antiqua" w:cs="Arial"/>
        </w:rPr>
        <w:t xml:space="preserve">as </w:t>
      </w:r>
      <w:r>
        <w:rPr>
          <w:rFonts w:ascii="Book Antiqua" w:hAnsi="Book Antiqua" w:cs="Arial"/>
        </w:rPr>
        <w:t xml:space="preserve">it was not found by the Judge that </w:t>
      </w:r>
      <w:r w:rsidR="00A02BD2">
        <w:rPr>
          <w:rFonts w:ascii="Book Antiqua" w:hAnsi="Book Antiqua" w:cs="Arial"/>
        </w:rPr>
        <w:t xml:space="preserve">it </w:t>
      </w:r>
      <w:r>
        <w:rPr>
          <w:rFonts w:ascii="Book Antiqua" w:hAnsi="Book Antiqua" w:cs="Arial"/>
        </w:rPr>
        <w:t xml:space="preserve">had been established that he was killed by the authorities in Sri Lanka. This is a finding specifically be made by the Judge at [57]. The assertion in the appellant’s skeleton argument that on the available country information the finding the authorities </w:t>
      </w:r>
      <w:r w:rsidR="00A02BD2">
        <w:rPr>
          <w:rFonts w:ascii="Book Antiqua" w:hAnsi="Book Antiqua" w:cs="Arial"/>
        </w:rPr>
        <w:t xml:space="preserve">had </w:t>
      </w:r>
      <w:r>
        <w:rPr>
          <w:rFonts w:ascii="Book Antiqua" w:hAnsi="Book Antiqua" w:cs="Arial"/>
        </w:rPr>
        <w:t>murder</w:t>
      </w:r>
      <w:r w:rsidR="00A02BD2">
        <w:rPr>
          <w:rFonts w:ascii="Book Antiqua" w:hAnsi="Book Antiqua" w:cs="Arial"/>
        </w:rPr>
        <w:t>ed</w:t>
      </w:r>
      <w:r>
        <w:rPr>
          <w:rFonts w:ascii="Book Antiqua" w:hAnsi="Book Antiqua" w:cs="Arial"/>
        </w:rPr>
        <w:t xml:space="preserve"> GS should have been made is no more than a mere disagreement with the specific finding by the Judge</w:t>
      </w:r>
      <w:r w:rsidR="00EC0C69">
        <w:rPr>
          <w:rFonts w:ascii="Book Antiqua" w:hAnsi="Book Antiqua" w:cs="Arial"/>
        </w:rPr>
        <w:t xml:space="preserve"> that the same had not been made out. </w:t>
      </w:r>
      <w:r w:rsidR="00A02BD2">
        <w:rPr>
          <w:rFonts w:ascii="Book Antiqua" w:hAnsi="Book Antiqua" w:cs="Arial"/>
        </w:rPr>
        <w:t>It w</w:t>
      </w:r>
      <w:r w:rsidR="00EC0C69">
        <w:rPr>
          <w:rFonts w:ascii="Book Antiqua" w:hAnsi="Book Antiqua" w:cs="Arial"/>
        </w:rPr>
        <w:t>as not established that GS had died as the appellant alleged</w:t>
      </w:r>
      <w:r w:rsidR="00A02BD2">
        <w:rPr>
          <w:rFonts w:ascii="Book Antiqua" w:hAnsi="Book Antiqua" w:cs="Arial"/>
        </w:rPr>
        <w:t xml:space="preserve">, and the </w:t>
      </w:r>
      <w:r w:rsidR="00EC0C69">
        <w:rPr>
          <w:rFonts w:ascii="Book Antiqua" w:hAnsi="Book Antiqua" w:cs="Arial"/>
        </w:rPr>
        <w:t>assertions he was a man “in the prime of his life” whose death was “premature” does not automatically lead to a conclusion that his death occurred as the appellant alleged.</w:t>
      </w:r>
    </w:p>
    <w:p w:rsidR="00EC0C69" w:rsidRDefault="00EC0C69"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The appellant asserts the finding by the Judge that</w:t>
      </w:r>
      <w:r w:rsidR="003B0747">
        <w:rPr>
          <w:rFonts w:ascii="Book Antiqua" w:hAnsi="Book Antiqua" w:cs="Arial"/>
        </w:rPr>
        <w:t xml:space="preserve"> the household list was not a genuine document is also challenged by the appellant on the basis it was not a finding the Judge was entitled to make that the household list only recorded </w:t>
      </w:r>
      <w:r w:rsidR="003B0747">
        <w:rPr>
          <w:rFonts w:ascii="Book Antiqua" w:hAnsi="Book Antiqua" w:cs="Arial"/>
        </w:rPr>
        <w:lastRenderedPageBreak/>
        <w:t xml:space="preserve">household members rather than occupiers of business premises. The difficulty with such submission </w:t>
      </w:r>
      <w:r w:rsidR="00D8240A">
        <w:rPr>
          <w:rFonts w:ascii="Book Antiqua" w:hAnsi="Book Antiqua" w:cs="Arial"/>
        </w:rPr>
        <w:t>i</w:t>
      </w:r>
      <w:r w:rsidR="003B0747">
        <w:rPr>
          <w:rFonts w:ascii="Book Antiqua" w:hAnsi="Book Antiqua" w:cs="Arial"/>
        </w:rPr>
        <w:t>s there is nothing within the grounds or made available to the Judge to show that a list of household occupants would include business premises or sufficient to make the Judge’s conclusions arguably irrational.</w:t>
      </w:r>
      <w:r w:rsidR="00FD7F0F">
        <w:rPr>
          <w:rFonts w:ascii="Book Antiqua" w:hAnsi="Book Antiqua" w:cs="Arial"/>
        </w:rPr>
        <w:t xml:space="preserve"> The Judge was entitled to make the finding that he did irrespective of whether the document had been verified by the respondent</w:t>
      </w:r>
      <w:r w:rsidR="00D8240A">
        <w:rPr>
          <w:rFonts w:ascii="Book Antiqua" w:hAnsi="Book Antiqua" w:cs="Arial"/>
        </w:rPr>
        <w:t xml:space="preserve"> or not</w:t>
      </w:r>
      <w:r w:rsidR="00FD7F0F">
        <w:rPr>
          <w:rFonts w:ascii="Book Antiqua" w:hAnsi="Book Antiqua" w:cs="Arial"/>
        </w:rPr>
        <w:t xml:space="preserve">. The burden of proof at this stage fell upon the appellant to establish that what he was saying was true. </w:t>
      </w:r>
      <w:r w:rsidR="00D8240A">
        <w:rPr>
          <w:rFonts w:ascii="Book Antiqua" w:hAnsi="Book Antiqua" w:cs="Arial"/>
        </w:rPr>
        <w:t xml:space="preserve">On the </w:t>
      </w:r>
      <w:r w:rsidR="00FD7F0F">
        <w:rPr>
          <w:rFonts w:ascii="Book Antiqua" w:hAnsi="Book Antiqua" w:cs="Arial"/>
        </w:rPr>
        <w:t xml:space="preserve">basis of the evidence the Judge was not so satisfied and provides adequate reasons for such </w:t>
      </w:r>
      <w:r w:rsidR="00137E39">
        <w:rPr>
          <w:rFonts w:ascii="Book Antiqua" w:hAnsi="Book Antiqua" w:cs="Arial"/>
        </w:rPr>
        <w:t xml:space="preserve">a </w:t>
      </w:r>
      <w:r w:rsidR="00FD7F0F">
        <w:rPr>
          <w:rFonts w:ascii="Book Antiqua" w:hAnsi="Book Antiqua" w:cs="Arial"/>
        </w:rPr>
        <w:t>conclusion in the decision under challenge.</w:t>
      </w:r>
    </w:p>
    <w:p w:rsidR="00FD7F0F" w:rsidRDefault="00FD7F0F"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 xml:space="preserve">The Judge clearly considered the evidence with the required degree of anxious scrutiny including letters from the appellant’s father. So far as the court documents are concerned the Judge was entitled </w:t>
      </w:r>
      <w:r w:rsidR="00647CAF">
        <w:rPr>
          <w:rFonts w:ascii="Book Antiqua" w:hAnsi="Book Antiqua" w:cs="Arial"/>
        </w:rPr>
        <w:t xml:space="preserve">to consider what weight could properly be placed upon the </w:t>
      </w:r>
      <w:r w:rsidR="00137E39">
        <w:rPr>
          <w:rFonts w:ascii="Book Antiqua" w:hAnsi="Book Antiqua" w:cs="Arial"/>
        </w:rPr>
        <w:t>same</w:t>
      </w:r>
      <w:r w:rsidR="00647CAF">
        <w:rPr>
          <w:rFonts w:ascii="Book Antiqua" w:hAnsi="Book Antiqua" w:cs="Arial"/>
        </w:rPr>
        <w:t xml:space="preserve">. It </w:t>
      </w:r>
      <w:r w:rsidR="00137E39">
        <w:rPr>
          <w:rFonts w:ascii="Book Antiqua" w:hAnsi="Book Antiqua" w:cs="Arial"/>
        </w:rPr>
        <w:t xml:space="preserve">has </w:t>
      </w:r>
      <w:r w:rsidR="00647CAF">
        <w:rPr>
          <w:rFonts w:ascii="Book Antiqua" w:hAnsi="Book Antiqua" w:cs="Arial"/>
        </w:rPr>
        <w:t xml:space="preserve">not been made out that the Judge makes a specific finding that the appellant was in detention from 10 October 2009 to 9 January 2010. The Judge identifies discrepancies in the evidence recorded in the decision under challenge </w:t>
      </w:r>
      <w:r w:rsidR="00137E39">
        <w:rPr>
          <w:rFonts w:ascii="Book Antiqua" w:hAnsi="Book Antiqua" w:cs="Arial"/>
        </w:rPr>
        <w:t xml:space="preserve">and </w:t>
      </w:r>
      <w:r w:rsidR="00647CAF">
        <w:rPr>
          <w:rFonts w:ascii="Book Antiqua" w:hAnsi="Book Antiqua" w:cs="Arial"/>
        </w:rPr>
        <w:t>the submission that because the Judge did not reject the court documents as forgeries</w:t>
      </w:r>
      <w:r w:rsidR="00793F84">
        <w:rPr>
          <w:rFonts w:ascii="Book Antiqua" w:hAnsi="Book Antiqua" w:cs="Arial"/>
        </w:rPr>
        <w:t xml:space="preserve"> they should have been accepted as genuine has no arguable merit. The argument these documents should have been accepted as proof the appellant was arrested and detained as claimed </w:t>
      </w:r>
      <w:r w:rsidR="00137E39">
        <w:rPr>
          <w:rFonts w:ascii="Book Antiqua" w:hAnsi="Book Antiqua" w:cs="Arial"/>
        </w:rPr>
        <w:t>w</w:t>
      </w:r>
      <w:r w:rsidR="00793F84">
        <w:rPr>
          <w:rFonts w:ascii="Book Antiqua" w:hAnsi="Book Antiqua" w:cs="Arial"/>
        </w:rPr>
        <w:t xml:space="preserve">as a matter the Judge clearly considered looking at the evidence as a whole. Even if internal consistencies were not the responsibility of the appellant such inconsistencies as identified by the Judge arose which were relevant to the weight the Judge was prepared to give to that evidence. It is not made out that the Judge adopted an irrational approach in attaching the weight </w:t>
      </w:r>
      <w:r w:rsidR="00D44347">
        <w:rPr>
          <w:rFonts w:ascii="Book Antiqua" w:hAnsi="Book Antiqua" w:cs="Arial"/>
        </w:rPr>
        <w:t xml:space="preserve">to the </w:t>
      </w:r>
      <w:r w:rsidR="00793F84">
        <w:rPr>
          <w:rFonts w:ascii="Book Antiqua" w:hAnsi="Book Antiqua" w:cs="Arial"/>
        </w:rPr>
        <w:t>evidence he was prepared to attach to this material</w:t>
      </w:r>
      <w:r w:rsidR="00D44347">
        <w:rPr>
          <w:rFonts w:ascii="Book Antiqua" w:hAnsi="Book Antiqua" w:cs="Arial"/>
        </w:rPr>
        <w:t>,</w:t>
      </w:r>
      <w:r w:rsidR="00327EF0">
        <w:rPr>
          <w:rFonts w:ascii="Book Antiqua" w:hAnsi="Book Antiqua" w:cs="Arial"/>
        </w:rPr>
        <w:t xml:space="preserve"> or that the conclusion that little weight could be attached is an arguably irrational outcome.</w:t>
      </w:r>
    </w:p>
    <w:p w:rsidR="00327EF0" w:rsidRDefault="00327EF0"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In relation to the delay in claiming asylum</w:t>
      </w:r>
      <w:r w:rsidR="00D44347">
        <w:rPr>
          <w:rFonts w:ascii="Book Antiqua" w:hAnsi="Book Antiqua" w:cs="Arial"/>
        </w:rPr>
        <w:t>,</w:t>
      </w:r>
      <w:r>
        <w:rPr>
          <w:rFonts w:ascii="Book Antiqua" w:hAnsi="Book Antiqua" w:cs="Arial"/>
        </w:rPr>
        <w:t xml:space="preserve"> the appellant disagrees with the conclusions of the </w:t>
      </w:r>
      <w:r w:rsidR="00D44347">
        <w:rPr>
          <w:rFonts w:ascii="Book Antiqua" w:hAnsi="Book Antiqua" w:cs="Arial"/>
        </w:rPr>
        <w:t>J</w:t>
      </w:r>
      <w:r>
        <w:rPr>
          <w:rFonts w:ascii="Book Antiqua" w:hAnsi="Book Antiqua" w:cs="Arial"/>
        </w:rPr>
        <w:t xml:space="preserve">udge that this damaged his credibility but, again, it </w:t>
      </w:r>
      <w:r w:rsidR="00D44347">
        <w:rPr>
          <w:rFonts w:ascii="Book Antiqua" w:hAnsi="Book Antiqua" w:cs="Arial"/>
        </w:rPr>
        <w:t xml:space="preserve">has </w:t>
      </w:r>
      <w:r>
        <w:rPr>
          <w:rFonts w:ascii="Book Antiqua" w:hAnsi="Book Antiqua" w:cs="Arial"/>
        </w:rPr>
        <w:t>not been shown that this is a finding outside the range of those reasonably open to the Judge on the evidence.</w:t>
      </w:r>
    </w:p>
    <w:p w:rsidR="00327EF0" w:rsidRDefault="00327EF0"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Having considered the material</w:t>
      </w:r>
      <w:r w:rsidR="00D44347">
        <w:rPr>
          <w:rFonts w:ascii="Book Antiqua" w:hAnsi="Book Antiqua" w:cs="Arial"/>
        </w:rPr>
        <w:t>;</w:t>
      </w:r>
      <w:r>
        <w:rPr>
          <w:rFonts w:ascii="Book Antiqua" w:hAnsi="Book Antiqua" w:cs="Arial"/>
        </w:rPr>
        <w:t xml:space="preserve"> I find the Judge considered the evidence with the required degree of anxious scrutiny</w:t>
      </w:r>
      <w:r w:rsidR="00E0722F">
        <w:rPr>
          <w:rFonts w:ascii="Book Antiqua" w:hAnsi="Book Antiqua" w:cs="Arial"/>
        </w:rPr>
        <w:t xml:space="preserve"> and has given adequate reasons for the findings made. It </w:t>
      </w:r>
      <w:r w:rsidR="000C6E87">
        <w:rPr>
          <w:rFonts w:ascii="Book Antiqua" w:hAnsi="Book Antiqua" w:cs="Arial"/>
        </w:rPr>
        <w:t xml:space="preserve">has </w:t>
      </w:r>
      <w:r w:rsidR="00E0722F">
        <w:rPr>
          <w:rFonts w:ascii="Book Antiqua" w:hAnsi="Book Antiqua" w:cs="Arial"/>
        </w:rPr>
        <w:t>not been shown those findings are outside the range of those reasonably available to the Judge or that they are in any way perverse or irrational and not available to the Judge. The w</w:t>
      </w:r>
      <w:r w:rsidR="000C6E87">
        <w:rPr>
          <w:rFonts w:ascii="Book Antiqua" w:hAnsi="Book Antiqua" w:cs="Arial"/>
        </w:rPr>
        <w:t xml:space="preserve">eight </w:t>
      </w:r>
      <w:r w:rsidR="00E0722F">
        <w:rPr>
          <w:rFonts w:ascii="Book Antiqua" w:hAnsi="Book Antiqua" w:cs="Arial"/>
        </w:rPr>
        <w:t xml:space="preserve">given to the evidence was a matter for the Judge </w:t>
      </w:r>
      <w:r w:rsidR="000C6E87">
        <w:rPr>
          <w:rFonts w:ascii="Book Antiqua" w:hAnsi="Book Antiqua" w:cs="Arial"/>
        </w:rPr>
        <w:t xml:space="preserve">and </w:t>
      </w:r>
      <w:r w:rsidR="00E0722F">
        <w:rPr>
          <w:rFonts w:ascii="Book Antiqua" w:hAnsi="Book Antiqua" w:cs="Arial"/>
        </w:rPr>
        <w:t xml:space="preserve">disagreement with the conclusions reached </w:t>
      </w:r>
      <w:r w:rsidR="000C6E87">
        <w:rPr>
          <w:rFonts w:ascii="Book Antiqua" w:hAnsi="Book Antiqua" w:cs="Arial"/>
        </w:rPr>
        <w:t xml:space="preserve">and/or </w:t>
      </w:r>
      <w:r w:rsidR="00E0722F">
        <w:rPr>
          <w:rFonts w:ascii="Book Antiqua" w:hAnsi="Book Antiqua" w:cs="Arial"/>
        </w:rPr>
        <w:t>an attempt to re-argue the appellant’s case does not establish arguable legal error material to the decision to dismiss the appeal.</w:t>
      </w:r>
    </w:p>
    <w:p w:rsidR="00E0722F" w:rsidRDefault="00E0722F" w:rsidP="00665290">
      <w:pPr>
        <w:numPr>
          <w:ilvl w:val="0"/>
          <w:numId w:val="3"/>
        </w:numPr>
        <w:tabs>
          <w:tab w:val="clear" w:pos="1080"/>
          <w:tab w:val="num" w:pos="851"/>
        </w:tabs>
        <w:spacing w:before="240"/>
        <w:ind w:left="851" w:hanging="567"/>
        <w:jc w:val="both"/>
        <w:rPr>
          <w:rFonts w:ascii="Book Antiqua" w:hAnsi="Book Antiqua" w:cs="Arial"/>
        </w:rPr>
      </w:pPr>
      <w:r>
        <w:rPr>
          <w:rFonts w:ascii="Book Antiqua" w:hAnsi="Book Antiqua" w:cs="Arial"/>
        </w:rPr>
        <w:t xml:space="preserve">I do not find it made out the </w:t>
      </w:r>
      <w:r w:rsidR="001E4163">
        <w:rPr>
          <w:rFonts w:ascii="Book Antiqua" w:hAnsi="Book Antiqua" w:cs="Arial"/>
        </w:rPr>
        <w:t>appellant has establish</w:t>
      </w:r>
      <w:r w:rsidR="000C6E87">
        <w:rPr>
          <w:rFonts w:ascii="Book Antiqua" w:hAnsi="Book Antiqua" w:cs="Arial"/>
        </w:rPr>
        <w:t>ed</w:t>
      </w:r>
      <w:r w:rsidR="001E4163">
        <w:rPr>
          <w:rFonts w:ascii="Book Antiqua" w:hAnsi="Book Antiqua" w:cs="Arial"/>
        </w:rPr>
        <w:t xml:space="preserve"> the </w:t>
      </w:r>
      <w:r w:rsidR="000C6E87">
        <w:rPr>
          <w:rFonts w:ascii="Book Antiqua" w:hAnsi="Book Antiqua" w:cs="Arial"/>
        </w:rPr>
        <w:t>J</w:t>
      </w:r>
      <w:r w:rsidR="001E4163">
        <w:rPr>
          <w:rFonts w:ascii="Book Antiqua" w:hAnsi="Book Antiqua" w:cs="Arial"/>
        </w:rPr>
        <w:t>udge made legal error material to the decision to dismiss the appeal sufficient to entitle the Upper Tribunal to interfere in this decision.</w:t>
      </w:r>
    </w:p>
    <w:p w:rsidR="00665290" w:rsidRDefault="00665290" w:rsidP="003629BE">
      <w:pPr>
        <w:pStyle w:val="BodyTextIndent"/>
        <w:spacing w:before="240"/>
        <w:ind w:left="0"/>
        <w:jc w:val="both"/>
        <w:rPr>
          <w:rFonts w:ascii="Book Antiqua" w:hAnsi="Book Antiqua" w:cs="Arial"/>
          <w:b/>
          <w:bCs/>
          <w:sz w:val="24"/>
          <w:u w:val="single"/>
        </w:rPr>
      </w:pPr>
    </w:p>
    <w:p w:rsidR="00D32B8A" w:rsidRPr="00D32B8A" w:rsidRDefault="00D32B8A" w:rsidP="003629BE">
      <w:pPr>
        <w:pStyle w:val="BodyTextIndent"/>
        <w:spacing w:before="240"/>
        <w:ind w:left="0"/>
        <w:jc w:val="both"/>
        <w:rPr>
          <w:rFonts w:ascii="Book Antiqua" w:hAnsi="Book Antiqua" w:cs="Arial"/>
          <w:b/>
          <w:bCs/>
          <w:sz w:val="24"/>
          <w:u w:val="single"/>
        </w:rPr>
      </w:pPr>
      <w:r w:rsidRPr="00D32B8A">
        <w:rPr>
          <w:rFonts w:ascii="Book Antiqua" w:hAnsi="Book Antiqua" w:cs="Arial"/>
          <w:b/>
          <w:bCs/>
          <w:sz w:val="24"/>
          <w:u w:val="single"/>
        </w:rPr>
        <w:lastRenderedPageBreak/>
        <w:t>Decision</w:t>
      </w:r>
    </w:p>
    <w:p w:rsidR="00813355" w:rsidRDefault="00D32B8A" w:rsidP="00665290">
      <w:pPr>
        <w:pStyle w:val="BodyTextIndent"/>
        <w:numPr>
          <w:ilvl w:val="0"/>
          <w:numId w:val="3"/>
        </w:numPr>
        <w:tabs>
          <w:tab w:val="clear" w:pos="1080"/>
          <w:tab w:val="num" w:pos="851"/>
        </w:tabs>
        <w:spacing w:before="240"/>
        <w:ind w:left="851" w:hanging="567"/>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Pr="00DB5024" w:rsidRDefault="00813355" w:rsidP="00665290">
      <w:pPr>
        <w:pStyle w:val="BodyTextIndent"/>
        <w:spacing w:before="240"/>
        <w:ind w:left="284"/>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665290">
      <w:pPr>
        <w:pStyle w:val="BodyTextIndent"/>
        <w:numPr>
          <w:ilvl w:val="0"/>
          <w:numId w:val="3"/>
        </w:numPr>
        <w:tabs>
          <w:tab w:val="clear" w:pos="1080"/>
          <w:tab w:val="num" w:pos="851"/>
        </w:tabs>
        <w:spacing w:before="240"/>
        <w:ind w:left="851" w:hanging="567"/>
        <w:jc w:val="both"/>
        <w:rPr>
          <w:rFonts w:ascii="Book Antiqua" w:eastAsia="Book Antiqua,Arial" w:hAnsi="Book Antiqua" w:cs="Book Antiqua,Arial"/>
          <w:sz w:val="24"/>
        </w:rPr>
      </w:pPr>
      <w:r w:rsidRPr="00DB5024">
        <w:rPr>
          <w:rFonts w:ascii="Book Antiqua" w:eastAsia="Book Antiqua,Arial" w:hAnsi="Book Antiqua" w:cs="Book Antiqua,Arial"/>
          <w:sz w:val="24"/>
        </w:rPr>
        <w:t>The First-tier Tribunal ma</w:t>
      </w:r>
      <w:r w:rsidR="005568FB">
        <w:rPr>
          <w:rFonts w:ascii="Book Antiqua" w:eastAsia="Book Antiqua,Arial" w:hAnsi="Book Antiqua" w:cs="Book Antiqua,Arial"/>
          <w:sz w:val="24"/>
        </w:rPr>
        <w:t>d</w:t>
      </w:r>
      <w:r w:rsidRPr="00DB5024">
        <w:rPr>
          <w:rFonts w:ascii="Book Antiqua" w:eastAsia="Book Antiqua,Arial" w:hAnsi="Book Antiqua" w:cs="Book Antiqua,Arial"/>
          <w:sz w:val="24"/>
        </w:rPr>
        <w:t>e an order pursuant to rule 45(4)(i) of the Asylum and Immigration Tribunal (Procedure) Rules 2005.</w:t>
      </w:r>
    </w:p>
    <w:p w:rsidR="00813355" w:rsidRPr="008E55FE" w:rsidRDefault="00813355" w:rsidP="00665290">
      <w:pPr>
        <w:pStyle w:val="BodyTextIndent"/>
        <w:spacing w:before="240"/>
        <w:ind w:left="851"/>
        <w:jc w:val="both"/>
        <w:rPr>
          <w:rFonts w:ascii="Book Antiqua" w:hAnsi="Book Antiqua" w:cs="Arial"/>
          <w:sz w:val="24"/>
          <w:u w:val="single"/>
        </w:rPr>
      </w:pPr>
      <w:r>
        <w:rPr>
          <w:rFonts w:ascii="Book Antiqua" w:hAnsi="Book Antiqua" w:cs="Arial"/>
          <w:sz w:val="24"/>
        </w:rPr>
        <w:t xml:space="preserve">I make such </w:t>
      </w:r>
      <w:r w:rsidRPr="00DB5024">
        <w:rPr>
          <w:rFonts w:ascii="Book Antiqua" w:eastAsia="Book Antiqua,Arial" w:hAnsi="Book Antiqua" w:cs="Book Antiqua,Arial"/>
          <w:sz w:val="24"/>
        </w:rPr>
        <w:t>order pursuant to rule 14 of the Tribunal Procedure</w:t>
      </w:r>
      <w:r w:rsidRPr="00DB5024">
        <w:rPr>
          <w:rFonts w:ascii="Book Antiqua" w:hAnsi="Book Antiqua" w:cs="Arial"/>
          <w:sz w:val="24"/>
        </w:rPr>
        <w:tab/>
      </w:r>
      <w:r>
        <w:rPr>
          <w:rFonts w:ascii="Book Antiqua" w:eastAsia="Book Antiqua,Arial" w:hAnsi="Book Antiqua" w:cs="Book Antiqua,Arial"/>
          <w:sz w:val="24"/>
        </w:rPr>
        <w:t>(Upper Tribunal) Rules 2008</w:t>
      </w:r>
      <w:r w:rsidR="005568FB">
        <w:rPr>
          <w:rFonts w:ascii="Book Antiqua" w:eastAsia="Book Antiqua,Arial" w:hAnsi="Book Antiqua" w:cs="Book Antiqua,Arial"/>
          <w:sz w:val="24"/>
        </w:rPr>
        <w:t>.</w:t>
      </w:r>
    </w:p>
    <w:p w:rsidR="008E55FE" w:rsidRDefault="008E55FE" w:rsidP="00665290">
      <w:pPr>
        <w:pStyle w:val="BodyTextIndent"/>
        <w:ind w:left="0"/>
        <w:rPr>
          <w:rFonts w:ascii="Book Antiqua" w:hAnsi="Book Antiqua" w:cs="Arial"/>
          <w:sz w:val="24"/>
          <w:u w:val="single"/>
        </w:rPr>
      </w:pPr>
    </w:p>
    <w:p w:rsidR="000C6E87" w:rsidRPr="00D32B8A" w:rsidRDefault="000C6E87" w:rsidP="00665290">
      <w:pPr>
        <w:pStyle w:val="BodyTextIndent"/>
        <w:ind w:left="0"/>
        <w:rPr>
          <w:rFonts w:ascii="Book Antiqua" w:hAnsi="Book Antiqua" w:cs="Arial"/>
          <w:sz w:val="24"/>
          <w:u w:val="single"/>
        </w:rPr>
      </w:pPr>
    </w:p>
    <w:p w:rsidR="00D32B8A" w:rsidRPr="00D32B8A" w:rsidRDefault="00D32B8A" w:rsidP="00665290">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665290">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5568FB">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665290">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665290">
      <w:pPr>
        <w:pStyle w:val="BodyTextIndent"/>
        <w:ind w:left="0"/>
        <w:rPr>
          <w:rFonts w:ascii="Book Antiqua" w:hAnsi="Book Antiqua" w:cs="Arial"/>
          <w:sz w:val="24"/>
        </w:rPr>
      </w:pPr>
      <w:r w:rsidRPr="00D32B8A">
        <w:rPr>
          <w:rFonts w:ascii="Book Antiqua" w:hAnsi="Book Antiqua" w:cs="Arial"/>
          <w:sz w:val="24"/>
        </w:rPr>
        <w:t>Dated</w:t>
      </w:r>
      <w:r w:rsidR="000C6E87">
        <w:rPr>
          <w:rFonts w:ascii="Book Antiqua" w:hAnsi="Book Antiqua" w:cs="Arial"/>
          <w:sz w:val="24"/>
        </w:rPr>
        <w:t xml:space="preserve">: </w:t>
      </w:r>
      <w:r w:rsidR="005568FB">
        <w:rPr>
          <w:rFonts w:ascii="Book Antiqua" w:hAnsi="Book Antiqua" w:cs="Arial"/>
          <w:sz w:val="24"/>
        </w:rPr>
        <w:t>3 September 2018</w:t>
      </w:r>
    </w:p>
    <w:p w:rsidR="00BF23BB" w:rsidRPr="00D32B8A" w:rsidRDefault="00BF23BB" w:rsidP="00665290">
      <w:pPr>
        <w:tabs>
          <w:tab w:val="left" w:pos="567"/>
        </w:tabs>
        <w:jc w:val="both"/>
        <w:rPr>
          <w:rFonts w:ascii="Book Antiqua" w:hAnsi="Book Antiqua" w:cs="Arial"/>
        </w:rPr>
      </w:pPr>
    </w:p>
    <w:sectPr w:rsidR="00BF23BB" w:rsidRPr="00D32B8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C18" w:rsidRDefault="00EF4C18">
      <w:r>
        <w:separator/>
      </w:r>
    </w:p>
  </w:endnote>
  <w:endnote w:type="continuationSeparator" w:id="0">
    <w:p w:rsidR="00EF4C18" w:rsidRDefault="00EF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665290" w:rsidRDefault="00FD1BDB" w:rsidP="00593795">
    <w:pPr>
      <w:pStyle w:val="Footer"/>
      <w:jc w:val="center"/>
      <w:rPr>
        <w:rFonts w:ascii="Arial" w:hAnsi="Arial" w:cs="Arial"/>
        <w:sz w:val="20"/>
        <w:szCs w:val="16"/>
      </w:rPr>
    </w:pPr>
    <w:r w:rsidRPr="00665290">
      <w:rPr>
        <w:rStyle w:val="PageNumber"/>
        <w:rFonts w:ascii="Arial" w:hAnsi="Arial" w:cs="Arial"/>
        <w:sz w:val="20"/>
        <w:szCs w:val="16"/>
      </w:rPr>
      <w:fldChar w:fldCharType="begin"/>
    </w:r>
    <w:r w:rsidRPr="00665290">
      <w:rPr>
        <w:rStyle w:val="PageNumber"/>
        <w:rFonts w:ascii="Arial" w:hAnsi="Arial" w:cs="Arial"/>
        <w:sz w:val="20"/>
        <w:szCs w:val="16"/>
      </w:rPr>
      <w:instrText xml:space="preserve"> PAGE </w:instrText>
    </w:r>
    <w:r w:rsidRPr="00665290">
      <w:rPr>
        <w:rStyle w:val="PageNumber"/>
        <w:rFonts w:ascii="Arial" w:hAnsi="Arial" w:cs="Arial"/>
        <w:sz w:val="20"/>
        <w:szCs w:val="16"/>
      </w:rPr>
      <w:fldChar w:fldCharType="separate"/>
    </w:r>
    <w:r w:rsidR="000A403B">
      <w:rPr>
        <w:rStyle w:val="PageNumber"/>
        <w:rFonts w:ascii="Arial" w:hAnsi="Arial" w:cs="Arial"/>
        <w:noProof/>
        <w:sz w:val="20"/>
        <w:szCs w:val="16"/>
      </w:rPr>
      <w:t>3</w:t>
    </w:r>
    <w:r w:rsidRPr="00665290">
      <w:rPr>
        <w:rStyle w:val="PageNumber"/>
        <w:rFonts w:ascii="Arial" w:hAnsi="Arial" w:cs="Arial"/>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C18" w:rsidRDefault="00EF4C18">
      <w:r>
        <w:separator/>
      </w:r>
    </w:p>
  </w:footnote>
  <w:footnote w:type="continuationSeparator" w:id="0">
    <w:p w:rsidR="00EF4C18" w:rsidRDefault="00EF4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665290" w:rsidRDefault="00FD1BDB" w:rsidP="00593795">
    <w:pPr>
      <w:pStyle w:val="Header"/>
      <w:jc w:val="right"/>
      <w:rPr>
        <w:rFonts w:ascii="Arial" w:hAnsi="Arial" w:cs="Arial"/>
        <w:sz w:val="20"/>
        <w:szCs w:val="16"/>
      </w:rPr>
    </w:pPr>
    <w:r w:rsidRPr="00665290">
      <w:rPr>
        <w:rFonts w:ascii="Arial" w:hAnsi="Arial" w:cs="Arial"/>
        <w:sz w:val="20"/>
        <w:szCs w:val="16"/>
      </w:rPr>
      <w:t xml:space="preserve">Appeal Number: </w:t>
    </w:r>
    <w:r w:rsidR="00357D1F" w:rsidRPr="00665290">
      <w:rPr>
        <w:rFonts w:ascii="Arial" w:hAnsi="Arial" w:cs="Arial"/>
        <w:sz w:val="20"/>
        <w:szCs w:val="16"/>
      </w:rPr>
      <w:t>AA/00577/2016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EBFE0B80"/>
    <w:lvl w:ilvl="0" w:tplc="070E1C52">
      <w:start w:val="1"/>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E740E7B"/>
    <w:multiLevelType w:val="hybridMultilevel"/>
    <w:tmpl w:val="5ABE7F5C"/>
    <w:lvl w:ilvl="0" w:tplc="08090019">
      <w:start w:val="1"/>
      <w:numFmt w:val="lowerLetter"/>
      <w:lvlText w:val="%1."/>
      <w:lvlJc w:val="left"/>
      <w:pPr>
        <w:ind w:left="2628" w:hanging="360"/>
      </w:p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34631F"/>
    <w:multiLevelType w:val="hybridMultilevel"/>
    <w:tmpl w:val="E1E0E8C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7B0D7B02"/>
    <w:multiLevelType w:val="hybridMultilevel"/>
    <w:tmpl w:val="B05C2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85C"/>
    <w:rsid w:val="000036C2"/>
    <w:rsid w:val="00014B60"/>
    <w:rsid w:val="00030C7E"/>
    <w:rsid w:val="00033D3D"/>
    <w:rsid w:val="00034A10"/>
    <w:rsid w:val="000377A2"/>
    <w:rsid w:val="00057601"/>
    <w:rsid w:val="00062F02"/>
    <w:rsid w:val="000709B5"/>
    <w:rsid w:val="00071A7E"/>
    <w:rsid w:val="000746C0"/>
    <w:rsid w:val="00074D1D"/>
    <w:rsid w:val="00090CF9"/>
    <w:rsid w:val="00092580"/>
    <w:rsid w:val="00093D4D"/>
    <w:rsid w:val="000A2FE8"/>
    <w:rsid w:val="000A403B"/>
    <w:rsid w:val="000C6E87"/>
    <w:rsid w:val="000D5D94"/>
    <w:rsid w:val="000D612D"/>
    <w:rsid w:val="000F1A0E"/>
    <w:rsid w:val="00113054"/>
    <w:rsid w:val="001165A7"/>
    <w:rsid w:val="001313C8"/>
    <w:rsid w:val="001370A7"/>
    <w:rsid w:val="00137E39"/>
    <w:rsid w:val="00152C7F"/>
    <w:rsid w:val="001564FE"/>
    <w:rsid w:val="00167D3A"/>
    <w:rsid w:val="001A3082"/>
    <w:rsid w:val="001A42DC"/>
    <w:rsid w:val="001B0A0F"/>
    <w:rsid w:val="001B186A"/>
    <w:rsid w:val="001B2F75"/>
    <w:rsid w:val="001C0054"/>
    <w:rsid w:val="001E4163"/>
    <w:rsid w:val="001F2716"/>
    <w:rsid w:val="00207617"/>
    <w:rsid w:val="00210B87"/>
    <w:rsid w:val="0023134B"/>
    <w:rsid w:val="00237CDE"/>
    <w:rsid w:val="00243EB4"/>
    <w:rsid w:val="0026015E"/>
    <w:rsid w:val="00260644"/>
    <w:rsid w:val="002667BE"/>
    <w:rsid w:val="00270E13"/>
    <w:rsid w:val="00272212"/>
    <w:rsid w:val="00283659"/>
    <w:rsid w:val="00287061"/>
    <w:rsid w:val="002B5149"/>
    <w:rsid w:val="002C6BD4"/>
    <w:rsid w:val="002D68BF"/>
    <w:rsid w:val="002F6B98"/>
    <w:rsid w:val="00324B30"/>
    <w:rsid w:val="00327EF0"/>
    <w:rsid w:val="00336CBF"/>
    <w:rsid w:val="00343FE3"/>
    <w:rsid w:val="003446EF"/>
    <w:rsid w:val="0035389D"/>
    <w:rsid w:val="003546C8"/>
    <w:rsid w:val="00357D1F"/>
    <w:rsid w:val="003629BE"/>
    <w:rsid w:val="00365F7F"/>
    <w:rsid w:val="003A3CE4"/>
    <w:rsid w:val="003A7CF2"/>
    <w:rsid w:val="003B0747"/>
    <w:rsid w:val="003B3602"/>
    <w:rsid w:val="003C5723"/>
    <w:rsid w:val="003C5CE5"/>
    <w:rsid w:val="003E267B"/>
    <w:rsid w:val="003E5773"/>
    <w:rsid w:val="003E7CD1"/>
    <w:rsid w:val="00402B9E"/>
    <w:rsid w:val="00412714"/>
    <w:rsid w:val="00420643"/>
    <w:rsid w:val="00422BF2"/>
    <w:rsid w:val="004249CB"/>
    <w:rsid w:val="0044127D"/>
    <w:rsid w:val="004448DB"/>
    <w:rsid w:val="00446C9A"/>
    <w:rsid w:val="00452F2B"/>
    <w:rsid w:val="00457E3D"/>
    <w:rsid w:val="004662DF"/>
    <w:rsid w:val="00470366"/>
    <w:rsid w:val="00475C5C"/>
    <w:rsid w:val="00477193"/>
    <w:rsid w:val="0048415E"/>
    <w:rsid w:val="00492EB7"/>
    <w:rsid w:val="00495429"/>
    <w:rsid w:val="0049749E"/>
    <w:rsid w:val="004A1848"/>
    <w:rsid w:val="004A6F4A"/>
    <w:rsid w:val="004C2555"/>
    <w:rsid w:val="004D659E"/>
    <w:rsid w:val="004E2890"/>
    <w:rsid w:val="004E4717"/>
    <w:rsid w:val="005035E7"/>
    <w:rsid w:val="00507FEC"/>
    <w:rsid w:val="00510F0E"/>
    <w:rsid w:val="00520CF2"/>
    <w:rsid w:val="00533631"/>
    <w:rsid w:val="00540F34"/>
    <w:rsid w:val="00542C29"/>
    <w:rsid w:val="005479E1"/>
    <w:rsid w:val="005479F8"/>
    <w:rsid w:val="00553E0A"/>
    <w:rsid w:val="00554AF3"/>
    <w:rsid w:val="005568FB"/>
    <w:rsid w:val="005570FD"/>
    <w:rsid w:val="005575EA"/>
    <w:rsid w:val="00573199"/>
    <w:rsid w:val="0057790C"/>
    <w:rsid w:val="00591537"/>
    <w:rsid w:val="00593795"/>
    <w:rsid w:val="00593821"/>
    <w:rsid w:val="005A0827"/>
    <w:rsid w:val="005A549B"/>
    <w:rsid w:val="005A75FF"/>
    <w:rsid w:val="005B3261"/>
    <w:rsid w:val="005D10AB"/>
    <w:rsid w:val="005E7BDE"/>
    <w:rsid w:val="005F1F19"/>
    <w:rsid w:val="00601D8F"/>
    <w:rsid w:val="00611011"/>
    <w:rsid w:val="00611B31"/>
    <w:rsid w:val="00614C50"/>
    <w:rsid w:val="00647CAF"/>
    <w:rsid w:val="00653E97"/>
    <w:rsid w:val="0065416B"/>
    <w:rsid w:val="0065500C"/>
    <w:rsid w:val="00665290"/>
    <w:rsid w:val="00676204"/>
    <w:rsid w:val="00684A74"/>
    <w:rsid w:val="006877BD"/>
    <w:rsid w:val="00690B8A"/>
    <w:rsid w:val="006D068B"/>
    <w:rsid w:val="006D56B0"/>
    <w:rsid w:val="006F2CF1"/>
    <w:rsid w:val="007000E8"/>
    <w:rsid w:val="007038ED"/>
    <w:rsid w:val="0070393C"/>
    <w:rsid w:val="00703BC3"/>
    <w:rsid w:val="00704B61"/>
    <w:rsid w:val="007334B3"/>
    <w:rsid w:val="00743E16"/>
    <w:rsid w:val="007552A9"/>
    <w:rsid w:val="00761858"/>
    <w:rsid w:val="00767D59"/>
    <w:rsid w:val="00776E97"/>
    <w:rsid w:val="00780F86"/>
    <w:rsid w:val="007912AD"/>
    <w:rsid w:val="0079390B"/>
    <w:rsid w:val="00793F84"/>
    <w:rsid w:val="007A37E8"/>
    <w:rsid w:val="007A6C33"/>
    <w:rsid w:val="007B0824"/>
    <w:rsid w:val="007B5D3C"/>
    <w:rsid w:val="007D3E4D"/>
    <w:rsid w:val="008004EE"/>
    <w:rsid w:val="0080410F"/>
    <w:rsid w:val="00813355"/>
    <w:rsid w:val="00821B72"/>
    <w:rsid w:val="00823EF2"/>
    <w:rsid w:val="00825708"/>
    <w:rsid w:val="00827E1E"/>
    <w:rsid w:val="008303B8"/>
    <w:rsid w:val="00833DCE"/>
    <w:rsid w:val="00833E70"/>
    <w:rsid w:val="008358B2"/>
    <w:rsid w:val="00866523"/>
    <w:rsid w:val="00870C49"/>
    <w:rsid w:val="00871D34"/>
    <w:rsid w:val="00873D3D"/>
    <w:rsid w:val="0089592F"/>
    <w:rsid w:val="008B270C"/>
    <w:rsid w:val="008B382D"/>
    <w:rsid w:val="008B5078"/>
    <w:rsid w:val="008C3D3D"/>
    <w:rsid w:val="008D4131"/>
    <w:rsid w:val="008E55FE"/>
    <w:rsid w:val="008F1932"/>
    <w:rsid w:val="008F2B1C"/>
    <w:rsid w:val="008F2F5B"/>
    <w:rsid w:val="00907F6B"/>
    <w:rsid w:val="00921062"/>
    <w:rsid w:val="00925AB2"/>
    <w:rsid w:val="009321AE"/>
    <w:rsid w:val="00951566"/>
    <w:rsid w:val="009722BC"/>
    <w:rsid w:val="009727A3"/>
    <w:rsid w:val="009731D0"/>
    <w:rsid w:val="00987774"/>
    <w:rsid w:val="009A11E8"/>
    <w:rsid w:val="009C5FC1"/>
    <w:rsid w:val="009D595D"/>
    <w:rsid w:val="009F5220"/>
    <w:rsid w:val="009F69CA"/>
    <w:rsid w:val="00A02BD2"/>
    <w:rsid w:val="00A05D67"/>
    <w:rsid w:val="00A15234"/>
    <w:rsid w:val="00A201AB"/>
    <w:rsid w:val="00A240AA"/>
    <w:rsid w:val="00A253BF"/>
    <w:rsid w:val="00A31C8B"/>
    <w:rsid w:val="00A41903"/>
    <w:rsid w:val="00A4791A"/>
    <w:rsid w:val="00A509FA"/>
    <w:rsid w:val="00A845DC"/>
    <w:rsid w:val="00A9718B"/>
    <w:rsid w:val="00AB1116"/>
    <w:rsid w:val="00AB22CA"/>
    <w:rsid w:val="00AC5BEF"/>
    <w:rsid w:val="00AE582E"/>
    <w:rsid w:val="00B0338C"/>
    <w:rsid w:val="00B26AA2"/>
    <w:rsid w:val="00B3524D"/>
    <w:rsid w:val="00B40F69"/>
    <w:rsid w:val="00B414F3"/>
    <w:rsid w:val="00B46616"/>
    <w:rsid w:val="00B467EA"/>
    <w:rsid w:val="00B5020F"/>
    <w:rsid w:val="00B7030A"/>
    <w:rsid w:val="00B7040A"/>
    <w:rsid w:val="00B70E8D"/>
    <w:rsid w:val="00B83391"/>
    <w:rsid w:val="00B95326"/>
    <w:rsid w:val="00BD10E1"/>
    <w:rsid w:val="00BD4196"/>
    <w:rsid w:val="00BE485D"/>
    <w:rsid w:val="00BE5605"/>
    <w:rsid w:val="00BF22CA"/>
    <w:rsid w:val="00BF23BB"/>
    <w:rsid w:val="00C12F97"/>
    <w:rsid w:val="00C26032"/>
    <w:rsid w:val="00C345E1"/>
    <w:rsid w:val="00C43BFD"/>
    <w:rsid w:val="00C51218"/>
    <w:rsid w:val="00C67A0A"/>
    <w:rsid w:val="00C70408"/>
    <w:rsid w:val="00C7734E"/>
    <w:rsid w:val="00CB4416"/>
    <w:rsid w:val="00CB6E35"/>
    <w:rsid w:val="00CE1A46"/>
    <w:rsid w:val="00D03818"/>
    <w:rsid w:val="00D137DB"/>
    <w:rsid w:val="00D141AD"/>
    <w:rsid w:val="00D20757"/>
    <w:rsid w:val="00D22636"/>
    <w:rsid w:val="00D32B8A"/>
    <w:rsid w:val="00D40FD9"/>
    <w:rsid w:val="00D44347"/>
    <w:rsid w:val="00D47F9A"/>
    <w:rsid w:val="00D53769"/>
    <w:rsid w:val="00D604FA"/>
    <w:rsid w:val="00D63887"/>
    <w:rsid w:val="00D8240A"/>
    <w:rsid w:val="00D85C13"/>
    <w:rsid w:val="00D9111A"/>
    <w:rsid w:val="00D91BE3"/>
    <w:rsid w:val="00D94AFC"/>
    <w:rsid w:val="00DA2B3D"/>
    <w:rsid w:val="00DA5A48"/>
    <w:rsid w:val="00DB40C9"/>
    <w:rsid w:val="00DB43F8"/>
    <w:rsid w:val="00DB70AE"/>
    <w:rsid w:val="00DD5071"/>
    <w:rsid w:val="00DD50FF"/>
    <w:rsid w:val="00DD5C39"/>
    <w:rsid w:val="00DD766E"/>
    <w:rsid w:val="00DE49C7"/>
    <w:rsid w:val="00DE7795"/>
    <w:rsid w:val="00DE7DB7"/>
    <w:rsid w:val="00DF105A"/>
    <w:rsid w:val="00E00A0A"/>
    <w:rsid w:val="00E04FE6"/>
    <w:rsid w:val="00E066DE"/>
    <w:rsid w:val="00E06CED"/>
    <w:rsid w:val="00E0722F"/>
    <w:rsid w:val="00E07F57"/>
    <w:rsid w:val="00E103F7"/>
    <w:rsid w:val="00E17722"/>
    <w:rsid w:val="00E17E9E"/>
    <w:rsid w:val="00E303E0"/>
    <w:rsid w:val="00E30683"/>
    <w:rsid w:val="00E453D8"/>
    <w:rsid w:val="00E50BCE"/>
    <w:rsid w:val="00E533BA"/>
    <w:rsid w:val="00E54729"/>
    <w:rsid w:val="00E54934"/>
    <w:rsid w:val="00E574BF"/>
    <w:rsid w:val="00E61292"/>
    <w:rsid w:val="00E644EC"/>
    <w:rsid w:val="00E77C4D"/>
    <w:rsid w:val="00E80AD9"/>
    <w:rsid w:val="00E81D01"/>
    <w:rsid w:val="00E92A7C"/>
    <w:rsid w:val="00EB422D"/>
    <w:rsid w:val="00EC0C69"/>
    <w:rsid w:val="00ED2C75"/>
    <w:rsid w:val="00EE43F3"/>
    <w:rsid w:val="00EE45D8"/>
    <w:rsid w:val="00EE6708"/>
    <w:rsid w:val="00EE735C"/>
    <w:rsid w:val="00EF4C18"/>
    <w:rsid w:val="00EF7051"/>
    <w:rsid w:val="00F179C0"/>
    <w:rsid w:val="00F22EDA"/>
    <w:rsid w:val="00F46992"/>
    <w:rsid w:val="00F62AFB"/>
    <w:rsid w:val="00F97703"/>
    <w:rsid w:val="00FA2EF9"/>
    <w:rsid w:val="00FB3BB0"/>
    <w:rsid w:val="00FD1BDB"/>
    <w:rsid w:val="00FD5FBD"/>
    <w:rsid w:val="00FD7F0F"/>
    <w:rsid w:val="00FE44F6"/>
    <w:rsid w:val="00FF0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8B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8861">
      <w:bodyDiv w:val="1"/>
      <w:marLeft w:val="0"/>
      <w:marRight w:val="0"/>
      <w:marTop w:val="0"/>
      <w:marBottom w:val="0"/>
      <w:divBdr>
        <w:top w:val="none" w:sz="0" w:space="0" w:color="auto"/>
        <w:left w:val="none" w:sz="0" w:space="0" w:color="auto"/>
        <w:bottom w:val="none" w:sz="0" w:space="0" w:color="auto"/>
        <w:right w:val="none" w:sz="0" w:space="0" w:color="auto"/>
      </w:divBdr>
    </w:div>
    <w:div w:id="692682158">
      <w:bodyDiv w:val="1"/>
      <w:marLeft w:val="0"/>
      <w:marRight w:val="0"/>
      <w:marTop w:val="0"/>
      <w:marBottom w:val="0"/>
      <w:divBdr>
        <w:top w:val="none" w:sz="0" w:space="0" w:color="auto"/>
        <w:left w:val="none" w:sz="0" w:space="0" w:color="auto"/>
        <w:bottom w:val="none" w:sz="0" w:space="0" w:color="auto"/>
        <w:right w:val="none" w:sz="0" w:space="0" w:color="auto"/>
      </w:divBdr>
    </w:div>
    <w:div w:id="17256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4923</Words>
  <Characters>23441</Characters>
  <Application>Microsoft Office Word</Application>
  <DocSecurity>0</DocSecurity>
  <Lines>195</Lines>
  <Paragraphs>56</Paragraphs>
  <ScaleCrop>false</ScaleCrop>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2018-09-24T15:40:00Z</dcterms:created>
  <dcterms:modified xsi:type="dcterms:W3CDTF">2018-09-24T15:40:00Z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