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FE0046" w:rsidP="00933B65">
      <w:pPr>
        <w:jc w:val="center"/>
        <w:rPr>
          <w:rFonts w:ascii="Book Antiqua" w:hAnsi="Book Antiqua" w:cs="Arial"/>
          <w:color w:val="000000"/>
        </w:rPr>
      </w:pPr>
      <w:r>
        <w:rPr>
          <w:noProof/>
        </w:rPr>
        <w:drawing>
          <wp:inline distT="0" distB="0" distL="0" distR="0" wp14:anchorId="334D9F49" wp14:editId="334D9F4A">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Default="00933B65" w:rsidP="008A64A7">
      <w:pPr>
        <w:tabs>
          <w:tab w:val="right" w:pos="9720"/>
        </w:tabs>
        <w:ind w:right="-82"/>
        <w:rPr>
          <w:rFonts w:ascii="Book Antiqua" w:hAnsi="Book Antiqua" w:cs="Arial"/>
          <w:caps/>
          <w:color w:val="000000"/>
        </w:rPr>
      </w:pPr>
      <w:r w:rsidRPr="00F97703">
        <w:rPr>
          <w:rFonts w:ascii="Book Antiqua" w:hAnsi="Book Antiqua" w:cs="Arial"/>
          <w:b/>
          <w:color w:val="000000"/>
        </w:rPr>
        <w:t>(</w:t>
      </w:r>
      <w:r w:rsidR="00A0464F">
        <w:rPr>
          <w:rFonts w:ascii="Book Antiqua" w:hAnsi="Book Antiqua" w:cs="Arial"/>
          <w:b/>
          <w:color w:val="000000"/>
        </w:rPr>
        <w:t xml:space="preserve">Immigration and Asylum </w:t>
      </w:r>
      <w:proofErr w:type="gramStart"/>
      <w:r w:rsidR="00A0464F">
        <w:rPr>
          <w:rFonts w:ascii="Book Antiqua" w:hAnsi="Book Antiqua" w:cs="Arial"/>
          <w:b/>
          <w:color w:val="000000"/>
        </w:rPr>
        <w:t xml:space="preserve">Chamber)   </w:t>
      </w:r>
      <w:proofErr w:type="gramEnd"/>
      <w:r w:rsidR="00A0464F">
        <w:rPr>
          <w:rFonts w:ascii="Book Antiqua" w:hAnsi="Book Antiqua" w:cs="Arial"/>
          <w:b/>
          <w:color w:val="000000"/>
        </w:rPr>
        <w:t xml:space="preserve">                </w:t>
      </w:r>
      <w:r w:rsidRPr="00A0464F">
        <w:rPr>
          <w:rFonts w:ascii="Book Antiqua" w:hAnsi="Book Antiqua" w:cs="Arial"/>
          <w:b/>
          <w:color w:val="000000"/>
        </w:rPr>
        <w:t xml:space="preserve">Appeal Number: </w:t>
      </w:r>
      <w:bookmarkStart w:id="0" w:name="_Hlk518640613"/>
      <w:r w:rsidR="00670526" w:rsidRPr="00A0464F">
        <w:rPr>
          <w:rFonts w:ascii="Book Antiqua" w:hAnsi="Book Antiqua" w:cs="Arial"/>
          <w:b/>
          <w:caps/>
          <w:color w:val="000000"/>
        </w:rPr>
        <w:t>AA/00743/2016</w:t>
      </w:r>
      <w:bookmarkEnd w:id="0"/>
    </w:p>
    <w:p w:rsidR="00B64418" w:rsidRPr="00F97703" w:rsidRDefault="00B64418" w:rsidP="008A64A7">
      <w:pPr>
        <w:tabs>
          <w:tab w:val="right" w:pos="9720"/>
        </w:tabs>
        <w:ind w:right="-82"/>
        <w:rPr>
          <w:rFonts w:ascii="Book Antiqua" w:hAnsi="Book Antiqua" w:cs="Arial"/>
          <w:color w:val="000000"/>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933B65" w:rsidRPr="002154EF" w:rsidTr="00A0464F">
        <w:tc>
          <w:tcPr>
            <w:tcW w:w="5103" w:type="dxa"/>
            <w:shd w:val="clear" w:color="auto" w:fill="auto"/>
          </w:tcPr>
          <w:p w:rsidR="00933B65" w:rsidRPr="002154EF" w:rsidRDefault="00933B65" w:rsidP="002154EF">
            <w:pPr>
              <w:jc w:val="both"/>
              <w:rPr>
                <w:rFonts w:ascii="Book Antiqua" w:hAnsi="Book Antiqua" w:cs="Arial"/>
                <w:b/>
              </w:rPr>
            </w:pPr>
            <w:r w:rsidRPr="002154EF">
              <w:rPr>
                <w:rFonts w:ascii="Book Antiqua" w:hAnsi="Book Antiqua" w:cs="Arial"/>
                <w:b/>
              </w:rPr>
              <w:t xml:space="preserve">Heard at </w:t>
            </w:r>
            <w:r w:rsidR="008B5B9B" w:rsidRPr="002154EF">
              <w:rPr>
                <w:rFonts w:ascii="Book Antiqua" w:hAnsi="Book Antiqua" w:cs="Arial"/>
                <w:b/>
              </w:rPr>
              <w:t xml:space="preserve">Glasgow </w:t>
            </w:r>
          </w:p>
        </w:tc>
        <w:tc>
          <w:tcPr>
            <w:tcW w:w="4535" w:type="dxa"/>
            <w:shd w:val="clear" w:color="auto" w:fill="auto"/>
          </w:tcPr>
          <w:p w:rsidR="00933B65" w:rsidRPr="002154EF" w:rsidRDefault="001B3B38" w:rsidP="002154EF">
            <w:pPr>
              <w:jc w:val="both"/>
              <w:rPr>
                <w:rFonts w:ascii="Book Antiqua" w:hAnsi="Book Antiqua" w:cs="Arial"/>
                <w:b/>
                <w:color w:val="000000"/>
              </w:rPr>
            </w:pPr>
            <w:r>
              <w:rPr>
                <w:rFonts w:ascii="Book Antiqua" w:hAnsi="Book Antiqua" w:cs="Arial"/>
                <w:b/>
                <w:color w:val="000000"/>
              </w:rPr>
              <w:t xml:space="preserve">Decision &amp; Reasons Promulgated </w:t>
            </w:r>
          </w:p>
        </w:tc>
      </w:tr>
      <w:tr w:rsidR="00933B65" w:rsidRPr="002154EF" w:rsidTr="00A0464F">
        <w:tc>
          <w:tcPr>
            <w:tcW w:w="5103" w:type="dxa"/>
            <w:shd w:val="clear" w:color="auto" w:fill="auto"/>
          </w:tcPr>
          <w:p w:rsidR="00933B65" w:rsidRPr="002154EF" w:rsidRDefault="001B3B38" w:rsidP="002154EF">
            <w:pPr>
              <w:jc w:val="both"/>
              <w:rPr>
                <w:rFonts w:ascii="Book Antiqua" w:hAnsi="Book Antiqua" w:cs="Arial"/>
                <w:b/>
              </w:rPr>
            </w:pPr>
            <w:r>
              <w:rPr>
                <w:rFonts w:ascii="Book Antiqua" w:hAnsi="Book Antiqua" w:cs="Arial"/>
                <w:b/>
              </w:rPr>
              <w:t xml:space="preserve">On </w:t>
            </w:r>
            <w:r w:rsidR="00670526">
              <w:rPr>
                <w:rFonts w:ascii="Book Antiqua" w:hAnsi="Book Antiqua" w:cs="Arial"/>
                <w:b/>
              </w:rPr>
              <w:t>5 July 2018</w:t>
            </w:r>
          </w:p>
        </w:tc>
        <w:tc>
          <w:tcPr>
            <w:tcW w:w="4535" w:type="dxa"/>
            <w:shd w:val="clear" w:color="auto" w:fill="auto"/>
          </w:tcPr>
          <w:p w:rsidR="00933B65" w:rsidRPr="002154EF" w:rsidRDefault="001B3B38" w:rsidP="002154EF">
            <w:pPr>
              <w:jc w:val="both"/>
              <w:rPr>
                <w:rFonts w:ascii="Book Antiqua" w:hAnsi="Book Antiqua" w:cs="Arial"/>
                <w:b/>
              </w:rPr>
            </w:pPr>
            <w:r>
              <w:rPr>
                <w:rFonts w:ascii="Book Antiqua" w:hAnsi="Book Antiqua" w:cs="Arial"/>
                <w:b/>
              </w:rPr>
              <w:t>On 11 July 2018</w:t>
            </w:r>
          </w:p>
        </w:tc>
      </w:tr>
    </w:tbl>
    <w:p w:rsidR="00B64418" w:rsidRDefault="00B64418" w:rsidP="00933B65">
      <w:pPr>
        <w:jc w:val="center"/>
        <w:rPr>
          <w:rFonts w:ascii="Book Antiqua" w:hAnsi="Book Antiqua" w:cs="Arial"/>
          <w:b/>
        </w:rPr>
      </w:pPr>
    </w:p>
    <w:p w:rsidR="00A0464F" w:rsidRDefault="00A0464F" w:rsidP="00933B65">
      <w:pPr>
        <w:jc w:val="center"/>
        <w:rPr>
          <w:rFonts w:ascii="Book Antiqua" w:hAnsi="Book Antiqua" w:cs="Arial"/>
          <w:b/>
        </w:rPr>
      </w:pPr>
    </w:p>
    <w:p w:rsidR="00A0464F" w:rsidRDefault="00A0464F"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Pr="00F97703" w:rsidRDefault="00933B65" w:rsidP="00933B65">
      <w:pPr>
        <w:jc w:val="center"/>
        <w:rPr>
          <w:rFonts w:ascii="Book Antiqua" w:hAnsi="Book Antiqua" w:cs="Arial"/>
          <w:b/>
        </w:rPr>
      </w:pPr>
    </w:p>
    <w:p w:rsidR="00933B65" w:rsidRPr="00F97703" w:rsidRDefault="00933B65" w:rsidP="00933B65">
      <w:pPr>
        <w:jc w:val="center"/>
        <w:rPr>
          <w:rFonts w:ascii="Book Antiqua" w:hAnsi="Book Antiqua" w:cs="Arial"/>
          <w:b/>
          <w:color w:val="000000"/>
        </w:rPr>
      </w:pPr>
      <w:r>
        <w:rPr>
          <w:rFonts w:ascii="Book Antiqua" w:hAnsi="Book Antiqua" w:cs="Arial"/>
          <w:b/>
          <w:color w:val="000000"/>
        </w:rPr>
        <w:t xml:space="preserve">UPPER TRIBUNAL JUDGE </w:t>
      </w:r>
      <w:r w:rsidR="008B5B9B">
        <w:rPr>
          <w:rFonts w:ascii="Book Antiqua" w:hAnsi="Book Antiqua" w:cs="Arial"/>
          <w:b/>
          <w:color w:val="000000"/>
        </w:rPr>
        <w:t>MACLEMAN</w:t>
      </w:r>
    </w:p>
    <w:p w:rsidR="00933B65" w:rsidRPr="00F97703" w:rsidRDefault="00933B6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Pr="00F97703" w:rsidRDefault="005042CD" w:rsidP="00933B65">
      <w:pPr>
        <w:jc w:val="center"/>
        <w:rPr>
          <w:rFonts w:ascii="Book Antiqua" w:hAnsi="Book Antiqua" w:cs="Arial"/>
          <w:b/>
        </w:rPr>
      </w:pPr>
      <w:r>
        <w:rPr>
          <w:rFonts w:ascii="Book Antiqua" w:hAnsi="Book Antiqua" w:cs="Arial"/>
          <w:b/>
        </w:rPr>
        <w:t xml:space="preserve">H </w:t>
      </w:r>
      <w:r w:rsidR="00614E94">
        <w:rPr>
          <w:rFonts w:ascii="Book Antiqua" w:hAnsi="Book Antiqua" w:cs="Arial"/>
          <w:b/>
        </w:rPr>
        <w:t>T</w:t>
      </w:r>
      <w:r w:rsidR="008B5B9B">
        <w:rPr>
          <w:rFonts w:ascii="Book Antiqua" w:hAnsi="Book Antiqua" w:cs="Arial"/>
          <w:b/>
        </w:rPr>
        <w:t xml:space="preserve"> </w:t>
      </w:r>
    </w:p>
    <w:p w:rsidR="00933B65" w:rsidRPr="00F97703" w:rsidRDefault="00933B65" w:rsidP="00933B65">
      <w:pPr>
        <w:jc w:val="right"/>
        <w:rPr>
          <w:rFonts w:ascii="Book Antiqua" w:hAnsi="Book Antiqua" w:cs="Arial"/>
          <w:u w:val="single"/>
        </w:rPr>
      </w:pPr>
      <w:bookmarkStart w:id="1" w:name="_GoBack"/>
      <w:bookmarkEnd w:id="1"/>
      <w:r w:rsidRPr="00F97703">
        <w:rPr>
          <w:rFonts w:ascii="Book Antiqua" w:hAnsi="Book Antiqua" w:cs="Arial"/>
          <w:u w:val="single"/>
        </w:rPr>
        <w:t>Appellant</w:t>
      </w:r>
    </w:p>
    <w:p w:rsidR="00A0464F" w:rsidRDefault="00A0464F"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A0464F" w:rsidRPr="00F97703" w:rsidRDefault="00A0464F" w:rsidP="00933B65">
      <w:pPr>
        <w:jc w:val="center"/>
        <w:rPr>
          <w:rFonts w:ascii="Book Antiqua" w:hAnsi="Book Antiqua" w:cs="Arial"/>
          <w:b/>
        </w:rPr>
      </w:pPr>
      <w:r>
        <w:rPr>
          <w:rFonts w:ascii="Book Antiqua" w:hAnsi="Book Antiqua" w:cs="Arial"/>
          <w:b/>
        </w:rPr>
        <w:t>THE SECRETARY OF STATE FOR THE HOME DEPARTMENT</w:t>
      </w:r>
    </w:p>
    <w:p w:rsidR="00933B65" w:rsidRPr="00F97703" w:rsidRDefault="00933B65" w:rsidP="008A64A7">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rPr>
      </w:pPr>
    </w:p>
    <w:p w:rsidR="00B64418" w:rsidRPr="00A0464F" w:rsidRDefault="00A0464F" w:rsidP="00933B65">
      <w:pPr>
        <w:rPr>
          <w:rFonts w:ascii="Book Antiqua" w:hAnsi="Book Antiqua" w:cs="Arial"/>
          <w:b/>
          <w:u w:val="single"/>
        </w:rPr>
      </w:pPr>
      <w:r>
        <w:rPr>
          <w:rFonts w:ascii="Book Antiqua" w:hAnsi="Book Antiqua" w:cs="Arial"/>
          <w:b/>
          <w:u w:val="single"/>
        </w:rPr>
        <w:t>Representation:</w:t>
      </w:r>
    </w:p>
    <w:p w:rsidR="00A0464F" w:rsidRPr="00F97703" w:rsidRDefault="00A0464F" w:rsidP="00933B65">
      <w:pPr>
        <w:rPr>
          <w:rFonts w:ascii="Book Antiqua" w:hAnsi="Book Antiqua" w:cs="Arial"/>
        </w:rPr>
      </w:pP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A86F33">
        <w:rPr>
          <w:rFonts w:ascii="Book Antiqua" w:hAnsi="Book Antiqua" w:cs="Arial"/>
        </w:rPr>
        <w:t xml:space="preserve">Ms N Loughran, of </w:t>
      </w:r>
      <w:r w:rsidR="005042CD">
        <w:rPr>
          <w:rFonts w:ascii="Book Antiqua" w:hAnsi="Book Antiqua" w:cs="Arial"/>
        </w:rPr>
        <w:t xml:space="preserve">Loughran &amp; Co, </w:t>
      </w:r>
      <w:r w:rsidR="003D7D3D">
        <w:rPr>
          <w:rFonts w:ascii="Book Antiqua" w:hAnsi="Book Antiqua" w:cs="Arial"/>
        </w:rPr>
        <w:t>Solicitors</w:t>
      </w:r>
    </w:p>
    <w:p w:rsidR="00933B65" w:rsidRDefault="00933B65" w:rsidP="008A64A7">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745864">
        <w:rPr>
          <w:rFonts w:ascii="Book Antiqua" w:hAnsi="Book Antiqua" w:cs="Arial"/>
        </w:rPr>
        <w:t xml:space="preserve">Mr A Mullen, </w:t>
      </w:r>
      <w:r w:rsidR="003D7D3D">
        <w:rPr>
          <w:rFonts w:ascii="Book Antiqua" w:hAnsi="Book Antiqua" w:cs="Arial"/>
        </w:rPr>
        <w:t>Senior</w:t>
      </w:r>
      <w:r>
        <w:rPr>
          <w:rFonts w:ascii="Book Antiqua" w:hAnsi="Book Antiqua" w:cs="Arial"/>
        </w:rPr>
        <w:t xml:space="preserve"> Home Office Presenting Officer</w:t>
      </w:r>
    </w:p>
    <w:p w:rsidR="00B64418" w:rsidRPr="00F97703" w:rsidRDefault="00B64418" w:rsidP="008A64A7">
      <w:pPr>
        <w:tabs>
          <w:tab w:val="left" w:pos="2520"/>
        </w:tabs>
        <w:rPr>
          <w:rFonts w:ascii="Book Antiqua" w:hAnsi="Book Antiqua" w:cs="Arial"/>
        </w:rPr>
      </w:pPr>
    </w:p>
    <w:p w:rsidR="00933B65" w:rsidRPr="00F97703" w:rsidRDefault="00933B65" w:rsidP="00933B65">
      <w:pPr>
        <w:tabs>
          <w:tab w:val="left" w:pos="2520"/>
        </w:tabs>
        <w:jc w:val="center"/>
        <w:rPr>
          <w:rFonts w:ascii="Book Antiqua" w:hAnsi="Book Antiqua" w:cs="Arial"/>
        </w:rPr>
      </w:pPr>
    </w:p>
    <w:p w:rsidR="00321C6F" w:rsidRDefault="00933B65" w:rsidP="00734D2D">
      <w:pPr>
        <w:tabs>
          <w:tab w:val="left" w:pos="2520"/>
        </w:tabs>
        <w:jc w:val="center"/>
        <w:rPr>
          <w:rFonts w:ascii="Book Antiqua" w:hAnsi="Book Antiqua" w:cs="Arial"/>
          <w:b/>
          <w:u w:val="single"/>
        </w:rPr>
      </w:pPr>
      <w:r w:rsidRPr="00F97703">
        <w:rPr>
          <w:rFonts w:ascii="Book Antiqua" w:hAnsi="Book Antiqua" w:cs="Arial"/>
          <w:b/>
          <w:u w:val="single"/>
        </w:rPr>
        <w:t>DETERMINATION AND REASONS</w:t>
      </w:r>
    </w:p>
    <w:p w:rsidR="00B64418" w:rsidRPr="002B54F9" w:rsidRDefault="00B64418" w:rsidP="00734D2D">
      <w:pPr>
        <w:tabs>
          <w:tab w:val="left" w:pos="2520"/>
        </w:tabs>
        <w:jc w:val="center"/>
        <w:rPr>
          <w:rFonts w:ascii="Book Antiqua" w:hAnsi="Book Antiqua" w:cs="Arial"/>
          <w:sz w:val="20"/>
          <w:szCs w:val="20"/>
        </w:rPr>
      </w:pPr>
    </w:p>
    <w:p w:rsidR="00E936A8" w:rsidRDefault="001D626E" w:rsidP="00007BAC">
      <w:pPr>
        <w:numPr>
          <w:ilvl w:val="0"/>
          <w:numId w:val="2"/>
        </w:numPr>
        <w:spacing w:before="240"/>
        <w:jc w:val="both"/>
        <w:rPr>
          <w:rFonts w:ascii="Book Antiqua" w:hAnsi="Book Antiqua" w:cs="Arial"/>
        </w:rPr>
      </w:pPr>
      <w:r>
        <w:rPr>
          <w:rFonts w:ascii="Book Antiqua" w:hAnsi="Book Antiqua" w:cs="Arial"/>
        </w:rPr>
        <w:t>The appellant says he is a citizen of Eritrea</w:t>
      </w:r>
      <w:r w:rsidR="00C53C78">
        <w:rPr>
          <w:rFonts w:ascii="Book Antiqua" w:hAnsi="Book Antiqua" w:cs="Arial"/>
        </w:rPr>
        <w:t xml:space="preserve">, and is not a citizen of Ethiopia.  The respondent considers that he is </w:t>
      </w:r>
      <w:r w:rsidR="00E003A5">
        <w:rPr>
          <w:rFonts w:ascii="Book Antiqua" w:hAnsi="Book Antiqua" w:cs="Arial"/>
        </w:rPr>
        <w:t>likely to be a citizen of Ethiopia.</w:t>
      </w:r>
    </w:p>
    <w:p w:rsidR="001D626E" w:rsidRDefault="00E936A8" w:rsidP="00007BAC">
      <w:pPr>
        <w:numPr>
          <w:ilvl w:val="0"/>
          <w:numId w:val="2"/>
        </w:numPr>
        <w:spacing w:before="240"/>
        <w:jc w:val="both"/>
        <w:rPr>
          <w:rFonts w:ascii="Book Antiqua" w:hAnsi="Book Antiqua" w:cs="Arial"/>
        </w:rPr>
      </w:pPr>
      <w:r>
        <w:rPr>
          <w:rFonts w:ascii="Book Antiqua" w:hAnsi="Book Antiqua" w:cs="Arial"/>
        </w:rPr>
        <w:t>The papers on file are</w:t>
      </w:r>
      <w:r w:rsidR="00E003A5">
        <w:rPr>
          <w:rFonts w:ascii="Book Antiqua" w:hAnsi="Book Antiqua" w:cs="Arial"/>
        </w:rPr>
        <w:t xml:space="preserve"> </w:t>
      </w:r>
      <w:r w:rsidR="00DE676F">
        <w:rPr>
          <w:rFonts w:ascii="Book Antiqua" w:hAnsi="Book Antiqua" w:cs="Arial"/>
        </w:rPr>
        <w:t>rather confusing</w:t>
      </w:r>
      <w:r w:rsidR="00CC3EA8">
        <w:rPr>
          <w:rFonts w:ascii="Book Antiqua" w:hAnsi="Book Antiqua" w:cs="Arial"/>
        </w:rPr>
        <w:t xml:space="preserve"> about the early history of the case.  </w:t>
      </w:r>
      <w:r w:rsidR="002F6C59">
        <w:rPr>
          <w:rFonts w:ascii="Book Antiqua" w:hAnsi="Book Antiqua" w:cs="Arial"/>
        </w:rPr>
        <w:t>The</w:t>
      </w:r>
      <w:r w:rsidR="0074351F">
        <w:rPr>
          <w:rFonts w:ascii="Book Antiqua" w:hAnsi="Book Antiqua" w:cs="Arial"/>
        </w:rPr>
        <w:t xml:space="preserve"> notice of appeal to the FtT is accompanied by a letter from his soli</w:t>
      </w:r>
      <w:r w:rsidR="00617773">
        <w:rPr>
          <w:rFonts w:ascii="Book Antiqua" w:hAnsi="Book Antiqua" w:cs="Arial"/>
        </w:rPr>
        <w:t>citors</w:t>
      </w:r>
      <w:r w:rsidR="0074351F">
        <w:rPr>
          <w:rFonts w:ascii="Book Antiqua" w:hAnsi="Book Antiqua" w:cs="Arial"/>
        </w:rPr>
        <w:t xml:space="preserve"> dated</w:t>
      </w:r>
      <w:r w:rsidR="00617773">
        <w:rPr>
          <w:rFonts w:ascii="Book Antiqua" w:hAnsi="Book Antiqua" w:cs="Arial"/>
        </w:rPr>
        <w:t xml:space="preserve"> 17 October 2016 saying that this is “an upgrade appeal as our client has been granted humanitarian protection”.</w:t>
      </w:r>
      <w:r w:rsidR="00AA051F">
        <w:rPr>
          <w:rFonts w:ascii="Book Antiqua" w:hAnsi="Book Antiqua" w:cs="Arial"/>
        </w:rPr>
        <w:t xml:space="preserve">  It </w:t>
      </w:r>
      <w:r w:rsidR="00FA0535">
        <w:rPr>
          <w:rFonts w:ascii="Book Antiqua" w:hAnsi="Book Antiqua" w:cs="Arial"/>
        </w:rPr>
        <w:t>attaches</w:t>
      </w:r>
      <w:r w:rsidR="00AA051F">
        <w:rPr>
          <w:rFonts w:ascii="Book Antiqua" w:hAnsi="Book Antiqua" w:cs="Arial"/>
        </w:rPr>
        <w:t xml:space="preserve"> a copy of the resp</w:t>
      </w:r>
      <w:r w:rsidR="0039451B">
        <w:rPr>
          <w:rFonts w:ascii="Book Antiqua" w:hAnsi="Book Antiqua" w:cs="Arial"/>
        </w:rPr>
        <w:t>on</w:t>
      </w:r>
      <w:r w:rsidR="00AA051F">
        <w:rPr>
          <w:rFonts w:ascii="Book Antiqua" w:hAnsi="Book Antiqua" w:cs="Arial"/>
        </w:rPr>
        <w:t xml:space="preserve">dent’s decision letter dated 5 </w:t>
      </w:r>
      <w:r w:rsidR="0039451B">
        <w:rPr>
          <w:rFonts w:ascii="Book Antiqua" w:hAnsi="Book Antiqua" w:cs="Arial"/>
        </w:rPr>
        <w:t>January</w:t>
      </w:r>
      <w:r w:rsidR="00AA051F">
        <w:rPr>
          <w:rFonts w:ascii="Book Antiqua" w:hAnsi="Book Antiqua" w:cs="Arial"/>
        </w:rPr>
        <w:t xml:space="preserve"> 2015, which refuses permission </w:t>
      </w:r>
      <w:r w:rsidR="0039451B">
        <w:rPr>
          <w:rFonts w:ascii="Book Antiqua" w:hAnsi="Book Antiqua" w:cs="Arial"/>
        </w:rPr>
        <w:t>both on asylum and on humanitarian protection grounds.</w:t>
      </w:r>
      <w:r w:rsidR="00DE676F">
        <w:rPr>
          <w:rFonts w:ascii="Book Antiqua" w:hAnsi="Book Antiqua" w:cs="Arial"/>
        </w:rPr>
        <w:t xml:space="preserve">  However, </w:t>
      </w:r>
      <w:r w:rsidR="00817EF6">
        <w:rPr>
          <w:rFonts w:ascii="Book Antiqua" w:hAnsi="Book Antiqua" w:cs="Arial"/>
        </w:rPr>
        <w:t xml:space="preserve">the respondent had made a further decision dated </w:t>
      </w:r>
      <w:r w:rsidR="00FA559E">
        <w:rPr>
          <w:rFonts w:ascii="Book Antiqua" w:hAnsi="Book Antiqua" w:cs="Arial"/>
        </w:rPr>
        <w:t xml:space="preserve">30 September 2016, sent to his solicitors under cover of a letter dated 3 October 2016.  This </w:t>
      </w:r>
      <w:r w:rsidR="00FA559E">
        <w:rPr>
          <w:rFonts w:ascii="Book Antiqua" w:hAnsi="Book Antiqua" w:cs="Arial"/>
        </w:rPr>
        <w:lastRenderedPageBreak/>
        <w:t>also refuses the appellant’s claim on all available grounds.</w:t>
      </w:r>
      <w:r w:rsidR="000564B2">
        <w:rPr>
          <w:rFonts w:ascii="Book Antiqua" w:hAnsi="Book Antiqua" w:cs="Arial"/>
        </w:rPr>
        <w:t xml:space="preserve">  The substance of the two </w:t>
      </w:r>
      <w:r w:rsidR="00343A43">
        <w:rPr>
          <w:rFonts w:ascii="Book Antiqua" w:hAnsi="Book Antiqua" w:cs="Arial"/>
        </w:rPr>
        <w:t xml:space="preserve">decision </w:t>
      </w:r>
      <w:r w:rsidR="000564B2">
        <w:rPr>
          <w:rFonts w:ascii="Book Antiqua" w:hAnsi="Book Antiqua" w:cs="Arial"/>
        </w:rPr>
        <w:t xml:space="preserve">letters </w:t>
      </w:r>
      <w:r w:rsidR="00C1184A">
        <w:rPr>
          <w:rFonts w:ascii="Book Antiqua" w:hAnsi="Book Antiqua" w:cs="Arial"/>
        </w:rPr>
        <w:t>appea</w:t>
      </w:r>
      <w:r w:rsidR="00AD0EF4">
        <w:rPr>
          <w:rFonts w:ascii="Book Antiqua" w:hAnsi="Book Antiqua" w:cs="Arial"/>
        </w:rPr>
        <w:t>rs</w:t>
      </w:r>
      <w:r w:rsidR="00C1184A">
        <w:rPr>
          <w:rFonts w:ascii="Book Antiqua" w:hAnsi="Book Antiqua" w:cs="Arial"/>
        </w:rPr>
        <w:t xml:space="preserve"> to be </w:t>
      </w:r>
      <w:r w:rsidR="00826F70">
        <w:rPr>
          <w:rFonts w:ascii="Book Antiqua" w:hAnsi="Book Antiqua" w:cs="Arial"/>
        </w:rPr>
        <w:t xml:space="preserve">similar, and neither party </w:t>
      </w:r>
      <w:r w:rsidR="001E0C2D">
        <w:rPr>
          <w:rFonts w:ascii="Book Antiqua" w:hAnsi="Book Antiqua" w:cs="Arial"/>
        </w:rPr>
        <w:t>pointed to any distinction;</w:t>
      </w:r>
      <w:r w:rsidR="00C1184A">
        <w:rPr>
          <w:rFonts w:ascii="Book Antiqua" w:hAnsi="Book Antiqua" w:cs="Arial"/>
        </w:rPr>
        <w:t xml:space="preserve"> but the later </w:t>
      </w:r>
      <w:r w:rsidR="00F635B2">
        <w:rPr>
          <w:rFonts w:ascii="Book Antiqua" w:hAnsi="Book Antiqua" w:cs="Arial"/>
        </w:rPr>
        <w:t>one</w:t>
      </w:r>
      <w:r w:rsidR="00C1184A">
        <w:rPr>
          <w:rFonts w:ascii="Book Antiqua" w:hAnsi="Book Antiqua" w:cs="Arial"/>
        </w:rPr>
        <w:t xml:space="preserve"> is the correct starting point.</w:t>
      </w:r>
      <w:r w:rsidR="0039451B">
        <w:rPr>
          <w:rFonts w:ascii="Book Antiqua" w:hAnsi="Book Antiqua" w:cs="Arial"/>
        </w:rPr>
        <w:t xml:space="preserve">  </w:t>
      </w:r>
      <w:r w:rsidR="00617773">
        <w:rPr>
          <w:rFonts w:ascii="Book Antiqua" w:hAnsi="Book Antiqua" w:cs="Arial"/>
        </w:rPr>
        <w:t xml:space="preserve"> </w:t>
      </w:r>
    </w:p>
    <w:p w:rsidR="00BC199E" w:rsidRDefault="00007BAC" w:rsidP="00007BAC">
      <w:pPr>
        <w:numPr>
          <w:ilvl w:val="0"/>
          <w:numId w:val="2"/>
        </w:numPr>
        <w:spacing w:before="240"/>
        <w:jc w:val="both"/>
        <w:rPr>
          <w:rFonts w:ascii="Book Antiqua" w:hAnsi="Book Antiqua" w:cs="Arial"/>
        </w:rPr>
      </w:pPr>
      <w:r>
        <w:rPr>
          <w:rFonts w:ascii="Book Antiqua" w:hAnsi="Book Antiqua" w:cs="Arial"/>
        </w:rPr>
        <w:t>Th</w:t>
      </w:r>
      <w:r w:rsidR="00A97976">
        <w:rPr>
          <w:rFonts w:ascii="Book Antiqua" w:hAnsi="Book Antiqua" w:cs="Arial"/>
        </w:rPr>
        <w:t>e grou</w:t>
      </w:r>
      <w:r w:rsidR="00BC199E">
        <w:rPr>
          <w:rFonts w:ascii="Book Antiqua" w:hAnsi="Book Antiqua" w:cs="Arial"/>
        </w:rPr>
        <w:t>n</w:t>
      </w:r>
      <w:r w:rsidR="00A97976">
        <w:rPr>
          <w:rFonts w:ascii="Book Antiqua" w:hAnsi="Book Antiqua" w:cs="Arial"/>
        </w:rPr>
        <w:t xml:space="preserve">ds of </w:t>
      </w:r>
      <w:r w:rsidR="00BC199E">
        <w:rPr>
          <w:rFonts w:ascii="Book Antiqua" w:hAnsi="Book Antiqua" w:cs="Arial"/>
        </w:rPr>
        <w:t>appeal to the FtT were generic, and raised no specific issue.</w:t>
      </w:r>
    </w:p>
    <w:p w:rsidR="008E3668" w:rsidRDefault="004F6981" w:rsidP="00007BAC">
      <w:pPr>
        <w:numPr>
          <w:ilvl w:val="0"/>
          <w:numId w:val="2"/>
        </w:numPr>
        <w:spacing w:before="240"/>
        <w:jc w:val="both"/>
        <w:rPr>
          <w:rFonts w:ascii="Book Antiqua" w:hAnsi="Book Antiqua" w:cs="Arial"/>
        </w:rPr>
      </w:pPr>
      <w:r>
        <w:rPr>
          <w:rFonts w:ascii="Book Antiqua" w:hAnsi="Book Antiqua" w:cs="Arial"/>
        </w:rPr>
        <w:t>FtT Judge Farrelly dismissed the appellant’s appeal by a decision</w:t>
      </w:r>
      <w:r w:rsidR="008E3668">
        <w:rPr>
          <w:rFonts w:ascii="Book Antiqua" w:hAnsi="Book Antiqua" w:cs="Arial"/>
        </w:rPr>
        <w:t xml:space="preserve"> promulgated on 30 January 2016.</w:t>
      </w:r>
    </w:p>
    <w:p w:rsidR="00F47052" w:rsidRDefault="00F97519" w:rsidP="00532DD2">
      <w:pPr>
        <w:numPr>
          <w:ilvl w:val="0"/>
          <w:numId w:val="2"/>
        </w:numPr>
        <w:spacing w:before="240"/>
        <w:jc w:val="both"/>
        <w:rPr>
          <w:rFonts w:ascii="Book Antiqua" w:hAnsi="Book Antiqua"/>
        </w:rPr>
      </w:pPr>
      <w:r w:rsidRPr="00532DD2">
        <w:rPr>
          <w:rFonts w:ascii="Book Antiqua" w:hAnsi="Book Antiqua" w:cs="Arial"/>
        </w:rPr>
        <w:t xml:space="preserve">The </w:t>
      </w:r>
      <w:r w:rsidR="00C15A7E" w:rsidRPr="00532DD2">
        <w:rPr>
          <w:rFonts w:ascii="Book Antiqua" w:hAnsi="Book Antiqua" w:cs="Arial"/>
        </w:rPr>
        <w:t xml:space="preserve">grounds of appeal </w:t>
      </w:r>
      <w:r w:rsidR="00F125AD" w:rsidRPr="00532DD2">
        <w:rPr>
          <w:rFonts w:ascii="Book Antiqua" w:hAnsi="Book Antiqua" w:cs="Arial"/>
        </w:rPr>
        <w:t>to the UT</w:t>
      </w:r>
      <w:r w:rsidR="00532DD2">
        <w:rPr>
          <w:rFonts w:ascii="Book Antiqua" w:hAnsi="Book Antiqua" w:cs="Arial"/>
        </w:rPr>
        <w:t xml:space="preserve"> are </w:t>
      </w:r>
      <w:r w:rsidR="00F125AD" w:rsidRPr="00532DD2">
        <w:rPr>
          <w:rFonts w:ascii="Book Antiqua" w:hAnsi="Book Antiqua" w:cs="Arial"/>
        </w:rPr>
        <w:t xml:space="preserve">stated </w:t>
      </w:r>
      <w:r w:rsidR="00C15A7E" w:rsidRPr="00532DD2">
        <w:rPr>
          <w:rFonts w:ascii="Book Antiqua" w:hAnsi="Book Antiqua" w:cs="Arial"/>
        </w:rPr>
        <w:t xml:space="preserve">in the </w:t>
      </w:r>
      <w:r w:rsidR="00C15A7E" w:rsidRPr="00532DD2">
        <w:rPr>
          <w:rFonts w:ascii="Book Antiqua" w:hAnsi="Book Antiqua"/>
        </w:rPr>
        <w:t>application for permission to appeal</w:t>
      </w:r>
      <w:r w:rsidR="006E3DE1" w:rsidRPr="00532DD2">
        <w:rPr>
          <w:rFonts w:ascii="Book Antiqua" w:hAnsi="Book Antiqua"/>
        </w:rPr>
        <w:t xml:space="preserve"> </w:t>
      </w:r>
      <w:r w:rsidR="00470675" w:rsidRPr="00532DD2">
        <w:rPr>
          <w:rFonts w:ascii="Book Antiqua" w:hAnsi="Book Antiqua"/>
        </w:rPr>
        <w:t>filed on</w:t>
      </w:r>
      <w:r w:rsidR="00651076">
        <w:rPr>
          <w:rFonts w:ascii="Book Antiqua" w:hAnsi="Book Antiqua"/>
        </w:rPr>
        <w:t xml:space="preserve"> 13 February 2018</w:t>
      </w:r>
      <w:r w:rsidR="00E43CF7">
        <w:rPr>
          <w:rFonts w:ascii="Book Antiqua" w:hAnsi="Book Antiqua"/>
        </w:rPr>
        <w:t xml:space="preserve"> in sub-paragraphs numbers</w:t>
      </w:r>
      <w:r w:rsidR="00B272CA">
        <w:rPr>
          <w:rFonts w:ascii="Book Antiqua" w:hAnsi="Book Antiqua"/>
        </w:rPr>
        <w:t xml:space="preserve"> (i) – (vii).</w:t>
      </w:r>
    </w:p>
    <w:p w:rsidR="00B272CA" w:rsidRDefault="00B272CA" w:rsidP="00B272CA">
      <w:pPr>
        <w:numPr>
          <w:ilvl w:val="0"/>
          <w:numId w:val="2"/>
        </w:numPr>
        <w:spacing w:before="240"/>
        <w:jc w:val="both"/>
        <w:rPr>
          <w:rFonts w:ascii="Book Antiqua" w:hAnsi="Book Antiqua" w:cs="Arial"/>
        </w:rPr>
      </w:pPr>
      <w:r>
        <w:rPr>
          <w:rFonts w:ascii="Book Antiqua" w:hAnsi="Book Antiqua" w:cs="Arial"/>
        </w:rPr>
        <w:t>FtT Judge Norton-Taylor granted permission on 2 March 2018.</w:t>
      </w:r>
    </w:p>
    <w:p w:rsidR="00F125AD" w:rsidRDefault="00E43CF7" w:rsidP="00532DD2">
      <w:pPr>
        <w:numPr>
          <w:ilvl w:val="0"/>
          <w:numId w:val="2"/>
        </w:numPr>
        <w:spacing w:before="240"/>
        <w:jc w:val="both"/>
        <w:rPr>
          <w:rFonts w:ascii="Book Antiqua" w:hAnsi="Book Antiqua"/>
        </w:rPr>
      </w:pPr>
      <w:r>
        <w:rPr>
          <w:rFonts w:ascii="Book Antiqua" w:hAnsi="Book Antiqua"/>
        </w:rPr>
        <w:t>Further to g</w:t>
      </w:r>
      <w:r w:rsidR="00A2175D">
        <w:rPr>
          <w:rFonts w:ascii="Book Antiqua" w:hAnsi="Book Antiqua"/>
        </w:rPr>
        <w:t>rounds</w:t>
      </w:r>
      <w:r w:rsidR="00FE407F">
        <w:rPr>
          <w:rFonts w:ascii="Book Antiqua" w:hAnsi="Book Antiqua"/>
        </w:rPr>
        <w:t xml:space="preserve"> (i) and (v)</w:t>
      </w:r>
      <w:r>
        <w:rPr>
          <w:rFonts w:ascii="Book Antiqua" w:hAnsi="Book Antiqua"/>
        </w:rPr>
        <w:t>, which</w:t>
      </w:r>
      <w:r w:rsidR="00FE407F">
        <w:rPr>
          <w:rFonts w:ascii="Book Antiqua" w:hAnsi="Book Antiqua"/>
        </w:rPr>
        <w:t xml:space="preserve"> may be taken together</w:t>
      </w:r>
      <w:r>
        <w:rPr>
          <w:rFonts w:ascii="Book Antiqua" w:hAnsi="Book Antiqua"/>
        </w:rPr>
        <w:t xml:space="preserve">, </w:t>
      </w:r>
      <w:r w:rsidR="00FE407F">
        <w:rPr>
          <w:rFonts w:ascii="Book Antiqua" w:hAnsi="Book Antiqua"/>
        </w:rPr>
        <w:t>Ms Loughran referred to</w:t>
      </w:r>
      <w:r w:rsidR="006276D0">
        <w:rPr>
          <w:rFonts w:ascii="Book Antiqua" w:hAnsi="Book Antiqua"/>
        </w:rPr>
        <w:t xml:space="preserve"> the letters on behalf of the appellant to the Ethiopian Embassy</w:t>
      </w:r>
      <w:r w:rsidR="00E300FE">
        <w:rPr>
          <w:rFonts w:ascii="Book Antiqua" w:hAnsi="Book Antiqua"/>
        </w:rPr>
        <w:t xml:space="preserve"> and</w:t>
      </w:r>
      <w:r w:rsidR="00504BAC">
        <w:rPr>
          <w:rFonts w:ascii="Book Antiqua" w:hAnsi="Book Antiqua"/>
        </w:rPr>
        <w:t xml:space="preserve"> to</w:t>
      </w:r>
      <w:r w:rsidR="00E240FA">
        <w:rPr>
          <w:rFonts w:ascii="Book Antiqua" w:hAnsi="Book Antiqua"/>
        </w:rPr>
        <w:t xml:space="preserve"> the</w:t>
      </w:r>
      <w:r w:rsidR="00504BAC">
        <w:rPr>
          <w:rFonts w:ascii="Book Antiqua" w:hAnsi="Book Antiqua"/>
        </w:rPr>
        <w:t xml:space="preserve"> witness statement recounting a telephone conversation with an Embassy </w:t>
      </w:r>
      <w:r w:rsidR="00984D03">
        <w:rPr>
          <w:rFonts w:ascii="Book Antiqua" w:hAnsi="Book Antiqua"/>
        </w:rPr>
        <w:t>official</w:t>
      </w:r>
      <w:r w:rsidR="00F06B1D">
        <w:rPr>
          <w:rFonts w:ascii="Book Antiqua" w:hAnsi="Book Antiqua"/>
        </w:rPr>
        <w:t xml:space="preserve">.  The official </w:t>
      </w:r>
      <w:r w:rsidR="00984D03">
        <w:rPr>
          <w:rFonts w:ascii="Book Antiqua" w:hAnsi="Book Antiqua"/>
        </w:rPr>
        <w:t xml:space="preserve">stated that the appellant “would be considered Eritrean by the </w:t>
      </w:r>
      <w:r w:rsidR="001C6B9A">
        <w:rPr>
          <w:rFonts w:ascii="Book Antiqua" w:hAnsi="Book Antiqua"/>
        </w:rPr>
        <w:t>Ethiopian</w:t>
      </w:r>
      <w:r w:rsidR="00984D03">
        <w:rPr>
          <w:rFonts w:ascii="Book Antiqua" w:hAnsi="Book Antiqua"/>
        </w:rPr>
        <w:t xml:space="preserve"> gove</w:t>
      </w:r>
      <w:r w:rsidR="001C6B9A">
        <w:rPr>
          <w:rFonts w:ascii="Book Antiqua" w:hAnsi="Book Antiqua"/>
        </w:rPr>
        <w:t>rn</w:t>
      </w:r>
      <w:r w:rsidR="00984D03">
        <w:rPr>
          <w:rFonts w:ascii="Book Antiqua" w:hAnsi="Book Antiqua"/>
        </w:rPr>
        <w:t>ment</w:t>
      </w:r>
      <w:r w:rsidR="001C6B9A">
        <w:rPr>
          <w:rFonts w:ascii="Book Antiqua" w:hAnsi="Book Antiqua"/>
        </w:rPr>
        <w:t xml:space="preserve">”. </w:t>
      </w:r>
      <w:r w:rsidR="0076630C">
        <w:rPr>
          <w:rFonts w:ascii="Book Antiqua" w:hAnsi="Book Antiqua"/>
        </w:rPr>
        <w:t xml:space="preserve"> She submitted that that </w:t>
      </w:r>
      <w:r w:rsidR="00937CAF">
        <w:rPr>
          <w:rFonts w:ascii="Book Antiqua" w:hAnsi="Book Antiqua"/>
        </w:rPr>
        <w:t xml:space="preserve">the judge erred </w:t>
      </w:r>
      <w:r w:rsidR="00BE1382">
        <w:rPr>
          <w:rFonts w:ascii="Book Antiqua" w:hAnsi="Book Antiqua"/>
        </w:rPr>
        <w:t>by accepting at</w:t>
      </w:r>
      <w:r w:rsidR="006B4408">
        <w:rPr>
          <w:rFonts w:ascii="Book Antiqua" w:hAnsi="Book Antiqua"/>
        </w:rPr>
        <w:t xml:space="preserve"> paragraph 31 the evidence about that contact, yet not applying it in his conclusions; </w:t>
      </w:r>
      <w:r w:rsidR="00BE1382">
        <w:rPr>
          <w:rFonts w:ascii="Book Antiqua" w:hAnsi="Book Antiqua"/>
        </w:rPr>
        <w:t xml:space="preserve">the appellant had </w:t>
      </w:r>
      <w:r w:rsidR="00FB7C90">
        <w:rPr>
          <w:rFonts w:ascii="Book Antiqua" w:hAnsi="Book Antiqua"/>
        </w:rPr>
        <w:t>advanced his information to the Embassy, and done</w:t>
      </w:r>
      <w:r w:rsidR="00BE1382">
        <w:rPr>
          <w:rFonts w:ascii="Book Antiqua" w:hAnsi="Book Antiqua"/>
        </w:rPr>
        <w:t xml:space="preserve"> all that was expected of him by country guidance; </w:t>
      </w:r>
      <w:r w:rsidR="0092585F">
        <w:rPr>
          <w:rFonts w:ascii="Book Antiqua" w:hAnsi="Book Antiqua"/>
        </w:rPr>
        <w:t>the judge gave no reasons for not accepting that</w:t>
      </w:r>
      <w:r w:rsidR="009F3067">
        <w:rPr>
          <w:rFonts w:ascii="Book Antiqua" w:hAnsi="Book Antiqua"/>
        </w:rPr>
        <w:t xml:space="preserve">, or for not accepting the appellant’s explanations of why he had no further evidence; </w:t>
      </w:r>
      <w:r w:rsidR="0076630C">
        <w:rPr>
          <w:rFonts w:ascii="Book Antiqua" w:hAnsi="Book Antiqua"/>
        </w:rPr>
        <w:t>applying that guidance</w:t>
      </w:r>
      <w:r w:rsidR="008720C2">
        <w:rPr>
          <w:rFonts w:ascii="Book Antiqua" w:hAnsi="Book Antiqua"/>
        </w:rPr>
        <w:t>, the appellant had established his case.</w:t>
      </w:r>
    </w:p>
    <w:p w:rsidR="005D7CBD" w:rsidRDefault="009F0F3D" w:rsidP="00532DD2">
      <w:pPr>
        <w:numPr>
          <w:ilvl w:val="0"/>
          <w:numId w:val="2"/>
        </w:numPr>
        <w:spacing w:before="240"/>
        <w:jc w:val="both"/>
        <w:rPr>
          <w:rFonts w:ascii="Book Antiqua" w:hAnsi="Book Antiqua"/>
        </w:rPr>
      </w:pPr>
      <w:r>
        <w:rPr>
          <w:rFonts w:ascii="Book Antiqua" w:hAnsi="Book Antiqua"/>
        </w:rPr>
        <w:t>The</w:t>
      </w:r>
      <w:r w:rsidR="00733074">
        <w:rPr>
          <w:rFonts w:ascii="Book Antiqua" w:hAnsi="Book Antiqua"/>
        </w:rPr>
        <w:t xml:space="preserve"> recorded comment by an Embassy official is not confirmation that the appellant does not have Ethiopian citizenship.  It is only confirmation that on the </w:t>
      </w:r>
      <w:r w:rsidR="005D7CBD">
        <w:rPr>
          <w:rFonts w:ascii="Book Antiqua" w:hAnsi="Book Antiqua"/>
        </w:rPr>
        <w:t>information he has advanced, citizenship would not be recognised.</w:t>
      </w:r>
      <w:r w:rsidR="00F31E5B">
        <w:rPr>
          <w:rFonts w:ascii="Book Antiqua" w:hAnsi="Book Antiqua"/>
        </w:rPr>
        <w:t xml:space="preserve">  The question remains whether that information is </w:t>
      </w:r>
      <w:r w:rsidR="00B70D88">
        <w:rPr>
          <w:rFonts w:ascii="Book Antiqua" w:hAnsi="Book Antiqua"/>
        </w:rPr>
        <w:t xml:space="preserve">candid and </w:t>
      </w:r>
      <w:r w:rsidR="00F31E5B">
        <w:rPr>
          <w:rFonts w:ascii="Book Antiqua" w:hAnsi="Book Antiqua"/>
        </w:rPr>
        <w:t>reliable</w:t>
      </w:r>
      <w:r w:rsidR="00B70D88">
        <w:rPr>
          <w:rFonts w:ascii="Book Antiqua" w:hAnsi="Book Antiqua"/>
        </w:rPr>
        <w:t>.</w:t>
      </w:r>
      <w:r w:rsidR="00F31E5B">
        <w:rPr>
          <w:rFonts w:ascii="Book Antiqua" w:hAnsi="Book Antiqua"/>
        </w:rPr>
        <w:t xml:space="preserve"> </w:t>
      </w:r>
    </w:p>
    <w:p w:rsidR="00204974" w:rsidRDefault="005D7CBD" w:rsidP="00532DD2">
      <w:pPr>
        <w:numPr>
          <w:ilvl w:val="0"/>
          <w:numId w:val="2"/>
        </w:numPr>
        <w:spacing w:before="240"/>
        <w:jc w:val="both"/>
        <w:rPr>
          <w:rFonts w:ascii="Book Antiqua" w:hAnsi="Book Antiqua"/>
        </w:rPr>
      </w:pPr>
      <w:r>
        <w:rPr>
          <w:rFonts w:ascii="Book Antiqua" w:hAnsi="Book Antiqua"/>
        </w:rPr>
        <w:t xml:space="preserve">Country guidance </w:t>
      </w:r>
      <w:r w:rsidR="00B70D88">
        <w:rPr>
          <w:rFonts w:ascii="Book Antiqua" w:hAnsi="Book Antiqua"/>
        </w:rPr>
        <w:t>does not say</w:t>
      </w:r>
      <w:r>
        <w:rPr>
          <w:rFonts w:ascii="Book Antiqua" w:hAnsi="Book Antiqua"/>
        </w:rPr>
        <w:t xml:space="preserve"> that appellants who advance their position to the Ethiopian Embassy along the same lines as to the respondent, and</w:t>
      </w:r>
      <w:r w:rsidR="00B70D88">
        <w:rPr>
          <w:rFonts w:ascii="Book Antiqua" w:hAnsi="Book Antiqua"/>
        </w:rPr>
        <w:t xml:space="preserve"> who</w:t>
      </w:r>
      <w:r>
        <w:rPr>
          <w:rFonts w:ascii="Book Antiqua" w:hAnsi="Book Antiqua"/>
        </w:rPr>
        <w:t xml:space="preserve"> are not acknowledged by the Embassy as Ethiopian citizens, have pro</w:t>
      </w:r>
      <w:r w:rsidR="00B70D88">
        <w:rPr>
          <w:rFonts w:ascii="Book Antiqua" w:hAnsi="Book Antiqua"/>
        </w:rPr>
        <w:t>ved</w:t>
      </w:r>
      <w:r>
        <w:rPr>
          <w:rFonts w:ascii="Book Antiqua" w:hAnsi="Book Antiqua"/>
        </w:rPr>
        <w:t xml:space="preserve"> their case.  </w:t>
      </w:r>
    </w:p>
    <w:p w:rsidR="00211213" w:rsidRDefault="00204974" w:rsidP="00532DD2">
      <w:pPr>
        <w:numPr>
          <w:ilvl w:val="0"/>
          <w:numId w:val="2"/>
        </w:numPr>
        <w:spacing w:before="240"/>
        <w:jc w:val="both"/>
        <w:rPr>
          <w:rFonts w:ascii="Book Antiqua" w:hAnsi="Book Antiqua"/>
        </w:rPr>
      </w:pPr>
      <w:r>
        <w:rPr>
          <w:rFonts w:ascii="Book Antiqua" w:hAnsi="Book Antiqua"/>
        </w:rPr>
        <w:t xml:space="preserve">The last part of ground (v) identifies a slip by the judge in this branch of the case.  He says at paragraph 44 that he agrees with the respondent’s comments at paragraph 16 of the refusal letter.  That paragraph is the same in both letters.  It is based on the appellant refusing to approach the Ethiopian Embassy.  That was </w:t>
      </w:r>
      <w:r w:rsidR="00211213">
        <w:rPr>
          <w:rFonts w:ascii="Book Antiqua" w:hAnsi="Book Antiqua"/>
        </w:rPr>
        <w:t>so</w:t>
      </w:r>
      <w:r>
        <w:rPr>
          <w:rFonts w:ascii="Book Antiqua" w:hAnsi="Book Antiqua"/>
        </w:rPr>
        <w:t xml:space="preserve"> at the time, but by the date of the hearing he had approached the Embassy, in writing and in person.  The judge plainly knew that, because it is what much of the hearing and of his decision was about.</w:t>
      </w:r>
    </w:p>
    <w:p w:rsidR="00985526" w:rsidRDefault="00204974" w:rsidP="00532DD2">
      <w:pPr>
        <w:numPr>
          <w:ilvl w:val="0"/>
          <w:numId w:val="2"/>
        </w:numPr>
        <w:spacing w:before="240"/>
        <w:jc w:val="both"/>
        <w:rPr>
          <w:rFonts w:ascii="Book Antiqua" w:hAnsi="Book Antiqua"/>
        </w:rPr>
      </w:pPr>
      <w:r>
        <w:rPr>
          <w:rFonts w:ascii="Book Antiqua" w:hAnsi="Book Antiqua"/>
        </w:rPr>
        <w:t xml:space="preserve">It was open to </w:t>
      </w:r>
      <w:r w:rsidR="00211213">
        <w:rPr>
          <w:rFonts w:ascii="Book Antiqua" w:hAnsi="Book Antiqua"/>
        </w:rPr>
        <w:t>the judge</w:t>
      </w:r>
      <w:r>
        <w:rPr>
          <w:rFonts w:ascii="Book Antiqua" w:hAnsi="Book Antiqua"/>
        </w:rPr>
        <w:t xml:space="preserve"> to </w:t>
      </w:r>
      <w:r w:rsidR="00211213">
        <w:rPr>
          <w:rFonts w:ascii="Book Antiqua" w:hAnsi="Book Antiqua"/>
        </w:rPr>
        <w:t>reach the same eventual</w:t>
      </w:r>
      <w:r>
        <w:rPr>
          <w:rFonts w:ascii="Book Antiqua" w:hAnsi="Book Antiqua"/>
        </w:rPr>
        <w:t xml:space="preserve"> conclusion as the respondent, but not for the reason stated in paragraph 16.  He may have meant that he shared the conclusion but not the reason, or there may some other explanation.  To go further would be speculative, but it is incon</w:t>
      </w:r>
      <w:r w:rsidR="00D23C30">
        <w:rPr>
          <w:rFonts w:ascii="Book Antiqua" w:hAnsi="Book Antiqua"/>
        </w:rPr>
        <w:t xml:space="preserve">sistent with the </w:t>
      </w:r>
      <w:r w:rsidR="00921444">
        <w:rPr>
          <w:rFonts w:ascii="Book Antiqua" w:hAnsi="Book Antiqua"/>
        </w:rPr>
        <w:t>body</w:t>
      </w:r>
      <w:r w:rsidR="00D23C30">
        <w:rPr>
          <w:rFonts w:ascii="Book Antiqua" w:hAnsi="Book Antiqua"/>
        </w:rPr>
        <w:t xml:space="preserve"> of the decision </w:t>
      </w:r>
      <w:r>
        <w:rPr>
          <w:rFonts w:ascii="Book Antiqua" w:hAnsi="Book Antiqua"/>
        </w:rPr>
        <w:t xml:space="preserve">that he thought paragraph 16 stood </w:t>
      </w:r>
      <w:r w:rsidR="00D23C30">
        <w:rPr>
          <w:rFonts w:ascii="Book Antiqua" w:hAnsi="Book Antiqua"/>
        </w:rPr>
        <w:t xml:space="preserve">unqualified </w:t>
      </w:r>
      <w:r>
        <w:rPr>
          <w:rFonts w:ascii="Book Antiqua" w:hAnsi="Book Antiqua"/>
        </w:rPr>
        <w:t>as a good reason.</w:t>
      </w:r>
    </w:p>
    <w:p w:rsidR="00787D86" w:rsidRDefault="00C54432" w:rsidP="00532DD2">
      <w:pPr>
        <w:numPr>
          <w:ilvl w:val="0"/>
          <w:numId w:val="2"/>
        </w:numPr>
        <w:spacing w:before="240"/>
        <w:jc w:val="both"/>
        <w:rPr>
          <w:rFonts w:ascii="Book Antiqua" w:hAnsi="Book Antiqua"/>
        </w:rPr>
      </w:pPr>
      <w:r>
        <w:rPr>
          <w:rFonts w:ascii="Book Antiqua" w:hAnsi="Book Antiqua"/>
        </w:rPr>
        <w:lastRenderedPageBreak/>
        <w:t xml:space="preserve">Ground (ii) is inaccurate.  It is not to be found in the decision that </w:t>
      </w:r>
      <w:r w:rsidR="001A18FD">
        <w:rPr>
          <w:rFonts w:ascii="Book Antiqua" w:hAnsi="Book Antiqua"/>
        </w:rPr>
        <w:t xml:space="preserve">the appellant’s </w:t>
      </w:r>
      <w:r w:rsidR="0099549B">
        <w:rPr>
          <w:rFonts w:ascii="Book Antiqua" w:hAnsi="Book Antiqua"/>
        </w:rPr>
        <w:t>inability to speak Tigrinya was “the sole reason why he is not Eritrean”.</w:t>
      </w:r>
      <w:r w:rsidR="005275CF">
        <w:rPr>
          <w:rFonts w:ascii="Book Antiqua" w:hAnsi="Book Antiqua"/>
        </w:rPr>
        <w:t xml:space="preserve">  </w:t>
      </w:r>
      <w:r w:rsidR="00FC741A">
        <w:rPr>
          <w:rFonts w:ascii="Book Antiqua" w:hAnsi="Book Antiqua"/>
        </w:rPr>
        <w:t>Nor does t</w:t>
      </w:r>
      <w:r w:rsidR="00C90752">
        <w:rPr>
          <w:rFonts w:ascii="Book Antiqua" w:hAnsi="Book Antiqua"/>
        </w:rPr>
        <w:t xml:space="preserve">he </w:t>
      </w:r>
      <w:r w:rsidR="000C7597">
        <w:rPr>
          <w:rFonts w:ascii="Book Antiqua" w:hAnsi="Book Antiqua"/>
        </w:rPr>
        <w:t>decision arise from overlooking evidence</w:t>
      </w:r>
      <w:r w:rsidR="00B56AA4">
        <w:rPr>
          <w:rFonts w:ascii="Book Antiqua" w:hAnsi="Book Antiqua"/>
        </w:rPr>
        <w:t xml:space="preserve"> that Amharic is common in Eritrea</w:t>
      </w:r>
      <w:r w:rsidR="000C7597">
        <w:rPr>
          <w:rFonts w:ascii="Book Antiqua" w:hAnsi="Book Antiqua"/>
        </w:rPr>
        <w:t>.  On th</w:t>
      </w:r>
      <w:r w:rsidR="001A18FD">
        <w:rPr>
          <w:rFonts w:ascii="Book Antiqua" w:hAnsi="Book Antiqua"/>
        </w:rPr>
        <w:t>e language</w:t>
      </w:r>
      <w:r w:rsidR="000C7597">
        <w:rPr>
          <w:rFonts w:ascii="Book Antiqua" w:hAnsi="Book Antiqua"/>
        </w:rPr>
        <w:t xml:space="preserve"> </w:t>
      </w:r>
      <w:r w:rsidR="009F6F81">
        <w:rPr>
          <w:rFonts w:ascii="Book Antiqua" w:hAnsi="Book Antiqua"/>
        </w:rPr>
        <w:t>issue</w:t>
      </w:r>
      <w:r w:rsidR="001A18FD">
        <w:rPr>
          <w:rFonts w:ascii="Book Antiqua" w:hAnsi="Book Antiqua"/>
        </w:rPr>
        <w:t>,</w:t>
      </w:r>
      <w:r w:rsidR="009F6F81">
        <w:rPr>
          <w:rFonts w:ascii="Book Antiqua" w:hAnsi="Book Antiqua"/>
        </w:rPr>
        <w:t xml:space="preserve"> </w:t>
      </w:r>
      <w:r w:rsidR="001A18FD">
        <w:rPr>
          <w:rFonts w:ascii="Book Antiqua" w:hAnsi="Book Antiqua"/>
        </w:rPr>
        <w:t>the decision</w:t>
      </w:r>
      <w:r w:rsidR="003E115B">
        <w:rPr>
          <w:rFonts w:ascii="Book Antiqua" w:hAnsi="Book Antiqua"/>
        </w:rPr>
        <w:t xml:space="preserve"> is based on</w:t>
      </w:r>
      <w:r w:rsidR="00FC741A">
        <w:rPr>
          <w:rFonts w:ascii="Book Antiqua" w:hAnsi="Book Antiqua"/>
        </w:rPr>
        <w:t xml:space="preserve"> the</w:t>
      </w:r>
      <w:r w:rsidR="003E115B">
        <w:rPr>
          <w:rFonts w:ascii="Book Antiqua" w:hAnsi="Book Antiqua"/>
        </w:rPr>
        <w:t xml:space="preserve"> expectation</w:t>
      </w:r>
      <w:r w:rsidR="00323D59">
        <w:rPr>
          <w:rFonts w:ascii="Book Antiqua" w:hAnsi="Book Antiqua"/>
        </w:rPr>
        <w:t>s</w:t>
      </w:r>
      <w:r w:rsidR="003E115B">
        <w:rPr>
          <w:rFonts w:ascii="Book Antiqua" w:hAnsi="Book Antiqua"/>
        </w:rPr>
        <w:t xml:space="preserve"> that his mother </w:t>
      </w:r>
      <w:r w:rsidR="00FC741A">
        <w:rPr>
          <w:rFonts w:ascii="Book Antiqua" w:hAnsi="Book Antiqua"/>
        </w:rPr>
        <w:t>“</w:t>
      </w:r>
      <w:r w:rsidR="003E115B">
        <w:rPr>
          <w:rFonts w:ascii="Book Antiqua" w:hAnsi="Book Antiqua"/>
        </w:rPr>
        <w:t>would have had an influence</w:t>
      </w:r>
      <w:r w:rsidR="00FC741A">
        <w:rPr>
          <w:rFonts w:ascii="Book Antiqua" w:hAnsi="Book Antiqua"/>
        </w:rPr>
        <w:t>”</w:t>
      </w:r>
      <w:r w:rsidR="003E115B">
        <w:rPr>
          <w:rFonts w:ascii="Book Antiqua" w:hAnsi="Book Antiqua"/>
        </w:rPr>
        <w:t xml:space="preserve"> and that he might have </w:t>
      </w:r>
      <w:r w:rsidR="008B5173">
        <w:rPr>
          <w:rFonts w:ascii="Book Antiqua" w:hAnsi="Book Antiqua"/>
        </w:rPr>
        <w:t>“</w:t>
      </w:r>
      <w:r w:rsidR="003E115B">
        <w:rPr>
          <w:rFonts w:ascii="Book Antiqua" w:hAnsi="Book Antiqua"/>
        </w:rPr>
        <w:t>a</w:t>
      </w:r>
      <w:r w:rsidR="00583994">
        <w:rPr>
          <w:rFonts w:ascii="Book Antiqua" w:hAnsi="Book Antiqua"/>
        </w:rPr>
        <w:t>cquired knowledge from fellow university stude</w:t>
      </w:r>
      <w:r w:rsidR="008B5173">
        <w:rPr>
          <w:rFonts w:ascii="Book Antiqua" w:hAnsi="Book Antiqua"/>
        </w:rPr>
        <w:t>n</w:t>
      </w:r>
      <w:r w:rsidR="00583994">
        <w:rPr>
          <w:rFonts w:ascii="Book Antiqua" w:hAnsi="Book Antiqua"/>
        </w:rPr>
        <w:t>ts of Eritrean origins</w:t>
      </w:r>
      <w:r w:rsidR="008B5173">
        <w:rPr>
          <w:rFonts w:ascii="Book Antiqua" w:hAnsi="Book Antiqua"/>
        </w:rPr>
        <w:t>”</w:t>
      </w:r>
      <w:r w:rsidR="00FE651B">
        <w:rPr>
          <w:rFonts w:ascii="Book Antiqua" w:hAnsi="Book Antiqua"/>
        </w:rPr>
        <w:t xml:space="preserve"> (paragraph 45)</w:t>
      </w:r>
      <w:r w:rsidR="00583994">
        <w:rPr>
          <w:rFonts w:ascii="Book Antiqua" w:hAnsi="Book Antiqua"/>
        </w:rPr>
        <w:t>.  Neither of those points is challenged in</w:t>
      </w:r>
      <w:r w:rsidR="00323D59">
        <w:rPr>
          <w:rFonts w:ascii="Book Antiqua" w:hAnsi="Book Antiqua"/>
        </w:rPr>
        <w:t xml:space="preserve"> the g</w:t>
      </w:r>
      <w:r w:rsidR="00583994">
        <w:rPr>
          <w:rFonts w:ascii="Book Antiqua" w:hAnsi="Book Antiqua"/>
        </w:rPr>
        <w:t>rounds</w:t>
      </w:r>
      <w:r w:rsidR="00323D59">
        <w:rPr>
          <w:rFonts w:ascii="Book Antiqua" w:hAnsi="Book Antiqua"/>
        </w:rPr>
        <w:t>, and they</w:t>
      </w:r>
      <w:r w:rsidR="00583994">
        <w:rPr>
          <w:rFonts w:ascii="Book Antiqua" w:hAnsi="Book Antiqua"/>
        </w:rPr>
        <w:t xml:space="preserve"> are within reason.</w:t>
      </w:r>
    </w:p>
    <w:p w:rsidR="00787D86" w:rsidRDefault="00102245" w:rsidP="00532DD2">
      <w:pPr>
        <w:numPr>
          <w:ilvl w:val="0"/>
          <w:numId w:val="2"/>
        </w:numPr>
        <w:spacing w:before="240"/>
        <w:jc w:val="both"/>
        <w:rPr>
          <w:rFonts w:ascii="Book Antiqua" w:hAnsi="Book Antiqua"/>
        </w:rPr>
      </w:pPr>
      <w:r>
        <w:rPr>
          <w:rFonts w:ascii="Book Antiqua" w:hAnsi="Book Antiqua"/>
        </w:rPr>
        <w:t xml:space="preserve">Ground </w:t>
      </w:r>
      <w:r w:rsidR="00787D86">
        <w:rPr>
          <w:rFonts w:ascii="Book Antiqua" w:hAnsi="Book Antiqua"/>
        </w:rPr>
        <w:t>(iii)</w:t>
      </w:r>
      <w:r w:rsidR="00896F8B">
        <w:rPr>
          <w:rFonts w:ascii="Book Antiqua" w:hAnsi="Book Antiqua"/>
        </w:rPr>
        <w:t xml:space="preserve"> says that the judge placed “too much reliance”</w:t>
      </w:r>
      <w:r w:rsidR="007D1A1E">
        <w:rPr>
          <w:rFonts w:ascii="Book Antiqua" w:hAnsi="Book Antiqua"/>
        </w:rPr>
        <w:t xml:space="preserve"> on the appellant having humanitarian protection, which he does not.  </w:t>
      </w:r>
      <w:r w:rsidR="00434B8B">
        <w:rPr>
          <w:rFonts w:ascii="Book Antiqua" w:hAnsi="Book Antiqua"/>
        </w:rPr>
        <w:t>T</w:t>
      </w:r>
      <w:r w:rsidR="007D1A1E">
        <w:rPr>
          <w:rFonts w:ascii="Book Antiqua" w:hAnsi="Book Antiqua"/>
        </w:rPr>
        <w:t xml:space="preserve">his mis-statement </w:t>
      </w:r>
      <w:r w:rsidR="000B23B1">
        <w:rPr>
          <w:rFonts w:ascii="Book Antiqua" w:hAnsi="Book Antiqua"/>
        </w:rPr>
        <w:t xml:space="preserve">by the judge </w:t>
      </w:r>
      <w:r w:rsidR="007D1A1E">
        <w:rPr>
          <w:rFonts w:ascii="Book Antiqua" w:hAnsi="Book Antiqua"/>
        </w:rPr>
        <w:t>derives from the appellant’s solicito</w:t>
      </w:r>
      <w:r w:rsidR="00434B8B">
        <w:rPr>
          <w:rFonts w:ascii="Book Antiqua" w:hAnsi="Book Antiqua"/>
        </w:rPr>
        <w:t xml:space="preserve">rs.  </w:t>
      </w:r>
      <w:r w:rsidR="002A0E13">
        <w:rPr>
          <w:rFonts w:ascii="Book Antiqua" w:hAnsi="Book Antiqua"/>
        </w:rPr>
        <w:t xml:space="preserve">It is not shown to have </w:t>
      </w:r>
      <w:r w:rsidR="008A65BD">
        <w:rPr>
          <w:rFonts w:ascii="Book Antiqua" w:hAnsi="Book Antiqua"/>
        </w:rPr>
        <w:t xml:space="preserve">had any </w:t>
      </w:r>
      <w:r w:rsidR="003239D1">
        <w:rPr>
          <w:rFonts w:ascii="Book Antiqua" w:hAnsi="Book Antiqua"/>
        </w:rPr>
        <w:t>bearing</w:t>
      </w:r>
      <w:r w:rsidR="002A0E13">
        <w:rPr>
          <w:rFonts w:ascii="Book Antiqua" w:hAnsi="Book Antiqua"/>
        </w:rPr>
        <w:t xml:space="preserve"> on the decision reached. </w:t>
      </w:r>
      <w:r w:rsidR="007D1A1E">
        <w:rPr>
          <w:rFonts w:ascii="Book Antiqua" w:hAnsi="Book Antiqua"/>
        </w:rPr>
        <w:t xml:space="preserve"> </w:t>
      </w:r>
    </w:p>
    <w:p w:rsidR="00C04AF5" w:rsidRDefault="00102245" w:rsidP="00532DD2">
      <w:pPr>
        <w:numPr>
          <w:ilvl w:val="0"/>
          <w:numId w:val="2"/>
        </w:numPr>
        <w:spacing w:before="240"/>
        <w:jc w:val="both"/>
        <w:rPr>
          <w:rFonts w:ascii="Book Antiqua" w:hAnsi="Book Antiqua"/>
        </w:rPr>
      </w:pPr>
      <w:r>
        <w:rPr>
          <w:rFonts w:ascii="Book Antiqua" w:hAnsi="Book Antiqua"/>
        </w:rPr>
        <w:t xml:space="preserve">Ground </w:t>
      </w:r>
      <w:r w:rsidR="00787D86">
        <w:rPr>
          <w:rFonts w:ascii="Book Antiqua" w:hAnsi="Book Antiqua"/>
        </w:rPr>
        <w:t xml:space="preserve">(iv) </w:t>
      </w:r>
      <w:r w:rsidR="00E779A9">
        <w:rPr>
          <w:rFonts w:ascii="Book Antiqua" w:hAnsi="Book Antiqua"/>
        </w:rPr>
        <w:t xml:space="preserve">scrambles together several separate categories of </w:t>
      </w:r>
      <w:r w:rsidR="00346CB8">
        <w:rPr>
          <w:rFonts w:ascii="Book Antiqua" w:hAnsi="Book Antiqua"/>
        </w:rPr>
        <w:t>“</w:t>
      </w:r>
      <w:r w:rsidR="00E779A9">
        <w:rPr>
          <w:rFonts w:ascii="Book Antiqua" w:hAnsi="Book Antiqua"/>
        </w:rPr>
        <w:t>error</w:t>
      </w:r>
      <w:r w:rsidR="00346CB8">
        <w:rPr>
          <w:rFonts w:ascii="Book Antiqua" w:hAnsi="Book Antiqua"/>
        </w:rPr>
        <w:t xml:space="preserve">”: the weight given </w:t>
      </w:r>
      <w:r w:rsidR="00DB42D5">
        <w:rPr>
          <w:rFonts w:ascii="Book Antiqua" w:hAnsi="Book Antiqua"/>
        </w:rPr>
        <w:t>to an item of evidence</w:t>
      </w:r>
      <w:r w:rsidR="00E539C3">
        <w:rPr>
          <w:rFonts w:ascii="Book Antiqua" w:hAnsi="Book Antiqua"/>
        </w:rPr>
        <w:t xml:space="preserve"> (</w:t>
      </w:r>
      <w:r w:rsidR="00DB42D5">
        <w:rPr>
          <w:rFonts w:ascii="Book Antiqua" w:hAnsi="Book Antiqua"/>
        </w:rPr>
        <w:t>which</w:t>
      </w:r>
      <w:r w:rsidR="00E539C3">
        <w:rPr>
          <w:rFonts w:ascii="Book Antiqua" w:hAnsi="Book Antiqua"/>
        </w:rPr>
        <w:t>,</w:t>
      </w:r>
      <w:r w:rsidR="00DB42D5">
        <w:rPr>
          <w:rFonts w:ascii="Book Antiqua" w:hAnsi="Book Antiqua"/>
        </w:rPr>
        <w:t xml:space="preserve"> within reason</w:t>
      </w:r>
      <w:r w:rsidR="00E539C3">
        <w:rPr>
          <w:rFonts w:ascii="Book Antiqua" w:hAnsi="Book Antiqua"/>
        </w:rPr>
        <w:t>,</w:t>
      </w:r>
      <w:r w:rsidR="00DB42D5">
        <w:rPr>
          <w:rFonts w:ascii="Book Antiqua" w:hAnsi="Book Antiqua"/>
        </w:rPr>
        <w:t xml:space="preserve"> is a matter for the judge</w:t>
      </w:r>
      <w:r w:rsidR="00E539C3">
        <w:rPr>
          <w:rFonts w:ascii="Book Antiqua" w:hAnsi="Book Antiqua"/>
        </w:rPr>
        <w:t>,</w:t>
      </w:r>
      <w:r w:rsidR="00DB42D5">
        <w:rPr>
          <w:rFonts w:ascii="Book Antiqua" w:hAnsi="Book Antiqua"/>
        </w:rPr>
        <w:t xml:space="preserve"> not a category of legal error</w:t>
      </w:r>
      <w:r w:rsidR="00E539C3">
        <w:rPr>
          <w:rFonts w:ascii="Book Antiqua" w:hAnsi="Book Antiqua"/>
        </w:rPr>
        <w:t>)</w:t>
      </w:r>
      <w:r w:rsidR="00DB42D5">
        <w:rPr>
          <w:rFonts w:ascii="Book Antiqua" w:hAnsi="Book Antiqua"/>
        </w:rPr>
        <w:t>;</w:t>
      </w:r>
      <w:r w:rsidR="00E539C3">
        <w:rPr>
          <w:rFonts w:ascii="Book Antiqua" w:hAnsi="Book Antiqua"/>
        </w:rPr>
        <w:t xml:space="preserve"> an insistence upon corroboration (</w:t>
      </w:r>
      <w:bookmarkStart w:id="2" w:name="_Hlk518579024"/>
      <w:r w:rsidR="007C0258">
        <w:rPr>
          <w:rFonts w:ascii="Book Antiqua" w:hAnsi="Book Antiqua"/>
        </w:rPr>
        <w:t>which cannot be</w:t>
      </w:r>
      <w:r w:rsidR="00E539C3">
        <w:rPr>
          <w:rFonts w:ascii="Book Antiqua" w:hAnsi="Book Antiqua"/>
        </w:rPr>
        <w:t xml:space="preserve"> found</w:t>
      </w:r>
      <w:r w:rsidR="007C0258">
        <w:rPr>
          <w:rFonts w:ascii="Book Antiqua" w:hAnsi="Book Antiqua"/>
        </w:rPr>
        <w:t xml:space="preserve"> in the decision</w:t>
      </w:r>
      <w:r w:rsidR="00E539C3">
        <w:rPr>
          <w:rFonts w:ascii="Book Antiqua" w:hAnsi="Book Antiqua"/>
        </w:rPr>
        <w:t>)</w:t>
      </w:r>
      <w:bookmarkEnd w:id="2"/>
      <w:r w:rsidR="00E539C3">
        <w:rPr>
          <w:rFonts w:ascii="Book Antiqua" w:hAnsi="Book Antiqua"/>
        </w:rPr>
        <w:t>;</w:t>
      </w:r>
      <w:r w:rsidR="00623998">
        <w:rPr>
          <w:rFonts w:ascii="Book Antiqua" w:hAnsi="Book Antiqua"/>
        </w:rPr>
        <w:t xml:space="preserve"> non-application of the correct burden and standard of proof (</w:t>
      </w:r>
      <w:r w:rsidR="00A72F7B">
        <w:rPr>
          <w:rFonts w:ascii="Book Antiqua" w:hAnsi="Book Antiqua"/>
        </w:rPr>
        <w:t xml:space="preserve">which </w:t>
      </w:r>
      <w:r w:rsidR="00623998">
        <w:rPr>
          <w:rFonts w:ascii="Book Antiqua" w:hAnsi="Book Antiqua"/>
        </w:rPr>
        <w:t>also</w:t>
      </w:r>
      <w:r w:rsidR="00346CB8">
        <w:rPr>
          <w:rFonts w:ascii="Book Antiqua" w:hAnsi="Book Antiqua"/>
        </w:rPr>
        <w:t xml:space="preserve"> </w:t>
      </w:r>
      <w:r w:rsidR="00A72F7B">
        <w:rPr>
          <w:rFonts w:ascii="Book Antiqua" w:hAnsi="Book Antiqua"/>
        </w:rPr>
        <w:t>cannot</w:t>
      </w:r>
      <w:r w:rsidR="00623998">
        <w:rPr>
          <w:rFonts w:ascii="Book Antiqua" w:hAnsi="Book Antiqua"/>
        </w:rPr>
        <w:t xml:space="preserve"> be found)</w:t>
      </w:r>
      <w:r w:rsidR="00290B05">
        <w:rPr>
          <w:rFonts w:ascii="Book Antiqua" w:hAnsi="Book Antiqua"/>
        </w:rPr>
        <w:t>; and fail</w:t>
      </w:r>
      <w:r w:rsidR="008E3437">
        <w:rPr>
          <w:rFonts w:ascii="Book Antiqua" w:hAnsi="Book Antiqua"/>
        </w:rPr>
        <w:t>u</w:t>
      </w:r>
      <w:r w:rsidR="00290B05">
        <w:rPr>
          <w:rFonts w:ascii="Book Antiqua" w:hAnsi="Book Antiqua"/>
        </w:rPr>
        <w:t>re to give reasons (</w:t>
      </w:r>
      <w:r w:rsidR="00A72F7B">
        <w:rPr>
          <w:rFonts w:ascii="Book Antiqua" w:hAnsi="Book Antiqua"/>
        </w:rPr>
        <w:t xml:space="preserve">without </w:t>
      </w:r>
      <w:r w:rsidR="002D6114">
        <w:rPr>
          <w:rFonts w:ascii="Book Antiqua" w:hAnsi="Book Antiqua"/>
        </w:rPr>
        <w:t xml:space="preserve">fairly </w:t>
      </w:r>
      <w:r w:rsidR="008D33DC">
        <w:rPr>
          <w:rFonts w:ascii="Book Antiqua" w:hAnsi="Book Antiqua"/>
        </w:rPr>
        <w:t>identifying the reasons which are given</w:t>
      </w:r>
      <w:r w:rsidR="00290B05">
        <w:rPr>
          <w:rFonts w:ascii="Book Antiqua" w:hAnsi="Book Antiqua"/>
        </w:rPr>
        <w:t>).</w:t>
      </w:r>
      <w:r w:rsidR="008E3437">
        <w:rPr>
          <w:rFonts w:ascii="Book Antiqua" w:hAnsi="Book Antiqua"/>
        </w:rPr>
        <w:t xml:space="preserve">  </w:t>
      </w:r>
    </w:p>
    <w:p w:rsidR="00F85DA6" w:rsidRDefault="008E3437" w:rsidP="00532DD2">
      <w:pPr>
        <w:numPr>
          <w:ilvl w:val="0"/>
          <w:numId w:val="2"/>
        </w:numPr>
        <w:spacing w:before="240"/>
        <w:jc w:val="both"/>
        <w:rPr>
          <w:rFonts w:ascii="Book Antiqua" w:hAnsi="Book Antiqua"/>
        </w:rPr>
      </w:pPr>
      <w:r>
        <w:rPr>
          <w:rFonts w:ascii="Book Antiqua" w:hAnsi="Book Antiqua"/>
        </w:rPr>
        <w:t xml:space="preserve">There is within (iv) the point that the judge referred to </w:t>
      </w:r>
      <w:r w:rsidR="009B689B">
        <w:rPr>
          <w:rFonts w:ascii="Book Antiqua" w:hAnsi="Book Antiqua"/>
        </w:rPr>
        <w:t>an Eritrean birth certificate not to an Eritrean baptism certificate.</w:t>
      </w:r>
    </w:p>
    <w:p w:rsidR="008E3437" w:rsidRDefault="001649A2" w:rsidP="00532DD2">
      <w:pPr>
        <w:numPr>
          <w:ilvl w:val="0"/>
          <w:numId w:val="2"/>
        </w:numPr>
        <w:spacing w:before="240"/>
        <w:jc w:val="both"/>
        <w:rPr>
          <w:rFonts w:ascii="Book Antiqua" w:hAnsi="Book Antiqua"/>
        </w:rPr>
      </w:pPr>
      <w:r>
        <w:rPr>
          <w:rFonts w:ascii="Book Antiqua" w:hAnsi="Book Antiqua"/>
        </w:rPr>
        <w:t>The document is from the Eritrean Orthodox Church,</w:t>
      </w:r>
      <w:r w:rsidR="002D333D">
        <w:rPr>
          <w:rFonts w:ascii="Book Antiqua" w:hAnsi="Book Antiqua"/>
        </w:rPr>
        <w:t xml:space="preserve"> set out in English and in another language.  </w:t>
      </w:r>
      <w:r w:rsidR="001432CC">
        <w:rPr>
          <w:rFonts w:ascii="Book Antiqua" w:hAnsi="Book Antiqua"/>
        </w:rPr>
        <w:t>It purports to s</w:t>
      </w:r>
      <w:r w:rsidR="00472BD4">
        <w:rPr>
          <w:rFonts w:ascii="Book Antiqua" w:hAnsi="Book Antiqua"/>
        </w:rPr>
        <w:t>t</w:t>
      </w:r>
      <w:r w:rsidR="001432CC">
        <w:rPr>
          <w:rFonts w:ascii="Book Antiqua" w:hAnsi="Book Antiqua"/>
        </w:rPr>
        <w:t xml:space="preserve">ate the appellant’s nationality </w:t>
      </w:r>
      <w:r w:rsidR="00472BD4">
        <w:rPr>
          <w:rFonts w:ascii="Book Antiqua" w:hAnsi="Book Antiqua"/>
        </w:rPr>
        <w:t xml:space="preserve">as well as his dates of birth and baptism.  Ms Loughran submitted that it </w:t>
      </w:r>
      <w:r w:rsidR="006772E8">
        <w:rPr>
          <w:rFonts w:ascii="Book Antiqua" w:hAnsi="Book Antiqua"/>
        </w:rPr>
        <w:t>went to support</w:t>
      </w:r>
      <w:r w:rsidR="00472BD4">
        <w:rPr>
          <w:rFonts w:ascii="Book Antiqua" w:hAnsi="Book Antiqua"/>
        </w:rPr>
        <w:t xml:space="preserve"> his </w:t>
      </w:r>
      <w:r w:rsidR="006772E8">
        <w:rPr>
          <w:rFonts w:ascii="Book Antiqua" w:hAnsi="Book Antiqua"/>
        </w:rPr>
        <w:t xml:space="preserve">claimed </w:t>
      </w:r>
      <w:r w:rsidR="00472BD4">
        <w:rPr>
          <w:rFonts w:ascii="Book Antiqua" w:hAnsi="Book Antiqua"/>
        </w:rPr>
        <w:t>nationality</w:t>
      </w:r>
      <w:r w:rsidR="00A06739">
        <w:rPr>
          <w:rFonts w:ascii="Book Antiqua" w:hAnsi="Book Antiqua"/>
        </w:rPr>
        <w:t>, a</w:t>
      </w:r>
      <w:r w:rsidR="006772E8">
        <w:rPr>
          <w:rFonts w:ascii="Book Antiqua" w:hAnsi="Book Antiqua"/>
        </w:rPr>
        <w:t>nd should have been given weight</w:t>
      </w:r>
      <w:r w:rsidR="002D6114">
        <w:rPr>
          <w:rFonts w:ascii="Book Antiqua" w:hAnsi="Book Antiqua"/>
        </w:rPr>
        <w:t xml:space="preserve"> </w:t>
      </w:r>
      <w:r w:rsidR="006772E8">
        <w:rPr>
          <w:rFonts w:ascii="Book Antiqua" w:hAnsi="Book Antiqua"/>
        </w:rPr>
        <w:t>as such</w:t>
      </w:r>
      <w:r w:rsidR="00A06739">
        <w:rPr>
          <w:rFonts w:ascii="Book Antiqua" w:hAnsi="Book Antiqua"/>
        </w:rPr>
        <w:t>.</w:t>
      </w:r>
    </w:p>
    <w:p w:rsidR="0026505E" w:rsidRDefault="00540C30" w:rsidP="006F2D6F">
      <w:pPr>
        <w:numPr>
          <w:ilvl w:val="0"/>
          <w:numId w:val="2"/>
        </w:numPr>
        <w:spacing w:before="240"/>
        <w:jc w:val="both"/>
        <w:rPr>
          <w:rFonts w:ascii="Book Antiqua" w:hAnsi="Book Antiqua"/>
        </w:rPr>
      </w:pPr>
      <w:r>
        <w:rPr>
          <w:rFonts w:ascii="Book Antiqua" w:hAnsi="Book Antiqua"/>
        </w:rPr>
        <w:t>The judge refers to the document</w:t>
      </w:r>
      <w:r w:rsidR="00FD38C0">
        <w:rPr>
          <w:rFonts w:ascii="Book Antiqua" w:hAnsi="Book Antiqua"/>
        </w:rPr>
        <w:t xml:space="preserve"> as</w:t>
      </w:r>
      <w:r w:rsidR="00E65877">
        <w:rPr>
          <w:rFonts w:ascii="Book Antiqua" w:hAnsi="Book Antiqua"/>
        </w:rPr>
        <w:t xml:space="preserve"> “a church birth certificate”</w:t>
      </w:r>
      <w:r>
        <w:rPr>
          <w:rFonts w:ascii="Book Antiqua" w:hAnsi="Book Antiqua"/>
        </w:rPr>
        <w:t>.  He</w:t>
      </w:r>
      <w:r w:rsidR="00E65877">
        <w:rPr>
          <w:rFonts w:ascii="Book Antiqua" w:hAnsi="Book Antiqua"/>
        </w:rPr>
        <w:t xml:space="preserve"> note</w:t>
      </w:r>
      <w:r w:rsidR="009F2243">
        <w:rPr>
          <w:rFonts w:ascii="Book Antiqua" w:hAnsi="Book Antiqua"/>
        </w:rPr>
        <w:t>s</w:t>
      </w:r>
      <w:r w:rsidR="00E65877">
        <w:rPr>
          <w:rFonts w:ascii="Book Antiqua" w:hAnsi="Book Antiqua"/>
        </w:rPr>
        <w:t xml:space="preserve"> </w:t>
      </w:r>
      <w:r w:rsidR="00E64938">
        <w:rPr>
          <w:rFonts w:ascii="Book Antiqua" w:hAnsi="Book Antiqua"/>
        </w:rPr>
        <w:t xml:space="preserve">that </w:t>
      </w:r>
      <w:r w:rsidR="00E65877">
        <w:rPr>
          <w:rFonts w:ascii="Book Antiqua" w:hAnsi="Book Antiqua"/>
        </w:rPr>
        <w:t>it is</w:t>
      </w:r>
      <w:r w:rsidR="00E64938">
        <w:rPr>
          <w:rFonts w:ascii="Book Antiqua" w:hAnsi="Book Antiqua"/>
        </w:rPr>
        <w:t xml:space="preserve"> </w:t>
      </w:r>
      <w:r w:rsidR="00DD2805">
        <w:rPr>
          <w:rFonts w:ascii="Book Antiqua" w:hAnsi="Book Antiqua"/>
        </w:rPr>
        <w:t>only a cop</w:t>
      </w:r>
      <w:r w:rsidR="00E64938">
        <w:rPr>
          <w:rFonts w:ascii="Book Antiqua" w:hAnsi="Book Antiqua"/>
        </w:rPr>
        <w:t>y; that it emanates</w:t>
      </w:r>
      <w:r w:rsidR="00E65877">
        <w:rPr>
          <w:rFonts w:ascii="Book Antiqua" w:hAnsi="Book Antiqua"/>
        </w:rPr>
        <w:t xml:space="preserve"> not from the s</w:t>
      </w:r>
      <w:r w:rsidR="00E64938">
        <w:rPr>
          <w:rFonts w:ascii="Book Antiqua" w:hAnsi="Book Antiqua"/>
        </w:rPr>
        <w:t>t</w:t>
      </w:r>
      <w:r w:rsidR="00E65877">
        <w:rPr>
          <w:rFonts w:ascii="Book Antiqua" w:hAnsi="Book Antiqua"/>
        </w:rPr>
        <w:t>ate</w:t>
      </w:r>
      <w:r w:rsidR="00F06952">
        <w:rPr>
          <w:rFonts w:ascii="Book Antiqua" w:hAnsi="Book Antiqua"/>
        </w:rPr>
        <w:t xml:space="preserve"> but from a church</w:t>
      </w:r>
      <w:r w:rsidR="00E64938">
        <w:rPr>
          <w:rFonts w:ascii="Book Antiqua" w:hAnsi="Book Antiqua"/>
        </w:rPr>
        <w:t>;</w:t>
      </w:r>
      <w:r w:rsidR="00F06952">
        <w:rPr>
          <w:rFonts w:ascii="Book Antiqua" w:hAnsi="Book Antiqua"/>
        </w:rPr>
        <w:t xml:space="preserve"> that it </w:t>
      </w:r>
      <w:r w:rsidR="00E64938">
        <w:rPr>
          <w:rFonts w:ascii="Book Antiqua" w:hAnsi="Book Antiqua"/>
        </w:rPr>
        <w:t>wa</w:t>
      </w:r>
      <w:r w:rsidR="00F06952">
        <w:rPr>
          <w:rFonts w:ascii="Book Antiqua" w:hAnsi="Book Antiqua"/>
        </w:rPr>
        <w:t xml:space="preserve">s issued 15 years </w:t>
      </w:r>
      <w:r w:rsidR="00E64938">
        <w:rPr>
          <w:rFonts w:ascii="Book Antiqua" w:hAnsi="Book Antiqua"/>
        </w:rPr>
        <w:t xml:space="preserve">after </w:t>
      </w:r>
      <w:r w:rsidR="00CF37F8">
        <w:rPr>
          <w:rFonts w:ascii="Book Antiqua" w:hAnsi="Book Antiqua"/>
        </w:rPr>
        <w:t>the purported dates of birth and baptism;</w:t>
      </w:r>
      <w:r w:rsidR="00F06952">
        <w:rPr>
          <w:rFonts w:ascii="Book Antiqua" w:hAnsi="Book Antiqua"/>
        </w:rPr>
        <w:t xml:space="preserve"> </w:t>
      </w:r>
      <w:r w:rsidR="009F2243">
        <w:rPr>
          <w:rFonts w:ascii="Book Antiqua" w:hAnsi="Book Antiqua"/>
        </w:rPr>
        <w:t xml:space="preserve">and </w:t>
      </w:r>
      <w:r w:rsidR="00F06952">
        <w:rPr>
          <w:rFonts w:ascii="Book Antiqua" w:hAnsi="Book Antiqua"/>
        </w:rPr>
        <w:t>th</w:t>
      </w:r>
      <w:r w:rsidR="00CF37F8">
        <w:rPr>
          <w:rFonts w:ascii="Book Antiqua" w:hAnsi="Book Antiqua"/>
        </w:rPr>
        <w:t>at</w:t>
      </w:r>
      <w:r w:rsidR="00F06952">
        <w:rPr>
          <w:rFonts w:ascii="Book Antiqua" w:hAnsi="Book Antiqua"/>
        </w:rPr>
        <w:t xml:space="preserve"> information </w:t>
      </w:r>
      <w:r w:rsidR="00CF37F8">
        <w:rPr>
          <w:rFonts w:ascii="Book Antiqua" w:hAnsi="Book Antiqua"/>
        </w:rPr>
        <w:t xml:space="preserve">was lacking </w:t>
      </w:r>
      <w:r w:rsidR="00F06952">
        <w:rPr>
          <w:rFonts w:ascii="Book Antiqua" w:hAnsi="Book Antiqua"/>
        </w:rPr>
        <w:t>on whether it was possible to contact the church authorities to confirm their records</w:t>
      </w:r>
      <w:r w:rsidR="000E7C7F">
        <w:rPr>
          <w:rFonts w:ascii="Book Antiqua" w:hAnsi="Book Antiqua"/>
        </w:rPr>
        <w:t xml:space="preserve">.  He </w:t>
      </w:r>
      <w:r w:rsidR="00DD2805">
        <w:rPr>
          <w:rFonts w:ascii="Book Antiqua" w:hAnsi="Book Antiqua"/>
        </w:rPr>
        <w:t>declined to accept the</w:t>
      </w:r>
      <w:r w:rsidR="00B1275E">
        <w:rPr>
          <w:rFonts w:ascii="Book Antiqua" w:hAnsi="Book Antiqua"/>
        </w:rPr>
        <w:t xml:space="preserve"> </w:t>
      </w:r>
      <w:r w:rsidR="000E7C7F">
        <w:rPr>
          <w:rFonts w:ascii="Book Antiqua" w:hAnsi="Book Antiqua"/>
        </w:rPr>
        <w:t xml:space="preserve">appellant’s </w:t>
      </w:r>
      <w:r w:rsidR="00B1275E">
        <w:rPr>
          <w:rFonts w:ascii="Book Antiqua" w:hAnsi="Book Antiqua"/>
        </w:rPr>
        <w:t xml:space="preserve">account of how </w:t>
      </w:r>
      <w:r w:rsidR="009F2243">
        <w:rPr>
          <w:rFonts w:ascii="Book Antiqua" w:hAnsi="Book Antiqua"/>
        </w:rPr>
        <w:t>this</w:t>
      </w:r>
      <w:r w:rsidR="00682174">
        <w:rPr>
          <w:rFonts w:ascii="Book Antiqua" w:hAnsi="Book Antiqua"/>
        </w:rPr>
        <w:t xml:space="preserve"> copy</w:t>
      </w:r>
      <w:r w:rsidR="00B1275E">
        <w:rPr>
          <w:rFonts w:ascii="Book Antiqua" w:hAnsi="Book Antiqua"/>
        </w:rPr>
        <w:t xml:space="preserve"> came to be preserved</w:t>
      </w:r>
      <w:r w:rsidR="00682174">
        <w:rPr>
          <w:rFonts w:ascii="Book Antiqua" w:hAnsi="Book Antiqua"/>
        </w:rPr>
        <w:t xml:space="preserve"> when other documents were not</w:t>
      </w:r>
      <w:r w:rsidR="000E7C7F">
        <w:rPr>
          <w:rFonts w:ascii="Book Antiqua" w:hAnsi="Book Antiqua"/>
        </w:rPr>
        <w:t>.</w:t>
      </w:r>
      <w:r w:rsidR="007401EC">
        <w:rPr>
          <w:rFonts w:ascii="Book Antiqua" w:hAnsi="Book Antiqua"/>
        </w:rPr>
        <w:t xml:space="preserve">  </w:t>
      </w:r>
      <w:r w:rsidR="006F2D6F">
        <w:rPr>
          <w:rFonts w:ascii="Book Antiqua" w:hAnsi="Book Antiqua"/>
        </w:rPr>
        <w:t>He then</w:t>
      </w:r>
      <w:r w:rsidR="007401EC">
        <w:rPr>
          <w:rFonts w:ascii="Book Antiqua" w:hAnsi="Book Antiqua"/>
        </w:rPr>
        <w:t xml:space="preserve"> decided to give the document little weight.  That has not been shown to fall outside his lawful and rational scope.</w:t>
      </w:r>
    </w:p>
    <w:p w:rsidR="007E41AC" w:rsidRDefault="00627694" w:rsidP="00532DD2">
      <w:pPr>
        <w:numPr>
          <w:ilvl w:val="0"/>
          <w:numId w:val="2"/>
        </w:numPr>
        <w:spacing w:before="240"/>
        <w:jc w:val="both"/>
        <w:rPr>
          <w:rFonts w:ascii="Book Antiqua" w:hAnsi="Book Antiqua"/>
        </w:rPr>
      </w:pPr>
      <w:r>
        <w:rPr>
          <w:rFonts w:ascii="Book Antiqua" w:hAnsi="Book Antiqua"/>
        </w:rPr>
        <w:t xml:space="preserve">The slip in </w:t>
      </w:r>
      <w:r w:rsidR="007401EC">
        <w:rPr>
          <w:rFonts w:ascii="Book Antiqua" w:hAnsi="Book Antiqua"/>
        </w:rPr>
        <w:t>description</w:t>
      </w:r>
      <w:r w:rsidR="00B726C1">
        <w:rPr>
          <w:rFonts w:ascii="Book Antiqua" w:hAnsi="Book Antiqua"/>
        </w:rPr>
        <w:t xml:space="preserve"> of the document </w:t>
      </w:r>
      <w:r w:rsidR="007401EC">
        <w:rPr>
          <w:rFonts w:ascii="Book Antiqua" w:hAnsi="Book Antiqua"/>
        </w:rPr>
        <w:t>(</w:t>
      </w:r>
      <w:r>
        <w:rPr>
          <w:rFonts w:ascii="Book Antiqua" w:hAnsi="Book Antiqua"/>
        </w:rPr>
        <w:t>if it can even properly be descri</w:t>
      </w:r>
      <w:r w:rsidR="007401EC">
        <w:rPr>
          <w:rFonts w:ascii="Book Antiqua" w:hAnsi="Book Antiqua"/>
        </w:rPr>
        <w:t>b</w:t>
      </w:r>
      <w:r>
        <w:rPr>
          <w:rFonts w:ascii="Book Antiqua" w:hAnsi="Book Antiqua"/>
        </w:rPr>
        <w:t>ed as one</w:t>
      </w:r>
      <w:r w:rsidR="007401EC">
        <w:rPr>
          <w:rFonts w:ascii="Book Antiqua" w:hAnsi="Book Antiqua"/>
        </w:rPr>
        <w:t>)</w:t>
      </w:r>
      <w:r>
        <w:rPr>
          <w:rFonts w:ascii="Book Antiqua" w:hAnsi="Book Antiqua"/>
        </w:rPr>
        <w:t xml:space="preserve"> is plainly immaterial</w:t>
      </w:r>
      <w:r w:rsidR="007401EC">
        <w:rPr>
          <w:rFonts w:ascii="Book Antiqua" w:hAnsi="Book Antiqua"/>
        </w:rPr>
        <w:t xml:space="preserve">. </w:t>
      </w:r>
      <w:r>
        <w:rPr>
          <w:rFonts w:ascii="Book Antiqua" w:hAnsi="Book Antiqua"/>
        </w:rPr>
        <w:t xml:space="preserve"> </w:t>
      </w:r>
      <w:r w:rsidR="007E41AC">
        <w:rPr>
          <w:rFonts w:ascii="Book Antiqua" w:hAnsi="Book Antiqua"/>
        </w:rPr>
        <w:t xml:space="preserve">I prefer the submission by Mr Mullen that ground (iv) amounts only to dressing up disagreement on the facts.  </w:t>
      </w:r>
    </w:p>
    <w:p w:rsidR="002F10F1" w:rsidRDefault="00EA6370" w:rsidP="00AE052F">
      <w:pPr>
        <w:numPr>
          <w:ilvl w:val="0"/>
          <w:numId w:val="2"/>
        </w:numPr>
        <w:spacing w:before="240"/>
        <w:jc w:val="both"/>
        <w:rPr>
          <w:rFonts w:ascii="Book Antiqua" w:hAnsi="Book Antiqua"/>
        </w:rPr>
      </w:pPr>
      <w:r>
        <w:rPr>
          <w:rFonts w:ascii="Book Antiqua" w:hAnsi="Book Antiqua"/>
        </w:rPr>
        <w:t xml:space="preserve">On ground </w:t>
      </w:r>
      <w:r w:rsidR="00AE052F">
        <w:rPr>
          <w:rFonts w:ascii="Book Antiqua" w:hAnsi="Book Antiqua"/>
        </w:rPr>
        <w:t>(vi)</w:t>
      </w:r>
      <w:r>
        <w:rPr>
          <w:rFonts w:ascii="Book Antiqua" w:hAnsi="Book Antiqua"/>
        </w:rPr>
        <w:t>,</w:t>
      </w:r>
      <w:r w:rsidR="00AE052F">
        <w:rPr>
          <w:rFonts w:ascii="Book Antiqua" w:hAnsi="Book Antiqua"/>
        </w:rPr>
        <w:t xml:space="preserve"> Ms Loughran referred to the appellant’s witness statement.</w:t>
      </w:r>
    </w:p>
    <w:p w:rsidR="00AE052F" w:rsidRDefault="002F10F1" w:rsidP="00AE052F">
      <w:pPr>
        <w:numPr>
          <w:ilvl w:val="0"/>
          <w:numId w:val="2"/>
        </w:numPr>
        <w:spacing w:before="240"/>
        <w:jc w:val="both"/>
        <w:rPr>
          <w:rFonts w:ascii="Book Antiqua" w:hAnsi="Book Antiqua"/>
        </w:rPr>
      </w:pPr>
      <w:r>
        <w:rPr>
          <w:rFonts w:ascii="Book Antiqua" w:hAnsi="Book Antiqua"/>
        </w:rPr>
        <w:t>T</w:t>
      </w:r>
      <w:r w:rsidR="00EA6370">
        <w:rPr>
          <w:rFonts w:ascii="Book Antiqua" w:hAnsi="Book Antiqua"/>
        </w:rPr>
        <w:t xml:space="preserve">his ground is only </w:t>
      </w:r>
      <w:r w:rsidR="00AE052F">
        <w:rPr>
          <w:rFonts w:ascii="Book Antiqua" w:hAnsi="Book Antiqua"/>
        </w:rPr>
        <w:t>further insi</w:t>
      </w:r>
      <w:r w:rsidR="00EA6370">
        <w:rPr>
          <w:rFonts w:ascii="Book Antiqua" w:hAnsi="Book Antiqua"/>
        </w:rPr>
        <w:t>s</w:t>
      </w:r>
      <w:r w:rsidR="00AE052F">
        <w:rPr>
          <w:rFonts w:ascii="Book Antiqua" w:hAnsi="Book Antiqua"/>
        </w:rPr>
        <w:t>te</w:t>
      </w:r>
      <w:r w:rsidR="00EA6370">
        <w:rPr>
          <w:rFonts w:ascii="Book Antiqua" w:hAnsi="Book Antiqua"/>
        </w:rPr>
        <w:t xml:space="preserve">nce </w:t>
      </w:r>
      <w:r w:rsidR="00AE052F">
        <w:rPr>
          <w:rFonts w:ascii="Book Antiqua" w:hAnsi="Book Antiqua"/>
        </w:rPr>
        <w:t xml:space="preserve">that the facts should have been found not as the judge </w:t>
      </w:r>
      <w:r w:rsidR="00EA6370">
        <w:rPr>
          <w:rFonts w:ascii="Book Antiqua" w:hAnsi="Book Antiqua"/>
        </w:rPr>
        <w:t>hel</w:t>
      </w:r>
      <w:r w:rsidR="00AE052F">
        <w:rPr>
          <w:rFonts w:ascii="Book Antiqua" w:hAnsi="Book Antiqua"/>
        </w:rPr>
        <w:t>d</w:t>
      </w:r>
      <w:r w:rsidR="00EA6370">
        <w:rPr>
          <w:rFonts w:ascii="Book Antiqua" w:hAnsi="Book Antiqua"/>
        </w:rPr>
        <w:t>,</w:t>
      </w:r>
      <w:r w:rsidR="00AE052F">
        <w:rPr>
          <w:rFonts w:ascii="Book Antiqua" w:hAnsi="Book Antiqua"/>
        </w:rPr>
        <w:t xml:space="preserve"> but as the appellant wished them to be</w:t>
      </w:r>
      <w:r w:rsidR="00EA6370">
        <w:rPr>
          <w:rFonts w:ascii="Book Antiqua" w:hAnsi="Book Antiqua"/>
        </w:rPr>
        <w:t>.</w:t>
      </w:r>
    </w:p>
    <w:p w:rsidR="00AE052F" w:rsidRDefault="00AE052F" w:rsidP="00AE052F">
      <w:pPr>
        <w:numPr>
          <w:ilvl w:val="0"/>
          <w:numId w:val="2"/>
        </w:numPr>
        <w:spacing w:before="240"/>
        <w:jc w:val="both"/>
        <w:rPr>
          <w:rFonts w:ascii="Book Antiqua" w:hAnsi="Book Antiqua"/>
        </w:rPr>
      </w:pPr>
      <w:r>
        <w:rPr>
          <w:rFonts w:ascii="Book Antiqua" w:hAnsi="Book Antiqua"/>
        </w:rPr>
        <w:t>Ms Loughran acc</w:t>
      </w:r>
      <w:r w:rsidR="00EA6370">
        <w:rPr>
          <w:rFonts w:ascii="Book Antiqua" w:hAnsi="Book Antiqua"/>
        </w:rPr>
        <w:t>epted that ground (vii)</w:t>
      </w:r>
      <w:r>
        <w:rPr>
          <w:rFonts w:ascii="Book Antiqua" w:hAnsi="Book Antiqua"/>
        </w:rPr>
        <w:t xml:space="preserve"> does not arise unless on proof of Eritrean nationality.  In any event, </w:t>
      </w:r>
      <w:r w:rsidR="002B29FA">
        <w:rPr>
          <w:rFonts w:ascii="Book Antiqua" w:hAnsi="Book Antiqua"/>
        </w:rPr>
        <w:t xml:space="preserve">rather than failing to deal with it, </w:t>
      </w:r>
      <w:r>
        <w:rPr>
          <w:rFonts w:ascii="Book Antiqua" w:hAnsi="Book Antiqua"/>
        </w:rPr>
        <w:t xml:space="preserve">the </w:t>
      </w:r>
      <w:r w:rsidR="002B29FA">
        <w:rPr>
          <w:rFonts w:ascii="Book Antiqua" w:hAnsi="Book Antiqua"/>
        </w:rPr>
        <w:t xml:space="preserve">judge at paragraph 30 </w:t>
      </w:r>
      <w:r>
        <w:rPr>
          <w:rFonts w:ascii="Book Antiqua" w:hAnsi="Book Antiqua"/>
        </w:rPr>
        <w:t xml:space="preserve">explicitly </w:t>
      </w:r>
      <w:r w:rsidR="007E6F72">
        <w:rPr>
          <w:rFonts w:ascii="Book Antiqua" w:hAnsi="Book Antiqua"/>
        </w:rPr>
        <w:t xml:space="preserve">accepted </w:t>
      </w:r>
      <w:r w:rsidR="002B29FA">
        <w:rPr>
          <w:rFonts w:ascii="Book Antiqua" w:hAnsi="Book Antiqua"/>
        </w:rPr>
        <w:t>the point made in this ground</w:t>
      </w:r>
      <w:r>
        <w:rPr>
          <w:rFonts w:ascii="Book Antiqua" w:hAnsi="Book Antiqua"/>
        </w:rPr>
        <w:t>.</w:t>
      </w:r>
    </w:p>
    <w:p w:rsidR="00FD285F" w:rsidRDefault="0026505E" w:rsidP="00532DD2">
      <w:pPr>
        <w:numPr>
          <w:ilvl w:val="0"/>
          <w:numId w:val="2"/>
        </w:numPr>
        <w:spacing w:before="240"/>
        <w:jc w:val="both"/>
        <w:rPr>
          <w:rFonts w:ascii="Book Antiqua" w:hAnsi="Book Antiqua"/>
        </w:rPr>
      </w:pPr>
      <w:r>
        <w:rPr>
          <w:rFonts w:ascii="Book Antiqua" w:hAnsi="Book Antiqua"/>
        </w:rPr>
        <w:lastRenderedPageBreak/>
        <w:t>Looking at the slip over paragraph 16 of the refusal letter in context of the whole decision, it is immaterial.</w:t>
      </w:r>
    </w:p>
    <w:p w:rsidR="00CD3461" w:rsidRDefault="00FD285F" w:rsidP="00532DD2">
      <w:pPr>
        <w:numPr>
          <w:ilvl w:val="0"/>
          <w:numId w:val="2"/>
        </w:numPr>
        <w:spacing w:before="240"/>
        <w:jc w:val="both"/>
        <w:rPr>
          <w:rFonts w:ascii="Book Antiqua" w:hAnsi="Book Antiqua"/>
        </w:rPr>
      </w:pPr>
      <w:r>
        <w:rPr>
          <w:rFonts w:ascii="Book Antiqua" w:hAnsi="Book Antiqua"/>
        </w:rPr>
        <w:t>Separately and together, the grounds do not amount to more than insistence and disagreement on the facts</w:t>
      </w:r>
      <w:r w:rsidR="002F10F1">
        <w:rPr>
          <w:rFonts w:ascii="Book Antiqua" w:hAnsi="Book Antiqua"/>
        </w:rPr>
        <w:t xml:space="preserve">, and they do not fairly represent the reasoning in the decision as a whole.  </w:t>
      </w:r>
      <w:r>
        <w:rPr>
          <w:rFonts w:ascii="Book Antiqua" w:hAnsi="Book Antiqua"/>
        </w:rPr>
        <w:t>They do not show that the making of the decision involved the making of any error on a point of law, such that it ought to be set aside</w:t>
      </w:r>
      <w:r w:rsidR="00CE129F">
        <w:rPr>
          <w:rFonts w:ascii="Book Antiqua" w:hAnsi="Book Antiqua"/>
        </w:rPr>
        <w:t>.</w:t>
      </w:r>
      <w:r>
        <w:rPr>
          <w:rFonts w:ascii="Book Antiqua" w:hAnsi="Book Antiqua"/>
        </w:rPr>
        <w:t xml:space="preserve"> </w:t>
      </w:r>
      <w:r w:rsidR="00DD2805">
        <w:rPr>
          <w:rFonts w:ascii="Book Antiqua" w:hAnsi="Book Antiqua"/>
        </w:rPr>
        <w:t xml:space="preserve"> </w:t>
      </w:r>
      <w:r w:rsidR="002D6CFC">
        <w:rPr>
          <w:rFonts w:ascii="Book Antiqua" w:hAnsi="Book Antiqua"/>
        </w:rPr>
        <w:t xml:space="preserve"> </w:t>
      </w:r>
      <w:r w:rsidR="00787D86">
        <w:rPr>
          <w:rFonts w:ascii="Book Antiqua" w:hAnsi="Book Antiqua"/>
        </w:rPr>
        <w:t xml:space="preserve"> </w:t>
      </w:r>
      <w:r w:rsidR="00583994">
        <w:rPr>
          <w:rFonts w:ascii="Book Antiqua" w:hAnsi="Book Antiqua"/>
        </w:rPr>
        <w:t xml:space="preserve">  </w:t>
      </w:r>
      <w:r w:rsidR="005275CF">
        <w:rPr>
          <w:rFonts w:ascii="Book Antiqua" w:hAnsi="Book Antiqua"/>
        </w:rPr>
        <w:t xml:space="preserve"> </w:t>
      </w:r>
      <w:r w:rsidR="009F0F3D">
        <w:rPr>
          <w:rFonts w:ascii="Book Antiqua" w:hAnsi="Book Antiqua"/>
        </w:rPr>
        <w:t xml:space="preserve">  </w:t>
      </w:r>
      <w:r w:rsidR="00CD3461">
        <w:rPr>
          <w:rFonts w:ascii="Book Antiqua" w:hAnsi="Book Antiqua"/>
        </w:rPr>
        <w:t xml:space="preserve"> </w:t>
      </w:r>
    </w:p>
    <w:p w:rsidR="00321C6F" w:rsidRPr="00321C6F" w:rsidRDefault="00321C6F" w:rsidP="00007BAC">
      <w:pPr>
        <w:numPr>
          <w:ilvl w:val="0"/>
          <w:numId w:val="2"/>
        </w:numPr>
        <w:spacing w:before="240"/>
        <w:jc w:val="both"/>
        <w:rPr>
          <w:rFonts w:ascii="Book Antiqua" w:hAnsi="Book Antiqua"/>
        </w:rPr>
      </w:pPr>
      <w:r>
        <w:rPr>
          <w:rFonts w:ascii="Book Antiqua" w:hAnsi="Book Antiqua" w:cs="Arial"/>
        </w:rPr>
        <w:t xml:space="preserve">The </w:t>
      </w:r>
      <w:r w:rsidR="008A64A7">
        <w:rPr>
          <w:rFonts w:ascii="Book Antiqua" w:hAnsi="Book Antiqua" w:cs="Arial"/>
        </w:rPr>
        <w:t>de</w:t>
      </w:r>
      <w:r w:rsidR="00DA3D04">
        <w:rPr>
          <w:rFonts w:ascii="Book Antiqua" w:hAnsi="Book Antiqua" w:cs="Arial"/>
        </w:rPr>
        <w:t>cision</w:t>
      </w:r>
      <w:r w:rsidR="008A64A7">
        <w:rPr>
          <w:rFonts w:ascii="Book Antiqua" w:hAnsi="Book Antiqua" w:cs="Arial"/>
        </w:rPr>
        <w:t xml:space="preserve"> </w:t>
      </w:r>
      <w:r>
        <w:rPr>
          <w:rFonts w:ascii="Book Antiqua" w:hAnsi="Book Antiqua" w:cs="Arial"/>
        </w:rPr>
        <w:t xml:space="preserve">of the First-tier Tribunal </w:t>
      </w:r>
      <w:r w:rsidR="008A64A7">
        <w:rPr>
          <w:rFonts w:ascii="Book Antiqua" w:hAnsi="Book Antiqua" w:cs="Arial"/>
        </w:rPr>
        <w:t>shall stand</w:t>
      </w:r>
      <w:r>
        <w:rPr>
          <w:rFonts w:ascii="Book Antiqua" w:hAnsi="Book Antiqua" w:cs="Arial"/>
        </w:rPr>
        <w:t>.</w:t>
      </w:r>
    </w:p>
    <w:p w:rsidR="00321C6F" w:rsidRPr="00A56832" w:rsidRDefault="00896C6F" w:rsidP="00896C6F">
      <w:pPr>
        <w:numPr>
          <w:ilvl w:val="0"/>
          <w:numId w:val="2"/>
        </w:numPr>
        <w:spacing w:before="240"/>
        <w:jc w:val="both"/>
        <w:rPr>
          <w:rFonts w:ascii="Book Antiqua" w:hAnsi="Book Antiqua" w:cs="Arial"/>
        </w:rPr>
      </w:pPr>
      <w:r>
        <w:rPr>
          <w:rFonts w:ascii="Book Antiqua" w:hAnsi="Book Antiqua" w:cs="Arial"/>
        </w:rPr>
        <w:t>The</w:t>
      </w:r>
      <w:r w:rsidR="00321C6F">
        <w:rPr>
          <w:rFonts w:ascii="Book Antiqua" w:hAnsi="Book Antiqua"/>
        </w:rPr>
        <w:t xml:space="preserve"> anonymity direction </w:t>
      </w:r>
      <w:r>
        <w:rPr>
          <w:rFonts w:ascii="Book Antiqua" w:hAnsi="Book Antiqua"/>
        </w:rPr>
        <w:t>made by the FtT is maintained herein</w:t>
      </w:r>
      <w:r w:rsidR="00321C6F">
        <w:rPr>
          <w:rFonts w:ascii="Book Antiqua" w:hAnsi="Book Antiqua"/>
        </w:rPr>
        <w:t>.</w:t>
      </w: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r>
        <w:rPr>
          <w:sz w:val="22"/>
          <w:szCs w:val="22"/>
        </w:rPr>
        <w:tab/>
      </w:r>
      <w:r>
        <w:rPr>
          <w:sz w:val="22"/>
          <w:szCs w:val="22"/>
        </w:rPr>
        <w:tab/>
      </w:r>
      <w:r w:rsidR="00FE0046" w:rsidRPr="009445D2">
        <w:rPr>
          <w:noProof/>
          <w:sz w:val="22"/>
          <w:szCs w:val="22"/>
        </w:rPr>
        <w:drawing>
          <wp:inline distT="0" distB="0" distL="0" distR="0" wp14:anchorId="334D9F4B" wp14:editId="334D9F4C">
            <wp:extent cx="1533525"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inline>
        </w:drawing>
      </w: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r>
        <w:rPr>
          <w:rFonts w:ascii="Book Antiqua" w:hAnsi="Book Antiqua" w:cs="Arial"/>
        </w:rPr>
        <w:tab/>
      </w:r>
      <w:r>
        <w:rPr>
          <w:rFonts w:ascii="Book Antiqua" w:hAnsi="Book Antiqua" w:cs="Arial"/>
        </w:rPr>
        <w:tab/>
      </w:r>
      <w:r w:rsidR="002B29FA">
        <w:rPr>
          <w:rFonts w:ascii="Book Antiqua" w:hAnsi="Book Antiqua" w:cs="Arial"/>
        </w:rPr>
        <w:t>6</w:t>
      </w:r>
      <w:r w:rsidR="00896C6F">
        <w:rPr>
          <w:rFonts w:ascii="Book Antiqua" w:hAnsi="Book Antiqua" w:cs="Arial"/>
        </w:rPr>
        <w:t xml:space="preserve"> July </w:t>
      </w:r>
      <w:r w:rsidR="000B442A">
        <w:rPr>
          <w:rFonts w:ascii="Book Antiqua" w:hAnsi="Book Antiqua" w:cs="Arial"/>
        </w:rPr>
        <w:t>20</w:t>
      </w:r>
      <w:r w:rsidR="00A810D2">
        <w:rPr>
          <w:rFonts w:ascii="Book Antiqua" w:hAnsi="Book Antiqua" w:cs="Arial"/>
        </w:rPr>
        <w:t>1</w:t>
      </w:r>
      <w:r w:rsidR="00B170ED">
        <w:rPr>
          <w:rFonts w:ascii="Book Antiqua" w:hAnsi="Book Antiqua" w:cs="Arial"/>
        </w:rPr>
        <w:t>8</w:t>
      </w:r>
      <w:r>
        <w:rPr>
          <w:rFonts w:ascii="Book Antiqua" w:hAnsi="Book Antiqua" w:cs="Arial"/>
        </w:rPr>
        <w:t xml:space="preserve"> </w:t>
      </w:r>
    </w:p>
    <w:p w:rsidR="00321C6F" w:rsidRDefault="00321C6F" w:rsidP="00321C6F">
      <w:pPr>
        <w:jc w:val="both"/>
        <w:rPr>
          <w:rFonts w:ascii="Book Antiqua" w:hAnsi="Book Antiqua" w:cs="Arial"/>
        </w:rPr>
      </w:pPr>
      <w:r>
        <w:rPr>
          <w:rFonts w:ascii="Book Antiqua" w:hAnsi="Book Antiqua" w:cs="Arial"/>
        </w:rPr>
        <w:tab/>
      </w:r>
      <w:r>
        <w:rPr>
          <w:rFonts w:ascii="Book Antiqua" w:hAnsi="Book Antiqua" w:cs="Arial"/>
        </w:rPr>
        <w:tab/>
        <w:t>Upper Tribunal Judge Macleman</w:t>
      </w:r>
    </w:p>
    <w:p w:rsidR="00933B65" w:rsidRPr="00F97703" w:rsidRDefault="00933B65" w:rsidP="00933B65">
      <w:pPr>
        <w:tabs>
          <w:tab w:val="left" w:pos="2520"/>
        </w:tabs>
        <w:ind w:left="4508" w:hanging="539"/>
        <w:rPr>
          <w:rFonts w:ascii="Book Antiqua" w:hAnsi="Book Antiqua" w:cs="Arial"/>
          <w:color w:val="000000"/>
        </w:rPr>
      </w:pPr>
    </w:p>
    <w:p w:rsidR="00266FFE" w:rsidRDefault="00266FFE"/>
    <w:p w:rsidR="006D2D9A" w:rsidRDefault="006D2D9A"/>
    <w:sectPr w:rsidR="006D2D9A" w:rsidSect="00A0464F">
      <w:headerReference w:type="default" r:id="rId10"/>
      <w:footerReference w:type="default" r:id="rId11"/>
      <w:footerReference w:type="first" r:id="rId12"/>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F1B" w:rsidRDefault="005A0F1B">
      <w:r>
        <w:separator/>
      </w:r>
    </w:p>
  </w:endnote>
  <w:endnote w:type="continuationSeparator" w:id="0">
    <w:p w:rsidR="005A0F1B" w:rsidRDefault="005A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A0464F" w:rsidRDefault="008D4782" w:rsidP="00614E94">
    <w:pPr>
      <w:pStyle w:val="Footer"/>
      <w:jc w:val="center"/>
      <w:rPr>
        <w:rFonts w:ascii="Book Antiqua" w:hAnsi="Book Antiqua" w:cs="Arial"/>
      </w:rPr>
    </w:pPr>
    <w:r w:rsidRPr="00A0464F">
      <w:rPr>
        <w:rStyle w:val="PageNumber"/>
        <w:rFonts w:ascii="Book Antiqua" w:hAnsi="Book Antiqua" w:cs="Arial"/>
      </w:rPr>
      <w:fldChar w:fldCharType="begin"/>
    </w:r>
    <w:r w:rsidRPr="00A0464F">
      <w:rPr>
        <w:rStyle w:val="PageNumber"/>
        <w:rFonts w:ascii="Book Antiqua" w:hAnsi="Book Antiqua" w:cs="Arial"/>
      </w:rPr>
      <w:instrText xml:space="preserve"> PAGE </w:instrText>
    </w:r>
    <w:r w:rsidRPr="00A0464F">
      <w:rPr>
        <w:rStyle w:val="PageNumber"/>
        <w:rFonts w:ascii="Book Antiqua" w:hAnsi="Book Antiqua" w:cs="Arial"/>
      </w:rPr>
      <w:fldChar w:fldCharType="separate"/>
    </w:r>
    <w:r w:rsidR="004A644A">
      <w:rPr>
        <w:rStyle w:val="PageNumber"/>
        <w:rFonts w:ascii="Book Antiqua" w:hAnsi="Book Antiqua" w:cs="Arial"/>
        <w:noProof/>
      </w:rPr>
      <w:t>4</w:t>
    </w:r>
    <w:r w:rsidRPr="00A0464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A0464F" w:rsidRDefault="008D4782" w:rsidP="00614E94">
    <w:pPr>
      <w:jc w:val="center"/>
      <w:rPr>
        <w:rFonts w:ascii="Book Antiqua" w:hAnsi="Book Antiqua" w:cs="Arial"/>
        <w:b/>
      </w:rPr>
    </w:pPr>
    <w:r w:rsidRPr="00A0464F">
      <w:rPr>
        <w:rFonts w:ascii="Book Antiqua" w:hAnsi="Book Antiqua" w:cs="Arial"/>
        <w:b/>
        <w:spacing w:val="-6"/>
      </w:rPr>
      <w:t>©</w:t>
    </w:r>
    <w:r w:rsidRPr="00A0464F">
      <w:rPr>
        <w:rFonts w:ascii="Book Antiqua" w:hAnsi="Book Antiqua" w:cs="Arial"/>
        <w:b/>
      </w:rPr>
      <w:t xml:space="preserve"> CROWN COPYRIGHT</w:t>
    </w:r>
    <w:r w:rsidR="00431DA5" w:rsidRPr="00A0464F">
      <w:rPr>
        <w:rFonts w:ascii="Book Antiqua" w:hAnsi="Book Antiqua"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F1B" w:rsidRDefault="005A0F1B">
      <w:r>
        <w:separator/>
      </w:r>
    </w:p>
  </w:footnote>
  <w:footnote w:type="continuationSeparator" w:id="0">
    <w:p w:rsidR="005A0F1B" w:rsidRDefault="005A0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Default="008D4782" w:rsidP="00614E94">
    <w:pPr>
      <w:pStyle w:val="Header"/>
      <w:jc w:val="right"/>
      <w:rPr>
        <w:rFonts w:ascii="Book Antiqua" w:hAnsi="Book Antiqua" w:cs="Arial"/>
        <w:sz w:val="16"/>
        <w:szCs w:val="16"/>
      </w:rPr>
    </w:pPr>
    <w:r w:rsidRPr="00A0464F">
      <w:rPr>
        <w:rFonts w:ascii="Book Antiqua" w:hAnsi="Book Antiqua" w:cs="Arial"/>
        <w:sz w:val="16"/>
        <w:szCs w:val="16"/>
      </w:rPr>
      <w:t>Appeal Number:</w:t>
    </w:r>
    <w:r w:rsidR="00431DA5" w:rsidRPr="00A0464F">
      <w:rPr>
        <w:rFonts w:ascii="Book Antiqua" w:hAnsi="Book Antiqua"/>
      </w:rPr>
      <w:t xml:space="preserve"> </w:t>
    </w:r>
    <w:r w:rsidR="00431DA5" w:rsidRPr="00A0464F">
      <w:rPr>
        <w:rFonts w:ascii="Book Antiqua" w:hAnsi="Book Antiqua" w:cs="Arial"/>
        <w:sz w:val="16"/>
        <w:szCs w:val="16"/>
      </w:rPr>
      <w:t>AA/00743/2016</w:t>
    </w:r>
    <w:r w:rsidRPr="00A0464F">
      <w:rPr>
        <w:rFonts w:ascii="Book Antiqua" w:hAnsi="Book Antiqua" w:cs="Arial"/>
        <w:sz w:val="16"/>
        <w:szCs w:val="16"/>
      </w:rPr>
      <w:t xml:space="preserve"> </w:t>
    </w:r>
  </w:p>
  <w:p w:rsidR="00A0464F" w:rsidRPr="00A0464F" w:rsidRDefault="00A0464F"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B7A6771-DCA6-440B-B9CA-3DD51047FD21}"/>
    <w:docVar w:name="dgnword-eventsink" w:val="665872656"/>
  </w:docVars>
  <w:rsids>
    <w:rsidRoot w:val="00933B65"/>
    <w:rsid w:val="00005159"/>
    <w:rsid w:val="00007BAC"/>
    <w:rsid w:val="00050F40"/>
    <w:rsid w:val="000564B2"/>
    <w:rsid w:val="000777B7"/>
    <w:rsid w:val="00087C41"/>
    <w:rsid w:val="000B23B1"/>
    <w:rsid w:val="000B442A"/>
    <w:rsid w:val="000C7597"/>
    <w:rsid w:val="000E7C7F"/>
    <w:rsid w:val="00100AE8"/>
    <w:rsid w:val="00102245"/>
    <w:rsid w:val="001103E2"/>
    <w:rsid w:val="00117089"/>
    <w:rsid w:val="001432CC"/>
    <w:rsid w:val="0014664A"/>
    <w:rsid w:val="001649A2"/>
    <w:rsid w:val="00172233"/>
    <w:rsid w:val="00184269"/>
    <w:rsid w:val="00195D6D"/>
    <w:rsid w:val="001A18FD"/>
    <w:rsid w:val="001B3B38"/>
    <w:rsid w:val="001C6B9A"/>
    <w:rsid w:val="001D626E"/>
    <w:rsid w:val="001D6343"/>
    <w:rsid w:val="001E0145"/>
    <w:rsid w:val="001E0C2D"/>
    <w:rsid w:val="001F3A81"/>
    <w:rsid w:val="001F7407"/>
    <w:rsid w:val="00204974"/>
    <w:rsid w:val="002065B8"/>
    <w:rsid w:val="00211213"/>
    <w:rsid w:val="002135A6"/>
    <w:rsid w:val="002154EF"/>
    <w:rsid w:val="00224440"/>
    <w:rsid w:val="00226E4F"/>
    <w:rsid w:val="0026505E"/>
    <w:rsid w:val="00266FFE"/>
    <w:rsid w:val="00274F92"/>
    <w:rsid w:val="00290B05"/>
    <w:rsid w:val="002A0322"/>
    <w:rsid w:val="002A0E13"/>
    <w:rsid w:val="002B29FA"/>
    <w:rsid w:val="002C683E"/>
    <w:rsid w:val="002D333D"/>
    <w:rsid w:val="002D6114"/>
    <w:rsid w:val="002D6CFC"/>
    <w:rsid w:val="002F10F1"/>
    <w:rsid w:val="002F6831"/>
    <w:rsid w:val="002F6C59"/>
    <w:rsid w:val="00321C6F"/>
    <w:rsid w:val="003239D1"/>
    <w:rsid w:val="00323D59"/>
    <w:rsid w:val="00343A43"/>
    <w:rsid w:val="00346CB8"/>
    <w:rsid w:val="0036127F"/>
    <w:rsid w:val="003812EE"/>
    <w:rsid w:val="0039451B"/>
    <w:rsid w:val="003C1934"/>
    <w:rsid w:val="003D7D3D"/>
    <w:rsid w:val="003D7F34"/>
    <w:rsid w:val="003E115B"/>
    <w:rsid w:val="003E6445"/>
    <w:rsid w:val="00415CBE"/>
    <w:rsid w:val="004171D0"/>
    <w:rsid w:val="00431DA5"/>
    <w:rsid w:val="00434B8B"/>
    <w:rsid w:val="00441640"/>
    <w:rsid w:val="004541E5"/>
    <w:rsid w:val="0046122D"/>
    <w:rsid w:val="00470675"/>
    <w:rsid w:val="00472BD4"/>
    <w:rsid w:val="004A012D"/>
    <w:rsid w:val="004A644A"/>
    <w:rsid w:val="004B35A6"/>
    <w:rsid w:val="004C231B"/>
    <w:rsid w:val="004F4E84"/>
    <w:rsid w:val="004F6981"/>
    <w:rsid w:val="005042CD"/>
    <w:rsid w:val="00504BAC"/>
    <w:rsid w:val="00513527"/>
    <w:rsid w:val="005259AE"/>
    <w:rsid w:val="005275CF"/>
    <w:rsid w:val="00532DD2"/>
    <w:rsid w:val="00540C30"/>
    <w:rsid w:val="0057020B"/>
    <w:rsid w:val="00583994"/>
    <w:rsid w:val="00590CEE"/>
    <w:rsid w:val="00594CA2"/>
    <w:rsid w:val="00595C55"/>
    <w:rsid w:val="005A0F1B"/>
    <w:rsid w:val="005A1712"/>
    <w:rsid w:val="005B09B9"/>
    <w:rsid w:val="005B7DD2"/>
    <w:rsid w:val="005D7CBD"/>
    <w:rsid w:val="005F6D40"/>
    <w:rsid w:val="00602F27"/>
    <w:rsid w:val="00614020"/>
    <w:rsid w:val="00614E94"/>
    <w:rsid w:val="00617773"/>
    <w:rsid w:val="00623998"/>
    <w:rsid w:val="00627694"/>
    <w:rsid w:val="006276D0"/>
    <w:rsid w:val="0063091E"/>
    <w:rsid w:val="00632DE0"/>
    <w:rsid w:val="00646CA7"/>
    <w:rsid w:val="0065091A"/>
    <w:rsid w:val="00651076"/>
    <w:rsid w:val="00656379"/>
    <w:rsid w:val="00657E4A"/>
    <w:rsid w:val="00670526"/>
    <w:rsid w:val="006772E8"/>
    <w:rsid w:val="00682174"/>
    <w:rsid w:val="00691C33"/>
    <w:rsid w:val="006923A5"/>
    <w:rsid w:val="006B4408"/>
    <w:rsid w:val="006B7B51"/>
    <w:rsid w:val="006D2D9A"/>
    <w:rsid w:val="006D7C16"/>
    <w:rsid w:val="006E0727"/>
    <w:rsid w:val="006E3DE1"/>
    <w:rsid w:val="006F2D6F"/>
    <w:rsid w:val="00701460"/>
    <w:rsid w:val="00733074"/>
    <w:rsid w:val="00734D2D"/>
    <w:rsid w:val="007401EC"/>
    <w:rsid w:val="007412E0"/>
    <w:rsid w:val="0074351F"/>
    <w:rsid w:val="00745864"/>
    <w:rsid w:val="0076630C"/>
    <w:rsid w:val="00774C7C"/>
    <w:rsid w:val="00787D86"/>
    <w:rsid w:val="007C0258"/>
    <w:rsid w:val="007D1A1E"/>
    <w:rsid w:val="007E41AC"/>
    <w:rsid w:val="007E6F72"/>
    <w:rsid w:val="007F7538"/>
    <w:rsid w:val="0080239D"/>
    <w:rsid w:val="00810338"/>
    <w:rsid w:val="00817EF6"/>
    <w:rsid w:val="00826F70"/>
    <w:rsid w:val="0084433E"/>
    <w:rsid w:val="00861DE2"/>
    <w:rsid w:val="00870FF8"/>
    <w:rsid w:val="008720C2"/>
    <w:rsid w:val="008832E8"/>
    <w:rsid w:val="00896C6F"/>
    <w:rsid w:val="00896F8B"/>
    <w:rsid w:val="008A64A7"/>
    <w:rsid w:val="008A65BD"/>
    <w:rsid w:val="008B5173"/>
    <w:rsid w:val="008B5B9B"/>
    <w:rsid w:val="008C2761"/>
    <w:rsid w:val="008D33DC"/>
    <w:rsid w:val="008D4782"/>
    <w:rsid w:val="008E3437"/>
    <w:rsid w:val="008E3668"/>
    <w:rsid w:val="008F2CE1"/>
    <w:rsid w:val="009050CD"/>
    <w:rsid w:val="00921444"/>
    <w:rsid w:val="00923BA9"/>
    <w:rsid w:val="0092585F"/>
    <w:rsid w:val="00926DE2"/>
    <w:rsid w:val="00933B65"/>
    <w:rsid w:val="00937CAF"/>
    <w:rsid w:val="009701EB"/>
    <w:rsid w:val="00984D03"/>
    <w:rsid w:val="00985526"/>
    <w:rsid w:val="0099549B"/>
    <w:rsid w:val="009B689B"/>
    <w:rsid w:val="009C551B"/>
    <w:rsid w:val="009E3D21"/>
    <w:rsid w:val="009F0F3D"/>
    <w:rsid w:val="009F2243"/>
    <w:rsid w:val="009F3067"/>
    <w:rsid w:val="009F361B"/>
    <w:rsid w:val="009F6F81"/>
    <w:rsid w:val="00A0464F"/>
    <w:rsid w:val="00A06739"/>
    <w:rsid w:val="00A2175D"/>
    <w:rsid w:val="00A446BF"/>
    <w:rsid w:val="00A72F7B"/>
    <w:rsid w:val="00A810D2"/>
    <w:rsid w:val="00A86A8D"/>
    <w:rsid w:val="00A86F33"/>
    <w:rsid w:val="00A97976"/>
    <w:rsid w:val="00AA051F"/>
    <w:rsid w:val="00AA199C"/>
    <w:rsid w:val="00AA25A1"/>
    <w:rsid w:val="00AA5502"/>
    <w:rsid w:val="00AA61D6"/>
    <w:rsid w:val="00AD0EF4"/>
    <w:rsid w:val="00AE052F"/>
    <w:rsid w:val="00AE1E6A"/>
    <w:rsid w:val="00B00CEA"/>
    <w:rsid w:val="00B06637"/>
    <w:rsid w:val="00B1275E"/>
    <w:rsid w:val="00B170ED"/>
    <w:rsid w:val="00B272CA"/>
    <w:rsid w:val="00B324D0"/>
    <w:rsid w:val="00B52844"/>
    <w:rsid w:val="00B565DB"/>
    <w:rsid w:val="00B56AA4"/>
    <w:rsid w:val="00B64418"/>
    <w:rsid w:val="00B70D88"/>
    <w:rsid w:val="00B726C1"/>
    <w:rsid w:val="00BA4692"/>
    <w:rsid w:val="00BB2B34"/>
    <w:rsid w:val="00BB470C"/>
    <w:rsid w:val="00BB69F4"/>
    <w:rsid w:val="00BC0611"/>
    <w:rsid w:val="00BC199E"/>
    <w:rsid w:val="00BC220A"/>
    <w:rsid w:val="00BE1382"/>
    <w:rsid w:val="00BE34CF"/>
    <w:rsid w:val="00C01F6A"/>
    <w:rsid w:val="00C04AF5"/>
    <w:rsid w:val="00C1184A"/>
    <w:rsid w:val="00C15A7E"/>
    <w:rsid w:val="00C4101F"/>
    <w:rsid w:val="00C51B29"/>
    <w:rsid w:val="00C53C78"/>
    <w:rsid w:val="00C54432"/>
    <w:rsid w:val="00C607E0"/>
    <w:rsid w:val="00C628F1"/>
    <w:rsid w:val="00C90752"/>
    <w:rsid w:val="00CA79B9"/>
    <w:rsid w:val="00CC3EA8"/>
    <w:rsid w:val="00CC7B98"/>
    <w:rsid w:val="00CD3461"/>
    <w:rsid w:val="00CD5AEE"/>
    <w:rsid w:val="00CD6926"/>
    <w:rsid w:val="00CE129F"/>
    <w:rsid w:val="00CF0FE6"/>
    <w:rsid w:val="00CF37F8"/>
    <w:rsid w:val="00D03600"/>
    <w:rsid w:val="00D05A50"/>
    <w:rsid w:val="00D15951"/>
    <w:rsid w:val="00D17ED3"/>
    <w:rsid w:val="00D23C30"/>
    <w:rsid w:val="00D31D54"/>
    <w:rsid w:val="00D44C2B"/>
    <w:rsid w:val="00D62C7E"/>
    <w:rsid w:val="00DA3D04"/>
    <w:rsid w:val="00DB42D5"/>
    <w:rsid w:val="00DC699D"/>
    <w:rsid w:val="00DD2805"/>
    <w:rsid w:val="00DE676F"/>
    <w:rsid w:val="00DF2C1B"/>
    <w:rsid w:val="00E003A5"/>
    <w:rsid w:val="00E240FA"/>
    <w:rsid w:val="00E300FE"/>
    <w:rsid w:val="00E43CF7"/>
    <w:rsid w:val="00E539C3"/>
    <w:rsid w:val="00E64938"/>
    <w:rsid w:val="00E65877"/>
    <w:rsid w:val="00E779A9"/>
    <w:rsid w:val="00E936A8"/>
    <w:rsid w:val="00EA3D98"/>
    <w:rsid w:val="00EA6370"/>
    <w:rsid w:val="00EE6CE7"/>
    <w:rsid w:val="00F06952"/>
    <w:rsid w:val="00F06B1D"/>
    <w:rsid w:val="00F125AD"/>
    <w:rsid w:val="00F12D17"/>
    <w:rsid w:val="00F31E5B"/>
    <w:rsid w:val="00F40619"/>
    <w:rsid w:val="00F47052"/>
    <w:rsid w:val="00F635B2"/>
    <w:rsid w:val="00F648C0"/>
    <w:rsid w:val="00F85C8A"/>
    <w:rsid w:val="00F85DA6"/>
    <w:rsid w:val="00F97519"/>
    <w:rsid w:val="00FA0535"/>
    <w:rsid w:val="00FA0A2E"/>
    <w:rsid w:val="00FA2A43"/>
    <w:rsid w:val="00FA559E"/>
    <w:rsid w:val="00FA7FC0"/>
    <w:rsid w:val="00FB0516"/>
    <w:rsid w:val="00FB7C90"/>
    <w:rsid w:val="00FC741A"/>
    <w:rsid w:val="00FD285F"/>
    <w:rsid w:val="00FD38C0"/>
    <w:rsid w:val="00FE0046"/>
    <w:rsid w:val="00FE407F"/>
    <w:rsid w:val="00FE651B"/>
    <w:rsid w:val="00FF48BE"/>
    <w:rsid w:val="00FF6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6934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E1E6A"/>
    <w:rPr>
      <w:rFonts w:ascii="Segoe UI" w:hAnsi="Segoe UI" w:cs="Segoe UI"/>
      <w:sz w:val="18"/>
      <w:szCs w:val="18"/>
    </w:rPr>
  </w:style>
  <w:style w:type="character" w:customStyle="1" w:styleId="BalloonTextChar">
    <w:name w:val="Balloon Text Char"/>
    <w:basedOn w:val="DefaultParagraphFont"/>
    <w:link w:val="BalloonText"/>
    <w:semiHidden/>
    <w:rsid w:val="00AE1E6A"/>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3969E-5707-4D90-9F7E-B70885E48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1304</Words>
  <Characters>6383</Characters>
  <Application>Microsoft Office Word</Application>
  <DocSecurity>0</DocSecurity>
  <Lines>53</Lines>
  <Paragraphs>15</Paragraphs>
  <ScaleCrop>false</ScaleCrop>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2018-07-25T12:25:00Z</dcterms:created>
  <dcterms:modified xsi:type="dcterms:W3CDTF">2018-07-25T12:25:00Z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