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Default="008F06A6" w:rsidP="00F97703">
      <w:pPr>
        <w:jc w:val="center"/>
        <w:rPr>
          <w:rFonts w:ascii="Book Antiqua" w:hAnsi="Book Antiqua" w:cs="Arial"/>
          <w:color w:val="000000"/>
        </w:rPr>
      </w:pPr>
      <w:r>
        <w:rPr>
          <w:noProof/>
        </w:rPr>
        <w:drawing>
          <wp:inline distT="0" distB="0" distL="0" distR="0">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C108BA">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B3524D" w:rsidRPr="00D32B8A">
        <w:rPr>
          <w:rFonts w:ascii="Book Antiqua" w:hAnsi="Book Antiqua" w:cs="Arial"/>
          <w:color w:val="000000"/>
        </w:rPr>
        <w:t xml:space="preserve"> </w:t>
      </w:r>
      <w:bookmarkStart w:id="0" w:name="_GoBack"/>
      <w:r w:rsidR="00BE485D" w:rsidRPr="00D32B8A">
        <w:rPr>
          <w:rFonts w:ascii="Book Antiqua" w:hAnsi="Book Antiqua" w:cs="Arial"/>
        </w:rPr>
        <w:fldChar w:fldCharType="begin">
          <w:ffData>
            <w:name w:val="Text16"/>
            <w:enabled/>
            <w:calcOnExit w:val="0"/>
            <w:textInput/>
          </w:ffData>
        </w:fldChar>
      </w:r>
      <w:r w:rsidR="00BE485D" w:rsidRPr="00D32B8A">
        <w:rPr>
          <w:rFonts w:ascii="Book Antiqua" w:hAnsi="Book Antiqua" w:cs="Arial"/>
        </w:rPr>
        <w:instrText xml:space="preserve"> FORMTEXT </w:instrText>
      </w:r>
      <w:r w:rsidR="00BE485D" w:rsidRPr="00D32B8A">
        <w:rPr>
          <w:rFonts w:ascii="Book Antiqua" w:hAnsi="Book Antiqua" w:cs="Arial"/>
        </w:rPr>
      </w:r>
      <w:r w:rsidR="00BE485D" w:rsidRPr="00D32B8A">
        <w:rPr>
          <w:rFonts w:ascii="Book Antiqua" w:hAnsi="Book Antiqua" w:cs="Arial"/>
        </w:rPr>
        <w:fldChar w:fldCharType="separate"/>
      </w:r>
      <w:r w:rsidR="006E370B">
        <w:rPr>
          <w:rFonts w:ascii="Book Antiqua" w:eastAsia="Arial Unicode MS" w:hAnsi="Arial Unicode MS" w:cs="Arial Unicode MS"/>
          <w:noProof/>
        </w:rPr>
        <w:t>AA/01248/2012</w:t>
      </w:r>
      <w:r w:rsidR="00BE485D" w:rsidRPr="00D32B8A">
        <w:rPr>
          <w:rFonts w:ascii="Book Antiqua" w:hAnsi="Book Antiqua" w:cs="Arial"/>
        </w:rPr>
        <w:fldChar w:fldCharType="end"/>
      </w:r>
      <w:bookmarkEnd w:id="0"/>
    </w:p>
    <w:p w:rsidR="006B04D4" w:rsidRDefault="006B04D4" w:rsidP="006B04D4">
      <w:pPr>
        <w:jc w:val="center"/>
        <w:outlineLvl w:val="0"/>
        <w:rPr>
          <w:rFonts w:ascii="Book Antiqua" w:hAnsi="Book Antiqua" w:cs="Arial"/>
          <w:b/>
          <w:color w:val="000000"/>
          <w:u w:val="single"/>
        </w:rPr>
      </w:pPr>
    </w:p>
    <w:p w:rsidR="006B04D4" w:rsidRDefault="006B04D4" w:rsidP="006B04D4">
      <w:pPr>
        <w:jc w:val="center"/>
        <w:outlineLvl w:val="0"/>
        <w:rPr>
          <w:rFonts w:ascii="Book Antiqua" w:hAnsi="Book Antiqua" w:cs="Arial"/>
          <w:b/>
          <w:color w:val="000000"/>
          <w:u w:val="single"/>
        </w:rPr>
      </w:pPr>
    </w:p>
    <w:p w:rsidR="006B04D4" w:rsidRPr="00D32B8A" w:rsidRDefault="006B04D4" w:rsidP="006B04D4">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6B04D4" w:rsidRPr="00D32B8A" w:rsidRDefault="006B04D4" w:rsidP="006B04D4">
      <w:pPr>
        <w:jc w:val="center"/>
        <w:rPr>
          <w:rFonts w:ascii="Book Antiqua" w:hAnsi="Book Antiqua" w:cs="Arial"/>
          <w:b/>
          <w:u w:val="single"/>
        </w:rPr>
      </w:pPr>
    </w:p>
    <w:p w:rsidR="00C345E1" w:rsidRDefault="00C345E1" w:rsidP="00C345E1">
      <w:pPr>
        <w:jc w:val="center"/>
        <w:rPr>
          <w:rFonts w:ascii="Book Antiqua" w:hAnsi="Book Antiqua" w:cs="Arial"/>
          <w:color w:val="000000"/>
        </w:rPr>
      </w:pPr>
    </w:p>
    <w:tbl>
      <w:tblPr>
        <w:tblW w:w="0" w:type="auto"/>
        <w:tblLook w:val="01E0" w:firstRow="1" w:lastRow="1" w:firstColumn="1" w:lastColumn="1" w:noHBand="0" w:noVBand="0"/>
      </w:tblPr>
      <w:tblGrid>
        <w:gridCol w:w="5651"/>
        <w:gridCol w:w="3987"/>
      </w:tblGrid>
      <w:tr w:rsidR="00E533BA" w:rsidRPr="003C5723" w:rsidTr="009912B9">
        <w:tc>
          <w:tcPr>
            <w:tcW w:w="5778" w:type="dxa"/>
            <w:shd w:val="clear" w:color="auto" w:fill="auto"/>
          </w:tcPr>
          <w:p w:rsidR="00E533BA" w:rsidRPr="003C5723" w:rsidRDefault="006E370B" w:rsidP="003C5723">
            <w:pPr>
              <w:jc w:val="both"/>
              <w:rPr>
                <w:rFonts w:ascii="Book Antiqua" w:hAnsi="Book Antiqua" w:cs="Arial"/>
                <w:b/>
              </w:rPr>
            </w:pPr>
            <w:r>
              <w:rPr>
                <w:rFonts w:ascii="Book Antiqua" w:hAnsi="Book Antiqua" w:cs="Arial"/>
                <w:b/>
              </w:rPr>
              <w:t xml:space="preserve">At Field House on the papers </w:t>
            </w:r>
            <w:r w:rsidR="00E533BA" w:rsidRPr="003C5723">
              <w:rPr>
                <w:rFonts w:ascii="Book Antiqua" w:hAnsi="Book Antiqua" w:cs="Arial"/>
                <w:b/>
              </w:rPr>
              <w:t xml:space="preserve"> </w:t>
            </w:r>
          </w:p>
        </w:tc>
        <w:tc>
          <w:tcPr>
            <w:tcW w:w="4050" w:type="dxa"/>
            <w:shd w:val="clear" w:color="auto" w:fill="auto"/>
          </w:tcPr>
          <w:p w:rsidR="00E533BA" w:rsidRDefault="00E533BA" w:rsidP="003C5723">
            <w:pPr>
              <w:jc w:val="both"/>
              <w:rPr>
                <w:rFonts w:ascii="Book Antiqua" w:hAnsi="Book Antiqua" w:cs="Arial"/>
                <w:b/>
              </w:rPr>
            </w:pPr>
            <w:r w:rsidRPr="003C5723">
              <w:rPr>
                <w:rFonts w:ascii="Book Antiqua" w:hAnsi="Book Antiqua" w:cs="Arial"/>
                <w:b/>
                <w:color w:val="000000"/>
              </w:rPr>
              <w:t>De</w:t>
            </w:r>
            <w:r w:rsidR="006E370B">
              <w:rPr>
                <w:rFonts w:ascii="Book Antiqua" w:hAnsi="Book Antiqua" w:cs="Arial"/>
                <w:b/>
                <w:color w:val="000000"/>
              </w:rPr>
              <w:t xml:space="preserve">cision </w:t>
            </w:r>
            <w:r w:rsidR="009912B9">
              <w:rPr>
                <w:rFonts w:ascii="Book Antiqua" w:hAnsi="Book Antiqua" w:cs="Arial"/>
                <w:b/>
              </w:rPr>
              <w:t>&amp; Reasons</w:t>
            </w:r>
            <w:r w:rsidR="009912B9" w:rsidRPr="00F5664C">
              <w:rPr>
                <w:rFonts w:ascii="Book Antiqua" w:hAnsi="Book Antiqua" w:cs="Arial"/>
                <w:b/>
              </w:rPr>
              <w:t xml:space="preserve"> Promulgated</w:t>
            </w:r>
          </w:p>
          <w:p w:rsidR="00C108BA" w:rsidRPr="003C5723" w:rsidRDefault="00C108BA" w:rsidP="003C5723">
            <w:pPr>
              <w:jc w:val="both"/>
              <w:rPr>
                <w:rFonts w:ascii="Book Antiqua" w:hAnsi="Book Antiqua" w:cs="Arial"/>
                <w:b/>
                <w:color w:val="000000"/>
              </w:rPr>
            </w:pPr>
            <w:r>
              <w:rPr>
                <w:rFonts w:ascii="Book Antiqua" w:hAnsi="Book Antiqua" w:cs="Arial"/>
                <w:b/>
              </w:rPr>
              <w:t>On 17</w:t>
            </w:r>
            <w:r w:rsidRPr="00C108BA">
              <w:rPr>
                <w:rFonts w:ascii="Book Antiqua" w:hAnsi="Book Antiqua" w:cs="Arial"/>
                <w:b/>
                <w:vertAlign w:val="superscript"/>
              </w:rPr>
              <w:t>th</w:t>
            </w:r>
            <w:r>
              <w:rPr>
                <w:rFonts w:ascii="Book Antiqua" w:hAnsi="Book Antiqua" w:cs="Arial"/>
                <w:b/>
              </w:rPr>
              <w:t xml:space="preserve"> July 2018</w:t>
            </w:r>
          </w:p>
        </w:tc>
      </w:tr>
      <w:tr w:rsidR="00E533BA" w:rsidRPr="003C5723" w:rsidTr="009912B9">
        <w:tc>
          <w:tcPr>
            <w:tcW w:w="5778" w:type="dxa"/>
            <w:shd w:val="clear" w:color="auto" w:fill="auto"/>
          </w:tcPr>
          <w:p w:rsidR="00E533BA" w:rsidRPr="003C5723" w:rsidRDefault="00E533BA" w:rsidP="003C5723">
            <w:pPr>
              <w:jc w:val="both"/>
              <w:rPr>
                <w:rFonts w:ascii="Book Antiqua" w:hAnsi="Book Antiqua" w:cs="Arial"/>
                <w:b/>
              </w:rPr>
            </w:pPr>
          </w:p>
        </w:tc>
        <w:tc>
          <w:tcPr>
            <w:tcW w:w="4050" w:type="dxa"/>
            <w:shd w:val="clear" w:color="auto" w:fill="auto"/>
          </w:tcPr>
          <w:p w:rsidR="00E533BA" w:rsidRPr="003C5723" w:rsidRDefault="00E533BA" w:rsidP="003C5723">
            <w:pPr>
              <w:jc w:val="both"/>
              <w:rPr>
                <w:rFonts w:ascii="Book Antiqua" w:hAnsi="Book Antiqua" w:cs="Arial"/>
                <w:b/>
              </w:rPr>
            </w:pPr>
          </w:p>
        </w:tc>
      </w:tr>
    </w:tbl>
    <w:p w:rsidR="006B04D4" w:rsidRDefault="006B04D4" w:rsidP="00B467EA">
      <w:pPr>
        <w:jc w:val="center"/>
        <w:outlineLvl w:val="0"/>
        <w:rPr>
          <w:rFonts w:ascii="Book Antiqua" w:hAnsi="Book Antiqua" w:cs="Arial"/>
          <w:b/>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6E370B" w:rsidRPr="00D32B8A" w:rsidRDefault="006E370B" w:rsidP="00B467EA">
      <w:pPr>
        <w:jc w:val="center"/>
        <w:outlineLvl w:val="0"/>
        <w:rPr>
          <w:rFonts w:ascii="Book Antiqua" w:hAnsi="Book Antiqua" w:cs="Arial"/>
          <w:b/>
        </w:rPr>
      </w:pPr>
    </w:p>
    <w:p w:rsidR="00A845DC" w:rsidRPr="006E370B" w:rsidRDefault="006E370B" w:rsidP="00A15234">
      <w:pPr>
        <w:jc w:val="center"/>
        <w:rPr>
          <w:rFonts w:ascii="Book Antiqua" w:hAnsi="Book Antiqua" w:cs="Arial"/>
          <w:b/>
        </w:rPr>
      </w:pPr>
      <w:r w:rsidRPr="006E370B">
        <w:rPr>
          <w:rFonts w:ascii="Book Antiqua" w:hAnsi="Book Antiqua" w:cs="Arial"/>
          <w:b/>
        </w:rPr>
        <w:t>ISA</w:t>
      </w:r>
    </w:p>
    <w:p w:rsidR="006E370B" w:rsidRPr="00D32B8A" w:rsidRDefault="006E370B" w:rsidP="00A15234">
      <w:pPr>
        <w:jc w:val="center"/>
        <w:rPr>
          <w:rFonts w:ascii="Book Antiqua" w:hAnsi="Book Antiqua" w:cs="Arial"/>
          <w:b/>
        </w:rPr>
      </w:pPr>
      <w:r>
        <w:rPr>
          <w:rFonts w:ascii="Book Antiqua" w:hAnsi="Book Antiqua" w:cs="Arial"/>
        </w:rPr>
        <w:t>(anonymity direction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Pr="00D32B8A" w:rsidRDefault="00DD5071" w:rsidP="00DD5071">
      <w:pPr>
        <w:rPr>
          <w:rFonts w:ascii="Book Antiqua" w:hAnsi="Book Antiqua" w:cs="Arial"/>
          <w:u w:val="single"/>
        </w:rPr>
      </w:pPr>
    </w:p>
    <w:p w:rsidR="00BE485D" w:rsidRDefault="00BE485D" w:rsidP="00BE485D">
      <w:pPr>
        <w:jc w:val="center"/>
        <w:rPr>
          <w:rFonts w:ascii="Book Antiqua" w:hAnsi="Book Antiqua"/>
          <w:b/>
          <w:u w:val="single"/>
        </w:rPr>
      </w:pPr>
      <w:r>
        <w:rPr>
          <w:rFonts w:ascii="Book Antiqua" w:hAnsi="Book Antiqua"/>
          <w:b/>
          <w:u w:val="single"/>
        </w:rPr>
        <w:t>DE</w:t>
      </w:r>
      <w:r w:rsidR="006E370B">
        <w:rPr>
          <w:rFonts w:ascii="Book Antiqua" w:hAnsi="Book Antiqua"/>
          <w:b/>
          <w:u w:val="single"/>
        </w:rPr>
        <w:t xml:space="preserve">CISION AND </w:t>
      </w:r>
      <w:r>
        <w:rPr>
          <w:rFonts w:ascii="Book Antiqua" w:hAnsi="Book Antiqua"/>
          <w:b/>
          <w:u w:val="single"/>
        </w:rPr>
        <w:t>REASONS</w:t>
      </w:r>
    </w:p>
    <w:p w:rsidR="00BE485D" w:rsidRDefault="00BE485D" w:rsidP="00BE485D">
      <w:pPr>
        <w:tabs>
          <w:tab w:val="left" w:pos="2520"/>
        </w:tabs>
        <w:ind w:left="360"/>
        <w:jc w:val="both"/>
        <w:rPr>
          <w:rFonts w:ascii="Book Antiqua" w:hAnsi="Book Antiqua" w:cs="Arial"/>
        </w:rPr>
      </w:pPr>
    </w:p>
    <w:p w:rsidR="00BE485D" w:rsidRDefault="006E370B" w:rsidP="00BE485D">
      <w:pPr>
        <w:numPr>
          <w:ilvl w:val="0"/>
          <w:numId w:val="3"/>
        </w:numPr>
        <w:tabs>
          <w:tab w:val="left" w:pos="2520"/>
        </w:tabs>
        <w:jc w:val="both"/>
        <w:rPr>
          <w:rFonts w:ascii="Book Antiqua" w:hAnsi="Book Antiqua" w:cs="Arial"/>
        </w:rPr>
      </w:pPr>
      <w:r>
        <w:rPr>
          <w:rFonts w:ascii="Book Antiqua" w:hAnsi="Book Antiqua" w:cs="Arial"/>
        </w:rPr>
        <w:t>In an order sent to the parties on 19 June 2018 the Upper Tribunal directed:</w:t>
      </w:r>
    </w:p>
    <w:p w:rsidR="006E370B" w:rsidRDefault="006E370B" w:rsidP="006E370B">
      <w:pPr>
        <w:tabs>
          <w:tab w:val="left" w:pos="2520"/>
        </w:tabs>
        <w:ind w:left="1080"/>
        <w:jc w:val="both"/>
        <w:rPr>
          <w:rFonts w:ascii="Book Antiqua" w:hAnsi="Book Antiqua" w:cs="Arial"/>
        </w:rPr>
      </w:pPr>
    </w:p>
    <w:p w:rsidR="00E354DC" w:rsidRPr="00E354DC" w:rsidRDefault="00E354DC" w:rsidP="00E354DC">
      <w:pPr>
        <w:tabs>
          <w:tab w:val="left" w:pos="2520"/>
        </w:tabs>
        <w:ind w:left="1701" w:hanging="621"/>
        <w:jc w:val="both"/>
        <w:rPr>
          <w:rFonts w:ascii="Book Antiqua" w:hAnsi="Book Antiqua" w:cs="Arial"/>
          <w:sz w:val="20"/>
          <w:szCs w:val="20"/>
        </w:rPr>
      </w:pPr>
      <w:r w:rsidRPr="00E354DC">
        <w:rPr>
          <w:rFonts w:ascii="Book Antiqua" w:hAnsi="Book Antiqua" w:cs="Arial"/>
          <w:sz w:val="20"/>
          <w:szCs w:val="20"/>
        </w:rPr>
        <w:t xml:space="preserve">1. </w:t>
      </w:r>
      <w:r>
        <w:rPr>
          <w:rFonts w:ascii="Book Antiqua" w:hAnsi="Book Antiqua" w:cs="Arial"/>
          <w:sz w:val="20"/>
          <w:szCs w:val="20"/>
        </w:rPr>
        <w:tab/>
      </w:r>
      <w:r w:rsidRPr="00E354DC">
        <w:rPr>
          <w:rFonts w:ascii="Book Antiqua" w:hAnsi="Book Antiqua" w:cs="Arial"/>
          <w:sz w:val="20"/>
          <w:szCs w:val="20"/>
        </w:rPr>
        <w:t xml:space="preserve">In light of the appellant’s failure to attend this Case Management Review Hearing, and in light of the country guidance cases of </w:t>
      </w:r>
      <w:r w:rsidRPr="00B07018">
        <w:rPr>
          <w:rFonts w:ascii="Book Antiqua" w:hAnsi="Book Antiqua" w:cs="Arial"/>
          <w:sz w:val="20"/>
          <w:szCs w:val="20"/>
          <w:u w:val="single"/>
        </w:rPr>
        <w:t>TG (and others)</w:t>
      </w:r>
      <w:r w:rsidRPr="00E354DC">
        <w:rPr>
          <w:rFonts w:ascii="Book Antiqua" w:hAnsi="Book Antiqua" w:cs="Arial"/>
          <w:sz w:val="20"/>
          <w:szCs w:val="20"/>
        </w:rPr>
        <w:t xml:space="preserve"> [2015] UKUT 595 and </w:t>
      </w:r>
      <w:r w:rsidRPr="00B07018">
        <w:rPr>
          <w:rFonts w:ascii="Book Antiqua" w:hAnsi="Book Antiqua" w:cs="Arial"/>
          <w:sz w:val="20"/>
          <w:szCs w:val="20"/>
          <w:u w:val="single"/>
        </w:rPr>
        <w:t>AS (Safety of Kabul) Afghanistan CG</w:t>
      </w:r>
      <w:r w:rsidRPr="00E354DC">
        <w:rPr>
          <w:rFonts w:ascii="Book Antiqua" w:hAnsi="Book Antiqua" w:cs="Arial"/>
          <w:sz w:val="20"/>
          <w:szCs w:val="20"/>
        </w:rPr>
        <w:t xml:space="preserve"> [2018] UKUT 00118, the appellant shall confirm no later than 4.00pm 6 July 2018 whether he intends to pursue his protection claim based upon his alleged fear of suffering a real risk of harm on return to Kabul. </w:t>
      </w:r>
    </w:p>
    <w:p w:rsidR="00E354DC" w:rsidRPr="00E354DC" w:rsidRDefault="00E354DC" w:rsidP="00E354DC">
      <w:pPr>
        <w:tabs>
          <w:tab w:val="left" w:pos="2520"/>
        </w:tabs>
        <w:ind w:left="1080"/>
        <w:jc w:val="both"/>
        <w:rPr>
          <w:rFonts w:ascii="Book Antiqua" w:hAnsi="Book Antiqua" w:cs="Arial"/>
          <w:sz w:val="20"/>
          <w:szCs w:val="20"/>
        </w:rPr>
      </w:pPr>
    </w:p>
    <w:p w:rsidR="00E354DC" w:rsidRPr="00E354DC" w:rsidRDefault="00E354DC" w:rsidP="00E354DC">
      <w:pPr>
        <w:tabs>
          <w:tab w:val="left" w:pos="2520"/>
        </w:tabs>
        <w:ind w:left="1701" w:hanging="621"/>
        <w:jc w:val="both"/>
        <w:rPr>
          <w:rFonts w:ascii="Book Antiqua" w:hAnsi="Book Antiqua" w:cs="Arial"/>
          <w:sz w:val="20"/>
          <w:szCs w:val="20"/>
        </w:rPr>
      </w:pPr>
      <w:r w:rsidRPr="00E354DC">
        <w:rPr>
          <w:rFonts w:ascii="Book Antiqua" w:hAnsi="Book Antiqua" w:cs="Arial"/>
          <w:sz w:val="20"/>
          <w:szCs w:val="20"/>
        </w:rPr>
        <w:t xml:space="preserve">2. </w:t>
      </w:r>
      <w:r>
        <w:rPr>
          <w:rFonts w:ascii="Book Antiqua" w:hAnsi="Book Antiqua" w:cs="Arial"/>
          <w:sz w:val="20"/>
          <w:szCs w:val="20"/>
        </w:rPr>
        <w:tab/>
      </w:r>
      <w:r w:rsidRPr="00E354DC">
        <w:rPr>
          <w:rFonts w:ascii="Book Antiqua" w:hAnsi="Book Antiqua" w:cs="Arial"/>
          <w:sz w:val="20"/>
          <w:szCs w:val="20"/>
        </w:rPr>
        <w:t xml:space="preserve">If the appellant fails to confirm his position by the above stated date and time the Upper Tribunal shall take this as an indication the appellant has abandoned such claim and proceed to dismiss the protection appeal on the basis of the country guidance caselaw, accordingly. </w:t>
      </w:r>
    </w:p>
    <w:p w:rsidR="00E354DC" w:rsidRPr="00E354DC" w:rsidRDefault="00E354DC" w:rsidP="00E354DC">
      <w:pPr>
        <w:tabs>
          <w:tab w:val="left" w:pos="2520"/>
        </w:tabs>
        <w:ind w:left="1080"/>
        <w:jc w:val="both"/>
        <w:rPr>
          <w:rFonts w:ascii="Book Antiqua" w:hAnsi="Book Antiqua" w:cs="Arial"/>
          <w:sz w:val="20"/>
          <w:szCs w:val="20"/>
        </w:rPr>
      </w:pPr>
    </w:p>
    <w:p w:rsidR="00E354DC" w:rsidRPr="00E354DC" w:rsidRDefault="00E354DC" w:rsidP="00E354DC">
      <w:pPr>
        <w:tabs>
          <w:tab w:val="left" w:pos="2520"/>
        </w:tabs>
        <w:ind w:left="1701" w:hanging="621"/>
        <w:jc w:val="both"/>
        <w:rPr>
          <w:rFonts w:ascii="Book Antiqua" w:hAnsi="Book Antiqua" w:cs="Arial"/>
          <w:sz w:val="20"/>
          <w:szCs w:val="20"/>
        </w:rPr>
      </w:pPr>
      <w:r w:rsidRPr="00E354DC">
        <w:rPr>
          <w:rFonts w:ascii="Book Antiqua" w:hAnsi="Book Antiqua" w:cs="Arial"/>
          <w:sz w:val="20"/>
          <w:szCs w:val="20"/>
        </w:rPr>
        <w:lastRenderedPageBreak/>
        <w:t xml:space="preserve">3. </w:t>
      </w:r>
      <w:r>
        <w:rPr>
          <w:rFonts w:ascii="Book Antiqua" w:hAnsi="Book Antiqua" w:cs="Arial"/>
          <w:sz w:val="20"/>
          <w:szCs w:val="20"/>
        </w:rPr>
        <w:tab/>
      </w:r>
      <w:r w:rsidRPr="00E354DC">
        <w:rPr>
          <w:rFonts w:ascii="Book Antiqua" w:hAnsi="Book Antiqua" w:cs="Arial"/>
          <w:sz w:val="20"/>
          <w:szCs w:val="20"/>
        </w:rPr>
        <w:t xml:space="preserve">If the applicant confirms he wishes to proceed with his protection claim the appeal shall be listed for a substantive hearing before Upper Tribunal Judge Hanson sitting at Field House on the next available date, time estimate three hours. </w:t>
      </w:r>
    </w:p>
    <w:p w:rsidR="00E354DC" w:rsidRPr="00E354DC" w:rsidRDefault="00E354DC" w:rsidP="00E354DC">
      <w:pPr>
        <w:tabs>
          <w:tab w:val="left" w:pos="2520"/>
        </w:tabs>
        <w:ind w:left="1080"/>
        <w:jc w:val="both"/>
        <w:rPr>
          <w:rFonts w:ascii="Book Antiqua" w:hAnsi="Book Antiqua" w:cs="Arial"/>
          <w:sz w:val="20"/>
          <w:szCs w:val="20"/>
        </w:rPr>
      </w:pPr>
    </w:p>
    <w:p w:rsidR="006E370B" w:rsidRDefault="00E354DC" w:rsidP="00E354DC">
      <w:pPr>
        <w:tabs>
          <w:tab w:val="left" w:pos="2520"/>
        </w:tabs>
        <w:ind w:left="1701" w:hanging="621"/>
        <w:jc w:val="both"/>
        <w:rPr>
          <w:rFonts w:ascii="Book Antiqua" w:hAnsi="Book Antiqua" w:cs="Arial"/>
          <w:sz w:val="20"/>
          <w:szCs w:val="20"/>
        </w:rPr>
      </w:pPr>
      <w:r w:rsidRPr="00E354DC">
        <w:rPr>
          <w:rFonts w:ascii="Book Antiqua" w:hAnsi="Book Antiqua" w:cs="Arial"/>
          <w:sz w:val="20"/>
          <w:szCs w:val="20"/>
        </w:rPr>
        <w:t xml:space="preserve">4. </w:t>
      </w:r>
      <w:r>
        <w:rPr>
          <w:rFonts w:ascii="Book Antiqua" w:hAnsi="Book Antiqua" w:cs="Arial"/>
          <w:sz w:val="20"/>
          <w:szCs w:val="20"/>
        </w:rPr>
        <w:tab/>
      </w:r>
      <w:r w:rsidRPr="00E354DC">
        <w:rPr>
          <w:rFonts w:ascii="Book Antiqua" w:hAnsi="Book Antiqua" w:cs="Arial"/>
          <w:sz w:val="20"/>
          <w:szCs w:val="20"/>
        </w:rPr>
        <w:t xml:space="preserve">The event the matters </w:t>
      </w:r>
      <w:proofErr w:type="gramStart"/>
      <w:r w:rsidRPr="00E354DC">
        <w:rPr>
          <w:rFonts w:ascii="Book Antiqua" w:hAnsi="Book Antiqua" w:cs="Arial"/>
          <w:sz w:val="20"/>
          <w:szCs w:val="20"/>
        </w:rPr>
        <w:t>is</w:t>
      </w:r>
      <w:proofErr w:type="gramEnd"/>
      <w:r w:rsidRPr="00E354DC">
        <w:rPr>
          <w:rFonts w:ascii="Book Antiqua" w:hAnsi="Book Antiqua" w:cs="Arial"/>
          <w:sz w:val="20"/>
          <w:szCs w:val="20"/>
        </w:rPr>
        <w:t xml:space="preserve"> listed for a substantive hearing, a </w:t>
      </w:r>
      <w:proofErr w:type="spellStart"/>
      <w:r w:rsidRPr="00E354DC">
        <w:rPr>
          <w:rFonts w:ascii="Book Antiqua" w:hAnsi="Book Antiqua" w:cs="Arial"/>
          <w:sz w:val="20"/>
          <w:szCs w:val="20"/>
        </w:rPr>
        <w:t>Pushtu</w:t>
      </w:r>
      <w:proofErr w:type="spellEnd"/>
      <w:r w:rsidRPr="00E354DC">
        <w:rPr>
          <w:rFonts w:ascii="Book Antiqua" w:hAnsi="Book Antiqua" w:cs="Arial"/>
          <w:sz w:val="20"/>
          <w:szCs w:val="20"/>
        </w:rPr>
        <w:t xml:space="preserve"> interpreter shall be provided by the Upper Tribunal.</w:t>
      </w:r>
    </w:p>
    <w:p w:rsidR="00E354DC" w:rsidRPr="00E354DC" w:rsidRDefault="00E354DC" w:rsidP="00E354DC">
      <w:pPr>
        <w:tabs>
          <w:tab w:val="left" w:pos="2520"/>
        </w:tabs>
        <w:ind w:left="1701" w:hanging="621"/>
        <w:jc w:val="both"/>
        <w:rPr>
          <w:rFonts w:ascii="Book Antiqua" w:hAnsi="Book Antiqua" w:cs="Arial"/>
          <w:sz w:val="20"/>
          <w:szCs w:val="20"/>
        </w:rPr>
      </w:pPr>
    </w:p>
    <w:p w:rsidR="006E370B" w:rsidRDefault="00E354DC" w:rsidP="00BE485D">
      <w:pPr>
        <w:numPr>
          <w:ilvl w:val="0"/>
          <w:numId w:val="3"/>
        </w:numPr>
        <w:tabs>
          <w:tab w:val="left" w:pos="2520"/>
        </w:tabs>
        <w:jc w:val="both"/>
        <w:rPr>
          <w:rFonts w:ascii="Book Antiqua" w:hAnsi="Book Antiqua" w:cs="Arial"/>
        </w:rPr>
      </w:pPr>
      <w:r>
        <w:rPr>
          <w:rFonts w:ascii="Book Antiqua" w:hAnsi="Book Antiqua" w:cs="Arial"/>
        </w:rPr>
        <w:t>There has been no response from the app</w:t>
      </w:r>
      <w:r w:rsidR="004C7ABE">
        <w:rPr>
          <w:rFonts w:ascii="Book Antiqua" w:hAnsi="Book Antiqua" w:cs="Arial"/>
        </w:rPr>
        <w:t>ellant</w:t>
      </w:r>
      <w:r>
        <w:rPr>
          <w:rFonts w:ascii="Book Antiqua" w:hAnsi="Book Antiqua" w:cs="Arial"/>
        </w:rPr>
        <w:t xml:space="preserve"> within the permitted timescale, or at all, in response to these directions confirming that he intends to pursue his protection claim based upon his alleged fear of suffering a real risk of harm on return to Kabul.</w:t>
      </w:r>
    </w:p>
    <w:p w:rsidR="00B07018" w:rsidRDefault="00B07018" w:rsidP="00B07018">
      <w:pPr>
        <w:tabs>
          <w:tab w:val="left" w:pos="2520"/>
        </w:tabs>
        <w:ind w:left="1080"/>
        <w:jc w:val="both"/>
        <w:rPr>
          <w:rFonts w:ascii="Book Antiqua" w:hAnsi="Book Antiqua" w:cs="Arial"/>
        </w:rPr>
      </w:pPr>
    </w:p>
    <w:p w:rsidR="00E354DC" w:rsidRDefault="00E354DC" w:rsidP="00BE485D">
      <w:pPr>
        <w:numPr>
          <w:ilvl w:val="0"/>
          <w:numId w:val="3"/>
        </w:numPr>
        <w:tabs>
          <w:tab w:val="left" w:pos="2520"/>
        </w:tabs>
        <w:jc w:val="both"/>
        <w:rPr>
          <w:rFonts w:ascii="Book Antiqua" w:hAnsi="Book Antiqua" w:cs="Arial"/>
        </w:rPr>
      </w:pPr>
      <w:r>
        <w:rPr>
          <w:rFonts w:ascii="Book Antiqua" w:hAnsi="Book Antiqua" w:cs="Arial"/>
        </w:rPr>
        <w:t>In accordance with [2] of the directions the Upper Tribunal takes the</w:t>
      </w:r>
      <w:r w:rsidR="004C7ABE">
        <w:rPr>
          <w:rFonts w:ascii="Book Antiqua" w:hAnsi="Book Antiqua" w:cs="Arial"/>
        </w:rPr>
        <w:t xml:space="preserve"> failure to respond a</w:t>
      </w:r>
      <w:r>
        <w:rPr>
          <w:rFonts w:ascii="Book Antiqua" w:hAnsi="Book Antiqua" w:cs="Arial"/>
        </w:rPr>
        <w:t>s an indication the appellant has abandoned such claim and accordingly dismisses the protection claim on all grounds on the basis of the country guidance caselaw referred to above.</w:t>
      </w:r>
    </w:p>
    <w:p w:rsidR="004C7ABE" w:rsidRDefault="004C7ABE" w:rsidP="00BE485D">
      <w:pPr>
        <w:pStyle w:val="BodyTextIndent"/>
        <w:ind w:left="0"/>
        <w:jc w:val="both"/>
        <w:rPr>
          <w:rFonts w:ascii="Book Antiqua" w:hAnsi="Book Antiqua" w:cs="Arial"/>
          <w:b/>
          <w:bCs/>
          <w:sz w:val="24"/>
          <w:u w:val="single"/>
        </w:rPr>
      </w:pPr>
    </w:p>
    <w:p w:rsidR="00D32B8A" w:rsidRPr="00D32B8A" w:rsidRDefault="00D32B8A" w:rsidP="00BE485D">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rsidR="00D32B8A" w:rsidRPr="00D32B8A" w:rsidRDefault="00D32B8A" w:rsidP="00D32B8A">
      <w:pPr>
        <w:pStyle w:val="BodyTextIndent"/>
        <w:ind w:left="0"/>
        <w:jc w:val="both"/>
        <w:rPr>
          <w:rFonts w:ascii="Book Antiqua" w:hAnsi="Book Antiqua" w:cs="Arial"/>
          <w:b/>
          <w:bCs/>
          <w:sz w:val="24"/>
          <w:u w:val="single"/>
        </w:rPr>
      </w:pPr>
    </w:p>
    <w:p w:rsidR="00D32B8A" w:rsidRPr="00813355" w:rsidRDefault="008E55FE" w:rsidP="00BE485D">
      <w:pPr>
        <w:pStyle w:val="BodyTextIndent"/>
        <w:numPr>
          <w:ilvl w:val="0"/>
          <w:numId w:val="3"/>
        </w:numPr>
        <w:rPr>
          <w:rFonts w:ascii="Book Antiqua" w:hAnsi="Book Antiqua" w:cs="Arial"/>
          <w:sz w:val="24"/>
          <w:u w:val="single"/>
        </w:rPr>
      </w:pPr>
      <w:r>
        <w:rPr>
          <w:rFonts w:ascii="Book Antiqua" w:hAnsi="Book Antiqua" w:cs="Arial"/>
          <w:b/>
          <w:sz w:val="24"/>
        </w:rPr>
        <w:t>I remake the decision as follows.</w:t>
      </w:r>
      <w:r w:rsidR="00D32B8A" w:rsidRPr="00D32B8A">
        <w:rPr>
          <w:rFonts w:ascii="Book Antiqua" w:hAnsi="Book Antiqua" w:cs="Arial"/>
          <w:b/>
          <w:sz w:val="24"/>
        </w:rPr>
        <w:t xml:space="preserve"> This appeal is </w:t>
      </w:r>
      <w:r>
        <w:rPr>
          <w:rFonts w:ascii="Book Antiqua" w:hAnsi="Book Antiqua" w:cs="Arial"/>
          <w:b/>
          <w:sz w:val="24"/>
        </w:rPr>
        <w:t>dismissed</w:t>
      </w:r>
      <w:r w:rsidR="00E354DC">
        <w:rPr>
          <w:rFonts w:ascii="Book Antiqua" w:hAnsi="Book Antiqua" w:cs="Arial"/>
          <w:b/>
          <w:sz w:val="24"/>
        </w:rPr>
        <w:t>.</w:t>
      </w:r>
    </w:p>
    <w:p w:rsidR="00813355" w:rsidRDefault="00813355" w:rsidP="00813355">
      <w:pPr>
        <w:pStyle w:val="BodyTextIndent"/>
        <w:rPr>
          <w:rFonts w:ascii="Book Antiqua" w:hAnsi="Book Antiqua" w:cs="Arial"/>
          <w:b/>
          <w:sz w:val="24"/>
        </w:rPr>
      </w:pPr>
    </w:p>
    <w:p w:rsidR="00813355" w:rsidRPr="00DB5024" w:rsidRDefault="00813355" w:rsidP="00813355">
      <w:pPr>
        <w:pStyle w:val="BodyTextIndent"/>
        <w:ind w:left="360"/>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813355">
      <w:pPr>
        <w:pStyle w:val="BodyTextIndent"/>
        <w:ind w:left="360"/>
        <w:rPr>
          <w:rFonts w:ascii="Book Antiqua" w:hAnsi="Book Antiqua" w:cs="Arial"/>
          <w:sz w:val="24"/>
        </w:rPr>
      </w:pPr>
    </w:p>
    <w:p w:rsidR="00813355" w:rsidRPr="00E354DC" w:rsidRDefault="00E354DC" w:rsidP="00E354DC">
      <w:pPr>
        <w:pStyle w:val="BodyTextIndent"/>
        <w:numPr>
          <w:ilvl w:val="0"/>
          <w:numId w:val="3"/>
        </w:numPr>
        <w:rPr>
          <w:rFonts w:ascii="Book Antiqua" w:hAnsi="Book Antiqua" w:cs="Arial"/>
          <w:sz w:val="24"/>
          <w:u w:val="single"/>
        </w:rPr>
      </w:pPr>
      <w:r>
        <w:rPr>
          <w:rFonts w:ascii="Book Antiqua" w:hAnsi="Book Antiqua" w:cs="Arial"/>
          <w:sz w:val="24"/>
        </w:rPr>
        <w:t xml:space="preserve">The order for the appellants anonymity </w:t>
      </w:r>
      <w:r w:rsidR="004C7ABE">
        <w:rPr>
          <w:rFonts w:ascii="Book Antiqua" w:hAnsi="Book Antiqua" w:cs="Arial"/>
          <w:sz w:val="24"/>
        </w:rPr>
        <w:t xml:space="preserve">made </w:t>
      </w:r>
      <w:r>
        <w:rPr>
          <w:rFonts w:ascii="Book Antiqua" w:hAnsi="Book Antiqua" w:cs="Arial"/>
          <w:sz w:val="24"/>
        </w:rPr>
        <w:t xml:space="preserve">pursuant to </w:t>
      </w:r>
      <w:r w:rsidR="00813355" w:rsidRPr="00DB5024">
        <w:rPr>
          <w:rFonts w:ascii="Book Antiqua" w:eastAsia="Book Antiqua,Arial" w:hAnsi="Book Antiqua" w:cs="Book Antiqua,Arial"/>
          <w:sz w:val="24"/>
        </w:rPr>
        <w:t xml:space="preserve">rule 14 of the Tribunal Procedure </w:t>
      </w:r>
      <w:r w:rsidR="00813355">
        <w:rPr>
          <w:rFonts w:ascii="Book Antiqua" w:eastAsia="Book Antiqua,Arial" w:hAnsi="Book Antiqua" w:cs="Book Antiqua,Arial"/>
          <w:sz w:val="24"/>
        </w:rPr>
        <w:t>(Upper Tribunal) Rules 2008</w:t>
      </w:r>
      <w:r>
        <w:rPr>
          <w:rFonts w:ascii="Book Antiqua" w:eastAsia="Book Antiqua,Arial" w:hAnsi="Book Antiqua" w:cs="Book Antiqua,Arial"/>
          <w:sz w:val="24"/>
        </w:rPr>
        <w:t xml:space="preserve"> shall continue.</w:t>
      </w:r>
    </w:p>
    <w:p w:rsidR="00E354DC" w:rsidRPr="008E55FE" w:rsidRDefault="00E354DC" w:rsidP="00E354DC">
      <w:pPr>
        <w:pStyle w:val="BodyTextIndent"/>
        <w:rPr>
          <w:rFonts w:ascii="Book Antiqua" w:hAnsi="Book Antiqua" w:cs="Arial"/>
          <w:sz w:val="24"/>
          <w:u w:val="single"/>
        </w:rPr>
      </w:pPr>
    </w:p>
    <w:p w:rsidR="004C7ABE" w:rsidRDefault="004C7ABE" w:rsidP="00D32B8A">
      <w:pPr>
        <w:pStyle w:val="BodyTextIndent"/>
        <w:ind w:left="0"/>
        <w:rPr>
          <w:rFonts w:ascii="Book Antiqua" w:hAnsi="Book Antiqua" w:cs="Arial"/>
          <w:sz w:val="24"/>
        </w:rPr>
      </w:pP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E354DC">
        <w:rPr>
          <w:rFonts w:ascii="Book Antiqua" w:hAnsi="Book Antiqua" w:cs="Arial"/>
          <w:color w:val="000000"/>
          <w:sz w:val="24"/>
        </w:rPr>
        <w:t xml:space="preserve">Judge </w:t>
      </w:r>
      <w:r w:rsidR="00E54934">
        <w:rPr>
          <w:rFonts w:ascii="Book Antiqua" w:hAnsi="Book Antiqua" w:cs="Arial"/>
          <w:color w:val="000000"/>
          <w:sz w:val="24"/>
        </w:rPr>
        <w:t>Hanson</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Dated the </w:t>
      </w:r>
      <w:r w:rsidRPr="00D32B8A">
        <w:rPr>
          <w:rFonts w:ascii="Book Antiqua" w:hAnsi="Book Antiqua" w:cs="Arial"/>
          <w:sz w:val="24"/>
        </w:rPr>
        <w:fldChar w:fldCharType="begin">
          <w:ffData>
            <w:name w:val="Text23"/>
            <w:enabled/>
            <w:calcOnExit w:val="0"/>
            <w:textInput/>
          </w:ffData>
        </w:fldChar>
      </w:r>
      <w:bookmarkStart w:id="2" w:name="Text23"/>
      <w:r w:rsidRPr="00D32B8A">
        <w:rPr>
          <w:rFonts w:ascii="Book Antiqua" w:hAnsi="Book Antiqua" w:cs="Arial"/>
          <w:sz w:val="24"/>
        </w:rPr>
        <w:instrText xml:space="preserve"> FORMTEXT </w:instrText>
      </w:r>
      <w:r w:rsidRPr="00D32B8A">
        <w:rPr>
          <w:rFonts w:ascii="Book Antiqua" w:hAnsi="Book Antiqua" w:cs="Arial"/>
          <w:sz w:val="24"/>
        </w:rPr>
      </w:r>
      <w:r w:rsidRPr="00D32B8A">
        <w:rPr>
          <w:rFonts w:ascii="Book Antiqua" w:hAnsi="Book Antiqua" w:cs="Arial"/>
          <w:sz w:val="24"/>
        </w:rPr>
        <w:fldChar w:fldCharType="separate"/>
      </w:r>
      <w:r w:rsidR="00E354DC">
        <w:rPr>
          <w:rFonts w:ascii="Book Antiqua" w:eastAsia="Arial Unicode MS" w:hAnsi="Arial Unicode MS" w:cs="Arial Unicode MS"/>
          <w:noProof/>
          <w:sz w:val="24"/>
        </w:rPr>
        <w:t>13 July 2018</w:t>
      </w:r>
      <w:r w:rsidRPr="00D32B8A">
        <w:rPr>
          <w:rFonts w:ascii="Book Antiqua" w:hAnsi="Book Antiqua" w:cs="Arial"/>
          <w:sz w:val="24"/>
        </w:rPr>
        <w:fldChar w:fldCharType="end"/>
      </w:r>
      <w:bookmarkEnd w:id="2"/>
    </w:p>
    <w:p w:rsidR="00BF23BB" w:rsidRPr="00D32B8A" w:rsidRDefault="00BF23BB" w:rsidP="00BF23BB">
      <w:pPr>
        <w:tabs>
          <w:tab w:val="left" w:pos="567"/>
        </w:tabs>
        <w:ind w:left="567" w:hanging="567"/>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9F5220" w:rsidRPr="00D32B8A" w:rsidRDefault="009F5220" w:rsidP="00780F86">
      <w:pPr>
        <w:ind w:left="540" w:hanging="540"/>
        <w:jc w:val="both"/>
        <w:rPr>
          <w:rFonts w:ascii="Book Antiqua" w:hAnsi="Book Antiqua" w:cs="Arial"/>
        </w:rPr>
      </w:pPr>
    </w:p>
    <w:p w:rsidR="001F2716" w:rsidRPr="00D32B8A" w:rsidRDefault="001F2716" w:rsidP="00780F86">
      <w:pPr>
        <w:ind w:left="540" w:hanging="540"/>
        <w:jc w:val="both"/>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1F2716" w:rsidRPr="00F97703" w:rsidRDefault="001F2716" w:rsidP="00593821">
      <w:pPr>
        <w:tabs>
          <w:tab w:val="left" w:pos="2520"/>
        </w:tabs>
        <w:ind w:left="4508" w:hanging="539"/>
        <w:rPr>
          <w:rFonts w:ascii="Book Antiqua" w:hAnsi="Book Antiqua" w:cs="Arial"/>
        </w:rPr>
      </w:pPr>
    </w:p>
    <w:p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296" w:rsidRDefault="00F97296">
      <w:r>
        <w:separator/>
      </w:r>
    </w:p>
  </w:endnote>
  <w:endnote w:type="continuationSeparator" w:id="0">
    <w:p w:rsidR="00F97296" w:rsidRDefault="00F9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14D79">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296" w:rsidRDefault="00F97296">
      <w:r>
        <w:separator/>
      </w:r>
    </w:p>
  </w:footnote>
  <w:footnote w:type="continuationSeparator" w:id="0">
    <w:p w:rsidR="00F97296" w:rsidRDefault="00F97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7B7643">
      <w:rPr>
        <w:rFonts w:ascii="Arial" w:hAnsi="Arial" w:cs="Arial"/>
        <w:sz w:val="16"/>
        <w:szCs w:val="16"/>
      </w:rPr>
      <w:t>AA/01248/2012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44C2287C"/>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76FE671-565E-4228-AEBD-09E600EAC0C3}"/>
    <w:docVar w:name="dgnword-eventsink" w:val="421986928"/>
  </w:docVars>
  <w:rsids>
    <w:rsidRoot w:val="00C26032"/>
    <w:rsid w:val="00000621"/>
    <w:rsid w:val="0000285C"/>
    <w:rsid w:val="000036C2"/>
    <w:rsid w:val="00033D3D"/>
    <w:rsid w:val="00057601"/>
    <w:rsid w:val="00062F02"/>
    <w:rsid w:val="00071A7E"/>
    <w:rsid w:val="000746C0"/>
    <w:rsid w:val="00074D1D"/>
    <w:rsid w:val="00090CF9"/>
    <w:rsid w:val="00092580"/>
    <w:rsid w:val="00093D4D"/>
    <w:rsid w:val="000D5D94"/>
    <w:rsid w:val="000F1A0E"/>
    <w:rsid w:val="001165A7"/>
    <w:rsid w:val="00167D3A"/>
    <w:rsid w:val="001A3082"/>
    <w:rsid w:val="001B186A"/>
    <w:rsid w:val="001B2F75"/>
    <w:rsid w:val="001F2716"/>
    <w:rsid w:val="00207617"/>
    <w:rsid w:val="0023134B"/>
    <w:rsid w:val="00237CDE"/>
    <w:rsid w:val="00243EB4"/>
    <w:rsid w:val="0026015E"/>
    <w:rsid w:val="002667BE"/>
    <w:rsid w:val="00270E13"/>
    <w:rsid w:val="00283659"/>
    <w:rsid w:val="002B5149"/>
    <w:rsid w:val="002C6BD4"/>
    <w:rsid w:val="002D68BF"/>
    <w:rsid w:val="002F6B98"/>
    <w:rsid w:val="00324B30"/>
    <w:rsid w:val="00336CBF"/>
    <w:rsid w:val="00343FE3"/>
    <w:rsid w:val="003446EF"/>
    <w:rsid w:val="003546C8"/>
    <w:rsid w:val="003A7CF2"/>
    <w:rsid w:val="003C5723"/>
    <w:rsid w:val="003C5CE5"/>
    <w:rsid w:val="003E267B"/>
    <w:rsid w:val="003E5773"/>
    <w:rsid w:val="003E7CD1"/>
    <w:rsid w:val="00402B9E"/>
    <w:rsid w:val="00412714"/>
    <w:rsid w:val="00420643"/>
    <w:rsid w:val="004249CB"/>
    <w:rsid w:val="0044127D"/>
    <w:rsid w:val="004448DB"/>
    <w:rsid w:val="00446C9A"/>
    <w:rsid w:val="00452F2B"/>
    <w:rsid w:val="00477193"/>
    <w:rsid w:val="004A1848"/>
    <w:rsid w:val="004A6F4A"/>
    <w:rsid w:val="004C7ABE"/>
    <w:rsid w:val="004E4717"/>
    <w:rsid w:val="005035E7"/>
    <w:rsid w:val="00507FEC"/>
    <w:rsid w:val="00510F0E"/>
    <w:rsid w:val="00520CF2"/>
    <w:rsid w:val="00542C29"/>
    <w:rsid w:val="005479E1"/>
    <w:rsid w:val="00553E0A"/>
    <w:rsid w:val="00555A63"/>
    <w:rsid w:val="005570FD"/>
    <w:rsid w:val="005575EA"/>
    <w:rsid w:val="00573484"/>
    <w:rsid w:val="0057790C"/>
    <w:rsid w:val="00593795"/>
    <w:rsid w:val="00593821"/>
    <w:rsid w:val="005A549B"/>
    <w:rsid w:val="005A75FF"/>
    <w:rsid w:val="005D10AB"/>
    <w:rsid w:val="005F1F19"/>
    <w:rsid w:val="00601D8F"/>
    <w:rsid w:val="00611011"/>
    <w:rsid w:val="00611B31"/>
    <w:rsid w:val="006419B9"/>
    <w:rsid w:val="00653E97"/>
    <w:rsid w:val="00676204"/>
    <w:rsid w:val="00684A74"/>
    <w:rsid w:val="00690B8A"/>
    <w:rsid w:val="006B04D4"/>
    <w:rsid w:val="006E370B"/>
    <w:rsid w:val="006F2CF1"/>
    <w:rsid w:val="007038ED"/>
    <w:rsid w:val="00703BC3"/>
    <w:rsid w:val="00704B61"/>
    <w:rsid w:val="00714D79"/>
    <w:rsid w:val="007334B3"/>
    <w:rsid w:val="007552A9"/>
    <w:rsid w:val="00761858"/>
    <w:rsid w:val="00767D59"/>
    <w:rsid w:val="00776E97"/>
    <w:rsid w:val="00780F86"/>
    <w:rsid w:val="007912AD"/>
    <w:rsid w:val="007A37E8"/>
    <w:rsid w:val="007B0824"/>
    <w:rsid w:val="007B5D3C"/>
    <w:rsid w:val="007B7643"/>
    <w:rsid w:val="0080410F"/>
    <w:rsid w:val="00813355"/>
    <w:rsid w:val="00821B72"/>
    <w:rsid w:val="00823EF2"/>
    <w:rsid w:val="00825708"/>
    <w:rsid w:val="008303B8"/>
    <w:rsid w:val="00833DCE"/>
    <w:rsid w:val="00870C49"/>
    <w:rsid w:val="00871D34"/>
    <w:rsid w:val="008B270C"/>
    <w:rsid w:val="008B382D"/>
    <w:rsid w:val="008B5078"/>
    <w:rsid w:val="008C3D3D"/>
    <w:rsid w:val="008D4131"/>
    <w:rsid w:val="008E55FE"/>
    <w:rsid w:val="008F06A6"/>
    <w:rsid w:val="008F1932"/>
    <w:rsid w:val="008F2F5B"/>
    <w:rsid w:val="00907F6B"/>
    <w:rsid w:val="00921062"/>
    <w:rsid w:val="00925AB2"/>
    <w:rsid w:val="009722BC"/>
    <w:rsid w:val="009727A3"/>
    <w:rsid w:val="00987774"/>
    <w:rsid w:val="009912B9"/>
    <w:rsid w:val="009A11E8"/>
    <w:rsid w:val="009D595D"/>
    <w:rsid w:val="009F5220"/>
    <w:rsid w:val="00A15234"/>
    <w:rsid w:val="00A201AB"/>
    <w:rsid w:val="00A240AA"/>
    <w:rsid w:val="00A253BF"/>
    <w:rsid w:val="00A31C8B"/>
    <w:rsid w:val="00A509FA"/>
    <w:rsid w:val="00A845DC"/>
    <w:rsid w:val="00AE582E"/>
    <w:rsid w:val="00B07018"/>
    <w:rsid w:val="00B26AA2"/>
    <w:rsid w:val="00B3524D"/>
    <w:rsid w:val="00B40F69"/>
    <w:rsid w:val="00B414F3"/>
    <w:rsid w:val="00B46616"/>
    <w:rsid w:val="00B467EA"/>
    <w:rsid w:val="00B7040A"/>
    <w:rsid w:val="00B83391"/>
    <w:rsid w:val="00B95326"/>
    <w:rsid w:val="00BD4196"/>
    <w:rsid w:val="00BE485D"/>
    <w:rsid w:val="00BF22CA"/>
    <w:rsid w:val="00BF23BB"/>
    <w:rsid w:val="00C00877"/>
    <w:rsid w:val="00C108BA"/>
    <w:rsid w:val="00C12F97"/>
    <w:rsid w:val="00C26032"/>
    <w:rsid w:val="00C345E1"/>
    <w:rsid w:val="00C43BFD"/>
    <w:rsid w:val="00C51218"/>
    <w:rsid w:val="00CB6E35"/>
    <w:rsid w:val="00CE1A46"/>
    <w:rsid w:val="00CF1BD9"/>
    <w:rsid w:val="00D20757"/>
    <w:rsid w:val="00D22636"/>
    <w:rsid w:val="00D32B8A"/>
    <w:rsid w:val="00D40FD9"/>
    <w:rsid w:val="00D53769"/>
    <w:rsid w:val="00D63887"/>
    <w:rsid w:val="00D85C13"/>
    <w:rsid w:val="00D9111A"/>
    <w:rsid w:val="00D91BE3"/>
    <w:rsid w:val="00D94AFC"/>
    <w:rsid w:val="00DB06A9"/>
    <w:rsid w:val="00DB70AE"/>
    <w:rsid w:val="00DD5071"/>
    <w:rsid w:val="00DD5C39"/>
    <w:rsid w:val="00DE7DB7"/>
    <w:rsid w:val="00E00A0A"/>
    <w:rsid w:val="00E066DE"/>
    <w:rsid w:val="00E07F57"/>
    <w:rsid w:val="00E303E0"/>
    <w:rsid w:val="00E30683"/>
    <w:rsid w:val="00E354DC"/>
    <w:rsid w:val="00E453D8"/>
    <w:rsid w:val="00E50BCE"/>
    <w:rsid w:val="00E533BA"/>
    <w:rsid w:val="00E54934"/>
    <w:rsid w:val="00E574BF"/>
    <w:rsid w:val="00E61292"/>
    <w:rsid w:val="00E77C4D"/>
    <w:rsid w:val="00E80AD9"/>
    <w:rsid w:val="00E81D01"/>
    <w:rsid w:val="00EE43F3"/>
    <w:rsid w:val="00EE45D8"/>
    <w:rsid w:val="00F22EDA"/>
    <w:rsid w:val="00F97296"/>
    <w:rsid w:val="00F97703"/>
    <w:rsid w:val="00FB3BB0"/>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CC65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2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5B83-79F5-481C-972F-75CB512D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2013</Characters>
  <Application>Microsoft Office Word</Application>
  <DocSecurity>0</DocSecurity>
  <Lines>16</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2018-08-01T15:07:00Z</dcterms:created>
  <dcterms:modified xsi:type="dcterms:W3CDTF">2018-08-01T15:07:00Z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