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C15" w:rsidRPr="003335E7" w:rsidRDefault="004D5B92" w:rsidP="00485C15">
      <w:pPr>
        <w:jc w:val="center"/>
        <w:rPr>
          <w:rFonts w:ascii="Book Antiqua" w:hAnsi="Book Antiqua" w:cs="Arial"/>
          <w:color w:val="000000"/>
          <w:sz w:val="16"/>
          <w:szCs w:val="16"/>
        </w:rPr>
      </w:pPr>
      <w:r w:rsidRPr="003335E7">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485C15" w:rsidRPr="003335E7" w:rsidRDefault="00485C15" w:rsidP="00485C15">
      <w:pPr>
        <w:rPr>
          <w:rFonts w:ascii="Book Antiqua" w:hAnsi="Book Antiqua" w:cs="Arial"/>
          <w:color w:val="000000"/>
          <w:sz w:val="16"/>
          <w:szCs w:val="16"/>
        </w:rPr>
      </w:pPr>
    </w:p>
    <w:p w:rsidR="00485C15" w:rsidRPr="00C4371F" w:rsidRDefault="00485C15" w:rsidP="00485C15">
      <w:pPr>
        <w:tabs>
          <w:tab w:val="right" w:pos="9720"/>
        </w:tabs>
        <w:ind w:right="-82"/>
        <w:rPr>
          <w:rFonts w:ascii="Book Antiqua" w:hAnsi="Book Antiqua" w:cs="Arial"/>
          <w:b/>
          <w:color w:val="000000"/>
        </w:rPr>
      </w:pPr>
      <w:r>
        <w:rPr>
          <w:rFonts w:ascii="Book Antiqua" w:hAnsi="Book Antiqua" w:cs="Arial"/>
          <w:b/>
          <w:color w:val="000000"/>
        </w:rPr>
        <w:t>Upper</w:t>
      </w:r>
      <w:r w:rsidRPr="00C4371F">
        <w:rPr>
          <w:rFonts w:ascii="Book Antiqua" w:hAnsi="Book Antiqua" w:cs="Arial"/>
          <w:b/>
          <w:color w:val="000000"/>
        </w:rPr>
        <w:t xml:space="preserve"> Tribunal</w:t>
      </w:r>
    </w:p>
    <w:p w:rsidR="00485C15" w:rsidRPr="00C4371F" w:rsidRDefault="00485C15" w:rsidP="00485C15">
      <w:pPr>
        <w:tabs>
          <w:tab w:val="right" w:pos="9720"/>
        </w:tabs>
        <w:ind w:right="-82"/>
        <w:rPr>
          <w:rFonts w:ascii="Book Antiqua" w:hAnsi="Book Antiqua" w:cs="Arial"/>
          <w:color w:val="000000"/>
        </w:rPr>
      </w:pPr>
      <w:r w:rsidRPr="00C4371F">
        <w:rPr>
          <w:rFonts w:ascii="Book Antiqua" w:hAnsi="Book Antiqua" w:cs="Arial"/>
          <w:b/>
          <w:color w:val="000000"/>
        </w:rPr>
        <w:t>(Immigration and Asylum Chamber)</w:t>
      </w:r>
      <w:r w:rsidRPr="00C4371F">
        <w:rPr>
          <w:rFonts w:ascii="Book Antiqua" w:hAnsi="Book Antiqua" w:cs="Arial"/>
          <w:b/>
          <w:color w:val="000000"/>
        </w:rPr>
        <w:tab/>
      </w:r>
      <w:r w:rsidRPr="00C4371F">
        <w:rPr>
          <w:rFonts w:ascii="Book Antiqua" w:hAnsi="Book Antiqua" w:cs="Arial"/>
          <w:color w:val="000000"/>
        </w:rPr>
        <w:t xml:space="preserve">Appeal Number: </w:t>
      </w:r>
      <w:bookmarkStart w:id="0" w:name="_GoBack"/>
      <w:r w:rsidR="00F86BD2">
        <w:rPr>
          <w:rFonts w:ascii="Book Antiqua" w:hAnsi="Book Antiqua" w:cs="Arial"/>
          <w:color w:val="000000"/>
        </w:rPr>
        <w:t>AA/06097/2015</w:t>
      </w:r>
      <w:bookmarkEnd w:id="0"/>
    </w:p>
    <w:p w:rsidR="00485C15" w:rsidRPr="00C4371F" w:rsidRDefault="00485C15" w:rsidP="00485C15">
      <w:pPr>
        <w:jc w:val="center"/>
        <w:rPr>
          <w:rFonts w:ascii="Book Antiqua" w:hAnsi="Book Antiqua" w:cs="Arial"/>
          <w:color w:val="000000"/>
        </w:rPr>
      </w:pPr>
    </w:p>
    <w:p w:rsidR="00485C15" w:rsidRPr="00C4371F" w:rsidRDefault="00485C15" w:rsidP="00485C15">
      <w:pPr>
        <w:jc w:val="center"/>
        <w:rPr>
          <w:rFonts w:ascii="Book Antiqua" w:hAnsi="Book Antiqua" w:cs="Arial"/>
          <w:color w:val="000000"/>
        </w:rPr>
      </w:pPr>
    </w:p>
    <w:p w:rsidR="00485C15" w:rsidRPr="00C4371F" w:rsidRDefault="00485C15" w:rsidP="00485C15">
      <w:pPr>
        <w:jc w:val="center"/>
        <w:rPr>
          <w:rFonts w:ascii="Book Antiqua" w:hAnsi="Book Antiqua" w:cs="Arial"/>
          <w:b/>
          <w:color w:val="000000"/>
          <w:u w:val="single"/>
        </w:rPr>
      </w:pPr>
      <w:r w:rsidRPr="00C4371F">
        <w:rPr>
          <w:rFonts w:ascii="Book Antiqua" w:hAnsi="Book Antiqua" w:cs="Arial"/>
          <w:b/>
          <w:color w:val="000000"/>
          <w:u w:val="single"/>
        </w:rPr>
        <w:t>THE IMMIGRATION ACTS</w:t>
      </w:r>
    </w:p>
    <w:p w:rsidR="00485C15" w:rsidRPr="00C4371F" w:rsidRDefault="00485C15" w:rsidP="00485C15">
      <w:pPr>
        <w:jc w:val="center"/>
        <w:rPr>
          <w:rFonts w:ascii="Book Antiqua" w:hAnsi="Book Antiqua" w:cs="Arial"/>
          <w:b/>
          <w:u w:val="single"/>
        </w:rPr>
      </w:pPr>
    </w:p>
    <w:p w:rsidR="00485C15" w:rsidRPr="00C4371F" w:rsidRDefault="00485C15" w:rsidP="00485C15">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485C15" w:rsidRPr="00C4371F" w:rsidTr="00DF005E">
        <w:tc>
          <w:tcPr>
            <w:tcW w:w="6048" w:type="dxa"/>
          </w:tcPr>
          <w:p w:rsidR="00485C15" w:rsidRPr="00C4371F" w:rsidRDefault="00485C15" w:rsidP="00DF005E">
            <w:pPr>
              <w:jc w:val="both"/>
              <w:rPr>
                <w:rFonts w:ascii="Book Antiqua" w:hAnsi="Book Antiqua" w:cs="Arial"/>
                <w:b/>
              </w:rPr>
            </w:pPr>
            <w:r w:rsidRPr="00C4371F">
              <w:rPr>
                <w:rFonts w:ascii="Book Antiqua" w:hAnsi="Book Antiqua" w:cs="Arial"/>
                <w:b/>
              </w:rPr>
              <w:t xml:space="preserve">Heard at </w:t>
            </w:r>
            <w:r>
              <w:rPr>
                <w:rFonts w:ascii="Book Antiqua" w:hAnsi="Book Antiqua" w:cs="Arial"/>
                <w:b/>
              </w:rPr>
              <w:t>Field House</w:t>
            </w:r>
          </w:p>
        </w:tc>
        <w:tc>
          <w:tcPr>
            <w:tcW w:w="3960" w:type="dxa"/>
          </w:tcPr>
          <w:p w:rsidR="00485C15" w:rsidRPr="00C4371F" w:rsidRDefault="00485C15" w:rsidP="00DF005E">
            <w:pPr>
              <w:jc w:val="both"/>
              <w:rPr>
                <w:rFonts w:ascii="Book Antiqua" w:hAnsi="Book Antiqua" w:cs="Arial"/>
                <w:b/>
                <w:color w:val="000000"/>
              </w:rPr>
            </w:pPr>
            <w:r>
              <w:rPr>
                <w:rFonts w:ascii="Book Antiqua" w:hAnsi="Book Antiqua" w:cs="Arial"/>
                <w:b/>
                <w:color w:val="000000"/>
              </w:rPr>
              <w:t>Decision &amp; Reasons</w:t>
            </w:r>
            <w:r w:rsidRPr="00C4371F">
              <w:rPr>
                <w:rFonts w:ascii="Book Antiqua" w:hAnsi="Book Antiqua" w:cs="Arial"/>
                <w:b/>
                <w:color w:val="000000"/>
              </w:rPr>
              <w:t xml:space="preserve"> Promulgated</w:t>
            </w:r>
          </w:p>
        </w:tc>
      </w:tr>
      <w:tr w:rsidR="00485C15" w:rsidRPr="00C4371F" w:rsidTr="00DF005E">
        <w:tc>
          <w:tcPr>
            <w:tcW w:w="6048" w:type="dxa"/>
          </w:tcPr>
          <w:p w:rsidR="00485C15" w:rsidRPr="00C4371F" w:rsidRDefault="00485C15" w:rsidP="00DF005E">
            <w:pPr>
              <w:jc w:val="both"/>
              <w:rPr>
                <w:rFonts w:ascii="Book Antiqua" w:hAnsi="Book Antiqua" w:cs="Arial"/>
                <w:b/>
              </w:rPr>
            </w:pPr>
            <w:r w:rsidRPr="00C4371F">
              <w:rPr>
                <w:rFonts w:ascii="Book Antiqua" w:hAnsi="Book Antiqua" w:cs="Arial"/>
                <w:b/>
              </w:rPr>
              <w:t xml:space="preserve">On </w:t>
            </w:r>
            <w:r>
              <w:rPr>
                <w:rFonts w:ascii="Book Antiqua" w:hAnsi="Book Antiqua" w:cs="Arial"/>
                <w:b/>
              </w:rPr>
              <w:t>27</w:t>
            </w:r>
            <w:r w:rsidRPr="00485C15">
              <w:rPr>
                <w:rFonts w:ascii="Book Antiqua" w:hAnsi="Book Antiqua" w:cs="Arial"/>
                <w:b/>
                <w:vertAlign w:val="superscript"/>
              </w:rPr>
              <w:t>th</w:t>
            </w:r>
            <w:r>
              <w:rPr>
                <w:rFonts w:ascii="Book Antiqua" w:hAnsi="Book Antiqua" w:cs="Arial"/>
                <w:b/>
              </w:rPr>
              <w:t xml:space="preserve"> July 2018</w:t>
            </w:r>
          </w:p>
        </w:tc>
        <w:tc>
          <w:tcPr>
            <w:tcW w:w="3960" w:type="dxa"/>
          </w:tcPr>
          <w:p w:rsidR="00485C15" w:rsidRPr="00C4371F" w:rsidRDefault="004D5B92" w:rsidP="00DF005E">
            <w:pPr>
              <w:jc w:val="both"/>
              <w:rPr>
                <w:rFonts w:ascii="Book Antiqua" w:hAnsi="Book Antiqua" w:cs="Arial"/>
                <w:b/>
              </w:rPr>
            </w:pPr>
            <w:r>
              <w:rPr>
                <w:rFonts w:ascii="Book Antiqua" w:hAnsi="Book Antiqua" w:cs="Arial"/>
                <w:b/>
              </w:rPr>
              <w:t>On 5</w:t>
            </w:r>
            <w:r w:rsidRPr="004D5B92">
              <w:rPr>
                <w:rFonts w:ascii="Book Antiqua" w:hAnsi="Book Antiqua" w:cs="Arial"/>
                <w:b/>
                <w:vertAlign w:val="superscript"/>
              </w:rPr>
              <w:t>th</w:t>
            </w:r>
            <w:r>
              <w:rPr>
                <w:rFonts w:ascii="Book Antiqua" w:hAnsi="Book Antiqua" w:cs="Arial"/>
                <w:b/>
              </w:rPr>
              <w:t xml:space="preserve"> September 2018</w:t>
            </w:r>
          </w:p>
        </w:tc>
      </w:tr>
      <w:tr w:rsidR="00485C15" w:rsidRPr="00C4371F" w:rsidTr="00DF005E">
        <w:tc>
          <w:tcPr>
            <w:tcW w:w="6048" w:type="dxa"/>
          </w:tcPr>
          <w:p w:rsidR="00485C15" w:rsidRPr="00C4371F" w:rsidRDefault="00485C15" w:rsidP="00DF005E">
            <w:pPr>
              <w:jc w:val="both"/>
              <w:rPr>
                <w:rFonts w:ascii="Book Antiqua" w:hAnsi="Book Antiqua" w:cs="Arial"/>
                <w:b/>
              </w:rPr>
            </w:pPr>
          </w:p>
        </w:tc>
        <w:tc>
          <w:tcPr>
            <w:tcW w:w="3960" w:type="dxa"/>
          </w:tcPr>
          <w:p w:rsidR="00485C15" w:rsidRPr="00C4371F" w:rsidRDefault="00485C15" w:rsidP="00DF005E">
            <w:pPr>
              <w:jc w:val="both"/>
              <w:rPr>
                <w:rFonts w:ascii="Book Antiqua" w:hAnsi="Book Antiqua" w:cs="Arial"/>
                <w:b/>
              </w:rPr>
            </w:pPr>
          </w:p>
        </w:tc>
      </w:tr>
    </w:tbl>
    <w:p w:rsidR="00485C15" w:rsidRPr="00C4371F" w:rsidRDefault="00485C15" w:rsidP="00485C15">
      <w:pPr>
        <w:jc w:val="center"/>
        <w:rPr>
          <w:rFonts w:ascii="Book Antiqua" w:hAnsi="Book Antiqua" w:cs="Arial"/>
        </w:rPr>
      </w:pPr>
    </w:p>
    <w:p w:rsidR="00485C15" w:rsidRPr="00C4371F" w:rsidRDefault="00485C15" w:rsidP="00485C15">
      <w:pPr>
        <w:jc w:val="center"/>
        <w:rPr>
          <w:rFonts w:ascii="Book Antiqua" w:hAnsi="Book Antiqua" w:cs="Arial"/>
          <w:b/>
        </w:rPr>
      </w:pPr>
      <w:r w:rsidRPr="00C4371F">
        <w:rPr>
          <w:rFonts w:ascii="Book Antiqua" w:hAnsi="Book Antiqua" w:cs="Arial"/>
          <w:b/>
        </w:rPr>
        <w:t>Before</w:t>
      </w:r>
    </w:p>
    <w:p w:rsidR="00485C15" w:rsidRDefault="00485C15" w:rsidP="00485C15">
      <w:pPr>
        <w:jc w:val="center"/>
        <w:rPr>
          <w:rFonts w:ascii="Book Antiqua" w:hAnsi="Book Antiqua" w:cs="Arial"/>
          <w:b/>
        </w:rPr>
      </w:pPr>
    </w:p>
    <w:p w:rsidR="00485C15" w:rsidRPr="00C4371F" w:rsidRDefault="00485C15" w:rsidP="00485C15">
      <w:pPr>
        <w:jc w:val="center"/>
        <w:rPr>
          <w:rFonts w:ascii="Book Antiqua" w:hAnsi="Book Antiqua" w:cs="Arial"/>
          <w:b/>
        </w:rPr>
      </w:pPr>
      <w:r>
        <w:rPr>
          <w:rFonts w:ascii="Book Antiqua" w:hAnsi="Book Antiqua" w:cs="Arial"/>
          <w:b/>
        </w:rPr>
        <w:t xml:space="preserve">DEPUTY UPPER TRIBUNAL JUDGE </w:t>
      </w:r>
      <w:r w:rsidRPr="00C4371F">
        <w:rPr>
          <w:rFonts w:ascii="Book Antiqua" w:hAnsi="Book Antiqua" w:cs="Arial"/>
          <w:b/>
        </w:rPr>
        <w:t>RIMINGTON</w:t>
      </w:r>
    </w:p>
    <w:p w:rsidR="00485C15" w:rsidRDefault="00485C15" w:rsidP="00485C15">
      <w:pPr>
        <w:jc w:val="center"/>
        <w:rPr>
          <w:rFonts w:ascii="Book Antiqua" w:hAnsi="Book Antiqua" w:cs="Arial"/>
          <w:b/>
        </w:rPr>
      </w:pPr>
    </w:p>
    <w:p w:rsidR="003335E7" w:rsidRPr="00C4371F" w:rsidRDefault="003335E7" w:rsidP="00485C15">
      <w:pPr>
        <w:jc w:val="center"/>
        <w:rPr>
          <w:rFonts w:ascii="Book Antiqua" w:hAnsi="Book Antiqua" w:cs="Arial"/>
          <w:b/>
        </w:rPr>
      </w:pPr>
    </w:p>
    <w:p w:rsidR="00485C15" w:rsidRPr="00C4371F" w:rsidRDefault="00485C15" w:rsidP="00485C15">
      <w:pPr>
        <w:jc w:val="center"/>
        <w:rPr>
          <w:rFonts w:ascii="Book Antiqua" w:hAnsi="Book Antiqua" w:cs="Arial"/>
          <w:b/>
        </w:rPr>
      </w:pPr>
      <w:r w:rsidRPr="00C4371F">
        <w:rPr>
          <w:rFonts w:ascii="Book Antiqua" w:hAnsi="Book Antiqua" w:cs="Arial"/>
          <w:b/>
        </w:rPr>
        <w:t>Between</w:t>
      </w:r>
    </w:p>
    <w:p w:rsidR="00485C15" w:rsidRPr="00C4371F" w:rsidRDefault="00485C15" w:rsidP="00485C15">
      <w:pPr>
        <w:jc w:val="center"/>
        <w:rPr>
          <w:rFonts w:ascii="Book Antiqua" w:hAnsi="Book Antiqua" w:cs="Arial"/>
          <w:b/>
        </w:rPr>
      </w:pPr>
    </w:p>
    <w:p w:rsidR="00485C15" w:rsidRDefault="00485C15" w:rsidP="00485C15">
      <w:pPr>
        <w:jc w:val="center"/>
        <w:rPr>
          <w:rFonts w:ascii="Book Antiqua" w:hAnsi="Book Antiqua" w:cs="Arial"/>
          <w:b/>
          <w:caps/>
        </w:rPr>
      </w:pPr>
      <w:r>
        <w:rPr>
          <w:rFonts w:ascii="Book Antiqua" w:hAnsi="Book Antiqua" w:cs="Arial"/>
          <w:b/>
          <w:caps/>
        </w:rPr>
        <w:t>Mr VV</w:t>
      </w:r>
    </w:p>
    <w:p w:rsidR="00485C15" w:rsidRPr="003335E7" w:rsidRDefault="00485C15" w:rsidP="00485C15">
      <w:pPr>
        <w:jc w:val="center"/>
        <w:rPr>
          <w:rFonts w:ascii="Book Antiqua" w:hAnsi="Book Antiqua" w:cs="Arial"/>
          <w:b/>
          <w:caps/>
          <w:sz w:val="22"/>
        </w:rPr>
      </w:pPr>
      <w:r w:rsidRPr="003335E7">
        <w:rPr>
          <w:rFonts w:ascii="Book Antiqua" w:hAnsi="Book Antiqua" w:cs="Arial"/>
          <w:b/>
          <w:caps/>
          <w:sz w:val="22"/>
        </w:rPr>
        <w:t xml:space="preserve">(aNONYMITY DIRECTION </w:t>
      </w:r>
      <w:r w:rsidRPr="003335E7">
        <w:rPr>
          <w:rFonts w:ascii="Book Antiqua" w:hAnsi="Book Antiqua" w:cs="Arial"/>
          <w:b/>
          <w:caps/>
          <w:sz w:val="22"/>
        </w:rPr>
        <w:fldChar w:fldCharType="begin">
          <w:ffData>
            <w:name w:val=""/>
            <w:enabled/>
            <w:calcOnExit w:val="0"/>
            <w:textInput>
              <w:default w:val="MADE"/>
            </w:textInput>
          </w:ffData>
        </w:fldChar>
      </w:r>
      <w:r w:rsidRPr="003335E7">
        <w:rPr>
          <w:rFonts w:ascii="Book Antiqua" w:hAnsi="Book Antiqua" w:cs="Arial"/>
          <w:b/>
          <w:caps/>
          <w:sz w:val="22"/>
        </w:rPr>
        <w:instrText xml:space="preserve"> FORMTEXT </w:instrText>
      </w:r>
      <w:r w:rsidRPr="003335E7">
        <w:rPr>
          <w:rFonts w:ascii="Book Antiqua" w:hAnsi="Book Antiqua" w:cs="Arial"/>
          <w:b/>
          <w:caps/>
          <w:sz w:val="22"/>
        </w:rPr>
      </w:r>
      <w:r w:rsidRPr="003335E7">
        <w:rPr>
          <w:rFonts w:ascii="Book Antiqua" w:hAnsi="Book Antiqua" w:cs="Arial"/>
          <w:b/>
          <w:caps/>
          <w:sz w:val="22"/>
        </w:rPr>
        <w:fldChar w:fldCharType="separate"/>
      </w:r>
      <w:r w:rsidRPr="003335E7">
        <w:rPr>
          <w:rFonts w:ascii="Book Antiqua" w:hAnsi="Book Antiqua" w:cs="Arial"/>
          <w:b/>
          <w:caps/>
          <w:noProof/>
          <w:sz w:val="22"/>
        </w:rPr>
        <w:t>MADE</w:t>
      </w:r>
      <w:r w:rsidRPr="003335E7">
        <w:rPr>
          <w:rFonts w:ascii="Book Antiqua" w:hAnsi="Book Antiqua" w:cs="Arial"/>
          <w:b/>
          <w:caps/>
          <w:sz w:val="22"/>
        </w:rPr>
        <w:fldChar w:fldCharType="end"/>
      </w:r>
      <w:r w:rsidRPr="003335E7">
        <w:rPr>
          <w:rFonts w:ascii="Book Antiqua" w:hAnsi="Book Antiqua" w:cs="Arial"/>
          <w:b/>
          <w:caps/>
          <w:sz w:val="22"/>
        </w:rPr>
        <w:t>)</w:t>
      </w:r>
    </w:p>
    <w:p w:rsidR="00485C15" w:rsidRPr="00C4371F" w:rsidRDefault="00485C15" w:rsidP="00485C15">
      <w:pPr>
        <w:jc w:val="right"/>
        <w:rPr>
          <w:rFonts w:ascii="Book Antiqua" w:hAnsi="Book Antiqua" w:cs="Arial"/>
          <w:u w:val="single"/>
        </w:rPr>
      </w:pPr>
      <w:r w:rsidRPr="00C4371F">
        <w:rPr>
          <w:rFonts w:ascii="Book Antiqua" w:hAnsi="Book Antiqua" w:cs="Arial"/>
          <w:u w:val="single"/>
        </w:rPr>
        <w:t>Appellant</w:t>
      </w:r>
    </w:p>
    <w:p w:rsidR="00485C15" w:rsidRPr="00C4371F" w:rsidRDefault="00485C15" w:rsidP="00485C15">
      <w:pPr>
        <w:jc w:val="center"/>
        <w:rPr>
          <w:rFonts w:ascii="Book Antiqua" w:hAnsi="Book Antiqua" w:cs="Arial"/>
          <w:b/>
        </w:rPr>
      </w:pPr>
      <w:r w:rsidRPr="00C4371F">
        <w:rPr>
          <w:rFonts w:ascii="Book Antiqua" w:hAnsi="Book Antiqua" w:cs="Arial"/>
          <w:b/>
        </w:rPr>
        <w:t>and</w:t>
      </w:r>
    </w:p>
    <w:p w:rsidR="00485C15" w:rsidRPr="00C4371F" w:rsidRDefault="00485C15" w:rsidP="00485C15">
      <w:pPr>
        <w:jc w:val="center"/>
        <w:rPr>
          <w:rFonts w:ascii="Book Antiqua" w:hAnsi="Book Antiqua" w:cs="Arial"/>
          <w:b/>
        </w:rPr>
      </w:pPr>
    </w:p>
    <w:p w:rsidR="00485C15" w:rsidRPr="00C4371F" w:rsidRDefault="00485C15" w:rsidP="00485C15">
      <w:pPr>
        <w:jc w:val="center"/>
        <w:rPr>
          <w:rFonts w:ascii="Book Antiqua" w:hAnsi="Book Antiqua" w:cs="Arial"/>
          <w:b/>
        </w:rPr>
      </w:pPr>
      <w:r w:rsidRPr="00C4371F">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C4371F">
        <w:rPr>
          <w:rFonts w:ascii="Book Antiqua" w:hAnsi="Book Antiqua" w:cs="Arial"/>
          <w:b/>
        </w:rPr>
        <w:instrText xml:space="preserve"> FORMTEXT </w:instrText>
      </w:r>
      <w:r w:rsidRPr="00C4371F">
        <w:rPr>
          <w:rFonts w:ascii="Book Antiqua" w:hAnsi="Book Antiqua" w:cs="Arial"/>
          <w:b/>
        </w:rPr>
      </w:r>
      <w:r w:rsidRPr="00C4371F">
        <w:rPr>
          <w:rFonts w:ascii="Book Antiqua" w:hAnsi="Book Antiqua" w:cs="Arial"/>
          <w:b/>
        </w:rPr>
        <w:fldChar w:fldCharType="separate"/>
      </w:r>
      <w:r w:rsidRPr="00C4371F">
        <w:rPr>
          <w:rFonts w:ascii="Book Antiqua" w:hAnsi="Book Antiqua" w:cs="Arial"/>
          <w:b/>
          <w:noProof/>
        </w:rPr>
        <w:t>THE SECRETARY OF STATE FOR THE HOME DEPARTMENT</w:t>
      </w:r>
      <w:r w:rsidRPr="00C4371F">
        <w:rPr>
          <w:rFonts w:ascii="Book Antiqua" w:hAnsi="Book Antiqua" w:cs="Arial"/>
          <w:b/>
        </w:rPr>
        <w:fldChar w:fldCharType="end"/>
      </w:r>
      <w:bookmarkEnd w:id="1"/>
    </w:p>
    <w:p w:rsidR="00485C15" w:rsidRPr="00C4371F" w:rsidRDefault="00485C15" w:rsidP="00485C15">
      <w:pPr>
        <w:jc w:val="right"/>
        <w:rPr>
          <w:rFonts w:ascii="Book Antiqua" w:hAnsi="Book Antiqua" w:cs="Arial"/>
          <w:u w:val="single"/>
        </w:rPr>
      </w:pPr>
      <w:r w:rsidRPr="00C4371F">
        <w:rPr>
          <w:rFonts w:ascii="Book Antiqua" w:hAnsi="Book Antiqua" w:cs="Arial"/>
          <w:u w:val="single"/>
        </w:rPr>
        <w:t>Respondent</w:t>
      </w:r>
    </w:p>
    <w:p w:rsidR="00485C15" w:rsidRDefault="00485C15" w:rsidP="00485C15">
      <w:pPr>
        <w:rPr>
          <w:rFonts w:ascii="Book Antiqua" w:hAnsi="Book Antiqua" w:cs="Arial"/>
          <w:u w:val="single"/>
        </w:rPr>
      </w:pPr>
    </w:p>
    <w:p w:rsidR="003335E7" w:rsidRPr="00C4371F" w:rsidRDefault="003335E7" w:rsidP="00485C15">
      <w:pPr>
        <w:rPr>
          <w:rFonts w:ascii="Book Antiqua" w:hAnsi="Book Antiqua" w:cs="Arial"/>
          <w:u w:val="single"/>
        </w:rPr>
      </w:pPr>
    </w:p>
    <w:p w:rsidR="00485C15" w:rsidRPr="00C4371F" w:rsidRDefault="00485C15" w:rsidP="00485C15">
      <w:pPr>
        <w:rPr>
          <w:rFonts w:ascii="Book Antiqua" w:hAnsi="Book Antiqua" w:cs="Arial"/>
        </w:rPr>
      </w:pPr>
      <w:r w:rsidRPr="00C4371F">
        <w:rPr>
          <w:rFonts w:ascii="Book Antiqua" w:hAnsi="Book Antiqua" w:cs="Arial"/>
          <w:b/>
          <w:u w:val="single"/>
        </w:rPr>
        <w:t>Representation</w:t>
      </w:r>
      <w:r w:rsidRPr="00C4371F">
        <w:rPr>
          <w:rFonts w:ascii="Book Antiqua" w:hAnsi="Book Antiqua" w:cs="Arial"/>
          <w:b/>
        </w:rPr>
        <w:t>:</w:t>
      </w:r>
    </w:p>
    <w:p w:rsidR="00485C15" w:rsidRPr="00C4371F" w:rsidRDefault="00485C15" w:rsidP="003335E7">
      <w:pPr>
        <w:tabs>
          <w:tab w:val="left" w:pos="2552"/>
        </w:tabs>
        <w:rPr>
          <w:rFonts w:ascii="Book Antiqua" w:hAnsi="Book Antiqua" w:cs="Arial"/>
        </w:rPr>
      </w:pPr>
      <w:r w:rsidRPr="00C4371F">
        <w:rPr>
          <w:rFonts w:ascii="Book Antiqua" w:hAnsi="Book Antiqua" w:cs="Arial"/>
        </w:rPr>
        <w:t>For the Appellant:</w:t>
      </w:r>
      <w:r w:rsidRPr="00C4371F">
        <w:rPr>
          <w:rFonts w:ascii="Book Antiqua" w:hAnsi="Book Antiqua" w:cs="Arial"/>
        </w:rPr>
        <w:tab/>
      </w:r>
      <w:r>
        <w:rPr>
          <w:rFonts w:ascii="Book Antiqua" w:hAnsi="Book Antiqua" w:cs="Arial"/>
        </w:rPr>
        <w:t>Ms Solanki, Counsel, instructed by Greater London Solicitors</w:t>
      </w:r>
    </w:p>
    <w:p w:rsidR="00485C15" w:rsidRPr="00C4371F" w:rsidRDefault="00485C15" w:rsidP="003335E7">
      <w:pPr>
        <w:tabs>
          <w:tab w:val="left" w:pos="2552"/>
        </w:tabs>
        <w:rPr>
          <w:rFonts w:ascii="Book Antiqua" w:hAnsi="Book Antiqua" w:cs="Arial"/>
        </w:rPr>
      </w:pPr>
      <w:r w:rsidRPr="00C4371F">
        <w:rPr>
          <w:rFonts w:ascii="Book Antiqua" w:hAnsi="Book Antiqua" w:cs="Arial"/>
        </w:rPr>
        <w:t>For the Respondent:</w:t>
      </w:r>
      <w:r w:rsidRPr="00C4371F">
        <w:rPr>
          <w:rFonts w:ascii="Book Antiqua" w:hAnsi="Book Antiqua" w:cs="Arial"/>
        </w:rPr>
        <w:tab/>
      </w:r>
      <w:r>
        <w:rPr>
          <w:rFonts w:ascii="Book Antiqua" w:hAnsi="Book Antiqua" w:cs="Arial"/>
        </w:rPr>
        <w:t xml:space="preserve">Mr E </w:t>
      </w:r>
      <w:proofErr w:type="spellStart"/>
      <w:r>
        <w:rPr>
          <w:rFonts w:ascii="Book Antiqua" w:hAnsi="Book Antiqua" w:cs="Arial"/>
        </w:rPr>
        <w:t>Tufan</w:t>
      </w:r>
      <w:proofErr w:type="spellEnd"/>
      <w:r>
        <w:rPr>
          <w:rFonts w:ascii="Book Antiqua" w:hAnsi="Book Antiqua" w:cs="Arial"/>
        </w:rPr>
        <w:t xml:space="preserve">, Home Office Presenting Officer </w:t>
      </w:r>
    </w:p>
    <w:p w:rsidR="00485C15" w:rsidRPr="00C4371F" w:rsidRDefault="00485C15" w:rsidP="00485C15">
      <w:pPr>
        <w:tabs>
          <w:tab w:val="left" w:pos="2520"/>
        </w:tabs>
        <w:jc w:val="center"/>
        <w:rPr>
          <w:rFonts w:ascii="Book Antiqua" w:hAnsi="Book Antiqua" w:cs="Arial"/>
        </w:rPr>
      </w:pPr>
    </w:p>
    <w:p w:rsidR="00485C15" w:rsidRPr="00C4371F" w:rsidRDefault="00485C15" w:rsidP="00485C15">
      <w:pPr>
        <w:tabs>
          <w:tab w:val="left" w:pos="2520"/>
        </w:tabs>
        <w:jc w:val="center"/>
        <w:rPr>
          <w:rFonts w:ascii="Book Antiqua" w:hAnsi="Book Antiqua" w:cs="Arial"/>
        </w:rPr>
      </w:pPr>
    </w:p>
    <w:p w:rsidR="00485C15" w:rsidRPr="00C4371F" w:rsidRDefault="00485C15" w:rsidP="00485C15">
      <w:pPr>
        <w:tabs>
          <w:tab w:val="left" w:pos="2520"/>
        </w:tabs>
        <w:jc w:val="center"/>
        <w:rPr>
          <w:rFonts w:ascii="Book Antiqua" w:hAnsi="Book Antiqua" w:cs="Arial"/>
        </w:rPr>
      </w:pPr>
      <w:r>
        <w:rPr>
          <w:rFonts w:ascii="Book Antiqua" w:hAnsi="Book Antiqua" w:cs="Arial"/>
          <w:b/>
          <w:u w:val="single"/>
        </w:rPr>
        <w:t xml:space="preserve">DECISION </w:t>
      </w:r>
      <w:r w:rsidRPr="00C4371F">
        <w:rPr>
          <w:rFonts w:ascii="Book Antiqua" w:hAnsi="Book Antiqua" w:cs="Arial"/>
          <w:b/>
          <w:u w:val="single"/>
        </w:rPr>
        <w:t>AND REASONS</w:t>
      </w:r>
    </w:p>
    <w:p w:rsidR="00485C15" w:rsidRDefault="00485C15" w:rsidP="00485C15">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appellant is a Sri Lankan national born on 28</w:t>
      </w:r>
      <w:r w:rsidRPr="00485C15">
        <w:rPr>
          <w:rFonts w:ascii="Book Antiqua" w:hAnsi="Book Antiqua" w:cs="Arial"/>
          <w:vertAlign w:val="superscript"/>
        </w:rPr>
        <w:t>th</w:t>
      </w:r>
      <w:r>
        <w:rPr>
          <w:rFonts w:ascii="Book Antiqua" w:hAnsi="Book Antiqua" w:cs="Arial"/>
        </w:rPr>
        <w:t xml:space="preserve"> February 1988 and he arrived in UK </w:t>
      </w:r>
      <w:r w:rsidR="00D1167D">
        <w:rPr>
          <w:rFonts w:ascii="Book Antiqua" w:hAnsi="Book Antiqua" w:cs="Arial"/>
        </w:rPr>
        <w:t xml:space="preserve">in October 2009 </w:t>
      </w:r>
      <w:r>
        <w:rPr>
          <w:rFonts w:ascii="Book Antiqua" w:hAnsi="Book Antiqua" w:cs="Arial"/>
        </w:rPr>
        <w:t>on a student visa which was subsequently extended.  He appealed against the decision of the respondent made on 19</w:t>
      </w:r>
      <w:r w:rsidRPr="00485C15">
        <w:rPr>
          <w:rFonts w:ascii="Book Antiqua" w:hAnsi="Book Antiqua" w:cs="Arial"/>
          <w:vertAlign w:val="superscript"/>
        </w:rPr>
        <w:t>th</w:t>
      </w:r>
      <w:r>
        <w:rPr>
          <w:rFonts w:ascii="Book Antiqua" w:hAnsi="Book Antiqua" w:cs="Arial"/>
        </w:rPr>
        <w:t xml:space="preserve"> March 2015 to refuse </w:t>
      </w:r>
      <w:r w:rsidR="003B0718">
        <w:rPr>
          <w:rFonts w:ascii="Book Antiqua" w:hAnsi="Book Antiqua" w:cs="Arial"/>
        </w:rPr>
        <w:t>his claim</w:t>
      </w:r>
      <w:r>
        <w:rPr>
          <w:rFonts w:ascii="Book Antiqua" w:hAnsi="Book Antiqua" w:cs="Arial"/>
        </w:rPr>
        <w:t xml:space="preserve"> for asylum, humanitarian protection and protection under the European Convention on Human Rights. </w:t>
      </w:r>
    </w:p>
    <w:p w:rsidR="00485C15" w:rsidRDefault="003B0718" w:rsidP="00485C15">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w:t>
      </w:r>
      <w:r w:rsidR="00485C15">
        <w:rPr>
          <w:rFonts w:ascii="Book Antiqua" w:hAnsi="Book Antiqua" w:cs="Arial"/>
        </w:rPr>
        <w:t xml:space="preserve">he appellant was born in </w:t>
      </w:r>
      <w:proofErr w:type="spellStart"/>
      <w:r w:rsidR="00485C15">
        <w:rPr>
          <w:rFonts w:ascii="Book Antiqua" w:hAnsi="Book Antiqua" w:cs="Arial"/>
        </w:rPr>
        <w:t>Batticoloa</w:t>
      </w:r>
      <w:proofErr w:type="spellEnd"/>
      <w:r w:rsidR="00485C15">
        <w:rPr>
          <w:rFonts w:ascii="Book Antiqua" w:hAnsi="Book Antiqua" w:cs="Arial"/>
        </w:rPr>
        <w:t xml:space="preserve"> and </w:t>
      </w:r>
      <w:r>
        <w:rPr>
          <w:rFonts w:ascii="Book Antiqua" w:hAnsi="Book Antiqua" w:cs="Arial"/>
        </w:rPr>
        <w:t xml:space="preserve">advances that he </w:t>
      </w:r>
      <w:r w:rsidR="00485C15">
        <w:rPr>
          <w:rFonts w:ascii="Book Antiqua" w:hAnsi="Book Antiqua" w:cs="Arial"/>
        </w:rPr>
        <w:t>was forcibly taken in 2004 by the LTTE when visiting his aunt.  He was given traini</w:t>
      </w:r>
      <w:r>
        <w:rPr>
          <w:rFonts w:ascii="Book Antiqua" w:hAnsi="Book Antiqua" w:cs="Arial"/>
        </w:rPr>
        <w:t xml:space="preserve">ng and proceeded to spy for </w:t>
      </w:r>
      <w:r>
        <w:rPr>
          <w:rFonts w:ascii="Book Antiqua" w:hAnsi="Book Antiqua" w:cs="Arial"/>
        </w:rPr>
        <w:lastRenderedPageBreak/>
        <w:t>the LTTE</w:t>
      </w:r>
      <w:r w:rsidR="00485C15">
        <w:rPr>
          <w:rFonts w:ascii="Book Antiqua" w:hAnsi="Book Antiqua" w:cs="Arial"/>
        </w:rPr>
        <w:t xml:space="preserve"> in </w:t>
      </w:r>
      <w:smartTag w:uri="urn:schemas-microsoft-com:office:smarttags" w:element="City">
        <w:smartTag w:uri="urn:schemas-microsoft-com:office:smarttags" w:element="place">
          <w:r w:rsidR="00485C15">
            <w:rPr>
              <w:rFonts w:ascii="Book Antiqua" w:hAnsi="Book Antiqua" w:cs="Arial"/>
            </w:rPr>
            <w:t>Colombo</w:t>
          </w:r>
        </w:smartTag>
      </w:smartTag>
      <w:r w:rsidR="00485C15">
        <w:rPr>
          <w:rFonts w:ascii="Book Antiqua" w:hAnsi="Book Antiqua" w:cs="Arial"/>
        </w:rPr>
        <w:t xml:space="preserve">.  After January 2009 no one from the LTTE contacted him and he visited his parents in </w:t>
      </w:r>
      <w:proofErr w:type="spellStart"/>
      <w:r w:rsidR="00485C15">
        <w:rPr>
          <w:rFonts w:ascii="Book Antiqua" w:hAnsi="Book Antiqua" w:cs="Arial"/>
        </w:rPr>
        <w:t>Batticoloa</w:t>
      </w:r>
      <w:proofErr w:type="spellEnd"/>
      <w:r w:rsidR="00485C15">
        <w:rPr>
          <w:rFonts w:ascii="Book Antiqua" w:hAnsi="Book Antiqua" w:cs="Arial"/>
        </w:rPr>
        <w:t xml:space="preserve">, was arrested by the Sri Lankan authorities and taken to </w:t>
      </w:r>
      <w:proofErr w:type="spellStart"/>
      <w:r w:rsidR="0044587B">
        <w:rPr>
          <w:rFonts w:ascii="Book Antiqua" w:hAnsi="Book Antiqua" w:cs="Arial"/>
        </w:rPr>
        <w:t>Kaththankuddy</w:t>
      </w:r>
      <w:proofErr w:type="spellEnd"/>
      <w:r w:rsidR="00485C15">
        <w:rPr>
          <w:rFonts w:ascii="Book Antiqua" w:hAnsi="Book Antiqua" w:cs="Arial"/>
        </w:rPr>
        <w:t xml:space="preserve"> Police Station.  He was detained and interrogated and sexually a</w:t>
      </w:r>
      <w:r w:rsidR="00D1167D">
        <w:rPr>
          <w:rFonts w:ascii="Book Antiqua" w:hAnsi="Book Antiqua" w:cs="Arial"/>
        </w:rPr>
        <w:t xml:space="preserve">bused. He was removed, released, after payment of a bribe, </w:t>
      </w:r>
      <w:r w:rsidR="00485C15">
        <w:rPr>
          <w:rFonts w:ascii="Book Antiqua" w:hAnsi="Book Antiqua" w:cs="Arial"/>
        </w:rPr>
        <w:t xml:space="preserve">into the forest and collected by his father.  A student visa was arranged for him and he came to the </w:t>
      </w:r>
      <w:smartTag w:uri="urn:schemas-microsoft-com:office:smarttags" w:element="place">
        <w:smartTag w:uri="urn:schemas-microsoft-com:office:smarttags" w:element="country-region">
          <w:r w:rsidR="00485C15">
            <w:rPr>
              <w:rFonts w:ascii="Book Antiqua" w:hAnsi="Book Antiqua" w:cs="Arial"/>
            </w:rPr>
            <w:t>UK</w:t>
          </w:r>
        </w:smartTag>
      </w:smartTag>
      <w:r w:rsidR="00485C15">
        <w:rPr>
          <w:rFonts w:ascii="Book Antiqua" w:hAnsi="Book Antiqua" w:cs="Arial"/>
        </w:rPr>
        <w:t xml:space="preserve">. </w:t>
      </w:r>
      <w:r w:rsidR="00D1167D">
        <w:rPr>
          <w:rFonts w:ascii="Book Antiqua" w:hAnsi="Book Antiqua" w:cs="Arial"/>
        </w:rPr>
        <w:t xml:space="preserve"> In July 2012 his father informed him that people had come to his home in </w:t>
      </w:r>
      <w:smartTag w:uri="urn:schemas-microsoft-com:office:smarttags" w:element="country-region">
        <w:smartTag w:uri="urn:schemas-microsoft-com:office:smarttags" w:element="place">
          <w:r w:rsidR="00D1167D">
            <w:rPr>
              <w:rFonts w:ascii="Book Antiqua" w:hAnsi="Book Antiqua" w:cs="Arial"/>
            </w:rPr>
            <w:t>Sri Lanka</w:t>
          </w:r>
        </w:smartTag>
      </w:smartTag>
      <w:r w:rsidR="00D1167D">
        <w:rPr>
          <w:rFonts w:ascii="Book Antiqua" w:hAnsi="Book Antiqua" w:cs="Arial"/>
        </w:rPr>
        <w:t xml:space="preserve"> looking for him and his brother was kidnapped. In September 2013 his father was attacked and admitted to hospital.  Since his arrival in the </w:t>
      </w:r>
      <w:smartTag w:uri="urn:schemas-microsoft-com:office:smarttags" w:element="country-region">
        <w:smartTag w:uri="urn:schemas-microsoft-com:office:smarttags" w:element="place">
          <w:r w:rsidR="00D1167D">
            <w:rPr>
              <w:rFonts w:ascii="Book Antiqua" w:hAnsi="Book Antiqua" w:cs="Arial"/>
            </w:rPr>
            <w:t>UK</w:t>
          </w:r>
        </w:smartTag>
      </w:smartTag>
      <w:r w:rsidR="00D1167D">
        <w:rPr>
          <w:rFonts w:ascii="Book Antiqua" w:hAnsi="Book Antiqua" w:cs="Arial"/>
        </w:rPr>
        <w:t xml:space="preserve"> he </w:t>
      </w:r>
      <w:r>
        <w:rPr>
          <w:rFonts w:ascii="Book Antiqua" w:hAnsi="Book Antiqua" w:cs="Arial"/>
        </w:rPr>
        <w:t xml:space="preserve">asserts he </w:t>
      </w:r>
      <w:r w:rsidR="00D1167D">
        <w:rPr>
          <w:rFonts w:ascii="Book Antiqua" w:hAnsi="Book Antiqua" w:cs="Arial"/>
        </w:rPr>
        <w:t xml:space="preserve">has participated in protects against the </w:t>
      </w:r>
      <w:r w:rsidR="0044587B">
        <w:rPr>
          <w:rFonts w:ascii="Book Antiqua" w:hAnsi="Book Antiqua" w:cs="Arial"/>
        </w:rPr>
        <w:t>government</w:t>
      </w:r>
      <w:r>
        <w:rPr>
          <w:rFonts w:ascii="Book Antiqua" w:hAnsi="Book Antiqua" w:cs="Arial"/>
        </w:rPr>
        <w:t>, which would attract attention of the Sri Lankan authorities,</w:t>
      </w:r>
      <w:r w:rsidR="00D1167D">
        <w:rPr>
          <w:rFonts w:ascii="Book Antiqua" w:hAnsi="Book Antiqua" w:cs="Arial"/>
        </w:rPr>
        <w:t xml:space="preserve"> and his family</w:t>
      </w:r>
      <w:r>
        <w:rPr>
          <w:rFonts w:ascii="Book Antiqua" w:hAnsi="Book Antiqua" w:cs="Arial"/>
        </w:rPr>
        <w:t xml:space="preserve"> have been</w:t>
      </w:r>
      <w:r w:rsidR="00D1167D">
        <w:rPr>
          <w:rFonts w:ascii="Book Antiqua" w:hAnsi="Book Antiqua" w:cs="Arial"/>
        </w:rPr>
        <w:t xml:space="preserve"> harassed by the authorities. </w:t>
      </w:r>
      <w:r w:rsidR="00485C15">
        <w:rPr>
          <w:rFonts w:ascii="Book Antiqua" w:hAnsi="Book Antiqua" w:cs="Arial"/>
        </w:rPr>
        <w:t>His brother has</w:t>
      </w:r>
      <w:r w:rsidR="00D1167D">
        <w:rPr>
          <w:rFonts w:ascii="Book Antiqua" w:hAnsi="Book Antiqua" w:cs="Arial"/>
        </w:rPr>
        <w:t xml:space="preserve"> now</w:t>
      </w:r>
      <w:r w:rsidR="00485C15">
        <w:rPr>
          <w:rFonts w:ascii="Book Antiqua" w:hAnsi="Book Antiqua" w:cs="Arial"/>
        </w:rPr>
        <w:t xml:space="preserve"> also claimed asylum in the </w:t>
      </w:r>
      <w:smartTag w:uri="urn:schemas-microsoft-com:office:smarttags" w:element="country-region">
        <w:smartTag w:uri="urn:schemas-microsoft-com:office:smarttags" w:element="place">
          <w:r w:rsidR="00485C15">
            <w:rPr>
              <w:rFonts w:ascii="Book Antiqua" w:hAnsi="Book Antiqua" w:cs="Arial"/>
            </w:rPr>
            <w:t>United Kingdom</w:t>
          </w:r>
        </w:smartTag>
      </w:smartTag>
      <w:r w:rsidR="00485C15">
        <w:rPr>
          <w:rFonts w:ascii="Book Antiqua" w:hAnsi="Book Antiqua" w:cs="Arial"/>
        </w:rPr>
        <w:t xml:space="preserve">. </w:t>
      </w:r>
    </w:p>
    <w:p w:rsidR="00D1167D" w:rsidRDefault="00485C15" w:rsidP="00485C15">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background immigration history is that this matter has been heard previously,</w:t>
      </w:r>
      <w:r w:rsidR="00D1167D">
        <w:rPr>
          <w:rFonts w:ascii="Book Antiqua" w:hAnsi="Book Antiqua" w:cs="Arial"/>
        </w:rPr>
        <w:t xml:space="preserve"> but the matter was </w:t>
      </w:r>
      <w:r w:rsidR="003B0718">
        <w:rPr>
          <w:rFonts w:ascii="Book Antiqua" w:hAnsi="Book Antiqua" w:cs="Arial"/>
        </w:rPr>
        <w:t>re-</w:t>
      </w:r>
      <w:r w:rsidR="00D1167D">
        <w:rPr>
          <w:rFonts w:ascii="Book Antiqua" w:hAnsi="Book Antiqua" w:cs="Arial"/>
        </w:rPr>
        <w:t>heard by First-tier Tribunal Judge Burnett who dismissed the appeal on 9</w:t>
      </w:r>
      <w:r w:rsidR="00D1167D" w:rsidRPr="00D1167D">
        <w:rPr>
          <w:rFonts w:ascii="Book Antiqua" w:hAnsi="Book Antiqua" w:cs="Arial"/>
          <w:vertAlign w:val="superscript"/>
        </w:rPr>
        <w:t>th</w:t>
      </w:r>
      <w:r w:rsidR="00D1167D">
        <w:rPr>
          <w:rFonts w:ascii="Book Antiqua" w:hAnsi="Book Antiqua" w:cs="Arial"/>
        </w:rPr>
        <w:t xml:space="preserve"> May 2018 on all grounds. </w:t>
      </w:r>
    </w:p>
    <w:p w:rsidR="00485C15" w:rsidRDefault="00D1167D" w:rsidP="00D1167D">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application for permission </w:t>
      </w:r>
      <w:r w:rsidR="00485C15">
        <w:rPr>
          <w:rFonts w:ascii="Book Antiqua" w:hAnsi="Book Antiqua" w:cs="Arial"/>
        </w:rPr>
        <w:t xml:space="preserve"> </w:t>
      </w:r>
      <w:r>
        <w:rPr>
          <w:rFonts w:ascii="Book Antiqua" w:hAnsi="Book Antiqua" w:cs="Arial"/>
        </w:rPr>
        <w:t xml:space="preserve">was based on five grounds </w:t>
      </w:r>
    </w:p>
    <w:p w:rsidR="00D1167D" w:rsidRDefault="00D1167D" w:rsidP="003335E7">
      <w:pPr>
        <w:numPr>
          <w:ilvl w:val="1"/>
          <w:numId w:val="1"/>
        </w:numPr>
        <w:tabs>
          <w:tab w:val="clear" w:pos="1800"/>
        </w:tabs>
        <w:spacing w:before="120"/>
        <w:ind w:left="1701" w:hanging="567"/>
        <w:jc w:val="both"/>
        <w:rPr>
          <w:rFonts w:ascii="Book Antiqua" w:hAnsi="Book Antiqua" w:cs="Arial"/>
        </w:rPr>
      </w:pPr>
      <w:r>
        <w:rPr>
          <w:rFonts w:ascii="Book Antiqua" w:hAnsi="Book Antiqua" w:cs="Arial"/>
        </w:rPr>
        <w:t>the judge erred in his approach to the medical evidence</w:t>
      </w:r>
    </w:p>
    <w:p w:rsidR="00D1167D" w:rsidRDefault="00D1167D" w:rsidP="003335E7">
      <w:pPr>
        <w:numPr>
          <w:ilvl w:val="1"/>
          <w:numId w:val="1"/>
        </w:numPr>
        <w:tabs>
          <w:tab w:val="clear" w:pos="1800"/>
        </w:tabs>
        <w:spacing w:before="120"/>
        <w:ind w:left="1701" w:hanging="567"/>
        <w:jc w:val="both"/>
        <w:rPr>
          <w:rFonts w:ascii="Book Antiqua" w:hAnsi="Book Antiqua" w:cs="Arial"/>
        </w:rPr>
      </w:pPr>
      <w:r>
        <w:rPr>
          <w:rFonts w:ascii="Book Antiqua" w:hAnsi="Book Antiqua" w:cs="Arial"/>
        </w:rPr>
        <w:t>the judge erred in considering the documentary evidence</w:t>
      </w:r>
    </w:p>
    <w:p w:rsidR="00D1167D" w:rsidRDefault="00D1167D" w:rsidP="003335E7">
      <w:pPr>
        <w:numPr>
          <w:ilvl w:val="1"/>
          <w:numId w:val="1"/>
        </w:numPr>
        <w:tabs>
          <w:tab w:val="clear" w:pos="1800"/>
        </w:tabs>
        <w:spacing w:before="120"/>
        <w:ind w:left="1701" w:hanging="567"/>
        <w:jc w:val="both"/>
        <w:rPr>
          <w:rFonts w:ascii="Book Antiqua" w:hAnsi="Book Antiqua" w:cs="Arial"/>
        </w:rPr>
      </w:pPr>
      <w:r>
        <w:rPr>
          <w:rFonts w:ascii="Book Antiqua" w:hAnsi="Book Antiqua" w:cs="Arial"/>
        </w:rPr>
        <w:t>the judge erred in his assessment of the sur place activities</w:t>
      </w:r>
    </w:p>
    <w:p w:rsidR="00D1167D" w:rsidRDefault="00D1167D" w:rsidP="003335E7">
      <w:pPr>
        <w:numPr>
          <w:ilvl w:val="1"/>
          <w:numId w:val="1"/>
        </w:numPr>
        <w:tabs>
          <w:tab w:val="clear" w:pos="1800"/>
        </w:tabs>
        <w:spacing w:before="120"/>
        <w:ind w:left="1701" w:hanging="567"/>
        <w:jc w:val="both"/>
        <w:rPr>
          <w:rFonts w:ascii="Book Antiqua" w:hAnsi="Book Antiqua" w:cs="Arial"/>
        </w:rPr>
      </w:pPr>
      <w:r>
        <w:rPr>
          <w:rFonts w:ascii="Book Antiqua" w:hAnsi="Book Antiqua" w:cs="Arial"/>
        </w:rPr>
        <w:t xml:space="preserve">the judge erred in his approach to </w:t>
      </w:r>
      <w:r w:rsidR="0044587B">
        <w:rPr>
          <w:rFonts w:ascii="Book Antiqua" w:hAnsi="Book Antiqua" w:cs="Arial"/>
        </w:rPr>
        <w:t>credibility</w:t>
      </w:r>
    </w:p>
    <w:p w:rsidR="00D1167D" w:rsidRDefault="00D1167D" w:rsidP="003335E7">
      <w:pPr>
        <w:numPr>
          <w:ilvl w:val="1"/>
          <w:numId w:val="1"/>
        </w:numPr>
        <w:tabs>
          <w:tab w:val="clear" w:pos="1800"/>
        </w:tabs>
        <w:spacing w:before="120"/>
        <w:ind w:left="1701" w:hanging="567"/>
        <w:jc w:val="both"/>
        <w:rPr>
          <w:rFonts w:ascii="Book Antiqua" w:hAnsi="Book Antiqua" w:cs="Arial"/>
        </w:rPr>
      </w:pPr>
      <w:r>
        <w:rPr>
          <w:rFonts w:ascii="Book Antiqua" w:hAnsi="Book Antiqua" w:cs="Arial"/>
        </w:rPr>
        <w:t xml:space="preserve"> the ju</w:t>
      </w:r>
      <w:r w:rsidR="00F86BD2">
        <w:rPr>
          <w:rFonts w:ascii="Book Antiqua" w:hAnsi="Book Antiqua" w:cs="Arial"/>
        </w:rPr>
        <w:t>d</w:t>
      </w:r>
      <w:r>
        <w:rPr>
          <w:rFonts w:ascii="Book Antiqua" w:hAnsi="Book Antiqua" w:cs="Arial"/>
        </w:rPr>
        <w:t>ge erred in his approach to the health claim</w:t>
      </w:r>
    </w:p>
    <w:p w:rsidR="00D1167D" w:rsidRDefault="00D1167D" w:rsidP="00D1167D">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grant of permission wa</w:t>
      </w:r>
      <w:r w:rsidR="00F86BD2">
        <w:rPr>
          <w:rFonts w:ascii="Book Antiqua" w:hAnsi="Book Antiqua" w:cs="Arial"/>
        </w:rPr>
        <w:t>s based on the merit in ground (ii)</w:t>
      </w:r>
      <w:r>
        <w:rPr>
          <w:rFonts w:ascii="Book Antiqua" w:hAnsi="Book Antiqua" w:cs="Arial"/>
        </w:rPr>
        <w:t xml:space="preserve"> because the judge did not appear to have considered the guidance in </w:t>
      </w:r>
      <w:r w:rsidRPr="00F86BD2">
        <w:rPr>
          <w:rFonts w:ascii="Book Antiqua" w:hAnsi="Book Antiqua" w:cs="Arial"/>
          <w:b/>
          <w:u w:val="single"/>
        </w:rPr>
        <w:t>VT (Article 22 Procedures Directive – confidentiality) Sri Lanka</w:t>
      </w:r>
      <w:r>
        <w:rPr>
          <w:rFonts w:ascii="Book Antiqua" w:hAnsi="Book Antiqua" w:cs="Arial"/>
        </w:rPr>
        <w:t xml:space="preserve"> [2017] UKUT 000368.  Permission was granted, however, on all grounds. </w:t>
      </w:r>
    </w:p>
    <w:p w:rsidR="00F86BD2" w:rsidRDefault="00D1167D" w:rsidP="00D1167D">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At the hearing Ms Solanki relied on her written grounds</w:t>
      </w:r>
      <w:r w:rsidR="00F86BD2">
        <w:rPr>
          <w:rFonts w:ascii="Book Antiqua" w:hAnsi="Book Antiqua" w:cs="Arial"/>
        </w:rPr>
        <w:t xml:space="preserve"> whilst Mr </w:t>
      </w:r>
      <w:proofErr w:type="spellStart"/>
      <w:r w:rsidR="00F86BD2">
        <w:rPr>
          <w:rFonts w:ascii="Book Antiqua" w:hAnsi="Book Antiqua" w:cs="Arial"/>
        </w:rPr>
        <w:t>Tufan</w:t>
      </w:r>
      <w:proofErr w:type="spellEnd"/>
      <w:r w:rsidR="00F86BD2">
        <w:rPr>
          <w:rFonts w:ascii="Book Antiqua" w:hAnsi="Book Antiqua" w:cs="Arial"/>
        </w:rPr>
        <w:t xml:space="preserve"> argued there was no material error of law. </w:t>
      </w:r>
    </w:p>
    <w:p w:rsidR="003B0718" w:rsidRDefault="00F86BD2" w:rsidP="00D1167D">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 Ms Solanki</w:t>
      </w:r>
      <w:r w:rsidR="00D1167D">
        <w:rPr>
          <w:rFonts w:ascii="Book Antiqua" w:hAnsi="Book Antiqua" w:cs="Arial"/>
        </w:rPr>
        <w:t xml:space="preserve"> pointed out the errors made with respect to the medical evidence. </w:t>
      </w:r>
      <w:r w:rsidR="0044587B">
        <w:rPr>
          <w:rFonts w:ascii="Book Antiqua" w:hAnsi="Book Antiqua" w:cs="Arial"/>
        </w:rPr>
        <w:t xml:space="preserve">Not least she argued that although the judge stated he had given some weight to the reports from Dr </w:t>
      </w:r>
      <w:proofErr w:type="spellStart"/>
      <w:r w:rsidR="0044587B">
        <w:rPr>
          <w:rFonts w:ascii="Book Antiqua" w:hAnsi="Book Antiqua" w:cs="Arial"/>
        </w:rPr>
        <w:t>Dhumad</w:t>
      </w:r>
      <w:proofErr w:type="spellEnd"/>
      <w:r w:rsidR="0044587B">
        <w:rPr>
          <w:rFonts w:ascii="Book Antiqua" w:hAnsi="Book Antiqua" w:cs="Arial"/>
        </w:rPr>
        <w:t xml:space="preserve"> (Psychiatrist), Dr Lawrence (Psychiatrist) and Dr Lingam, he makes errors in his understanding of those reports. </w:t>
      </w:r>
      <w:r w:rsidR="003B0718">
        <w:rPr>
          <w:rFonts w:ascii="Book Antiqua" w:hAnsi="Book Antiqua" w:cs="Arial"/>
        </w:rPr>
        <w:t xml:space="preserve">The report of Dr Lawrence did </w:t>
      </w:r>
      <w:r w:rsidR="00C662BA">
        <w:rPr>
          <w:rFonts w:ascii="Book Antiqua" w:hAnsi="Book Antiqua" w:cs="Arial"/>
        </w:rPr>
        <w:t>not state</w:t>
      </w:r>
      <w:r w:rsidR="003B0718">
        <w:rPr>
          <w:rFonts w:ascii="Book Antiqua" w:hAnsi="Book Antiqua" w:cs="Arial"/>
        </w:rPr>
        <w:t xml:space="preserve">, as the judge found and factored into his findings, that the appellant finished his course – he dropped out because of his mental health problems.  </w:t>
      </w:r>
    </w:p>
    <w:p w:rsidR="003B0718" w:rsidRPr="00C662BA" w:rsidRDefault="003B0718" w:rsidP="003B0718">
      <w:pPr>
        <w:spacing w:before="240"/>
        <w:jc w:val="both"/>
        <w:rPr>
          <w:rFonts w:ascii="Book Antiqua" w:hAnsi="Book Antiqua" w:cs="Arial"/>
          <w:b/>
          <w:u w:val="single"/>
        </w:rPr>
      </w:pPr>
      <w:r w:rsidRPr="00C662BA">
        <w:rPr>
          <w:rFonts w:ascii="Book Antiqua" w:hAnsi="Book Antiqua" w:cs="Arial"/>
          <w:b/>
          <w:u w:val="single"/>
        </w:rPr>
        <w:t>Conclusions</w:t>
      </w:r>
    </w:p>
    <w:p w:rsidR="00D1167D" w:rsidRDefault="000C28B8" w:rsidP="00D1167D">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 note that the psychiatric reports did refer to the possible delay in experiencing PTSD and the judge criticised</w:t>
      </w:r>
      <w:r w:rsidR="003B0718">
        <w:rPr>
          <w:rFonts w:ascii="Book Antiqua" w:hAnsi="Book Antiqua" w:cs="Arial"/>
        </w:rPr>
        <w:t xml:space="preserve"> the appellant,</w:t>
      </w:r>
      <w:r>
        <w:rPr>
          <w:rFonts w:ascii="Book Antiqua" w:hAnsi="Book Antiqua" w:cs="Arial"/>
        </w:rPr>
        <w:t xml:space="preserve"> possibly unfairly</w:t>
      </w:r>
      <w:r w:rsidR="003B0718">
        <w:rPr>
          <w:rFonts w:ascii="Book Antiqua" w:hAnsi="Book Antiqua" w:cs="Arial"/>
        </w:rPr>
        <w:t>,</w:t>
      </w:r>
      <w:r>
        <w:rPr>
          <w:rFonts w:ascii="Book Antiqua" w:hAnsi="Book Antiqua" w:cs="Arial"/>
        </w:rPr>
        <w:t xml:space="preserve"> for the </w:t>
      </w:r>
      <w:r w:rsidR="003B0718">
        <w:rPr>
          <w:rFonts w:ascii="Book Antiqua" w:hAnsi="Book Antiqua" w:cs="Arial"/>
        </w:rPr>
        <w:t xml:space="preserve">late </w:t>
      </w:r>
      <w:r>
        <w:rPr>
          <w:rFonts w:ascii="Book Antiqua" w:hAnsi="Book Antiqua" w:cs="Arial"/>
        </w:rPr>
        <w:t xml:space="preserve">timing of his </w:t>
      </w:r>
      <w:r w:rsidR="003B0718">
        <w:rPr>
          <w:rFonts w:ascii="Book Antiqua" w:hAnsi="Book Antiqua" w:cs="Arial"/>
        </w:rPr>
        <w:t xml:space="preserve">mental health </w:t>
      </w:r>
      <w:r>
        <w:rPr>
          <w:rFonts w:ascii="Book Antiqua" w:hAnsi="Book Antiqua" w:cs="Arial"/>
        </w:rPr>
        <w:t>disclosures. The grounds emphasise that there was no regard to the diagnoses of PTSD in the determination and I find that although the judge factored in the medical reports at the start of his decision, at no point does he make mention that the appellant is a vulnerable witness</w:t>
      </w:r>
      <w:r w:rsidR="00F86BD2">
        <w:rPr>
          <w:rFonts w:ascii="Book Antiqua" w:hAnsi="Book Antiqua" w:cs="Arial"/>
        </w:rPr>
        <w:t xml:space="preserve"> when finding the </w:t>
      </w:r>
      <w:r w:rsidR="0044587B">
        <w:rPr>
          <w:rFonts w:ascii="Book Antiqua" w:hAnsi="Book Antiqua" w:cs="Arial"/>
        </w:rPr>
        <w:t>appellant’s</w:t>
      </w:r>
      <w:r w:rsidR="00F86BD2">
        <w:rPr>
          <w:rFonts w:ascii="Book Antiqua" w:hAnsi="Book Antiqua" w:cs="Arial"/>
        </w:rPr>
        <w:t xml:space="preserve"> account was </w:t>
      </w:r>
      <w:r w:rsidR="00F86BD2">
        <w:rPr>
          <w:rFonts w:ascii="Book Antiqua" w:hAnsi="Book Antiqua" w:cs="Arial"/>
        </w:rPr>
        <w:lastRenderedPageBreak/>
        <w:t>damaged owing to inconsistencies</w:t>
      </w:r>
      <w:r>
        <w:rPr>
          <w:rFonts w:ascii="Book Antiqua" w:hAnsi="Book Antiqua" w:cs="Arial"/>
        </w:rPr>
        <w:t xml:space="preserve">.  </w:t>
      </w:r>
      <w:r w:rsidR="003B0718">
        <w:rPr>
          <w:rFonts w:ascii="Book Antiqua" w:hAnsi="Book Antiqua" w:cs="Arial"/>
        </w:rPr>
        <w:t>Further, a</w:t>
      </w:r>
      <w:r>
        <w:rPr>
          <w:rFonts w:ascii="Book Antiqua" w:hAnsi="Book Antiqua" w:cs="Arial"/>
        </w:rPr>
        <w:t xml:space="preserve">s Ms Solanki pointed out some of the findings such as the appellant continuing to study were incorrect. Nor is it possible for the judge to place himself in the position of a medical expert when assessing how the </w:t>
      </w:r>
      <w:r w:rsidR="0044587B">
        <w:rPr>
          <w:rFonts w:ascii="Book Antiqua" w:hAnsi="Book Antiqua" w:cs="Arial"/>
        </w:rPr>
        <w:t>appellant</w:t>
      </w:r>
      <w:r>
        <w:rPr>
          <w:rFonts w:ascii="Book Antiqua" w:hAnsi="Book Antiqua" w:cs="Arial"/>
        </w:rPr>
        <w:t xml:space="preserve"> should react to the brother’s kidnap or his father’s assault. </w:t>
      </w:r>
      <w:r w:rsidR="003B0718">
        <w:rPr>
          <w:rFonts w:ascii="Book Antiqua" w:hAnsi="Book Antiqua" w:cs="Arial"/>
        </w:rPr>
        <w:t>T</w:t>
      </w:r>
      <w:r>
        <w:rPr>
          <w:rFonts w:ascii="Book Antiqua" w:hAnsi="Book Antiqua" w:cs="Arial"/>
        </w:rPr>
        <w:t xml:space="preserve">he judge fails to consider the </w:t>
      </w:r>
      <w:r w:rsidR="003B0718">
        <w:rPr>
          <w:rFonts w:ascii="Book Antiqua" w:hAnsi="Book Antiqua" w:cs="Arial"/>
        </w:rPr>
        <w:t xml:space="preserve">medical </w:t>
      </w:r>
      <w:r>
        <w:rPr>
          <w:rFonts w:ascii="Book Antiqua" w:hAnsi="Book Antiqua" w:cs="Arial"/>
        </w:rPr>
        <w:t xml:space="preserve">reports overall and holistically. </w:t>
      </w:r>
    </w:p>
    <w:p w:rsidR="000C28B8" w:rsidRDefault="003B0718" w:rsidP="00D1167D">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judge also </w:t>
      </w:r>
      <w:r w:rsidR="000C28B8">
        <w:rPr>
          <w:rFonts w:ascii="Book Antiqua" w:hAnsi="Book Antiqua" w:cs="Arial"/>
        </w:rPr>
        <w:t>appear</w:t>
      </w:r>
      <w:r>
        <w:rPr>
          <w:rFonts w:ascii="Book Antiqua" w:hAnsi="Book Antiqua" w:cs="Arial"/>
        </w:rPr>
        <w:t>ed</w:t>
      </w:r>
      <w:r w:rsidR="000C28B8">
        <w:rPr>
          <w:rFonts w:ascii="Book Antiqua" w:hAnsi="Book Antiqua" w:cs="Arial"/>
        </w:rPr>
        <w:t xml:space="preserve"> to miss the significance of the Respondent having made contact with the police in </w:t>
      </w:r>
      <w:smartTag w:uri="urn:schemas-microsoft-com:office:smarttags" w:element="place">
        <w:smartTag w:uri="urn:schemas-microsoft-com:office:smarttags" w:element="country-region">
          <w:r w:rsidR="000C28B8">
            <w:rPr>
              <w:rFonts w:ascii="Book Antiqua" w:hAnsi="Book Antiqua" w:cs="Arial"/>
            </w:rPr>
            <w:t>Sri Lanka</w:t>
          </w:r>
        </w:smartTag>
      </w:smartTag>
      <w:r w:rsidR="000C28B8">
        <w:rPr>
          <w:rFonts w:ascii="Book Antiqua" w:hAnsi="Book Antiqua" w:cs="Arial"/>
        </w:rPr>
        <w:t xml:space="preserve"> regarding </w:t>
      </w:r>
      <w:r w:rsidR="000C28B8" w:rsidRPr="003B0718">
        <w:rPr>
          <w:rFonts w:ascii="Book Antiqua" w:hAnsi="Book Antiqua" w:cs="Arial"/>
          <w:b/>
          <w:u w:val="single"/>
        </w:rPr>
        <w:t>VT</w:t>
      </w:r>
      <w:r w:rsidR="000C28B8">
        <w:rPr>
          <w:rFonts w:ascii="Book Antiqua" w:hAnsi="Book Antiqua" w:cs="Arial"/>
        </w:rPr>
        <w:t xml:space="preserve">.  Albeit the inquiry appeared to have been redacted by name it would still be possible for the police to identify the appellant from the summons, if genuine, and have alerted the authorities to his asylum claim. </w:t>
      </w:r>
      <w:r w:rsidR="00DC7CF7">
        <w:rPr>
          <w:rFonts w:ascii="Book Antiqua" w:hAnsi="Book Antiqua" w:cs="Arial"/>
        </w:rPr>
        <w:t xml:space="preserve">There was a failure to comply with the duty of confidentiality </w:t>
      </w:r>
      <w:r>
        <w:rPr>
          <w:rFonts w:ascii="Book Antiqua" w:hAnsi="Book Antiqua" w:cs="Arial"/>
        </w:rPr>
        <w:t>but t</w:t>
      </w:r>
      <w:r w:rsidR="00DC7CF7">
        <w:rPr>
          <w:rFonts w:ascii="Book Antiqua" w:hAnsi="Book Antiqua" w:cs="Arial"/>
        </w:rPr>
        <w:t xml:space="preserve">he judge failed to consider this point when assessing the claim overall. </w:t>
      </w:r>
    </w:p>
    <w:p w:rsidR="00C662BA" w:rsidRDefault="00DC7CF7" w:rsidP="00C662BA">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appellant gave a detailed account of his claim, including </w:t>
      </w:r>
      <w:r w:rsidR="003B0718">
        <w:rPr>
          <w:rFonts w:ascii="Book Antiqua" w:hAnsi="Book Antiqua" w:cs="Arial"/>
        </w:rPr>
        <w:t xml:space="preserve">his arrest and his detention </w:t>
      </w:r>
      <w:r w:rsidR="00C662BA">
        <w:rPr>
          <w:rFonts w:ascii="Book Antiqua" w:hAnsi="Book Antiqua" w:cs="Arial"/>
        </w:rPr>
        <w:t>but the</w:t>
      </w:r>
      <w:r>
        <w:rPr>
          <w:rFonts w:ascii="Book Antiqua" w:hAnsi="Book Antiqua" w:cs="Arial"/>
        </w:rPr>
        <w:t xml:space="preserve"> </w:t>
      </w:r>
      <w:r w:rsidR="003B0718">
        <w:rPr>
          <w:rFonts w:ascii="Book Antiqua" w:hAnsi="Book Antiqua" w:cs="Arial"/>
        </w:rPr>
        <w:t>judge concentrated on the documentation at the expense of</w:t>
      </w:r>
      <w:r>
        <w:rPr>
          <w:rFonts w:ascii="Book Antiqua" w:hAnsi="Book Antiqua" w:cs="Arial"/>
        </w:rPr>
        <w:t xml:space="preserve"> the </w:t>
      </w:r>
      <w:r w:rsidR="0044587B">
        <w:rPr>
          <w:rFonts w:ascii="Book Antiqua" w:hAnsi="Book Antiqua" w:cs="Arial"/>
        </w:rPr>
        <w:t>appellant’s</w:t>
      </w:r>
      <w:r>
        <w:rPr>
          <w:rFonts w:ascii="Book Antiqua" w:hAnsi="Book Antiqua" w:cs="Arial"/>
        </w:rPr>
        <w:t xml:space="preserve"> own account</w:t>
      </w:r>
      <w:r w:rsidR="003B0718">
        <w:rPr>
          <w:rFonts w:ascii="Book Antiqua" w:hAnsi="Book Antiqua" w:cs="Arial"/>
        </w:rPr>
        <w:t>, indicating</w:t>
      </w:r>
      <w:r>
        <w:rPr>
          <w:rFonts w:ascii="Book Antiqua" w:hAnsi="Book Antiqua" w:cs="Arial"/>
        </w:rPr>
        <w:t xml:space="preserve"> a lack of anxious scrutiny of all the relevant facts.  </w:t>
      </w:r>
      <w:r w:rsidR="003B0718">
        <w:rPr>
          <w:rFonts w:ascii="Book Antiqua" w:hAnsi="Book Antiqua" w:cs="Arial"/>
        </w:rPr>
        <w:t>On reading the decision as a whole, although the judge analysed t</w:t>
      </w:r>
      <w:r>
        <w:rPr>
          <w:rFonts w:ascii="Book Antiqua" w:hAnsi="Book Antiqua" w:cs="Arial"/>
        </w:rPr>
        <w:t xml:space="preserve">he medical reports (which highlighted the effects on memory and recall of those with PTSD), </w:t>
      </w:r>
      <w:r w:rsidR="003B0718">
        <w:rPr>
          <w:rFonts w:ascii="Book Antiqua" w:hAnsi="Book Antiqua" w:cs="Arial"/>
        </w:rPr>
        <w:t>those reports</w:t>
      </w:r>
      <w:r>
        <w:rPr>
          <w:rFonts w:ascii="Book Antiqua" w:hAnsi="Book Antiqua" w:cs="Arial"/>
        </w:rPr>
        <w:t xml:space="preserve"> did not alert him to the fact that the </w:t>
      </w:r>
      <w:r w:rsidR="0044587B">
        <w:rPr>
          <w:rFonts w:ascii="Book Antiqua" w:hAnsi="Book Antiqua" w:cs="Arial"/>
        </w:rPr>
        <w:t>appellant</w:t>
      </w:r>
      <w:r>
        <w:rPr>
          <w:rFonts w:ascii="Book Antiqua" w:hAnsi="Book Antiqua" w:cs="Arial"/>
        </w:rPr>
        <w:t xml:space="preserve"> was a vulnerable witness</w:t>
      </w:r>
      <w:r w:rsidR="00F86BD2">
        <w:rPr>
          <w:rFonts w:ascii="Book Antiqua" w:hAnsi="Book Antiqua" w:cs="Arial"/>
        </w:rPr>
        <w:t xml:space="preserve">. The judge proceeded to make adverse credibility findings, not least on the inconsistencies of the </w:t>
      </w:r>
      <w:r w:rsidR="0044587B">
        <w:rPr>
          <w:rFonts w:ascii="Book Antiqua" w:hAnsi="Book Antiqua" w:cs="Arial"/>
        </w:rPr>
        <w:t>appellant’s</w:t>
      </w:r>
      <w:r w:rsidR="00F86BD2">
        <w:rPr>
          <w:rFonts w:ascii="Book Antiqua" w:hAnsi="Book Antiqua" w:cs="Arial"/>
        </w:rPr>
        <w:t xml:space="preserve"> evidence (and see [63] and [76]</w:t>
      </w:r>
      <w:r>
        <w:rPr>
          <w:rFonts w:ascii="Book Antiqua" w:hAnsi="Book Antiqua" w:cs="Arial"/>
        </w:rPr>
        <w:t xml:space="preserve"> </w:t>
      </w:r>
      <w:r w:rsidR="00F86BD2">
        <w:rPr>
          <w:rFonts w:ascii="Book Antiqua" w:hAnsi="Book Antiqua" w:cs="Arial"/>
        </w:rPr>
        <w:t xml:space="preserve">but, </w:t>
      </w:r>
      <w:r w:rsidR="003B0718">
        <w:rPr>
          <w:rFonts w:ascii="Book Antiqua" w:hAnsi="Book Antiqua" w:cs="Arial"/>
        </w:rPr>
        <w:t xml:space="preserve">failed </w:t>
      </w:r>
      <w:r w:rsidR="00F86BD2">
        <w:rPr>
          <w:rFonts w:ascii="Book Antiqua" w:hAnsi="Book Antiqua" w:cs="Arial"/>
        </w:rPr>
        <w:t xml:space="preserve">to factor any mental health difficulties into the equation. </w:t>
      </w:r>
      <w:r>
        <w:rPr>
          <w:rFonts w:ascii="Book Antiqua" w:hAnsi="Book Antiqua" w:cs="Arial"/>
        </w:rPr>
        <w:t xml:space="preserve">  </w:t>
      </w:r>
      <w:r w:rsidR="00F86BD2">
        <w:rPr>
          <w:rFonts w:ascii="Book Antiqua" w:hAnsi="Book Antiqua" w:cs="Arial"/>
        </w:rPr>
        <w:t>That is a</w:t>
      </w:r>
      <w:r w:rsidR="003B0718">
        <w:rPr>
          <w:rFonts w:ascii="Book Antiqua" w:hAnsi="Book Antiqua" w:cs="Arial"/>
        </w:rPr>
        <w:t xml:space="preserve"> material</w:t>
      </w:r>
      <w:r w:rsidR="00F86BD2">
        <w:rPr>
          <w:rFonts w:ascii="Book Antiqua" w:hAnsi="Book Antiqua" w:cs="Arial"/>
        </w:rPr>
        <w:t xml:space="preserve"> error of law.</w:t>
      </w:r>
      <w:r>
        <w:rPr>
          <w:rFonts w:ascii="Book Antiqua" w:hAnsi="Book Antiqua" w:cs="Arial"/>
        </w:rPr>
        <w:t xml:space="preserve"> </w:t>
      </w:r>
    </w:p>
    <w:p w:rsidR="00DC7CF7" w:rsidRPr="00C662BA" w:rsidRDefault="00DC7CF7" w:rsidP="00C662BA">
      <w:pPr>
        <w:numPr>
          <w:ilvl w:val="0"/>
          <w:numId w:val="1"/>
        </w:numPr>
        <w:tabs>
          <w:tab w:val="clear" w:pos="720"/>
        </w:tabs>
        <w:spacing w:before="240"/>
        <w:ind w:left="567" w:hanging="567"/>
        <w:jc w:val="both"/>
        <w:rPr>
          <w:rFonts w:ascii="Book Antiqua" w:hAnsi="Book Antiqua" w:cs="Arial"/>
          <w:u w:val="single"/>
        </w:rPr>
      </w:pPr>
      <w:r>
        <w:rPr>
          <w:rFonts w:ascii="Book Antiqua" w:hAnsi="Book Antiqua" w:cs="Arial"/>
        </w:rPr>
        <w:t xml:space="preserve">With regards the sur place claim </w:t>
      </w:r>
      <w:r w:rsidRPr="003B0718">
        <w:rPr>
          <w:rFonts w:ascii="Book Antiqua" w:hAnsi="Book Antiqua" w:cs="Arial"/>
          <w:b/>
          <w:u w:val="single"/>
        </w:rPr>
        <w:t>GJ</w:t>
      </w:r>
      <w:r>
        <w:rPr>
          <w:rFonts w:ascii="Book Antiqua" w:hAnsi="Book Antiqua" w:cs="Arial"/>
        </w:rPr>
        <w:t xml:space="preserve"> </w:t>
      </w:r>
      <w:r w:rsidR="00C662BA" w:rsidRPr="0068113B">
        <w:rPr>
          <w:rFonts w:ascii="Book Antiqua" w:hAnsi="Book Antiqua" w:cs="Arial"/>
          <w:iCs/>
        </w:rPr>
        <w:t>Others (Post-Civil War: Returnees</w:t>
      </w:r>
      <w:r w:rsidR="00C662BA" w:rsidRPr="00C662BA">
        <w:rPr>
          <w:rFonts w:ascii="Book Antiqua" w:hAnsi="Book Antiqua" w:cs="Arial"/>
          <w:iCs/>
          <w:u w:val="single"/>
        </w:rPr>
        <w:t>)</w:t>
      </w:r>
      <w:r w:rsidR="00C662BA" w:rsidRPr="00C662BA">
        <w:rPr>
          <w:rFonts w:ascii="Book Antiqua" w:hAnsi="Book Antiqua" w:cs="Arial"/>
        </w:rPr>
        <w:t xml:space="preserve"> </w:t>
      </w:r>
      <w:hyperlink r:id="rId8" w:tooltip="Link to BAILII version" w:history="1">
        <w:r w:rsidR="00C662BA" w:rsidRPr="00C662BA">
          <w:rPr>
            <w:rStyle w:val="Hyperlink"/>
            <w:rFonts w:ascii="Book Antiqua" w:hAnsi="Book Antiqua" w:cs="Arial"/>
            <w:color w:val="auto"/>
            <w:u w:val="none"/>
          </w:rPr>
          <w:t>[2013] UKUT 319 (IAC)</w:t>
        </w:r>
      </w:hyperlink>
      <w:r w:rsidR="00C662BA" w:rsidRPr="00C662BA">
        <w:rPr>
          <w:rFonts w:ascii="Book Antiqua" w:hAnsi="Book Antiqua" w:cs="Arial"/>
        </w:rPr>
        <w:t>,</w:t>
      </w:r>
      <w:r w:rsidR="00C662BA">
        <w:rPr>
          <w:rFonts w:ascii="Book Antiqua" w:hAnsi="Book Antiqua" w:cs="Arial"/>
          <w:u w:val="single"/>
        </w:rPr>
        <w:t xml:space="preserve"> </w:t>
      </w:r>
      <w:r>
        <w:rPr>
          <w:rFonts w:ascii="Book Antiqua" w:hAnsi="Book Antiqua" w:cs="Arial"/>
        </w:rPr>
        <w:t xml:space="preserve">held at [336] that ‘the former Tamil areas and the </w:t>
      </w:r>
      <w:r w:rsidR="0044587B">
        <w:rPr>
          <w:rFonts w:ascii="Book Antiqua" w:hAnsi="Book Antiqua" w:cs="Arial"/>
        </w:rPr>
        <w:t>Diaspora</w:t>
      </w:r>
      <w:r>
        <w:rPr>
          <w:rFonts w:ascii="Book Antiqua" w:hAnsi="Book Antiqua" w:cs="Arial"/>
        </w:rPr>
        <w:t xml:space="preserve"> are heavily penetrated by the security forces.  </w:t>
      </w:r>
      <w:r w:rsidR="0044587B">
        <w:rPr>
          <w:rFonts w:ascii="Book Antiqua" w:hAnsi="Book Antiqua" w:cs="Arial"/>
        </w:rPr>
        <w:t>Photographs</w:t>
      </w:r>
      <w:r>
        <w:rPr>
          <w:rFonts w:ascii="Book Antiqua" w:hAnsi="Book Antiqua" w:cs="Arial"/>
        </w:rPr>
        <w:t xml:space="preserve"> are taken of public </w:t>
      </w:r>
      <w:r w:rsidR="0044587B">
        <w:rPr>
          <w:rFonts w:ascii="Book Antiqua" w:hAnsi="Book Antiqua" w:cs="Arial"/>
        </w:rPr>
        <w:t>demonstrations</w:t>
      </w:r>
      <w:r>
        <w:rPr>
          <w:rFonts w:ascii="Book Antiqua" w:hAnsi="Book Antiqua" w:cs="Arial"/>
        </w:rPr>
        <w:t xml:space="preserve"> and the GOSL may be using face recognition technology’.  It was incumbent upon the judge to consider with anxious scrutiny this aspect of the claim with full and adequate reasoning and the reference to the bolstering of the claim, without more, fails to acknowledge that it is the Sri Lankan authorities</w:t>
      </w:r>
      <w:r w:rsidR="00C662BA">
        <w:rPr>
          <w:rFonts w:ascii="Book Antiqua" w:hAnsi="Book Antiqua" w:cs="Arial"/>
        </w:rPr>
        <w:t>’</w:t>
      </w:r>
      <w:r>
        <w:rPr>
          <w:rFonts w:ascii="Book Antiqua" w:hAnsi="Book Antiqua" w:cs="Arial"/>
        </w:rPr>
        <w:t xml:space="preserve"> perception of the </w:t>
      </w:r>
      <w:r w:rsidR="0044587B">
        <w:rPr>
          <w:rFonts w:ascii="Book Antiqua" w:hAnsi="Book Antiqua" w:cs="Arial"/>
        </w:rPr>
        <w:t>appellant</w:t>
      </w:r>
      <w:r>
        <w:rPr>
          <w:rFonts w:ascii="Book Antiqua" w:hAnsi="Book Antiqua" w:cs="Arial"/>
        </w:rPr>
        <w:t xml:space="preserve">, with or without an appellant’s cynical participation in demonstrations, which is the key factor.  The judge failed to give adequate reasoning as to why the Sri </w:t>
      </w:r>
      <w:r w:rsidR="0044587B">
        <w:rPr>
          <w:rFonts w:ascii="Book Antiqua" w:hAnsi="Book Antiqua" w:cs="Arial"/>
        </w:rPr>
        <w:t>Lankan</w:t>
      </w:r>
      <w:r>
        <w:rPr>
          <w:rFonts w:ascii="Book Antiqua" w:hAnsi="Book Antiqua" w:cs="Arial"/>
        </w:rPr>
        <w:t xml:space="preserve"> authorities would not consider, on the evidence, he has such a role.</w:t>
      </w:r>
    </w:p>
    <w:p w:rsidR="00DC7CF7" w:rsidRDefault="00F86BD2" w:rsidP="00D1167D">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For the reasons given I find there is an error in the decision and taken cumulatively the errors are </w:t>
      </w:r>
      <w:r w:rsidR="0044587B">
        <w:rPr>
          <w:rFonts w:ascii="Book Antiqua" w:hAnsi="Book Antiqua" w:cs="Arial"/>
        </w:rPr>
        <w:t>material</w:t>
      </w:r>
      <w:r>
        <w:rPr>
          <w:rFonts w:ascii="Book Antiqua" w:hAnsi="Book Antiqua" w:cs="Arial"/>
        </w:rPr>
        <w:t xml:space="preserve">. </w:t>
      </w:r>
    </w:p>
    <w:p w:rsidR="00485C15" w:rsidRPr="00D257BC" w:rsidRDefault="00485C15" w:rsidP="00FF376D">
      <w:pPr>
        <w:spacing w:before="240"/>
        <w:jc w:val="both"/>
        <w:rPr>
          <w:rFonts w:ascii="Book Antiqua" w:hAnsi="Book Antiqua" w:cs="Arial"/>
          <w:b/>
          <w:u w:val="single"/>
        </w:rPr>
      </w:pPr>
      <w:r w:rsidRPr="00D257BC">
        <w:rPr>
          <w:rFonts w:ascii="Book Antiqua" w:hAnsi="Book Antiqua" w:cs="Arial"/>
          <w:b/>
          <w:u w:val="single"/>
        </w:rPr>
        <w:t>Notice of Decision</w:t>
      </w:r>
    </w:p>
    <w:p w:rsidR="00485C15" w:rsidRDefault="00485C15" w:rsidP="00FF376D">
      <w:pPr>
        <w:spacing w:before="240"/>
        <w:jc w:val="both"/>
        <w:rPr>
          <w:rFonts w:ascii="Book Antiqua" w:hAnsi="Book Antiqua" w:cs="Arial"/>
        </w:rPr>
      </w:pPr>
      <w:r>
        <w:rPr>
          <w:rFonts w:ascii="Book Antiqua" w:hAnsi="Book Antiqua" w:cs="Arial"/>
        </w:rPr>
        <w:t>The Judge erred in law</w:t>
      </w:r>
      <w:r w:rsidRPr="005A494C">
        <w:rPr>
          <w:rFonts w:ascii="Book Antiqua" w:hAnsi="Book Antiqua" w:cs="Arial"/>
        </w:rPr>
        <w:t xml:space="preserve"> </w:t>
      </w:r>
      <w:r>
        <w:rPr>
          <w:rFonts w:ascii="Book Antiqua" w:hAnsi="Book Antiqua" w:cs="Arial"/>
        </w:rPr>
        <w:t>for the reasons identified, and, in a manner which could have a material effect on the outcome.  I set aside the decision pursuant to Section 12(2)(a) of the Tribunals Courts and Enforcement Act 2007 (TCE 2007).  Bearing in mind the nature and extent of the findings to be made the matter should be remitted to the First-tier Tribunal under section 12(2) (b) (</w:t>
      </w:r>
      <w:proofErr w:type="spellStart"/>
      <w:r>
        <w:rPr>
          <w:rFonts w:ascii="Book Antiqua" w:hAnsi="Book Antiqua" w:cs="Arial"/>
        </w:rPr>
        <w:t>i</w:t>
      </w:r>
      <w:proofErr w:type="spellEnd"/>
      <w:r>
        <w:rPr>
          <w:rFonts w:ascii="Book Antiqua" w:hAnsi="Book Antiqua" w:cs="Arial"/>
        </w:rPr>
        <w:t>) of the TCE 2007 and further to 7.2 (b) of the Presidential Practice Statement.</w:t>
      </w:r>
    </w:p>
    <w:p w:rsidR="00C662BA" w:rsidRDefault="00C662BA" w:rsidP="00FF376D">
      <w:pPr>
        <w:spacing w:before="240"/>
        <w:jc w:val="both"/>
        <w:rPr>
          <w:rFonts w:ascii="Book Antiqua" w:hAnsi="Book Antiqua" w:cs="Arial"/>
        </w:rPr>
      </w:pPr>
    </w:p>
    <w:p w:rsidR="0044587B" w:rsidRPr="00DA1C64" w:rsidRDefault="0044587B" w:rsidP="00FF376D">
      <w:pPr>
        <w:spacing w:before="240"/>
        <w:jc w:val="both"/>
        <w:rPr>
          <w:rFonts w:ascii="Book Antiqua" w:hAnsi="Book Antiqua" w:cs="Arial"/>
        </w:rPr>
      </w:pPr>
      <w:r w:rsidRPr="00DA1C64">
        <w:rPr>
          <w:rFonts w:ascii="Book Antiqua" w:hAnsi="Book Antiqua" w:cs="Arial"/>
          <w:b/>
          <w:u w:val="single"/>
        </w:rPr>
        <w:lastRenderedPageBreak/>
        <w:t>Direction Regarding Anonymity – Rule 14 of the Tribunal Procedure (Upper Tribunal) Rules 2008</w:t>
      </w:r>
    </w:p>
    <w:p w:rsidR="0044587B" w:rsidRPr="00687601" w:rsidRDefault="0044587B" w:rsidP="00FF376D">
      <w:pPr>
        <w:spacing w:before="240"/>
        <w:jc w:val="both"/>
        <w:rPr>
          <w:rFonts w:ascii="Book Antiqua" w:hAnsi="Book Antiqua" w:cs="Arial"/>
        </w:rPr>
      </w:pPr>
      <w:r w:rsidRPr="00DA1C64">
        <w:rPr>
          <w:rFonts w:ascii="Book Antiqua" w:hAnsi="Book Antiqua" w:cs="Arial"/>
        </w:rPr>
        <w:t xml:space="preserve">Unless and </w:t>
      </w:r>
      <w:r w:rsidRPr="00DA1C64">
        <w:rPr>
          <w:rFonts w:ascii="Book Antiqua" w:hAnsi="Book Antiqua"/>
        </w:rPr>
        <w:t xml:space="preserve">until a Tribunal or court directs otherwise, the </w:t>
      </w:r>
      <w:r>
        <w:rPr>
          <w:rFonts w:ascii="Book Antiqua" w:hAnsi="Book Antiqua"/>
        </w:rPr>
        <w:t>a</w:t>
      </w:r>
      <w:r w:rsidRPr="00DA1C64">
        <w:rPr>
          <w:rFonts w:ascii="Book Antiqua" w:hAnsi="Book Antiqua"/>
        </w:rPr>
        <w:t xml:space="preserve">ppellant is granted anonymity.  No report of these proceedings shall directly or indirectly identify </w:t>
      </w:r>
      <w:r>
        <w:rPr>
          <w:rFonts w:ascii="Book Antiqua" w:hAnsi="Book Antiqua"/>
        </w:rPr>
        <w:t>her</w:t>
      </w:r>
      <w:r w:rsidRPr="00DA1C64">
        <w:rPr>
          <w:rFonts w:ascii="Book Antiqua" w:hAnsi="Book Antiqua"/>
        </w:rPr>
        <w:t xml:space="preserve"> or any member of </w:t>
      </w:r>
      <w:r>
        <w:rPr>
          <w:rFonts w:ascii="Book Antiqua" w:hAnsi="Book Antiqua"/>
        </w:rPr>
        <w:t>her</w:t>
      </w:r>
      <w:r w:rsidRPr="00DA1C64">
        <w:rPr>
          <w:rFonts w:ascii="Book Antiqua" w:hAnsi="Book Antiqua"/>
        </w:rPr>
        <w:t xml:space="preserve"> family.  This direction applies both to the </w:t>
      </w:r>
      <w:r>
        <w:rPr>
          <w:rFonts w:ascii="Book Antiqua" w:hAnsi="Book Antiqua"/>
        </w:rPr>
        <w:t>a</w:t>
      </w:r>
      <w:r w:rsidRPr="00DA1C64">
        <w:rPr>
          <w:rFonts w:ascii="Book Antiqua" w:hAnsi="Book Antiqua"/>
        </w:rPr>
        <w:t xml:space="preserve">ppellant and to the </w:t>
      </w:r>
      <w:r>
        <w:rPr>
          <w:rFonts w:ascii="Book Antiqua" w:hAnsi="Book Antiqua"/>
        </w:rPr>
        <w:t>r</w:t>
      </w:r>
      <w:r w:rsidRPr="00DA1C64">
        <w:rPr>
          <w:rFonts w:ascii="Book Antiqua" w:hAnsi="Book Antiqua"/>
        </w:rPr>
        <w:t>espondent.  Failure to comply with this direction could lead to contempt of court proceedings.</w:t>
      </w:r>
    </w:p>
    <w:p w:rsidR="00485C15" w:rsidRDefault="00485C15" w:rsidP="00FF376D">
      <w:pPr>
        <w:tabs>
          <w:tab w:val="left" w:pos="2520"/>
        </w:tabs>
        <w:jc w:val="both"/>
        <w:rPr>
          <w:rFonts w:ascii="Book Antiqua" w:hAnsi="Book Antiqua" w:cs="Arial"/>
        </w:rPr>
      </w:pPr>
    </w:p>
    <w:p w:rsidR="00FF376D" w:rsidRDefault="00FF376D" w:rsidP="00FF376D">
      <w:pPr>
        <w:tabs>
          <w:tab w:val="left" w:pos="2520"/>
        </w:tabs>
        <w:jc w:val="both"/>
        <w:rPr>
          <w:rFonts w:ascii="Book Antiqua" w:hAnsi="Book Antiqua" w:cs="Arial"/>
        </w:rPr>
      </w:pPr>
    </w:p>
    <w:p w:rsidR="00485C15" w:rsidRPr="00C4371F" w:rsidRDefault="00485C15" w:rsidP="00FF376D">
      <w:pPr>
        <w:jc w:val="both"/>
        <w:rPr>
          <w:rFonts w:ascii="Book Antiqua" w:hAnsi="Book Antiqua" w:cs="Arial"/>
        </w:rPr>
      </w:pPr>
      <w:r w:rsidRPr="00C4371F">
        <w:rPr>
          <w:rFonts w:ascii="Book Antiqua" w:hAnsi="Book Antiqua" w:cs="Arial"/>
        </w:rPr>
        <w:t>Signed</w:t>
      </w:r>
      <w:r w:rsidRPr="00C4371F">
        <w:rPr>
          <w:rFonts w:ascii="Book Antiqua" w:hAnsi="Book Antiqua" w:cs="Arial"/>
        </w:rPr>
        <w:tab/>
      </w:r>
      <w:r w:rsidR="00C662BA" w:rsidRPr="00C662BA">
        <w:rPr>
          <w:rFonts w:ascii="Blackadder ITC" w:hAnsi="Blackadder ITC" w:cs="Arial"/>
        </w:rPr>
        <w:t xml:space="preserve">Helen </w:t>
      </w:r>
      <w:proofErr w:type="spellStart"/>
      <w:r w:rsidR="00C662BA" w:rsidRPr="00C662BA">
        <w:rPr>
          <w:rFonts w:ascii="Blackadder ITC" w:hAnsi="Blackadder ITC" w:cs="Arial"/>
        </w:rPr>
        <w:t>Rimington</w:t>
      </w:r>
      <w:proofErr w:type="spellEnd"/>
      <w:r w:rsidR="00C662BA" w:rsidRPr="00C662BA">
        <w:rPr>
          <w:rFonts w:ascii="Blackadder ITC" w:hAnsi="Blackadder ITC" w:cs="Arial"/>
        </w:rPr>
        <w:t xml:space="preserve"> </w:t>
      </w:r>
      <w:r w:rsidRPr="00C662BA">
        <w:rPr>
          <w:rFonts w:ascii="Blackadder ITC" w:hAnsi="Blackadder ITC" w:cs="Arial"/>
        </w:rPr>
        <w:tab/>
      </w:r>
      <w:r w:rsidRPr="00C4371F">
        <w:rPr>
          <w:rFonts w:ascii="Book Antiqua" w:hAnsi="Book Antiqua" w:cs="Arial"/>
        </w:rPr>
        <w:tab/>
      </w:r>
      <w:r w:rsidRPr="00C4371F">
        <w:rPr>
          <w:rFonts w:ascii="Book Antiqua" w:hAnsi="Book Antiqua" w:cs="Arial"/>
        </w:rPr>
        <w:tab/>
      </w:r>
      <w:r w:rsidRPr="00C4371F">
        <w:rPr>
          <w:rFonts w:ascii="Book Antiqua" w:hAnsi="Book Antiqua" w:cs="Arial"/>
        </w:rPr>
        <w:tab/>
        <w:t>Date</w:t>
      </w:r>
      <w:r>
        <w:rPr>
          <w:rFonts w:ascii="Book Antiqua" w:hAnsi="Book Antiqua" w:cs="Arial"/>
        </w:rPr>
        <w:t xml:space="preserve"> </w:t>
      </w:r>
      <w:r w:rsidR="0044587B">
        <w:rPr>
          <w:rFonts w:ascii="Book Antiqua" w:hAnsi="Book Antiqua" w:cs="Arial"/>
        </w:rPr>
        <w:t>27</w:t>
      </w:r>
      <w:r w:rsidR="0044587B" w:rsidRPr="0044587B">
        <w:rPr>
          <w:rFonts w:ascii="Book Antiqua" w:hAnsi="Book Antiqua" w:cs="Arial"/>
          <w:vertAlign w:val="superscript"/>
        </w:rPr>
        <w:t>th</w:t>
      </w:r>
      <w:r w:rsidR="0044587B">
        <w:rPr>
          <w:rFonts w:ascii="Book Antiqua" w:hAnsi="Book Antiqua" w:cs="Arial"/>
        </w:rPr>
        <w:t xml:space="preserve"> July 2018</w:t>
      </w:r>
    </w:p>
    <w:p w:rsidR="00485C15" w:rsidRPr="00C4371F" w:rsidRDefault="00485C15" w:rsidP="00FF376D">
      <w:pPr>
        <w:tabs>
          <w:tab w:val="left" w:pos="2520"/>
        </w:tabs>
        <w:jc w:val="both"/>
        <w:rPr>
          <w:rFonts w:ascii="Book Antiqua" w:hAnsi="Book Antiqua" w:cs="Arial"/>
        </w:rPr>
      </w:pPr>
    </w:p>
    <w:p w:rsidR="00485C15" w:rsidRPr="00F275BD" w:rsidRDefault="00485C15" w:rsidP="00FF376D">
      <w:pPr>
        <w:tabs>
          <w:tab w:val="left" w:pos="2520"/>
        </w:tabs>
        <w:jc w:val="both"/>
        <w:rPr>
          <w:rFonts w:ascii="Book Antiqua" w:hAnsi="Book Antiqua" w:cs="Arial"/>
          <w:color w:val="000000"/>
        </w:rPr>
      </w:pPr>
      <w:r>
        <w:rPr>
          <w:rFonts w:ascii="Book Antiqua" w:hAnsi="Book Antiqua" w:cs="Arial"/>
          <w:color w:val="000000"/>
        </w:rPr>
        <w:t xml:space="preserve">Upper Tribunal </w:t>
      </w:r>
      <w:r w:rsidRPr="00C4371F">
        <w:rPr>
          <w:rFonts w:ascii="Book Antiqua" w:hAnsi="Book Antiqua" w:cs="Arial"/>
          <w:color w:val="000000"/>
        </w:rPr>
        <w:t xml:space="preserve">Judge </w:t>
      </w:r>
      <w:proofErr w:type="spellStart"/>
      <w:r w:rsidRPr="00C4371F">
        <w:rPr>
          <w:rFonts w:ascii="Book Antiqua" w:hAnsi="Book Antiqua" w:cs="Arial"/>
          <w:color w:val="000000"/>
        </w:rPr>
        <w:t>Rimington</w:t>
      </w:r>
      <w:proofErr w:type="spellEnd"/>
      <w:r w:rsidRPr="00C4371F">
        <w:rPr>
          <w:rFonts w:ascii="Book Antiqua" w:hAnsi="Book Antiqua" w:cs="Arial"/>
          <w:color w:val="000000"/>
        </w:rPr>
        <w:t xml:space="preserve"> </w:t>
      </w:r>
    </w:p>
    <w:p w:rsidR="00485C15" w:rsidRDefault="00485C15" w:rsidP="00FF376D">
      <w:pPr>
        <w:tabs>
          <w:tab w:val="left" w:pos="2520"/>
        </w:tabs>
        <w:jc w:val="both"/>
        <w:rPr>
          <w:rFonts w:ascii="Book Antiqua" w:hAnsi="Book Antiqua" w:cs="Arial"/>
        </w:rPr>
      </w:pPr>
    </w:p>
    <w:p w:rsidR="00485C15" w:rsidRPr="00C4371F" w:rsidRDefault="00485C15" w:rsidP="00FF376D">
      <w:pPr>
        <w:tabs>
          <w:tab w:val="left" w:pos="2520"/>
        </w:tabs>
        <w:jc w:val="both"/>
        <w:rPr>
          <w:rFonts w:ascii="Book Antiqua" w:hAnsi="Book Antiqua" w:cs="Arial"/>
        </w:rPr>
        <w:sectPr w:rsidR="00485C15" w:rsidRPr="00C4371F" w:rsidSect="00DF005E">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p>
    <w:p w:rsidR="00485C15" w:rsidRPr="00C4371F" w:rsidRDefault="00485C15" w:rsidP="00485C15">
      <w:pPr>
        <w:jc w:val="center"/>
        <w:rPr>
          <w:rFonts w:ascii="Book Antiqua" w:hAnsi="Book Antiqua" w:cs="Arial"/>
        </w:rPr>
      </w:pPr>
      <w:r w:rsidRPr="00C4371F">
        <w:rPr>
          <w:rFonts w:ascii="Book Antiqua" w:hAnsi="Book Antiqua" w:cs="Arial"/>
        </w:rPr>
        <w:lastRenderedPageBreak/>
        <w:t>Approval for Promulgation</w:t>
      </w:r>
    </w:p>
    <w:p w:rsidR="00485C15" w:rsidRPr="00C4371F" w:rsidRDefault="00485C15" w:rsidP="00485C15">
      <w:pPr>
        <w:rPr>
          <w:rFonts w:ascii="Book Antiqua" w:hAnsi="Book Antiqua"/>
        </w:rPr>
      </w:pPr>
    </w:p>
    <w:p w:rsidR="00485C15" w:rsidRPr="00C4371F" w:rsidRDefault="00485C15" w:rsidP="00485C15">
      <w:pPr>
        <w:rPr>
          <w:rFonts w:ascii="Book Antiqua" w:hAnsi="Book Antiqua"/>
        </w:rPr>
      </w:pPr>
    </w:p>
    <w:tbl>
      <w:tblPr>
        <w:tblStyle w:val="TableGrid"/>
        <w:tblW w:w="0" w:type="auto"/>
        <w:tblLook w:val="01E0" w:firstRow="1" w:lastRow="1" w:firstColumn="1" w:lastColumn="1" w:noHBand="0" w:noVBand="0"/>
      </w:tblPr>
      <w:tblGrid>
        <w:gridCol w:w="4598"/>
        <w:gridCol w:w="5030"/>
      </w:tblGrid>
      <w:tr w:rsidR="00485C15" w:rsidRPr="00C4371F" w:rsidTr="00DF005E">
        <w:tc>
          <w:tcPr>
            <w:tcW w:w="4608" w:type="dxa"/>
            <w:vAlign w:val="center"/>
          </w:tcPr>
          <w:p w:rsidR="00485C15" w:rsidRPr="00C4371F" w:rsidRDefault="00485C15" w:rsidP="00DF005E">
            <w:pPr>
              <w:spacing w:before="60" w:after="60"/>
              <w:ind w:right="-293"/>
              <w:rPr>
                <w:rFonts w:ascii="Book Antiqua" w:hAnsi="Book Antiqua" w:cs="Arial"/>
                <w:sz w:val="22"/>
                <w:szCs w:val="22"/>
              </w:rPr>
            </w:pPr>
            <w:r w:rsidRPr="00C4371F">
              <w:rPr>
                <w:rFonts w:ascii="Book Antiqua" w:hAnsi="Book Antiqua" w:cs="Arial"/>
                <w:sz w:val="22"/>
                <w:szCs w:val="22"/>
              </w:rPr>
              <w:t xml:space="preserve">Name of </w:t>
            </w:r>
            <w:r>
              <w:rPr>
                <w:rFonts w:ascii="Book Antiqua" w:hAnsi="Book Antiqua" w:cs="Arial"/>
                <w:sz w:val="22"/>
                <w:szCs w:val="22"/>
              </w:rPr>
              <w:t xml:space="preserve">Deputy </w:t>
            </w:r>
            <w:r w:rsidRPr="00C4371F">
              <w:rPr>
                <w:rFonts w:ascii="Book Antiqua" w:hAnsi="Book Antiqua" w:cs="Arial"/>
                <w:sz w:val="22"/>
                <w:szCs w:val="22"/>
              </w:rPr>
              <w:t>Judge issuing approval:</w:t>
            </w:r>
          </w:p>
        </w:tc>
        <w:tc>
          <w:tcPr>
            <w:tcW w:w="5040" w:type="dxa"/>
            <w:vAlign w:val="center"/>
          </w:tcPr>
          <w:p w:rsidR="00485C15" w:rsidRPr="00C4371F" w:rsidRDefault="00485C15" w:rsidP="00DF005E">
            <w:pPr>
              <w:spacing w:before="60" w:after="60"/>
              <w:rPr>
                <w:rFonts w:ascii="Book Antiqua" w:hAnsi="Book Antiqua" w:cs="Arial"/>
                <w:color w:val="800000"/>
                <w:sz w:val="22"/>
                <w:szCs w:val="22"/>
              </w:rPr>
            </w:pPr>
            <w:r w:rsidRPr="00C4371F">
              <w:rPr>
                <w:rFonts w:ascii="Book Antiqua" w:hAnsi="Book Antiqua" w:cs="Arial"/>
                <w:color w:val="800000"/>
                <w:sz w:val="22"/>
                <w:szCs w:val="22"/>
              </w:rPr>
              <w:t xml:space="preserve">Ms H </w:t>
            </w:r>
            <w:proofErr w:type="spellStart"/>
            <w:r w:rsidRPr="00C4371F">
              <w:rPr>
                <w:rFonts w:ascii="Book Antiqua" w:hAnsi="Book Antiqua" w:cs="Arial"/>
                <w:color w:val="800000"/>
                <w:sz w:val="22"/>
                <w:szCs w:val="22"/>
              </w:rPr>
              <w:t>Rimington</w:t>
            </w:r>
            <w:proofErr w:type="spellEnd"/>
          </w:p>
        </w:tc>
      </w:tr>
      <w:tr w:rsidR="00485C15" w:rsidRPr="00C4371F" w:rsidTr="00DF005E">
        <w:tc>
          <w:tcPr>
            <w:tcW w:w="4608"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t>Appellant’s Name:</w:t>
            </w:r>
          </w:p>
        </w:tc>
        <w:tc>
          <w:tcPr>
            <w:tcW w:w="5040" w:type="dxa"/>
            <w:vAlign w:val="center"/>
          </w:tcPr>
          <w:p w:rsidR="00485C15" w:rsidRPr="00C4371F" w:rsidRDefault="00485C15" w:rsidP="00DF005E">
            <w:pPr>
              <w:spacing w:before="60" w:after="60"/>
              <w:rPr>
                <w:rFonts w:ascii="Book Antiqua" w:hAnsi="Book Antiqua" w:cs="Arial"/>
                <w:color w:val="800000"/>
                <w:sz w:val="22"/>
                <w:szCs w:val="22"/>
              </w:rPr>
            </w:pPr>
            <w:r>
              <w:rPr>
                <w:rFonts w:ascii="Book Antiqua" w:hAnsi="Book Antiqua" w:cs="Arial"/>
                <w:color w:val="800000"/>
                <w:sz w:val="22"/>
                <w:szCs w:val="22"/>
              </w:rPr>
              <w:t>Mr M I M I</w:t>
            </w:r>
          </w:p>
        </w:tc>
      </w:tr>
      <w:tr w:rsidR="00485C15" w:rsidRPr="00C4371F" w:rsidTr="00DF005E">
        <w:tc>
          <w:tcPr>
            <w:tcW w:w="4608"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t>Case Number:</w:t>
            </w:r>
          </w:p>
        </w:tc>
        <w:tc>
          <w:tcPr>
            <w:tcW w:w="5040" w:type="dxa"/>
            <w:vAlign w:val="center"/>
          </w:tcPr>
          <w:p w:rsidR="00485C15" w:rsidRPr="00C4371F" w:rsidRDefault="00485C15" w:rsidP="00DF005E">
            <w:pPr>
              <w:spacing w:before="60" w:after="60"/>
              <w:rPr>
                <w:rFonts w:ascii="Book Antiqua" w:hAnsi="Book Antiqua" w:cs="Arial"/>
                <w:color w:val="800000"/>
                <w:sz w:val="22"/>
                <w:szCs w:val="22"/>
              </w:rPr>
            </w:pPr>
            <w:r>
              <w:rPr>
                <w:rFonts w:ascii="Book Antiqua" w:hAnsi="Book Antiqua" w:cs="Arial"/>
                <w:color w:val="800000"/>
                <w:sz w:val="22"/>
                <w:szCs w:val="22"/>
              </w:rPr>
              <w:t>AA/09781/2012</w:t>
            </w:r>
          </w:p>
        </w:tc>
      </w:tr>
    </w:tbl>
    <w:p w:rsidR="00485C15" w:rsidRPr="00C4371F" w:rsidRDefault="00485C15" w:rsidP="00485C15">
      <w:pPr>
        <w:rPr>
          <w:rFonts w:ascii="Book Antiqua" w:hAnsi="Book Antiqua" w:cs="Arial"/>
        </w:rPr>
      </w:pPr>
    </w:p>
    <w:p w:rsidR="00485C15" w:rsidRPr="00C4371F" w:rsidRDefault="00485C15" w:rsidP="00485C15">
      <w:pPr>
        <w:rPr>
          <w:rFonts w:ascii="Book Antiqua" w:hAnsi="Book Antiqua" w:cs="Arial"/>
        </w:rPr>
      </w:pPr>
      <w:r w:rsidRPr="00C4371F">
        <w:rPr>
          <w:rFonts w:ascii="Book Antiqua" w:hAnsi="Book Antiqua" w:cs="Arial"/>
        </w:rPr>
        <w:t xml:space="preserve">Oral </w:t>
      </w:r>
      <w:r>
        <w:rPr>
          <w:rFonts w:ascii="Book Antiqua" w:hAnsi="Book Antiqua" w:cs="Arial"/>
        </w:rPr>
        <w:t xml:space="preserve">decision </w:t>
      </w:r>
      <w:r w:rsidRPr="00C4371F">
        <w:rPr>
          <w:rFonts w:ascii="Book Antiqua" w:hAnsi="Book Antiqua" w:cs="Arial"/>
        </w:rPr>
        <w:t xml:space="preserve">(please indicate)   </w:t>
      </w:r>
      <w:r w:rsidRPr="00C4371F">
        <w:rPr>
          <w:rFonts w:ascii="Book Antiqua" w:hAnsi="Book Antiqua" w:cs="Arial"/>
        </w:rPr>
        <w:fldChar w:fldCharType="begin">
          <w:ffData>
            <w:name w:val="Check1"/>
            <w:enabled/>
            <w:calcOnExit w:val="0"/>
            <w:checkBox>
              <w:sizeAuto/>
              <w:default w:val="0"/>
            </w:checkBox>
          </w:ffData>
        </w:fldChar>
      </w:r>
      <w:bookmarkStart w:id="2" w:name="Check1"/>
      <w:r w:rsidRPr="00C4371F">
        <w:rPr>
          <w:rFonts w:ascii="Book Antiqua" w:hAnsi="Book Antiqua" w:cs="Arial"/>
        </w:rPr>
        <w:instrText xml:space="preserve"> FORMCHECKBOX </w:instrText>
      </w:r>
      <w:r w:rsidR="00222EE9">
        <w:rPr>
          <w:rFonts w:ascii="Book Antiqua" w:hAnsi="Book Antiqua" w:cs="Arial"/>
        </w:rPr>
      </w:r>
      <w:r w:rsidR="00222EE9">
        <w:rPr>
          <w:rFonts w:ascii="Book Antiqua" w:hAnsi="Book Antiqua" w:cs="Arial"/>
        </w:rPr>
        <w:fldChar w:fldCharType="separate"/>
      </w:r>
      <w:r w:rsidRPr="00C4371F">
        <w:rPr>
          <w:rFonts w:ascii="Book Antiqua" w:hAnsi="Book Antiqua" w:cs="Arial"/>
        </w:rPr>
        <w:fldChar w:fldCharType="end"/>
      </w:r>
      <w:bookmarkEnd w:id="2"/>
      <w:r w:rsidRPr="00C4371F">
        <w:rPr>
          <w:rFonts w:ascii="Book Antiqua" w:hAnsi="Book Antiqua" w:cs="Arial"/>
        </w:rPr>
        <w:tab/>
        <w:t xml:space="preserve"> </w:t>
      </w:r>
    </w:p>
    <w:p w:rsidR="00485C15" w:rsidRPr="00C4371F" w:rsidRDefault="00485C15" w:rsidP="00485C15">
      <w:pPr>
        <w:rPr>
          <w:rFonts w:ascii="Book Antiqua" w:hAnsi="Book Antiqua" w:cs="Arial"/>
        </w:rPr>
      </w:pPr>
    </w:p>
    <w:p w:rsidR="00485C15" w:rsidRPr="00C4371F" w:rsidRDefault="00485C15" w:rsidP="00485C15">
      <w:pPr>
        <w:rPr>
          <w:rFonts w:ascii="Book Antiqua" w:hAnsi="Book Antiqua" w:cs="Arial"/>
        </w:rPr>
      </w:pPr>
    </w:p>
    <w:p w:rsidR="00485C15" w:rsidRPr="00C4371F" w:rsidRDefault="00485C15" w:rsidP="00485C15">
      <w:pPr>
        <w:rPr>
          <w:rFonts w:ascii="Book Antiqua" w:hAnsi="Book Antiqua" w:cs="Arial"/>
        </w:rPr>
      </w:pPr>
      <w:r w:rsidRPr="00C4371F">
        <w:rPr>
          <w:rFonts w:ascii="Book Antiqua" w:hAnsi="Book Antiqua" w:cs="Arial"/>
        </w:rPr>
        <w:t xml:space="preserve">I approve the attached </w:t>
      </w:r>
      <w:r>
        <w:rPr>
          <w:rFonts w:ascii="Book Antiqua" w:hAnsi="Book Antiqua" w:cs="Arial"/>
        </w:rPr>
        <w:t>Decision and Reasons</w:t>
      </w:r>
      <w:r w:rsidRPr="00C4371F">
        <w:rPr>
          <w:rFonts w:ascii="Book Antiqua" w:hAnsi="Book Antiqua" w:cs="Arial"/>
        </w:rPr>
        <w:t xml:space="preserve"> for promulgation</w:t>
      </w:r>
      <w:r w:rsidRPr="00C4371F">
        <w:rPr>
          <w:rFonts w:ascii="Book Antiqua" w:hAnsi="Book Antiqua" w:cs="Arial"/>
        </w:rPr>
        <w:tab/>
      </w:r>
    </w:p>
    <w:p w:rsidR="00485C15" w:rsidRPr="00C4371F" w:rsidRDefault="00485C15" w:rsidP="00485C15">
      <w:pPr>
        <w:rPr>
          <w:rFonts w:ascii="Book Antiqua" w:hAnsi="Book Antiqua" w:cs="Arial"/>
        </w:rPr>
      </w:pPr>
    </w:p>
    <w:p w:rsidR="00485C15" w:rsidRPr="00C4371F" w:rsidRDefault="00485C15" w:rsidP="00485C15">
      <w:pPr>
        <w:rPr>
          <w:rFonts w:ascii="Book Antiqua" w:hAnsi="Book Antiqua" w:cs="Arial"/>
        </w:rPr>
      </w:pPr>
      <w:r w:rsidRPr="00C4371F">
        <w:rPr>
          <w:rFonts w:ascii="Book Antiqua" w:hAnsi="Book Antiqua" w:cs="Arial"/>
        </w:rPr>
        <w:t xml:space="preserve">Name:  </w:t>
      </w:r>
      <w:r w:rsidRPr="00C4371F">
        <w:rPr>
          <w:rFonts w:ascii="Book Antiqua" w:hAnsi="Book Antiqua" w:cs="Arial"/>
        </w:rPr>
        <w:tab/>
      </w:r>
      <w:r w:rsidRPr="00C4371F">
        <w:rPr>
          <w:rFonts w:ascii="Book Antiqua" w:hAnsi="Book Antiqua" w:cs="Arial"/>
        </w:rPr>
        <w:fldChar w:fldCharType="begin">
          <w:ffData>
            <w:name w:val="Text4"/>
            <w:enabled/>
            <w:calcOnExit w:val="0"/>
            <w:textInput/>
          </w:ffData>
        </w:fldChar>
      </w:r>
      <w:bookmarkStart w:id="3" w:name="Text4"/>
      <w:r w:rsidRPr="00C4371F">
        <w:rPr>
          <w:rFonts w:ascii="Book Antiqua" w:hAnsi="Book Antiqua" w:cs="Arial"/>
        </w:rPr>
        <w:instrText xml:space="preserve"> FORMTEXT </w:instrText>
      </w:r>
      <w:r w:rsidRPr="00C4371F">
        <w:rPr>
          <w:rFonts w:ascii="Book Antiqua" w:hAnsi="Book Antiqua" w:cs="Arial"/>
        </w:rPr>
      </w:r>
      <w:r w:rsidRPr="00C4371F">
        <w:rPr>
          <w:rFonts w:ascii="Book Antiqua" w:hAnsi="Book Antiqua" w:cs="Arial"/>
        </w:rPr>
        <w:fldChar w:fldCharType="separate"/>
      </w:r>
      <w:r w:rsidRPr="00C4371F">
        <w:rPr>
          <w:rFonts w:ascii="Arial" w:hAnsi="Arial" w:cs="Arial"/>
          <w:noProof/>
        </w:rPr>
        <w:t> </w:t>
      </w:r>
      <w:r w:rsidRPr="00C4371F">
        <w:rPr>
          <w:rFonts w:ascii="Arial" w:hAnsi="Arial" w:cs="Arial"/>
          <w:noProof/>
        </w:rPr>
        <w:t> </w:t>
      </w:r>
      <w:r w:rsidRPr="00C4371F">
        <w:rPr>
          <w:rFonts w:ascii="Arial" w:hAnsi="Arial" w:cs="Arial"/>
          <w:noProof/>
        </w:rPr>
        <w:t> </w:t>
      </w:r>
      <w:r w:rsidRPr="00C4371F">
        <w:rPr>
          <w:rFonts w:ascii="Arial" w:hAnsi="Arial" w:cs="Arial"/>
          <w:noProof/>
        </w:rPr>
        <w:t> </w:t>
      </w:r>
      <w:r w:rsidRPr="00C4371F">
        <w:rPr>
          <w:rFonts w:ascii="Arial" w:hAnsi="Arial" w:cs="Arial"/>
          <w:noProof/>
        </w:rPr>
        <w:t> </w:t>
      </w:r>
      <w:r w:rsidRPr="00C4371F">
        <w:rPr>
          <w:rFonts w:ascii="Book Antiqua" w:hAnsi="Book Antiqua" w:cs="Arial"/>
        </w:rPr>
        <w:fldChar w:fldCharType="end"/>
      </w:r>
      <w:bookmarkEnd w:id="3"/>
    </w:p>
    <w:p w:rsidR="00485C15" w:rsidRPr="00C4371F" w:rsidRDefault="00485C15" w:rsidP="00485C15">
      <w:pPr>
        <w:rPr>
          <w:rFonts w:ascii="Book Antiqua" w:hAnsi="Book Antiqua" w:cs="Arial"/>
        </w:rPr>
      </w:pPr>
    </w:p>
    <w:p w:rsidR="00485C15" w:rsidRPr="00C4371F" w:rsidRDefault="00485C15" w:rsidP="00485C15">
      <w:pPr>
        <w:rPr>
          <w:rFonts w:ascii="Book Antiqua" w:hAnsi="Book Antiqua" w:cs="Arial"/>
        </w:rPr>
      </w:pPr>
      <w:r w:rsidRPr="00C4371F">
        <w:rPr>
          <w:rFonts w:ascii="Book Antiqua" w:hAnsi="Book Antiqua" w:cs="Arial"/>
        </w:rPr>
        <w:t xml:space="preserve">Date:  </w:t>
      </w:r>
      <w:r w:rsidRPr="00C4371F">
        <w:rPr>
          <w:rFonts w:ascii="Book Antiqua" w:hAnsi="Book Antiqua" w:cs="Arial"/>
        </w:rPr>
        <w:tab/>
      </w:r>
      <w:r w:rsidRPr="00C4371F">
        <w:rPr>
          <w:rFonts w:ascii="Book Antiqua" w:hAnsi="Book Antiqua" w:cs="Arial"/>
        </w:rPr>
        <w:tab/>
      </w:r>
      <w:r w:rsidRPr="00C4371F">
        <w:rPr>
          <w:rFonts w:ascii="Book Antiqua" w:hAnsi="Book Antiqua" w:cs="Arial"/>
        </w:rPr>
        <w:fldChar w:fldCharType="begin">
          <w:ffData>
            <w:name w:val="Text5"/>
            <w:enabled/>
            <w:calcOnExit w:val="0"/>
            <w:textInput/>
          </w:ffData>
        </w:fldChar>
      </w:r>
      <w:bookmarkStart w:id="4" w:name="Text5"/>
      <w:r w:rsidRPr="00C4371F">
        <w:rPr>
          <w:rFonts w:ascii="Book Antiqua" w:hAnsi="Book Antiqua" w:cs="Arial"/>
        </w:rPr>
        <w:instrText xml:space="preserve"> FORMTEXT </w:instrText>
      </w:r>
      <w:r w:rsidRPr="00C4371F">
        <w:rPr>
          <w:rFonts w:ascii="Book Antiqua" w:hAnsi="Book Antiqua" w:cs="Arial"/>
        </w:rPr>
      </w:r>
      <w:r w:rsidRPr="00C4371F">
        <w:rPr>
          <w:rFonts w:ascii="Book Antiqua" w:hAnsi="Book Antiqua" w:cs="Arial"/>
        </w:rPr>
        <w:fldChar w:fldCharType="separate"/>
      </w:r>
      <w:r w:rsidRPr="00C4371F">
        <w:rPr>
          <w:rFonts w:ascii="Arial" w:hAnsi="Arial" w:cs="Arial"/>
          <w:noProof/>
        </w:rPr>
        <w:t> </w:t>
      </w:r>
      <w:r w:rsidRPr="00C4371F">
        <w:rPr>
          <w:rFonts w:ascii="Arial" w:hAnsi="Arial" w:cs="Arial"/>
          <w:noProof/>
        </w:rPr>
        <w:t> </w:t>
      </w:r>
      <w:r w:rsidRPr="00C4371F">
        <w:rPr>
          <w:rFonts w:ascii="Arial" w:hAnsi="Arial" w:cs="Arial"/>
          <w:noProof/>
        </w:rPr>
        <w:t> </w:t>
      </w:r>
      <w:r w:rsidRPr="00C4371F">
        <w:rPr>
          <w:rFonts w:ascii="Arial" w:hAnsi="Arial" w:cs="Arial"/>
          <w:noProof/>
        </w:rPr>
        <w:t> </w:t>
      </w:r>
      <w:r w:rsidRPr="00C4371F">
        <w:rPr>
          <w:rFonts w:ascii="Arial" w:hAnsi="Arial" w:cs="Arial"/>
          <w:noProof/>
        </w:rPr>
        <w:t> </w:t>
      </w:r>
      <w:r w:rsidRPr="00C4371F">
        <w:rPr>
          <w:rFonts w:ascii="Book Antiqua" w:hAnsi="Book Antiqua" w:cs="Arial"/>
        </w:rPr>
        <w:fldChar w:fldCharType="end"/>
      </w:r>
      <w:bookmarkEnd w:id="4"/>
    </w:p>
    <w:p w:rsidR="00485C15" w:rsidRPr="00C4371F" w:rsidRDefault="00485C15" w:rsidP="00485C15">
      <w:pPr>
        <w:rPr>
          <w:rFonts w:ascii="Book Antiqua" w:hAnsi="Book Antiqua" w:cs="Arial"/>
        </w:rPr>
      </w:pPr>
    </w:p>
    <w:p w:rsidR="00485C15" w:rsidRPr="00C4371F" w:rsidRDefault="00485C15" w:rsidP="00485C15">
      <w:pPr>
        <w:rPr>
          <w:rFonts w:ascii="Book Antiqua" w:hAnsi="Book Antiqua" w:cs="Arial"/>
        </w:rPr>
      </w:pPr>
    </w:p>
    <w:p w:rsidR="00485C15" w:rsidRPr="00C4371F" w:rsidRDefault="00485C15" w:rsidP="00485C15">
      <w:pPr>
        <w:rPr>
          <w:rFonts w:ascii="Book Antiqua" w:hAnsi="Book Antiqua" w:cs="Arial"/>
          <w:sz w:val="22"/>
          <w:szCs w:val="22"/>
        </w:rPr>
      </w:pPr>
      <w:r w:rsidRPr="00C4371F">
        <w:rPr>
          <w:rFonts w:ascii="Book Antiqua" w:hAnsi="Book Antiqua" w:cs="Arial"/>
          <w:sz w:val="22"/>
          <w:szCs w:val="22"/>
        </w:rPr>
        <w:t>Amendments that require further action by Promulgation section:</w:t>
      </w:r>
    </w:p>
    <w:p w:rsidR="00485C15" w:rsidRPr="00C4371F" w:rsidRDefault="00485C15" w:rsidP="00485C15">
      <w:pPr>
        <w:rPr>
          <w:rFonts w:ascii="Book Antiqua" w:hAnsi="Book Antiqua" w:cs="Arial"/>
          <w:sz w:val="22"/>
          <w:szCs w:val="22"/>
        </w:rPr>
      </w:pPr>
    </w:p>
    <w:p w:rsidR="00485C15" w:rsidRPr="00C4371F" w:rsidRDefault="00485C15" w:rsidP="00485C15">
      <w:pPr>
        <w:rPr>
          <w:rFonts w:ascii="Book Antiqua" w:hAnsi="Book Antiqua" w:cs="Arial"/>
          <w:sz w:val="22"/>
          <w:szCs w:val="22"/>
        </w:rPr>
      </w:pPr>
      <w:r w:rsidRPr="00C4371F">
        <w:rPr>
          <w:rFonts w:ascii="Book Antiqua" w:hAnsi="Book Antiqua" w:cs="Arial"/>
          <w:sz w:val="22"/>
          <w:szCs w:val="22"/>
        </w:rPr>
        <w:t xml:space="preserve">Change of address: </w:t>
      </w:r>
    </w:p>
    <w:p w:rsidR="00485C15" w:rsidRPr="00C4371F" w:rsidRDefault="00485C15" w:rsidP="00485C15">
      <w:pPr>
        <w:rPr>
          <w:rFonts w:ascii="Book Antiqua" w:hAnsi="Book Antiqua" w:cs="Arial"/>
          <w:sz w:val="22"/>
          <w:szCs w:val="22"/>
        </w:rPr>
      </w:pPr>
    </w:p>
    <w:p w:rsidR="00485C15" w:rsidRPr="00C4371F" w:rsidRDefault="00485C15" w:rsidP="00485C15">
      <w:pPr>
        <w:ind w:left="720" w:firstLine="720"/>
        <w:rPr>
          <w:rFonts w:ascii="Book Antiqua" w:hAnsi="Book Antiqua" w:cs="Arial"/>
          <w:sz w:val="22"/>
          <w:szCs w:val="22"/>
        </w:rPr>
      </w:pPr>
      <w:r w:rsidRPr="00C4371F">
        <w:rPr>
          <w:rFonts w:ascii="Book Antiqua" w:hAnsi="Book Antiqua" w:cs="Arial"/>
          <w:sz w:val="22"/>
          <w:szCs w:val="22"/>
        </w:rPr>
        <w:t>Rep:</w:t>
      </w:r>
      <w:r w:rsidRPr="00C4371F">
        <w:rPr>
          <w:rFonts w:ascii="Book Antiqua" w:hAnsi="Book Antiqua" w:cs="Arial"/>
          <w:sz w:val="22"/>
          <w:szCs w:val="22"/>
        </w:rPr>
        <w:tab/>
      </w:r>
      <w:r w:rsidRPr="00C4371F">
        <w:rPr>
          <w:rFonts w:ascii="Book Antiqua" w:hAnsi="Book Antiqua" w:cs="Arial"/>
          <w:sz w:val="22"/>
          <w:szCs w:val="22"/>
        </w:rPr>
        <w:fldChar w:fldCharType="begin">
          <w:ffData>
            <w:name w:val="Check2"/>
            <w:enabled/>
            <w:calcOnExit w:val="0"/>
            <w:checkBox>
              <w:sizeAuto/>
              <w:default w:val="0"/>
            </w:checkBox>
          </w:ffData>
        </w:fldChar>
      </w:r>
      <w:bookmarkStart w:id="5" w:name="Check2"/>
      <w:r w:rsidRPr="00C4371F">
        <w:rPr>
          <w:rFonts w:ascii="Book Antiqua" w:hAnsi="Book Antiqua" w:cs="Arial"/>
          <w:sz w:val="22"/>
          <w:szCs w:val="22"/>
        </w:rPr>
        <w:instrText xml:space="preserve"> FORMCHECKBOX </w:instrText>
      </w:r>
      <w:r w:rsidR="00222EE9">
        <w:rPr>
          <w:rFonts w:ascii="Book Antiqua" w:hAnsi="Book Antiqua" w:cs="Arial"/>
          <w:sz w:val="22"/>
          <w:szCs w:val="22"/>
        </w:rPr>
      </w:r>
      <w:r w:rsidR="00222EE9">
        <w:rPr>
          <w:rFonts w:ascii="Book Antiqua" w:hAnsi="Book Antiqua" w:cs="Arial"/>
          <w:sz w:val="22"/>
          <w:szCs w:val="22"/>
        </w:rPr>
        <w:fldChar w:fldCharType="separate"/>
      </w:r>
      <w:r w:rsidRPr="00C4371F">
        <w:rPr>
          <w:rFonts w:ascii="Book Antiqua" w:hAnsi="Book Antiqua" w:cs="Arial"/>
          <w:sz w:val="22"/>
          <w:szCs w:val="22"/>
        </w:rPr>
        <w:fldChar w:fldCharType="end"/>
      </w:r>
      <w:bookmarkEnd w:id="5"/>
      <w:r w:rsidRPr="00C4371F">
        <w:rPr>
          <w:rFonts w:ascii="Book Antiqua" w:hAnsi="Book Antiqua" w:cs="Arial"/>
          <w:sz w:val="22"/>
          <w:szCs w:val="22"/>
        </w:rPr>
        <w:tab/>
      </w:r>
      <w:r w:rsidRPr="00C4371F">
        <w:rPr>
          <w:rFonts w:ascii="Book Antiqua" w:hAnsi="Book Antiqua" w:cs="Arial"/>
          <w:sz w:val="22"/>
          <w:szCs w:val="22"/>
        </w:rPr>
        <w:tab/>
      </w:r>
      <w:r w:rsidRPr="00C4371F">
        <w:rPr>
          <w:rFonts w:ascii="Book Antiqua" w:hAnsi="Book Antiqua" w:cs="Arial"/>
          <w:sz w:val="22"/>
          <w:szCs w:val="22"/>
        </w:rPr>
        <w:tab/>
      </w:r>
      <w:r w:rsidRPr="00C4371F">
        <w:rPr>
          <w:rFonts w:ascii="Book Antiqua" w:hAnsi="Book Antiqua" w:cs="Arial"/>
          <w:sz w:val="22"/>
          <w:szCs w:val="22"/>
        </w:rPr>
        <w:tab/>
      </w:r>
      <w:r w:rsidRPr="00C4371F">
        <w:rPr>
          <w:rFonts w:ascii="Book Antiqua" w:hAnsi="Book Antiqua" w:cs="Arial"/>
          <w:sz w:val="22"/>
          <w:szCs w:val="22"/>
        </w:rPr>
        <w:tab/>
        <w:t>Appellant:</w:t>
      </w:r>
      <w:r w:rsidRPr="00C4371F">
        <w:rPr>
          <w:rFonts w:ascii="Book Antiqua" w:hAnsi="Book Antiqua" w:cs="Arial"/>
          <w:sz w:val="22"/>
          <w:szCs w:val="22"/>
        </w:rPr>
        <w:tab/>
      </w:r>
      <w:r w:rsidRPr="00C4371F">
        <w:rPr>
          <w:rFonts w:ascii="Book Antiqua" w:hAnsi="Book Antiqua" w:cs="Arial"/>
          <w:sz w:val="22"/>
          <w:szCs w:val="22"/>
        </w:rPr>
        <w:fldChar w:fldCharType="begin">
          <w:ffData>
            <w:name w:val="Check3"/>
            <w:enabled/>
            <w:calcOnExit w:val="0"/>
            <w:checkBox>
              <w:sizeAuto/>
              <w:default w:val="0"/>
            </w:checkBox>
          </w:ffData>
        </w:fldChar>
      </w:r>
      <w:bookmarkStart w:id="6" w:name="Check3"/>
      <w:r w:rsidRPr="00C4371F">
        <w:rPr>
          <w:rFonts w:ascii="Book Antiqua" w:hAnsi="Book Antiqua" w:cs="Arial"/>
          <w:sz w:val="22"/>
          <w:szCs w:val="22"/>
        </w:rPr>
        <w:instrText xml:space="preserve"> FORMCHECKBOX </w:instrText>
      </w:r>
      <w:r w:rsidR="00222EE9">
        <w:rPr>
          <w:rFonts w:ascii="Book Antiqua" w:hAnsi="Book Antiqua" w:cs="Arial"/>
          <w:sz w:val="22"/>
          <w:szCs w:val="22"/>
        </w:rPr>
      </w:r>
      <w:r w:rsidR="00222EE9">
        <w:rPr>
          <w:rFonts w:ascii="Book Antiqua" w:hAnsi="Book Antiqua" w:cs="Arial"/>
          <w:sz w:val="22"/>
          <w:szCs w:val="22"/>
        </w:rPr>
        <w:fldChar w:fldCharType="separate"/>
      </w:r>
      <w:r w:rsidRPr="00C4371F">
        <w:rPr>
          <w:rFonts w:ascii="Book Antiqua" w:hAnsi="Book Antiqua" w:cs="Arial"/>
          <w:sz w:val="22"/>
          <w:szCs w:val="22"/>
        </w:rPr>
        <w:fldChar w:fldCharType="end"/>
      </w:r>
      <w:bookmarkEnd w:id="6"/>
    </w:p>
    <w:tbl>
      <w:tblPr>
        <w:tblStyle w:val="TableGrid"/>
        <w:tblW w:w="0" w:type="auto"/>
        <w:tblLook w:val="01E0" w:firstRow="1" w:lastRow="1" w:firstColumn="1" w:lastColumn="1" w:noHBand="0" w:noVBand="0"/>
      </w:tblPr>
      <w:tblGrid>
        <w:gridCol w:w="4261"/>
        <w:gridCol w:w="4261"/>
      </w:tblGrid>
      <w:tr w:rsidR="00485C15" w:rsidRPr="00C4371F" w:rsidTr="00DF005E">
        <w:tc>
          <w:tcPr>
            <w:tcW w:w="4261"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fldChar w:fldCharType="begin">
                <w:ffData>
                  <w:name w:val="Text6"/>
                  <w:enabled/>
                  <w:calcOnExit w:val="0"/>
                  <w:textInput/>
                </w:ffData>
              </w:fldChar>
            </w:r>
            <w:r w:rsidRPr="00C4371F">
              <w:rPr>
                <w:rFonts w:ascii="Book Antiqua" w:hAnsi="Book Antiqua" w:cs="Arial"/>
                <w:sz w:val="22"/>
                <w:szCs w:val="22"/>
              </w:rPr>
              <w:instrText xml:space="preserve"> FORMTEXT </w:instrText>
            </w:r>
            <w:r w:rsidRPr="00C4371F">
              <w:rPr>
                <w:rFonts w:ascii="Book Antiqua" w:hAnsi="Book Antiqua" w:cs="Arial"/>
                <w:sz w:val="22"/>
                <w:szCs w:val="22"/>
              </w:rPr>
            </w:r>
            <w:r w:rsidRPr="00C4371F">
              <w:rPr>
                <w:rFonts w:ascii="Book Antiqua" w:hAnsi="Book Antiqua" w:cs="Arial"/>
                <w:sz w:val="22"/>
                <w:szCs w:val="22"/>
              </w:rPr>
              <w:fldChar w:fldCharType="separate"/>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Book Antiqua" w:hAnsi="Book Antiqua" w:cs="Arial"/>
                <w:sz w:val="22"/>
                <w:szCs w:val="22"/>
              </w:rPr>
              <w:fldChar w:fldCharType="end"/>
            </w:r>
          </w:p>
        </w:tc>
        <w:tc>
          <w:tcPr>
            <w:tcW w:w="4261"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fldChar w:fldCharType="begin">
                <w:ffData>
                  <w:name w:val="Text11"/>
                  <w:enabled/>
                  <w:calcOnExit w:val="0"/>
                  <w:textInput/>
                </w:ffData>
              </w:fldChar>
            </w:r>
            <w:r w:rsidRPr="00C4371F">
              <w:rPr>
                <w:rFonts w:ascii="Book Antiqua" w:hAnsi="Book Antiqua" w:cs="Arial"/>
                <w:sz w:val="22"/>
                <w:szCs w:val="22"/>
              </w:rPr>
              <w:instrText xml:space="preserve"> FORMTEXT </w:instrText>
            </w:r>
            <w:r w:rsidRPr="00C4371F">
              <w:rPr>
                <w:rFonts w:ascii="Book Antiqua" w:hAnsi="Book Antiqua" w:cs="Arial"/>
                <w:sz w:val="22"/>
                <w:szCs w:val="22"/>
              </w:rPr>
            </w:r>
            <w:r w:rsidRPr="00C4371F">
              <w:rPr>
                <w:rFonts w:ascii="Book Antiqua" w:hAnsi="Book Antiqua" w:cs="Arial"/>
                <w:sz w:val="22"/>
                <w:szCs w:val="22"/>
              </w:rPr>
              <w:fldChar w:fldCharType="separate"/>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Book Antiqua" w:hAnsi="Book Antiqua" w:cs="Arial"/>
                <w:sz w:val="22"/>
                <w:szCs w:val="22"/>
              </w:rPr>
              <w:fldChar w:fldCharType="end"/>
            </w:r>
          </w:p>
        </w:tc>
      </w:tr>
      <w:tr w:rsidR="00485C15" w:rsidRPr="00C4371F" w:rsidTr="00DF005E">
        <w:tc>
          <w:tcPr>
            <w:tcW w:w="4261"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fldChar w:fldCharType="begin">
                <w:ffData>
                  <w:name w:val="Text16"/>
                  <w:enabled/>
                  <w:calcOnExit w:val="0"/>
                  <w:textInput/>
                </w:ffData>
              </w:fldChar>
            </w:r>
            <w:r w:rsidRPr="00C4371F">
              <w:rPr>
                <w:rFonts w:ascii="Book Antiqua" w:hAnsi="Book Antiqua" w:cs="Arial"/>
                <w:sz w:val="22"/>
                <w:szCs w:val="22"/>
              </w:rPr>
              <w:instrText xml:space="preserve"> FORMTEXT </w:instrText>
            </w:r>
            <w:r w:rsidRPr="00C4371F">
              <w:rPr>
                <w:rFonts w:ascii="Book Antiqua" w:hAnsi="Book Antiqua" w:cs="Arial"/>
                <w:sz w:val="22"/>
                <w:szCs w:val="22"/>
              </w:rPr>
            </w:r>
            <w:r w:rsidRPr="00C4371F">
              <w:rPr>
                <w:rFonts w:ascii="Book Antiqua" w:hAnsi="Book Antiqua" w:cs="Arial"/>
                <w:sz w:val="22"/>
                <w:szCs w:val="22"/>
              </w:rPr>
              <w:fldChar w:fldCharType="separate"/>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Book Antiqua" w:hAnsi="Book Antiqua" w:cs="Arial"/>
                <w:sz w:val="22"/>
                <w:szCs w:val="22"/>
              </w:rPr>
              <w:fldChar w:fldCharType="end"/>
            </w:r>
          </w:p>
        </w:tc>
        <w:tc>
          <w:tcPr>
            <w:tcW w:w="4261"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fldChar w:fldCharType="begin">
                <w:ffData>
                  <w:name w:val="Text12"/>
                  <w:enabled/>
                  <w:calcOnExit w:val="0"/>
                  <w:textInput/>
                </w:ffData>
              </w:fldChar>
            </w:r>
            <w:r w:rsidRPr="00C4371F">
              <w:rPr>
                <w:rFonts w:ascii="Book Antiqua" w:hAnsi="Book Antiqua" w:cs="Arial"/>
                <w:sz w:val="22"/>
                <w:szCs w:val="22"/>
              </w:rPr>
              <w:instrText xml:space="preserve"> FORMTEXT </w:instrText>
            </w:r>
            <w:r w:rsidRPr="00C4371F">
              <w:rPr>
                <w:rFonts w:ascii="Book Antiqua" w:hAnsi="Book Antiqua" w:cs="Arial"/>
                <w:sz w:val="22"/>
                <w:szCs w:val="22"/>
              </w:rPr>
            </w:r>
            <w:r w:rsidRPr="00C4371F">
              <w:rPr>
                <w:rFonts w:ascii="Book Antiqua" w:hAnsi="Book Antiqua" w:cs="Arial"/>
                <w:sz w:val="22"/>
                <w:szCs w:val="22"/>
              </w:rPr>
              <w:fldChar w:fldCharType="separate"/>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Book Antiqua" w:hAnsi="Book Antiqua" w:cs="Arial"/>
                <w:sz w:val="22"/>
                <w:szCs w:val="22"/>
              </w:rPr>
              <w:fldChar w:fldCharType="end"/>
            </w:r>
          </w:p>
        </w:tc>
      </w:tr>
      <w:tr w:rsidR="00485C15" w:rsidRPr="00C4371F" w:rsidTr="00DF005E">
        <w:tc>
          <w:tcPr>
            <w:tcW w:w="4261"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fldChar w:fldCharType="begin">
                <w:ffData>
                  <w:name w:val="Text8"/>
                  <w:enabled/>
                  <w:calcOnExit w:val="0"/>
                  <w:textInput/>
                </w:ffData>
              </w:fldChar>
            </w:r>
            <w:r w:rsidRPr="00C4371F">
              <w:rPr>
                <w:rFonts w:ascii="Book Antiqua" w:hAnsi="Book Antiqua" w:cs="Arial"/>
                <w:sz w:val="22"/>
                <w:szCs w:val="22"/>
              </w:rPr>
              <w:instrText xml:space="preserve"> FORMTEXT </w:instrText>
            </w:r>
            <w:r w:rsidRPr="00C4371F">
              <w:rPr>
                <w:rFonts w:ascii="Book Antiqua" w:hAnsi="Book Antiqua" w:cs="Arial"/>
                <w:sz w:val="22"/>
                <w:szCs w:val="22"/>
              </w:rPr>
            </w:r>
            <w:r w:rsidRPr="00C4371F">
              <w:rPr>
                <w:rFonts w:ascii="Book Antiqua" w:hAnsi="Book Antiqua" w:cs="Arial"/>
                <w:sz w:val="22"/>
                <w:szCs w:val="22"/>
              </w:rPr>
              <w:fldChar w:fldCharType="separate"/>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Book Antiqua" w:hAnsi="Book Antiqua" w:cs="Arial"/>
                <w:sz w:val="22"/>
                <w:szCs w:val="22"/>
              </w:rPr>
              <w:fldChar w:fldCharType="end"/>
            </w:r>
          </w:p>
        </w:tc>
        <w:tc>
          <w:tcPr>
            <w:tcW w:w="4261"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fldChar w:fldCharType="begin">
                <w:ffData>
                  <w:name w:val="Text13"/>
                  <w:enabled/>
                  <w:calcOnExit w:val="0"/>
                  <w:textInput/>
                </w:ffData>
              </w:fldChar>
            </w:r>
            <w:r w:rsidRPr="00C4371F">
              <w:rPr>
                <w:rFonts w:ascii="Book Antiqua" w:hAnsi="Book Antiqua" w:cs="Arial"/>
                <w:sz w:val="22"/>
                <w:szCs w:val="22"/>
              </w:rPr>
              <w:instrText xml:space="preserve"> FORMTEXT </w:instrText>
            </w:r>
            <w:r w:rsidRPr="00C4371F">
              <w:rPr>
                <w:rFonts w:ascii="Book Antiqua" w:hAnsi="Book Antiqua" w:cs="Arial"/>
                <w:sz w:val="22"/>
                <w:szCs w:val="22"/>
              </w:rPr>
            </w:r>
            <w:r w:rsidRPr="00C4371F">
              <w:rPr>
                <w:rFonts w:ascii="Book Antiqua" w:hAnsi="Book Antiqua" w:cs="Arial"/>
                <w:sz w:val="22"/>
                <w:szCs w:val="22"/>
              </w:rPr>
              <w:fldChar w:fldCharType="separate"/>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Book Antiqua" w:hAnsi="Book Antiqua" w:cs="Arial"/>
                <w:sz w:val="22"/>
                <w:szCs w:val="22"/>
              </w:rPr>
              <w:fldChar w:fldCharType="end"/>
            </w:r>
          </w:p>
        </w:tc>
      </w:tr>
      <w:tr w:rsidR="00485C15" w:rsidRPr="00C4371F" w:rsidTr="00DF005E">
        <w:tc>
          <w:tcPr>
            <w:tcW w:w="4261"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fldChar w:fldCharType="begin">
                <w:ffData>
                  <w:name w:val="Text9"/>
                  <w:enabled/>
                  <w:calcOnExit w:val="0"/>
                  <w:textInput/>
                </w:ffData>
              </w:fldChar>
            </w:r>
            <w:r w:rsidRPr="00C4371F">
              <w:rPr>
                <w:rFonts w:ascii="Book Antiqua" w:hAnsi="Book Antiqua" w:cs="Arial"/>
                <w:sz w:val="22"/>
                <w:szCs w:val="22"/>
              </w:rPr>
              <w:instrText xml:space="preserve"> FORMTEXT </w:instrText>
            </w:r>
            <w:r w:rsidRPr="00C4371F">
              <w:rPr>
                <w:rFonts w:ascii="Book Antiqua" w:hAnsi="Book Antiqua" w:cs="Arial"/>
                <w:sz w:val="22"/>
                <w:szCs w:val="22"/>
              </w:rPr>
            </w:r>
            <w:r w:rsidRPr="00C4371F">
              <w:rPr>
                <w:rFonts w:ascii="Book Antiqua" w:hAnsi="Book Antiqua" w:cs="Arial"/>
                <w:sz w:val="22"/>
                <w:szCs w:val="22"/>
              </w:rPr>
              <w:fldChar w:fldCharType="separate"/>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Book Antiqua" w:hAnsi="Book Antiqua" w:cs="Arial"/>
                <w:sz w:val="22"/>
                <w:szCs w:val="22"/>
              </w:rPr>
              <w:fldChar w:fldCharType="end"/>
            </w:r>
          </w:p>
        </w:tc>
        <w:tc>
          <w:tcPr>
            <w:tcW w:w="4261"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fldChar w:fldCharType="begin">
                <w:ffData>
                  <w:name w:val="Text14"/>
                  <w:enabled/>
                  <w:calcOnExit w:val="0"/>
                  <w:textInput/>
                </w:ffData>
              </w:fldChar>
            </w:r>
            <w:bookmarkStart w:id="7" w:name="Text14"/>
            <w:r w:rsidRPr="00C4371F">
              <w:rPr>
                <w:rFonts w:ascii="Book Antiqua" w:hAnsi="Book Antiqua" w:cs="Arial"/>
                <w:sz w:val="22"/>
                <w:szCs w:val="22"/>
              </w:rPr>
              <w:instrText xml:space="preserve"> FORMTEXT </w:instrText>
            </w:r>
            <w:r w:rsidRPr="00C4371F">
              <w:rPr>
                <w:rFonts w:ascii="Book Antiqua" w:hAnsi="Book Antiqua" w:cs="Arial"/>
                <w:sz w:val="22"/>
                <w:szCs w:val="22"/>
              </w:rPr>
            </w:r>
            <w:r w:rsidRPr="00C4371F">
              <w:rPr>
                <w:rFonts w:ascii="Book Antiqua" w:hAnsi="Book Antiqua" w:cs="Arial"/>
                <w:sz w:val="22"/>
                <w:szCs w:val="22"/>
              </w:rPr>
              <w:fldChar w:fldCharType="separate"/>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Book Antiqua" w:hAnsi="Book Antiqua" w:cs="Arial"/>
                <w:sz w:val="22"/>
                <w:szCs w:val="22"/>
              </w:rPr>
              <w:fldChar w:fldCharType="end"/>
            </w:r>
            <w:bookmarkEnd w:id="7"/>
          </w:p>
        </w:tc>
      </w:tr>
      <w:tr w:rsidR="00485C15" w:rsidRPr="00C4371F" w:rsidTr="00DF005E">
        <w:tc>
          <w:tcPr>
            <w:tcW w:w="4261"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fldChar w:fldCharType="begin">
                <w:ffData>
                  <w:name w:val="Text10"/>
                  <w:enabled/>
                  <w:calcOnExit w:val="0"/>
                  <w:textInput/>
                </w:ffData>
              </w:fldChar>
            </w:r>
            <w:r w:rsidRPr="00C4371F">
              <w:rPr>
                <w:rFonts w:ascii="Book Antiqua" w:hAnsi="Book Antiqua" w:cs="Arial"/>
                <w:sz w:val="22"/>
                <w:szCs w:val="22"/>
              </w:rPr>
              <w:instrText xml:space="preserve"> FORMTEXT </w:instrText>
            </w:r>
            <w:r w:rsidRPr="00C4371F">
              <w:rPr>
                <w:rFonts w:ascii="Book Antiqua" w:hAnsi="Book Antiqua" w:cs="Arial"/>
                <w:sz w:val="22"/>
                <w:szCs w:val="22"/>
              </w:rPr>
            </w:r>
            <w:r w:rsidRPr="00C4371F">
              <w:rPr>
                <w:rFonts w:ascii="Book Antiqua" w:hAnsi="Book Antiqua" w:cs="Arial"/>
                <w:sz w:val="22"/>
                <w:szCs w:val="22"/>
              </w:rPr>
              <w:fldChar w:fldCharType="separate"/>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Book Antiqua" w:hAnsi="Book Antiqua" w:cs="Arial"/>
                <w:sz w:val="22"/>
                <w:szCs w:val="22"/>
              </w:rPr>
              <w:fldChar w:fldCharType="end"/>
            </w:r>
          </w:p>
        </w:tc>
        <w:tc>
          <w:tcPr>
            <w:tcW w:w="4261" w:type="dxa"/>
            <w:vAlign w:val="center"/>
          </w:tcPr>
          <w:p w:rsidR="00485C15" w:rsidRPr="00C4371F" w:rsidRDefault="00485C15" w:rsidP="00DF005E">
            <w:pPr>
              <w:spacing w:before="60" w:after="60"/>
              <w:rPr>
                <w:rFonts w:ascii="Book Antiqua" w:hAnsi="Book Antiqua" w:cs="Arial"/>
                <w:sz w:val="22"/>
                <w:szCs w:val="22"/>
              </w:rPr>
            </w:pPr>
            <w:r w:rsidRPr="00C4371F">
              <w:rPr>
                <w:rFonts w:ascii="Book Antiqua" w:hAnsi="Book Antiqua" w:cs="Arial"/>
                <w:sz w:val="22"/>
                <w:szCs w:val="22"/>
              </w:rPr>
              <w:fldChar w:fldCharType="begin">
                <w:ffData>
                  <w:name w:val="Text15"/>
                  <w:enabled/>
                  <w:calcOnExit w:val="0"/>
                  <w:textInput/>
                </w:ffData>
              </w:fldChar>
            </w:r>
            <w:r w:rsidRPr="00C4371F">
              <w:rPr>
                <w:rFonts w:ascii="Book Antiqua" w:hAnsi="Book Antiqua" w:cs="Arial"/>
                <w:sz w:val="22"/>
                <w:szCs w:val="22"/>
              </w:rPr>
              <w:instrText xml:space="preserve"> FORMTEXT </w:instrText>
            </w:r>
            <w:r w:rsidRPr="00C4371F">
              <w:rPr>
                <w:rFonts w:ascii="Book Antiqua" w:hAnsi="Book Antiqua" w:cs="Arial"/>
                <w:sz w:val="22"/>
                <w:szCs w:val="22"/>
              </w:rPr>
            </w:r>
            <w:r w:rsidRPr="00C4371F">
              <w:rPr>
                <w:rFonts w:ascii="Book Antiqua" w:hAnsi="Book Antiqua" w:cs="Arial"/>
                <w:sz w:val="22"/>
                <w:szCs w:val="22"/>
              </w:rPr>
              <w:fldChar w:fldCharType="separate"/>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Arial" w:hAnsi="Arial" w:cs="Arial"/>
                <w:noProof/>
                <w:sz w:val="22"/>
                <w:szCs w:val="22"/>
              </w:rPr>
              <w:t> </w:t>
            </w:r>
            <w:r w:rsidRPr="00C4371F">
              <w:rPr>
                <w:rFonts w:ascii="Book Antiqua" w:hAnsi="Book Antiqua" w:cs="Arial"/>
                <w:sz w:val="22"/>
                <w:szCs w:val="22"/>
              </w:rPr>
              <w:fldChar w:fldCharType="end"/>
            </w:r>
          </w:p>
        </w:tc>
      </w:tr>
    </w:tbl>
    <w:p w:rsidR="00485C15" w:rsidRPr="00C4371F" w:rsidRDefault="00485C15" w:rsidP="00485C15">
      <w:pPr>
        <w:rPr>
          <w:rFonts w:ascii="Book Antiqua" w:hAnsi="Book Antiqua" w:cs="Arial"/>
        </w:rPr>
      </w:pPr>
    </w:p>
    <w:p w:rsidR="00485C15" w:rsidRPr="00C4371F" w:rsidRDefault="00485C15" w:rsidP="00485C15">
      <w:pPr>
        <w:rPr>
          <w:rFonts w:ascii="Book Antiqua" w:hAnsi="Book Antiqua" w:cs="Arial"/>
          <w:sz w:val="22"/>
          <w:szCs w:val="22"/>
        </w:rPr>
      </w:pPr>
      <w:r w:rsidRPr="00C4371F">
        <w:rPr>
          <w:rFonts w:ascii="Book Antiqua" w:hAnsi="Book Antiqua" w:cs="Arial"/>
          <w:sz w:val="22"/>
          <w:szCs w:val="22"/>
        </w:rPr>
        <w:t>Other Information:</w:t>
      </w:r>
    </w:p>
    <w:tbl>
      <w:tblPr>
        <w:tblStyle w:val="TableGrid"/>
        <w:tblW w:w="0" w:type="auto"/>
        <w:tblLook w:val="01E0" w:firstRow="1" w:lastRow="1" w:firstColumn="1" w:lastColumn="1" w:noHBand="0" w:noVBand="0"/>
      </w:tblPr>
      <w:tblGrid>
        <w:gridCol w:w="8522"/>
      </w:tblGrid>
      <w:tr w:rsidR="00485C15" w:rsidRPr="00C4371F" w:rsidTr="00DF005E">
        <w:tc>
          <w:tcPr>
            <w:tcW w:w="8522" w:type="dxa"/>
          </w:tcPr>
          <w:p w:rsidR="00485C15" w:rsidRPr="00C4371F" w:rsidRDefault="00485C15" w:rsidP="00DF005E">
            <w:pPr>
              <w:rPr>
                <w:rFonts w:ascii="Book Antiqua" w:hAnsi="Book Antiqua" w:cs="Arial"/>
              </w:rPr>
            </w:pPr>
          </w:p>
          <w:p w:rsidR="00485C15" w:rsidRPr="00C4371F" w:rsidRDefault="00485C15" w:rsidP="00DF005E">
            <w:pPr>
              <w:rPr>
                <w:rFonts w:ascii="Book Antiqua" w:hAnsi="Book Antiqua" w:cs="Arial"/>
              </w:rPr>
            </w:pPr>
          </w:p>
          <w:p w:rsidR="00485C15" w:rsidRPr="00C4371F" w:rsidRDefault="00485C15" w:rsidP="00DF005E">
            <w:pPr>
              <w:rPr>
                <w:rFonts w:ascii="Book Antiqua" w:hAnsi="Book Antiqua" w:cs="Arial"/>
              </w:rPr>
            </w:pPr>
          </w:p>
          <w:p w:rsidR="00485C15" w:rsidRPr="00C4371F" w:rsidRDefault="00485C15" w:rsidP="00DF005E">
            <w:pPr>
              <w:rPr>
                <w:rFonts w:ascii="Book Antiqua" w:hAnsi="Book Antiqua" w:cs="Arial"/>
              </w:rPr>
            </w:pPr>
          </w:p>
          <w:p w:rsidR="00485C15" w:rsidRPr="00C4371F" w:rsidRDefault="00485C15" w:rsidP="00DF005E">
            <w:pPr>
              <w:rPr>
                <w:rFonts w:ascii="Book Antiqua" w:hAnsi="Book Antiqua" w:cs="Arial"/>
              </w:rPr>
            </w:pPr>
          </w:p>
          <w:p w:rsidR="00485C15" w:rsidRPr="00C4371F" w:rsidRDefault="00485C15" w:rsidP="00DF005E">
            <w:pPr>
              <w:rPr>
                <w:rFonts w:ascii="Book Antiqua" w:hAnsi="Book Antiqua" w:cs="Arial"/>
              </w:rPr>
            </w:pPr>
          </w:p>
          <w:p w:rsidR="00485C15" w:rsidRPr="00C4371F" w:rsidRDefault="00485C15" w:rsidP="00DF005E">
            <w:pPr>
              <w:rPr>
                <w:rFonts w:ascii="Book Antiqua" w:hAnsi="Book Antiqua" w:cs="Arial"/>
              </w:rPr>
            </w:pPr>
          </w:p>
          <w:p w:rsidR="00485C15" w:rsidRPr="00C4371F" w:rsidRDefault="00485C15" w:rsidP="00DF005E">
            <w:pPr>
              <w:rPr>
                <w:rFonts w:ascii="Book Antiqua" w:hAnsi="Book Antiqua" w:cs="Arial"/>
              </w:rPr>
            </w:pPr>
          </w:p>
        </w:tc>
      </w:tr>
    </w:tbl>
    <w:p w:rsidR="00485C15" w:rsidRPr="00C4371F" w:rsidRDefault="00485C15" w:rsidP="00485C15">
      <w:pPr>
        <w:rPr>
          <w:rFonts w:ascii="Book Antiqua" w:hAnsi="Book Antiqua" w:cs="Arial"/>
        </w:rPr>
      </w:pPr>
    </w:p>
    <w:p w:rsidR="00485C15" w:rsidRPr="00C4371F" w:rsidRDefault="00485C15" w:rsidP="00485C15">
      <w:pPr>
        <w:tabs>
          <w:tab w:val="left" w:pos="2520"/>
        </w:tabs>
        <w:ind w:left="540" w:hanging="540"/>
        <w:jc w:val="both"/>
        <w:rPr>
          <w:rFonts w:ascii="Book Antiqua" w:hAnsi="Book Antiqua" w:cs="Arial"/>
        </w:rPr>
      </w:pPr>
    </w:p>
    <w:p w:rsidR="00643CD7" w:rsidRDefault="00643CD7"/>
    <w:sectPr w:rsidR="00643CD7" w:rsidSect="00DF005E">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10B" w:rsidRDefault="0042610B">
      <w:r>
        <w:separator/>
      </w:r>
    </w:p>
  </w:endnote>
  <w:endnote w:type="continuationSeparator" w:id="0">
    <w:p w:rsidR="0042610B" w:rsidRDefault="00426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87B" w:rsidRPr="00C4371F" w:rsidRDefault="0044587B" w:rsidP="00DF005E">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222EE9">
      <w:rPr>
        <w:rStyle w:val="PageNumber"/>
        <w:rFonts w:ascii="Book Antiqua" w:hAnsi="Book Antiqua" w:cs="Arial"/>
        <w:noProof/>
        <w:sz w:val="16"/>
        <w:szCs w:val="16"/>
      </w:rPr>
      <w:t>4</w:t>
    </w:r>
    <w:r w:rsidRPr="00C4371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87B" w:rsidRPr="00C4371F" w:rsidRDefault="0044587B" w:rsidP="00DF005E">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10B" w:rsidRDefault="0042610B">
      <w:r>
        <w:separator/>
      </w:r>
    </w:p>
  </w:footnote>
  <w:footnote w:type="continuationSeparator" w:id="0">
    <w:p w:rsidR="0042610B" w:rsidRDefault="00426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87B" w:rsidRPr="00C4371F" w:rsidRDefault="0044587B" w:rsidP="00DF005E">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AA/06097/2015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87B" w:rsidRPr="00C4371F" w:rsidRDefault="0044587B">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B68CADFC"/>
    <w:lvl w:ilvl="0" w:tplc="0809000F">
      <w:start w:val="1"/>
      <w:numFmt w:val="decimal"/>
      <w:lvlText w:val="%1."/>
      <w:lvlJc w:val="left"/>
      <w:pPr>
        <w:tabs>
          <w:tab w:val="num" w:pos="720"/>
        </w:tabs>
        <w:ind w:left="720" w:hanging="360"/>
      </w:pPr>
    </w:lvl>
    <w:lvl w:ilvl="1" w:tplc="130AEA14">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15"/>
    <w:rsid w:val="00062C66"/>
    <w:rsid w:val="00067785"/>
    <w:rsid w:val="000B5231"/>
    <w:rsid w:val="000C28B8"/>
    <w:rsid w:val="0012185C"/>
    <w:rsid w:val="001252D7"/>
    <w:rsid w:val="00222EE9"/>
    <w:rsid w:val="00257D10"/>
    <w:rsid w:val="003335E7"/>
    <w:rsid w:val="00351331"/>
    <w:rsid w:val="003B018D"/>
    <w:rsid w:val="003B0718"/>
    <w:rsid w:val="003B4246"/>
    <w:rsid w:val="0042610B"/>
    <w:rsid w:val="0044587B"/>
    <w:rsid w:val="00485C15"/>
    <w:rsid w:val="004D5B92"/>
    <w:rsid w:val="004E5DC5"/>
    <w:rsid w:val="00545A98"/>
    <w:rsid w:val="005A51D4"/>
    <w:rsid w:val="00643CD7"/>
    <w:rsid w:val="00660EB0"/>
    <w:rsid w:val="007A2F4A"/>
    <w:rsid w:val="007C7AEC"/>
    <w:rsid w:val="00814F2F"/>
    <w:rsid w:val="008F49F0"/>
    <w:rsid w:val="00AB404C"/>
    <w:rsid w:val="00B33EFF"/>
    <w:rsid w:val="00C662BA"/>
    <w:rsid w:val="00C83810"/>
    <w:rsid w:val="00CE6066"/>
    <w:rsid w:val="00D1167D"/>
    <w:rsid w:val="00D877AC"/>
    <w:rsid w:val="00DA1D52"/>
    <w:rsid w:val="00DC7CF7"/>
    <w:rsid w:val="00DF005E"/>
    <w:rsid w:val="00E30EFC"/>
    <w:rsid w:val="00EA16E5"/>
    <w:rsid w:val="00EC3BF1"/>
    <w:rsid w:val="00F4690C"/>
    <w:rsid w:val="00F86BD2"/>
    <w:rsid w:val="00FF3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7176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5C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5C15"/>
    <w:pPr>
      <w:tabs>
        <w:tab w:val="center" w:pos="4153"/>
        <w:tab w:val="right" w:pos="8306"/>
      </w:tabs>
    </w:pPr>
  </w:style>
  <w:style w:type="paragraph" w:styleId="Footer">
    <w:name w:val="footer"/>
    <w:basedOn w:val="Normal"/>
    <w:rsid w:val="00485C15"/>
    <w:pPr>
      <w:tabs>
        <w:tab w:val="center" w:pos="4153"/>
        <w:tab w:val="right" w:pos="8306"/>
      </w:tabs>
    </w:pPr>
  </w:style>
  <w:style w:type="character" w:styleId="PageNumber">
    <w:name w:val="page number"/>
    <w:basedOn w:val="DefaultParagraphFont"/>
    <w:rsid w:val="00485C15"/>
  </w:style>
  <w:style w:type="table" w:styleId="TableGrid">
    <w:name w:val="Table Grid"/>
    <w:basedOn w:val="TableNormal"/>
    <w:rsid w:val="00485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662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uk/cases/UKUT/IAC/2013/00319_ukut_iac_gj_ors_srilanka_c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1310</Words>
  <Characters>7014</Characters>
  <Application>Microsoft Office Word</Application>
  <DocSecurity>0</DocSecurity>
  <Lines>58</Lines>
  <Paragraphs>16</Paragraphs>
  <ScaleCrop>false</ScaleCrop>
  <Company/>
  <LinksUpToDate>false</LinksUpToDate>
  <CharactersWithSpaces>8308</CharactersWithSpaces>
  <SharedDoc>false</SharedDoc>
  <HLinks>
    <vt:vector size="6" baseType="variant">
      <vt:variant>
        <vt:i4>5242882</vt:i4>
      </vt:variant>
      <vt:variant>
        <vt:i4>6</vt:i4>
      </vt:variant>
      <vt:variant>
        <vt:i4>0</vt:i4>
      </vt:variant>
      <vt:variant>
        <vt:i4>5</vt:i4>
      </vt:variant>
      <vt:variant>
        <vt:lpwstr>http://www.bailii.org/uk/cases/UKUT/IAC/2013/00319_ukut_iac_gj_ors_srilanka_cg.html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2018-09-20T14:41:00Z</dcterms:created>
  <dcterms:modified xsi:type="dcterms:W3CDTF">2018-09-20T14:41:00Z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