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905C6B"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936706"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7233F4">
        <w:rPr>
          <w:rFonts w:ascii="Book Antiqua" w:hAnsi="Book Antiqua" w:cs="Arial"/>
          <w:b/>
          <w:color w:val="000000"/>
        </w:rPr>
        <w:t xml:space="preserve">   </w:t>
      </w:r>
      <w:proofErr w:type="gramEnd"/>
      <w:r w:rsidR="007233F4">
        <w:rPr>
          <w:rFonts w:ascii="Book Antiqua" w:hAnsi="Book Antiqua" w:cs="Arial"/>
          <w:b/>
          <w:color w:val="000000"/>
        </w:rPr>
        <w:t xml:space="preserve">                       </w:t>
      </w:r>
      <w:r w:rsidR="00B3524D" w:rsidRPr="007233F4">
        <w:rPr>
          <w:rFonts w:ascii="Book Antiqua" w:hAnsi="Book Antiqua" w:cs="Arial"/>
          <w:b/>
          <w:color w:val="000000"/>
        </w:rPr>
        <w:t>Appeal Number</w:t>
      </w:r>
      <w:r w:rsidR="00D53769" w:rsidRPr="007233F4">
        <w:rPr>
          <w:rFonts w:ascii="Book Antiqua" w:hAnsi="Book Antiqua" w:cs="Arial"/>
          <w:b/>
          <w:color w:val="000000"/>
        </w:rPr>
        <w:t>:</w:t>
      </w:r>
      <w:r w:rsidR="00B3524D" w:rsidRPr="007233F4">
        <w:rPr>
          <w:rFonts w:ascii="Book Antiqua" w:hAnsi="Book Antiqua" w:cs="Arial"/>
          <w:b/>
          <w:color w:val="000000"/>
        </w:rPr>
        <w:t xml:space="preserve"> </w:t>
      </w:r>
      <w:r w:rsidR="00936706" w:rsidRPr="007233F4">
        <w:rPr>
          <w:rFonts w:ascii="Book Antiqua" w:hAnsi="Book Antiqua" w:cs="Arial"/>
          <w:b/>
          <w:caps/>
          <w:color w:val="000000"/>
        </w:rPr>
        <w:t>AA/08387/2014</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0704BB" w:rsidTr="0095706A">
        <w:tc>
          <w:tcPr>
            <w:tcW w:w="5387"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936706">
              <w:rPr>
                <w:rFonts w:ascii="Book Antiqua" w:hAnsi="Book Antiqua" w:cs="Arial"/>
                <w:b/>
              </w:rPr>
              <w:t>Field House</w:t>
            </w:r>
          </w:p>
        </w:tc>
        <w:tc>
          <w:tcPr>
            <w:tcW w:w="4621" w:type="dxa"/>
          </w:tcPr>
          <w:p w:rsidR="00D22636" w:rsidRPr="000704BB" w:rsidRDefault="0095706A" w:rsidP="00093D4D">
            <w:pPr>
              <w:jc w:val="both"/>
              <w:rPr>
                <w:rFonts w:ascii="Book Antiqua" w:hAnsi="Book Antiqua" w:cs="Arial"/>
                <w:b/>
                <w:color w:val="000000"/>
              </w:rPr>
            </w:pPr>
            <w:r>
              <w:rPr>
                <w:rFonts w:ascii="Book Antiqua" w:hAnsi="Book Antiqua" w:cs="Arial"/>
                <w:b/>
                <w:color w:val="000000"/>
              </w:rPr>
              <w:t xml:space="preserve"> </w:t>
            </w:r>
            <w:r w:rsidR="000B0A3F">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95706A">
        <w:tc>
          <w:tcPr>
            <w:tcW w:w="5387"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003002">
              <w:rPr>
                <w:rFonts w:ascii="Book Antiqua" w:hAnsi="Book Antiqua" w:cs="Arial"/>
                <w:b/>
              </w:rPr>
              <w:t>23 April 2018</w:t>
            </w:r>
          </w:p>
        </w:tc>
        <w:tc>
          <w:tcPr>
            <w:tcW w:w="4621" w:type="dxa"/>
          </w:tcPr>
          <w:p w:rsidR="00D22636" w:rsidRPr="000704BB" w:rsidRDefault="0095706A" w:rsidP="004A1848">
            <w:pPr>
              <w:jc w:val="both"/>
              <w:rPr>
                <w:rFonts w:ascii="Book Antiqua" w:hAnsi="Book Antiqua" w:cs="Arial"/>
                <w:b/>
              </w:rPr>
            </w:pPr>
            <w:r>
              <w:rPr>
                <w:rFonts w:ascii="Book Antiqua" w:hAnsi="Book Antiqua" w:cs="Arial"/>
                <w:b/>
              </w:rPr>
              <w:t xml:space="preserve"> </w:t>
            </w:r>
            <w:r w:rsidR="00905C6B">
              <w:rPr>
                <w:rFonts w:ascii="Book Antiqua" w:hAnsi="Book Antiqua" w:cs="Arial"/>
                <w:b/>
              </w:rPr>
              <w:t>On 5 June 2018</w:t>
            </w:r>
          </w:p>
        </w:tc>
      </w:tr>
      <w:tr w:rsidR="00D22636" w:rsidRPr="000704BB" w:rsidTr="0095706A">
        <w:tc>
          <w:tcPr>
            <w:tcW w:w="5387" w:type="dxa"/>
          </w:tcPr>
          <w:p w:rsidR="00D22636" w:rsidRPr="000704BB" w:rsidRDefault="00D22636" w:rsidP="004A1848">
            <w:pPr>
              <w:jc w:val="both"/>
              <w:rPr>
                <w:rFonts w:ascii="Book Antiqua" w:hAnsi="Book Antiqua" w:cs="Arial"/>
                <w:b/>
              </w:rPr>
            </w:pPr>
          </w:p>
        </w:tc>
        <w:tc>
          <w:tcPr>
            <w:tcW w:w="4621"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rsidR="001B186A" w:rsidRPr="000704BB" w:rsidRDefault="001B186A" w:rsidP="00A15234">
      <w:pPr>
        <w:jc w:val="center"/>
        <w:rPr>
          <w:rFonts w:ascii="Book Antiqua" w:hAnsi="Book Antiqua" w:cs="Arial"/>
          <w:b/>
          <w:color w:val="000000"/>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936706" w:rsidP="00A15234">
      <w:pPr>
        <w:jc w:val="center"/>
        <w:rPr>
          <w:rFonts w:ascii="Book Antiqua" w:hAnsi="Book Antiqua" w:cs="Arial"/>
          <w:b/>
          <w:caps/>
        </w:rPr>
      </w:pPr>
      <w:r>
        <w:rPr>
          <w:rFonts w:ascii="Book Antiqua" w:hAnsi="Book Antiqua" w:cs="Arial"/>
          <w:b/>
          <w:caps/>
        </w:rPr>
        <w:t>Mr Jia Ling Li</w:t>
      </w:r>
    </w:p>
    <w:p w:rsidR="00704B61" w:rsidRPr="0095706A" w:rsidRDefault="000B0A3F" w:rsidP="00A15234">
      <w:pPr>
        <w:jc w:val="center"/>
        <w:rPr>
          <w:rFonts w:ascii="Book Antiqua" w:hAnsi="Book Antiqua" w:cs="Arial"/>
        </w:rPr>
      </w:pPr>
      <w:r w:rsidRPr="0095706A">
        <w:rPr>
          <w:rFonts w:ascii="Book Antiqua" w:hAnsi="Book Antiqua" w:cs="Arial"/>
          <w:caps/>
        </w:rPr>
        <w:t>(ANONYMITY DIRECTION</w:t>
      </w:r>
      <w:r w:rsidR="008E49A3" w:rsidRPr="0095706A">
        <w:rPr>
          <w:rFonts w:ascii="Book Antiqua" w:hAnsi="Book Antiqua" w:cs="Arial"/>
          <w:caps/>
        </w:rPr>
        <w:t xml:space="preserve"> NOT MADE</w:t>
      </w:r>
      <w:r w:rsidRPr="0095706A">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95706A" w:rsidRDefault="0095706A"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95706A" w:rsidRPr="000704BB" w:rsidRDefault="0095706A"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003002">
      <w:pPr>
        <w:tabs>
          <w:tab w:val="left" w:pos="2520"/>
        </w:tabs>
        <w:ind w:left="2520" w:hanging="2520"/>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003002">
        <w:rPr>
          <w:rFonts w:ascii="Book Antiqua" w:hAnsi="Book Antiqua" w:cs="Arial"/>
        </w:rPr>
        <w:t xml:space="preserve">Mr E Nicholson, </w:t>
      </w:r>
      <w:r w:rsidR="00BD1AF2">
        <w:rPr>
          <w:rFonts w:ascii="Book Antiqua" w:hAnsi="Book Antiqua" w:cs="Arial"/>
        </w:rPr>
        <w:t>c</w:t>
      </w:r>
      <w:r w:rsidR="00003002">
        <w:rPr>
          <w:rFonts w:ascii="Book Antiqua" w:hAnsi="Book Antiqua" w:cs="Arial"/>
        </w:rPr>
        <w:t>ounsel, instructed by Parker Rhodes Hickmotts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003002">
        <w:rPr>
          <w:rFonts w:ascii="Book Antiqua" w:hAnsi="Book Antiqua" w:cs="Arial"/>
        </w:rPr>
        <w:t xml:space="preserve">Mr N Bramble, </w:t>
      </w:r>
      <w:r w:rsidR="00AD67C4">
        <w:rPr>
          <w:rFonts w:ascii="Book Antiqua" w:hAnsi="Book Antiqua" w:cs="Arial"/>
        </w:rPr>
        <w:t>Senior</w:t>
      </w:r>
      <w:r w:rsidR="00003002">
        <w:rPr>
          <w:rFonts w:ascii="Book Antiqua" w:hAnsi="Book Antiqua" w:cs="Arial"/>
        </w:rPr>
        <w:t xml:space="preserve"> Presenting Officer</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Pr="000704BB"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402B9E" w:rsidP="00424E21">
      <w:pPr>
        <w:pStyle w:val="p"/>
      </w:pPr>
      <w:r w:rsidRPr="000704BB">
        <w:t>1.</w:t>
      </w:r>
      <w:r w:rsidRPr="000704BB">
        <w:tab/>
      </w:r>
      <w:r w:rsidR="00AD67C4">
        <w:t>The Appellant, a national of the PRC</w:t>
      </w:r>
      <w:r w:rsidR="00A85C18">
        <w:t xml:space="preserve">, date of birth 15 May 1963, appealed against the Respondent’s decision to make removal directions on or about 3 October 2014.  That decision was supported by a Reasons for Refusal Letter dated 30 September 2014.  His appeal against that adverse decision came before Designated Judge of the First-tier Tribunal Shaerf on 7 February 2018 and </w:t>
      </w:r>
      <w:r w:rsidR="008E49A3">
        <w:t>the</w:t>
      </w:r>
      <w:r w:rsidR="00A85C18">
        <w:t xml:space="preserve"> appeal was dismissed on all grounds.</w:t>
      </w:r>
      <w:r w:rsidR="00424E21">
        <w:t xml:space="preserve">  Permission to appeal was </w:t>
      </w:r>
      <w:r w:rsidR="0030155E">
        <w:t>given</w:t>
      </w:r>
      <w:r w:rsidR="00424E21">
        <w:t xml:space="preserve"> in March 2018.</w:t>
      </w:r>
    </w:p>
    <w:p w:rsidR="00424E21" w:rsidRDefault="00424E21" w:rsidP="00891488">
      <w:pPr>
        <w:pStyle w:val="p"/>
      </w:pPr>
      <w:bookmarkStart w:id="0" w:name="_GoBack"/>
      <w:bookmarkEnd w:id="0"/>
      <w:r>
        <w:lastRenderedPageBreak/>
        <w:t>2.</w:t>
      </w:r>
      <w:r>
        <w:tab/>
        <w:t xml:space="preserve">Mr Nicholson with exemplary thoroughness has taken me through each of the grounds which he settled.  He did not appear below, at which the Appellant was attended </w:t>
      </w:r>
      <w:r w:rsidR="00891488">
        <w:t xml:space="preserve">by a Miss J Smeaton of </w:t>
      </w:r>
      <w:r w:rsidR="00BD1AF2">
        <w:t>counsel</w:t>
      </w:r>
      <w:r w:rsidR="00891488">
        <w:t xml:space="preserve">.  I have had a copy of the skeleton argument used by Miss Smeaton which was before the </w:t>
      </w:r>
      <w:r w:rsidR="00977A41">
        <w:t>Judge</w:t>
      </w:r>
      <w:r w:rsidR="00891488">
        <w:t xml:space="preserve"> dated 10 December 2017.</w:t>
      </w:r>
    </w:p>
    <w:p w:rsidR="00891488" w:rsidRDefault="00891488" w:rsidP="00891488">
      <w:pPr>
        <w:pStyle w:val="p"/>
      </w:pPr>
    </w:p>
    <w:p w:rsidR="00891488" w:rsidRDefault="00891488" w:rsidP="00977A41">
      <w:pPr>
        <w:pStyle w:val="p"/>
      </w:pPr>
      <w:r>
        <w:t>3.</w:t>
      </w:r>
      <w:r>
        <w:tab/>
        <w:t xml:space="preserve">So far as ground 1 is concerned, the fact is that the Appellant was not interviewed by the Secretary of State and Mr Nicholson has relied upon </w:t>
      </w:r>
      <w:r w:rsidR="0030155E">
        <w:t xml:space="preserve">the </w:t>
      </w:r>
      <w:r w:rsidR="005C3085">
        <w:t>then paragraph 339NA</w:t>
      </w:r>
      <w:r w:rsidR="00977A41">
        <w:t xml:space="preserve"> </w:t>
      </w:r>
      <w:r w:rsidR="0030155E">
        <w:t xml:space="preserve">of the Immigration Rules (the Rules) </w:t>
      </w:r>
      <w:r w:rsidR="00977A41">
        <w:t>for the proposition that the Secretary of State has erred in law and that error infects all other aspects of the decision and appeal process because the Appellant was not given the opportunity of a personal interview on his application for asylum.</w:t>
      </w:r>
    </w:p>
    <w:p w:rsidR="00977A41" w:rsidRDefault="00977A41" w:rsidP="00977A41">
      <w:pPr>
        <w:pStyle w:val="p"/>
      </w:pPr>
    </w:p>
    <w:p w:rsidR="00BF23BB" w:rsidRDefault="00977A41" w:rsidP="00E71496">
      <w:pPr>
        <w:pStyle w:val="p"/>
      </w:pPr>
      <w:r>
        <w:t>4.</w:t>
      </w:r>
      <w:r>
        <w:tab/>
        <w:t xml:space="preserve">The fact is that the Rules provide for various options, which Mr Nicholson rejects as being applicable but in particular </w:t>
      </w:r>
      <w:r w:rsidR="00015AE5">
        <w:t>“</w:t>
      </w:r>
      <w:r>
        <w:t xml:space="preserve">(i) an </w:t>
      </w:r>
      <w:r w:rsidRPr="00977A41">
        <w:t>interview may be omitted where</w:t>
      </w:r>
      <w:r>
        <w:t xml:space="preserve"> </w:t>
      </w:r>
      <w:r w:rsidRPr="00977A41">
        <w:t xml:space="preserve">the Secretary of State is able to take a positive decision </w:t>
      </w:r>
      <w:proofErr w:type="gramStart"/>
      <w:r w:rsidRPr="00977A41">
        <w:t>on the basis of</w:t>
      </w:r>
      <w:proofErr w:type="gramEnd"/>
      <w:r w:rsidRPr="00977A41">
        <w:t xml:space="preserve"> evidence available</w:t>
      </w:r>
      <w:r w:rsidR="00015AE5">
        <w:t>”</w:t>
      </w:r>
      <w:r>
        <w:t xml:space="preserve"> and as the Rule continues at its conclusion “</w:t>
      </w:r>
      <w:r w:rsidR="00015AE5" w:rsidRPr="00015AE5">
        <w:t>the omission of a personal interview shall not prevent the Secretary of State from taking a decision on the application</w:t>
      </w:r>
      <w:r w:rsidR="00015AE5">
        <w:t>”.  Then it continues further: “</w:t>
      </w:r>
      <w:r w:rsidR="00015AE5" w:rsidRPr="00015AE5">
        <w:t>Where the personal interview is omitted, the applicant and dependants shall be given a reasonable opportunity to submit further information.</w:t>
      </w:r>
      <w:r w:rsidR="00015AE5">
        <w:t xml:space="preserve">”  So far as that is concerned, ignoring when such provisions were deleted, the fact </w:t>
      </w:r>
      <w:r w:rsidR="009E5E21">
        <w:t>there was</w:t>
      </w:r>
      <w:r w:rsidR="00015AE5">
        <w:t xml:space="preserve"> not an issue raised </w:t>
      </w:r>
      <w:r w:rsidR="00E71496">
        <w:t>that</w:t>
      </w:r>
      <w:r w:rsidR="00015AE5">
        <w:t xml:space="preserve"> in some way or another </w:t>
      </w:r>
      <w:r w:rsidR="00E71496">
        <w:t xml:space="preserve">further information would have been forthcoming </w:t>
      </w:r>
      <w:proofErr w:type="gramStart"/>
      <w:r w:rsidR="00E71496">
        <w:t>in order to</w:t>
      </w:r>
      <w:proofErr w:type="gramEnd"/>
      <w:r w:rsidR="00E71496">
        <w:t xml:space="preserve"> </w:t>
      </w:r>
      <w:r w:rsidR="009E5E21">
        <w:t>support</w:t>
      </w:r>
      <w:r w:rsidR="00E71496">
        <w:t xml:space="preserve"> a different outcome.  It seem</w:t>
      </w:r>
      <w:r w:rsidR="009E5E21">
        <w:t>ed</w:t>
      </w:r>
      <w:r w:rsidR="00E71496">
        <w:t xml:space="preserve"> to me that this argument raised by Mr Nicholson fail</w:t>
      </w:r>
      <w:r w:rsidR="009E5E21">
        <w:t>ed</w:t>
      </w:r>
      <w:r w:rsidR="00E71496">
        <w:t xml:space="preserve"> because quite simply the Secretary of State went on to make a </w:t>
      </w:r>
      <w:proofErr w:type="gramStart"/>
      <w:r w:rsidR="00E71496">
        <w:t>decision  and</w:t>
      </w:r>
      <w:proofErr w:type="gramEnd"/>
      <w:r w:rsidR="00E71496">
        <w:t xml:space="preserve"> the judge proceeded to consider that matter with the Appellant having the fullest opportunity to present in advance and through the appeal hearing process </w:t>
      </w:r>
      <w:r w:rsidR="009E5E21">
        <w:t xml:space="preserve">any </w:t>
      </w:r>
      <w:r w:rsidR="00E71496">
        <w:t>relevant factors.</w:t>
      </w:r>
    </w:p>
    <w:p w:rsidR="00E71496" w:rsidRDefault="00E71496" w:rsidP="00E71496">
      <w:pPr>
        <w:pStyle w:val="p"/>
      </w:pPr>
    </w:p>
    <w:p w:rsidR="00E71496" w:rsidRDefault="00E71496" w:rsidP="00E664FA">
      <w:pPr>
        <w:pStyle w:val="p"/>
      </w:pPr>
      <w:r>
        <w:t>5.</w:t>
      </w:r>
      <w:r>
        <w:tab/>
        <w:t xml:space="preserve">Secondly, it is said that the Judge failed to address paragraph </w:t>
      </w:r>
      <w:r w:rsidR="00E664FA">
        <w:t>276ADE(1)(vi) of the Rules.  Mr Bramble submits that in fact on a fair reading of the decision as a whole the Judge did take into account the various factors being raised about</w:t>
      </w:r>
      <w:r w:rsidR="00CC7075">
        <w:t>: T</w:t>
      </w:r>
      <w:r w:rsidR="00E664FA">
        <w:t>he length of the time the Appellant had been in the United Kingdom and did take into account the issues of return</w:t>
      </w:r>
      <w:r w:rsidR="00CC7075">
        <w:t>;</w:t>
      </w:r>
      <w:r w:rsidR="00E664FA">
        <w:t xml:space="preserve"> and</w:t>
      </w:r>
      <w:r w:rsidR="00CC7075">
        <w:t>,</w:t>
      </w:r>
      <w:r w:rsidR="00E664FA">
        <w:t xml:space="preserve"> what the Appellant might face not least with reference to the </w:t>
      </w:r>
      <w:r w:rsidR="00E664FA">
        <w:lastRenderedPageBreak/>
        <w:t xml:space="preserve">claimed loss of contact with his family in China, that is his wife and children, the loss of his home and the various circumstances in which he came, as the Judge accepted, to leave </w:t>
      </w:r>
      <w:r w:rsidR="00CC7075">
        <w:t xml:space="preserve">the PRC </w:t>
      </w:r>
      <w:r w:rsidR="00E664FA">
        <w:t xml:space="preserve">illegally.  Be that as it may, ultimately it is common ground that the Judge did not express a view in terms of a direct analysis of </w:t>
      </w:r>
      <w:r w:rsidR="00CC7075">
        <w:t>‘</w:t>
      </w:r>
      <w:r w:rsidR="00E664FA">
        <w:t>very significant obstacles</w:t>
      </w:r>
      <w:r w:rsidR="00CC7075">
        <w:t>’</w:t>
      </w:r>
      <w:r w:rsidR="00E664FA">
        <w:t xml:space="preserve"> but he did so in the context that the Appellant having entered the United Kingdom illegally</w:t>
      </w:r>
      <w:r w:rsidR="00CC7075">
        <w:t>,</w:t>
      </w:r>
      <w:r w:rsidR="00E664FA">
        <w:t xml:space="preserve"> lived and worked here for a considerable length of time, had worked in Chinese restaurants’ kitchens, had associated, it would seem, since an interpreter was being used at the hearing of the appeal, with Chinese persons or those of that origin</w:t>
      </w:r>
      <w:r w:rsidR="00440A34">
        <w:t>.  T</w:t>
      </w:r>
      <w:r w:rsidR="00E664FA">
        <w:t>here was nothing to suggest that culturally he had lost contact with his roots linguistically or indeed socially</w:t>
      </w:r>
      <w:r w:rsidR="00440A34">
        <w:t>.  T</w:t>
      </w:r>
      <w:r w:rsidR="00E664FA">
        <w:t xml:space="preserve">o that extent there was a paucity of evidence being paraded by the Appellant as to why there were very significant obstacles to reintegration into China PRC, to which he would have to go if required to leave the </w:t>
      </w:r>
      <w:smartTag w:uri="urn:schemas-microsoft-com:office:smarttags" w:element="country-region">
        <w:smartTag w:uri="urn:schemas-microsoft-com:office:smarttags" w:element="place">
          <w:r w:rsidR="00E664FA">
            <w:t>United Kingdom</w:t>
          </w:r>
        </w:smartTag>
      </w:smartTag>
      <w:r w:rsidR="00E664FA">
        <w:t>.</w:t>
      </w:r>
    </w:p>
    <w:p w:rsidR="00E71496" w:rsidRDefault="00E71496" w:rsidP="00E71496">
      <w:pPr>
        <w:pStyle w:val="p"/>
      </w:pPr>
    </w:p>
    <w:p w:rsidR="00E71496" w:rsidRPr="00E664FA" w:rsidRDefault="00E71496" w:rsidP="00E664FA">
      <w:pPr>
        <w:pStyle w:val="p"/>
      </w:pPr>
      <w:r>
        <w:t>6.</w:t>
      </w:r>
      <w:r>
        <w:tab/>
      </w:r>
      <w:r w:rsidR="00E664FA">
        <w:t xml:space="preserve">I am ultimately considering </w:t>
      </w:r>
      <w:proofErr w:type="gramStart"/>
      <w:r w:rsidR="00E664FA">
        <w:t>whether or not</w:t>
      </w:r>
      <w:proofErr w:type="gramEnd"/>
      <w:r w:rsidR="00E664FA">
        <w:t xml:space="preserve"> there are sufficient and adequate reasons </w:t>
      </w:r>
      <w:r w:rsidR="00440A34">
        <w:t xml:space="preserve">given by the Judge </w:t>
      </w:r>
      <w:r w:rsidR="00E664FA">
        <w:t>as to whether there is a material error of law and then whether or not such error as there may be materially affects or potentially materially affects the outcome of the appeal.  It seem</w:t>
      </w:r>
      <w:r w:rsidR="00440A34">
        <w:t>ed</w:t>
      </w:r>
      <w:r w:rsidR="00E664FA">
        <w:t xml:space="preserve"> to me that the strenuous arguments made by Mr Nicholson really </w:t>
      </w:r>
      <w:r w:rsidR="00440A34">
        <w:t>did</w:t>
      </w:r>
      <w:r w:rsidR="00E664FA">
        <w:t xml:space="preserve"> not get home on the point that there is materiality given the evidence that was </w:t>
      </w:r>
      <w:proofErr w:type="gramStart"/>
      <w:r w:rsidR="00E664FA">
        <w:t>actually presented</w:t>
      </w:r>
      <w:proofErr w:type="gramEnd"/>
      <w:r w:rsidR="008670F7">
        <w:t>.  I</w:t>
      </w:r>
      <w:r w:rsidR="00E664FA">
        <w:t>t did not seem to me that any other Tribunal properly addressing and expressing themselves in the appropriate terms would have realistically reached a different decision.  I therefore do not find any aspect of ground 1 succeeds.</w:t>
      </w:r>
    </w:p>
    <w:p w:rsidR="00E664FA" w:rsidRDefault="00E664FA" w:rsidP="00E71496">
      <w:pPr>
        <w:pStyle w:val="p"/>
      </w:pPr>
    </w:p>
    <w:p w:rsidR="00E664FA" w:rsidRPr="002A6A3C" w:rsidRDefault="00E664FA" w:rsidP="002A6A3C">
      <w:pPr>
        <w:pStyle w:val="p"/>
      </w:pPr>
      <w:r w:rsidRPr="002A6A3C">
        <w:t>7.</w:t>
      </w:r>
      <w:r w:rsidRPr="002A6A3C">
        <w:tab/>
        <w:t xml:space="preserve">Ground 2 </w:t>
      </w:r>
      <w:r w:rsidR="008E49A3">
        <w:t>wa</w:t>
      </w:r>
      <w:r w:rsidRPr="002A6A3C">
        <w:t>s a challenge to the Judge’s findings on the Appellant’s credibility.  It seem</w:t>
      </w:r>
      <w:r w:rsidR="008670F7">
        <w:t>ed</w:t>
      </w:r>
      <w:r w:rsidRPr="002A6A3C">
        <w:t xml:space="preserve"> to me that the Judge scrupulously set out the material that was being advanced</w:t>
      </w:r>
      <w:r w:rsidR="005F11B2">
        <w:t xml:space="preserve"> </w:t>
      </w:r>
      <w:r w:rsidR="008E49A3">
        <w:t>oral</w:t>
      </w:r>
      <w:r w:rsidRPr="002A6A3C">
        <w:t xml:space="preserve"> the arguments that were being put forward</w:t>
      </w:r>
      <w:r w:rsidR="008670F7">
        <w:t xml:space="preserve">.  The Judge </w:t>
      </w:r>
      <w:r w:rsidRPr="002A6A3C">
        <w:t xml:space="preserve">addressed, as he was entitled to, what he saw as apparent inconsistency and the lack of evidence </w:t>
      </w:r>
      <w:r w:rsidR="00D702A7">
        <w:t>u</w:t>
      </w:r>
      <w:r w:rsidR="00825B41">
        <w:t>p</w:t>
      </w:r>
      <w:r w:rsidR="00D702A7">
        <w:t>o</w:t>
      </w:r>
      <w:r w:rsidR="00825B41">
        <w:t xml:space="preserve">n </w:t>
      </w:r>
      <w:r w:rsidRPr="002A6A3C">
        <w:t xml:space="preserve">the issues.  </w:t>
      </w:r>
      <w:r w:rsidR="008D21F4">
        <w:t>I concluded</w:t>
      </w:r>
      <w:r w:rsidRPr="002A6A3C">
        <w:t xml:space="preserve"> that </w:t>
      </w:r>
      <w:r w:rsidR="00171BD2">
        <w:t>t</w:t>
      </w:r>
      <w:r w:rsidRPr="002A6A3C">
        <w:t xml:space="preserve">he </w:t>
      </w:r>
      <w:r w:rsidR="00171BD2">
        <w:t xml:space="preserve">Judge </w:t>
      </w:r>
      <w:r w:rsidRPr="002A6A3C">
        <w:t>was entitled to reach an adverse view on credibility</w:t>
      </w:r>
      <w:r w:rsidR="00171BD2">
        <w:t>.  T</w:t>
      </w:r>
      <w:r w:rsidRPr="002A6A3C">
        <w:t xml:space="preserve">he point raised by Mr Nicholson in relation to the necessary assessment of credibility does not hold good and his essential challenge even with reference to the cases cited does not demonstrate that the Judge would not or could not have reasonably reached </w:t>
      </w:r>
      <w:r w:rsidRPr="002A6A3C">
        <w:lastRenderedPageBreak/>
        <w:t xml:space="preserve">the conclusion that he did.  </w:t>
      </w:r>
      <w:r w:rsidR="00171BD2">
        <w:t>T</w:t>
      </w:r>
      <w:r w:rsidRPr="002A6A3C">
        <w:t xml:space="preserve">he case of </w:t>
      </w:r>
      <w:r w:rsidR="00791B76" w:rsidRPr="00791B76">
        <w:t>MD (</w:t>
      </w:r>
      <w:smartTag w:uri="urn:schemas-microsoft-com:office:smarttags" w:element="country-region">
        <w:smartTag w:uri="urn:schemas-microsoft-com:office:smarttags" w:element="place">
          <w:r w:rsidR="00791B76" w:rsidRPr="00791B76">
            <w:t>Turkey</w:t>
          </w:r>
        </w:smartTag>
      </w:smartTag>
      <w:r w:rsidR="00791B76" w:rsidRPr="00791B76">
        <w:t xml:space="preserve">) [2017] EWCA </w:t>
      </w:r>
      <w:proofErr w:type="spellStart"/>
      <w:r w:rsidR="00791B76" w:rsidRPr="00791B76">
        <w:t>Civ</w:t>
      </w:r>
      <w:proofErr w:type="spellEnd"/>
      <w:r w:rsidR="00791B76" w:rsidRPr="00791B76">
        <w:t xml:space="preserve"> 1958</w:t>
      </w:r>
      <w:r w:rsidR="00321BEA">
        <w:t xml:space="preserve"> </w:t>
      </w:r>
      <w:r w:rsidR="00881D67">
        <w:t xml:space="preserve">illustrates why </w:t>
      </w:r>
      <w:r w:rsidR="00B84CC1" w:rsidRPr="002A6A3C">
        <w:t>I should be extremely cautious about interfering with adverse findings which the Judge</w:t>
      </w:r>
      <w:r w:rsidR="002A6A3C" w:rsidRPr="002A6A3C">
        <w:t xml:space="preserve"> reached</w:t>
      </w:r>
      <w:r w:rsidR="00881D67">
        <w:t xml:space="preserve">; </w:t>
      </w:r>
      <w:r w:rsidR="002A6A3C">
        <w:t>I do not do so, however attractively invited by Mr Nicholson to do so.</w:t>
      </w:r>
    </w:p>
    <w:p w:rsidR="00E664FA" w:rsidRDefault="00E664FA" w:rsidP="00E71496">
      <w:pPr>
        <w:pStyle w:val="p"/>
      </w:pPr>
    </w:p>
    <w:p w:rsidR="00E664FA" w:rsidRDefault="00E664FA" w:rsidP="002F390F">
      <w:pPr>
        <w:pStyle w:val="p"/>
      </w:pPr>
      <w:r>
        <w:t>8.</w:t>
      </w:r>
      <w:r>
        <w:tab/>
      </w:r>
      <w:r w:rsidR="002A6A3C">
        <w:t xml:space="preserve">As to the </w:t>
      </w:r>
      <w:r w:rsidR="00237D00">
        <w:t>G</w:t>
      </w:r>
      <w:r w:rsidR="002A6A3C">
        <w:t xml:space="preserve">round </w:t>
      </w:r>
      <w:r w:rsidR="00237D00">
        <w:t xml:space="preserve">3 </w:t>
      </w:r>
      <w:r w:rsidR="002A6A3C">
        <w:t xml:space="preserve">the submission essentially made by Mr Nicholson </w:t>
      </w:r>
      <w:r w:rsidR="00237D00">
        <w:t>wa</w:t>
      </w:r>
      <w:r w:rsidR="002A6A3C">
        <w:t>s that the Judge has not properly addressed the significance of return to China bearing in mind the finding that the Judge made that the Appellant had left without a travel permit and to the possibility or the likelihood, as Mr Nicholson submit</w:t>
      </w:r>
      <w:r w:rsidR="00237D00">
        <w:t>ted</w:t>
      </w:r>
      <w:r w:rsidR="002A6A3C">
        <w:t>, that he would face a significant fine, not least because of the length of time he had been out of the United Kingdom, and would face the realities of imprisonment I infer Article 3 ill-treatment or the risk thereof.  So far as that ground is concerned it seem</w:t>
      </w:r>
      <w:r w:rsidR="00237D00">
        <w:t>ed</w:t>
      </w:r>
      <w:r w:rsidR="002A6A3C">
        <w:t xml:space="preserve"> to me that the Judge </w:t>
      </w:r>
      <w:r w:rsidR="00237D00">
        <w:t xml:space="preserve">had </w:t>
      </w:r>
      <w:r w:rsidR="002A6A3C">
        <w:t>recorded and understood the submissions that were being made about the issue of return</w:t>
      </w:r>
      <w:r w:rsidR="00237D00">
        <w:t xml:space="preserve">.  The Judge </w:t>
      </w:r>
      <w:r w:rsidR="002A6A3C">
        <w:t xml:space="preserve">carefully </w:t>
      </w:r>
      <w:r w:rsidR="00237D00">
        <w:t xml:space="preserve">noted </w:t>
      </w:r>
      <w:r w:rsidR="002A6A3C">
        <w:t xml:space="preserve">the submissions made by Miss Smeaton about those issues and the Judge therefore turned </w:t>
      </w:r>
      <w:r w:rsidR="00237D00">
        <w:t>[</w:t>
      </w:r>
      <w:r w:rsidR="00247C4D">
        <w:t>D41 and 42</w:t>
      </w:r>
      <w:r w:rsidR="00237D00">
        <w:t>]</w:t>
      </w:r>
      <w:r w:rsidR="00247C4D">
        <w:t xml:space="preserve"> to address the issue of return in those terms and did not find there was a real risk of persecution or proscribed ill-treatment </w:t>
      </w:r>
      <w:r w:rsidR="002F390F">
        <w:t xml:space="preserve">or serious harm </w:t>
      </w:r>
      <w:proofErr w:type="gramStart"/>
      <w:r w:rsidR="00247C4D">
        <w:t>so as to</w:t>
      </w:r>
      <w:proofErr w:type="gramEnd"/>
      <w:r w:rsidR="00247C4D">
        <w:t xml:space="preserve"> engage </w:t>
      </w:r>
      <w:r w:rsidR="002F390F">
        <w:t>the need for protection.  Again, this is a point</w:t>
      </w:r>
      <w:r w:rsidR="00791B76">
        <w:t>,</w:t>
      </w:r>
      <w:r w:rsidR="002F390F">
        <w:t xml:space="preserve"> which Mr Nicholson makes in an attractive fashion</w:t>
      </w:r>
      <w:r w:rsidR="00791B76">
        <w:t xml:space="preserve">, </w:t>
      </w:r>
      <w:r w:rsidR="002F390F">
        <w:t xml:space="preserve">I </w:t>
      </w:r>
      <w:proofErr w:type="gramStart"/>
      <w:r w:rsidR="002F390F">
        <w:t>have to</w:t>
      </w:r>
      <w:proofErr w:type="gramEnd"/>
      <w:r w:rsidR="002F390F">
        <w:t xml:space="preserve"> say that it does not seem to me that it has the strength to justify interfering with the </w:t>
      </w:r>
      <w:r w:rsidR="00351854">
        <w:t xml:space="preserve">Judge’s </w:t>
      </w:r>
      <w:r w:rsidR="002F390F">
        <w:t>decision</w:t>
      </w:r>
      <w:r w:rsidR="00112583">
        <w:t xml:space="preserve">.  </w:t>
      </w:r>
      <w:r w:rsidR="002F390F">
        <w:t>I therefore conclude that there were sufficient and adequate reasons given but if I was wrong in that view it seem</w:t>
      </w:r>
      <w:r w:rsidR="00112583">
        <w:t>ed</w:t>
      </w:r>
      <w:r w:rsidR="002F390F">
        <w:t xml:space="preserve"> to me on the same material no different Tribunal would be likely to come to a different decision and therefore the error, if there was one, is not material.</w:t>
      </w:r>
    </w:p>
    <w:p w:rsidR="001D7121" w:rsidRDefault="001D7121" w:rsidP="002F390F">
      <w:pPr>
        <w:pStyle w:val="p"/>
      </w:pPr>
    </w:p>
    <w:p w:rsidR="001D7121" w:rsidRDefault="001D7121" w:rsidP="001D7121">
      <w:pPr>
        <w:pStyle w:val="p"/>
      </w:pPr>
      <w:r>
        <w:t>9.</w:t>
      </w:r>
      <w:r>
        <w:tab/>
        <w:t xml:space="preserve">Finally, </w:t>
      </w:r>
      <w:r w:rsidR="00112583">
        <w:t>G</w:t>
      </w:r>
      <w:r>
        <w:t xml:space="preserve">round </w:t>
      </w:r>
      <w:r w:rsidR="00112583">
        <w:t xml:space="preserve">4 </w:t>
      </w:r>
      <w:r>
        <w:t>raise</w:t>
      </w:r>
      <w:r w:rsidR="00112583">
        <w:t>d</w:t>
      </w:r>
      <w:r>
        <w:t xml:space="preserve"> the issue of the Judge’s failing to consider th</w:t>
      </w:r>
      <w:r w:rsidR="00D702A7">
        <w:t>e</w:t>
      </w:r>
      <w:r>
        <w:t xml:space="preserve"> </w:t>
      </w:r>
      <w:r w:rsidR="00825B41">
        <w:t xml:space="preserve">Article 8 ECHR issues </w:t>
      </w:r>
      <w:r>
        <w:t>either under the Rules or alternatively through the prism of the Rules and his assessment of proportionality was in error.  It is true to say that the Judge’s reasoning is brief but it is also correct that the evidence that was being advanced by the Appellant</w:t>
      </w:r>
      <w:r w:rsidR="00825B41">
        <w:t>,</w:t>
      </w:r>
      <w:r>
        <w:t xml:space="preserve"> notwithstanding the submissions that were being made to the Judge about it</w:t>
      </w:r>
      <w:r w:rsidR="001C1AEC">
        <w:t>,</w:t>
      </w:r>
      <w:r>
        <w:t xml:space="preserve"> was thin</w:t>
      </w:r>
      <w:r w:rsidR="00825B41">
        <w:t xml:space="preserve">.  </w:t>
      </w:r>
      <w:proofErr w:type="gramStart"/>
      <w:r w:rsidR="00825B41">
        <w:t>I</w:t>
      </w:r>
      <w:r>
        <w:t>ndeed</w:t>
      </w:r>
      <w:proofErr w:type="gramEnd"/>
      <w:r>
        <w:t xml:space="preserve"> concerning th</w:t>
      </w:r>
      <w:r w:rsidR="00825B41">
        <w:t>e</w:t>
      </w:r>
      <w:r>
        <w:t xml:space="preserve"> claims about his private life in the United Kingdom and/or the effects of interference in that private life so as to reach an informed view upon their significance for the purposes of seeing whether </w:t>
      </w:r>
      <w:r w:rsidR="001C1AEC">
        <w:t>Article 8(</w:t>
      </w:r>
      <w:r>
        <w:t>1</w:t>
      </w:r>
      <w:r w:rsidR="001C1AEC">
        <w:t xml:space="preserve">) </w:t>
      </w:r>
      <w:r>
        <w:t xml:space="preserve">rights are actively engaged, accepting, as the Judge did, that the Appellant had exercised a </w:t>
      </w:r>
      <w:r>
        <w:lastRenderedPageBreak/>
        <w:t>private life demonstrably in the United Kingdom through his presence and working here.</w:t>
      </w:r>
    </w:p>
    <w:p w:rsidR="001D7121" w:rsidRDefault="001D7121" w:rsidP="001D7121">
      <w:pPr>
        <w:pStyle w:val="p"/>
      </w:pPr>
    </w:p>
    <w:p w:rsidR="001D7121" w:rsidRDefault="001D7121" w:rsidP="00455AF2">
      <w:pPr>
        <w:pStyle w:val="p"/>
      </w:pPr>
      <w:r>
        <w:t>10.</w:t>
      </w:r>
      <w:r>
        <w:tab/>
      </w:r>
      <w:r w:rsidR="004F229B">
        <w:t>Mr Nicholson dr</w:t>
      </w:r>
      <w:r w:rsidR="001C1AEC">
        <w:t>e</w:t>
      </w:r>
      <w:r w:rsidR="004F229B">
        <w:t xml:space="preserve">w my attention correctly to the general expressions of view contained in the Administrative Court hearing by Deputy High Court Judge Grubb in 2014, in which, it seems to me, </w:t>
      </w:r>
      <w:r w:rsidR="008E49A3">
        <w:t>the Judge</w:t>
      </w:r>
      <w:r w:rsidR="004F229B">
        <w:t xml:space="preserve"> was addressing the issue of </w:t>
      </w:r>
      <w:r w:rsidR="00455AF2">
        <w:t xml:space="preserve">the proper assessment of Article 8 in the </w:t>
      </w:r>
      <w:r w:rsidR="00351854">
        <w:t xml:space="preserve">now </w:t>
      </w:r>
      <w:r w:rsidR="00455AF2">
        <w:t xml:space="preserve">well-understood position that the threshold of </w:t>
      </w:r>
      <w:r w:rsidR="00351854">
        <w:t>‘</w:t>
      </w:r>
      <w:r w:rsidR="00455AF2">
        <w:t>exceptionality</w:t>
      </w:r>
      <w:r w:rsidR="00351854">
        <w:t>’</w:t>
      </w:r>
      <w:r w:rsidR="00455AF2">
        <w:t>, d</w:t>
      </w:r>
      <w:r w:rsidR="00D702A7">
        <w:t>id</w:t>
      </w:r>
      <w:r w:rsidR="00455AF2">
        <w:t xml:space="preserve"> not bear on this matter.  I do not conclude that that case is of assistance because quite simply an assessment of Article 8 </w:t>
      </w:r>
      <w:r w:rsidR="00351854">
        <w:t xml:space="preserve">ECHR </w:t>
      </w:r>
      <w:r w:rsidR="00455AF2">
        <w:t>is fact-specific</w:t>
      </w:r>
      <w:r w:rsidR="00351854">
        <w:t>.  I</w:t>
      </w:r>
      <w:r w:rsidR="00455AF2">
        <w:t>t d</w:t>
      </w:r>
      <w:r w:rsidR="00351854">
        <w:t>id</w:t>
      </w:r>
      <w:r w:rsidR="00455AF2">
        <w:t xml:space="preserve"> not seem to me that the Judge omitted, nor is it said he did, any material factors or included matters that were immaterial or irrelevant</w:t>
      </w:r>
      <w:r w:rsidR="00C145DF">
        <w:t>.  I</w:t>
      </w:r>
      <w:r w:rsidR="00455AF2">
        <w:t>t d</w:t>
      </w:r>
      <w:r w:rsidR="00351854">
        <w:t>id</w:t>
      </w:r>
      <w:r w:rsidR="00455AF2">
        <w:t xml:space="preserve"> not seem to me that the challenge is </w:t>
      </w:r>
      <w:proofErr w:type="gramStart"/>
      <w:r w:rsidR="00455AF2">
        <w:t>really sustainable</w:t>
      </w:r>
      <w:proofErr w:type="gramEnd"/>
      <w:r w:rsidR="00455AF2">
        <w:t xml:space="preserve"> because the Judge did look at the issues.  He may have expressed himself briefly but he was entitled to reach the view that the interference was not of the significance claimed but he also went on</w:t>
      </w:r>
      <w:r w:rsidR="00A44CE6">
        <w:t>,</w:t>
      </w:r>
      <w:r w:rsidR="00455AF2">
        <w:t xml:space="preserve"> in the context of the facts found</w:t>
      </w:r>
      <w:r w:rsidR="00A44CE6">
        <w:t>,</w:t>
      </w:r>
      <w:r w:rsidR="00455AF2">
        <w:t xml:space="preserve"> to conclude that the decision was not disproportionate.</w:t>
      </w:r>
    </w:p>
    <w:p w:rsidR="00455AF2" w:rsidRDefault="00455AF2" w:rsidP="00455AF2">
      <w:pPr>
        <w:pStyle w:val="p"/>
      </w:pPr>
    </w:p>
    <w:p w:rsidR="00455AF2" w:rsidRPr="00455AF2" w:rsidRDefault="00455AF2" w:rsidP="00B73D79">
      <w:pPr>
        <w:pStyle w:val="p"/>
      </w:pPr>
      <w:r>
        <w:t>11.</w:t>
      </w:r>
      <w:r>
        <w:tab/>
        <w:t>The fact I might have written the decision or indeed other Judges might have written the decision differently or more fulsomely is perhaps the wisdom of after the event.  The Judge did what he could do with the brief and limited evidence</w:t>
      </w:r>
      <w:r w:rsidR="00C145DF">
        <w:t>,</w:t>
      </w:r>
      <w:r>
        <w:t xml:space="preserve"> he had</w:t>
      </w:r>
      <w:r w:rsidR="00C145DF">
        <w:t>,</w:t>
      </w:r>
      <w:r>
        <w:t xml:space="preserve"> concerning those issues.  Mr Nicholson for perfectly proper reasons has sought to give emphasis to those aspects but I </w:t>
      </w:r>
      <w:proofErr w:type="gramStart"/>
      <w:r>
        <w:t>have to</w:t>
      </w:r>
      <w:proofErr w:type="gramEnd"/>
      <w:r>
        <w:t xml:space="preserve"> say that ultimately it d</w:t>
      </w:r>
      <w:r w:rsidR="00C145DF">
        <w:t>id</w:t>
      </w:r>
      <w:r>
        <w:t xml:space="preserve"> not seem to me any different Tribunal would have reached a different decision on the evidence that was being advanced.  For these reasons </w:t>
      </w:r>
      <w:proofErr w:type="gramStart"/>
      <w:r w:rsidR="00B73D79">
        <w:t>therefore</w:t>
      </w:r>
      <w:proofErr w:type="gramEnd"/>
      <w:r w:rsidR="00B73D79">
        <w:t xml:space="preserve"> I c</w:t>
      </w:r>
      <w:r w:rsidR="00C145DF">
        <w:t>onclude that the appeal fails.</w:t>
      </w:r>
    </w:p>
    <w:p w:rsidR="000B0A3F" w:rsidRDefault="000B0A3F" w:rsidP="000B0A3F">
      <w:pPr>
        <w:spacing w:line="360" w:lineRule="auto"/>
        <w:jc w:val="both"/>
        <w:rPr>
          <w:rFonts w:ascii="Book Antiqua" w:hAnsi="Book Antiqua" w:cs="Arial"/>
          <w:b/>
          <w:highlight w:val="yellow"/>
          <w:u w:val="single"/>
        </w:rPr>
      </w:pPr>
    </w:p>
    <w:p w:rsidR="000B0A3F" w:rsidRPr="000B0A3F" w:rsidRDefault="000B0A3F" w:rsidP="000B0A3F">
      <w:pPr>
        <w:spacing w:line="360" w:lineRule="auto"/>
        <w:jc w:val="both"/>
        <w:rPr>
          <w:rFonts w:ascii="Book Antiqua" w:hAnsi="Book Antiqua" w:cs="Arial"/>
          <w:b/>
          <w:u w:val="single"/>
        </w:rPr>
      </w:pPr>
      <w:r w:rsidRPr="000B0A3F">
        <w:rPr>
          <w:rFonts w:ascii="Book Antiqua" w:hAnsi="Book Antiqua" w:cs="Arial"/>
          <w:b/>
          <w:u w:val="single"/>
        </w:rPr>
        <w:t>NOTICE OF DECISION</w:t>
      </w:r>
    </w:p>
    <w:p w:rsidR="000B0A3F" w:rsidRPr="000B0A3F" w:rsidRDefault="000B0A3F" w:rsidP="000B0A3F">
      <w:pPr>
        <w:spacing w:line="360" w:lineRule="auto"/>
        <w:jc w:val="both"/>
        <w:rPr>
          <w:rFonts w:ascii="Book Antiqua" w:hAnsi="Book Antiqua" w:cs="Arial"/>
        </w:rPr>
      </w:pPr>
    </w:p>
    <w:p w:rsidR="001F2716" w:rsidRPr="000B0A3F" w:rsidRDefault="000B0A3F" w:rsidP="008E49A3">
      <w:pPr>
        <w:spacing w:line="360" w:lineRule="auto"/>
        <w:jc w:val="both"/>
        <w:rPr>
          <w:rFonts w:ascii="Book Antiqua" w:hAnsi="Book Antiqua" w:cs="Arial"/>
        </w:rPr>
      </w:pPr>
      <w:r w:rsidRPr="000B0A3F">
        <w:rPr>
          <w:rFonts w:ascii="Book Antiqua" w:hAnsi="Book Antiqua" w:cs="Arial"/>
        </w:rPr>
        <w:t xml:space="preserve">The appeal is </w:t>
      </w:r>
      <w:r w:rsidR="00C145DF" w:rsidRPr="00C145DF">
        <w:rPr>
          <w:rFonts w:ascii="Book Antiqua" w:hAnsi="Book Antiqua" w:cs="Arial"/>
        </w:rPr>
        <w:t>dismissed.</w:t>
      </w:r>
    </w:p>
    <w:p w:rsidR="000B0A3F" w:rsidRPr="000B0A3F" w:rsidRDefault="000B0A3F" w:rsidP="00855C07">
      <w:pPr>
        <w:spacing w:line="360" w:lineRule="auto"/>
        <w:ind w:left="540" w:hanging="540"/>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8E49A3">
        <w:rPr>
          <w:rFonts w:ascii="Book Antiqua" w:hAnsi="Book Antiqua" w:cs="Arial"/>
        </w:rPr>
        <w:t xml:space="preserve"> 27 April 2018</w:t>
      </w:r>
    </w:p>
    <w:p w:rsidR="006D6955" w:rsidRPr="000B0A3F" w:rsidRDefault="006D6955" w:rsidP="00780F86">
      <w:pPr>
        <w:ind w:left="540" w:hanging="540"/>
        <w:jc w:val="both"/>
        <w:rPr>
          <w:rFonts w:ascii="Book Antiqua" w:hAnsi="Book Antiqua" w:cs="Arial"/>
        </w:rPr>
      </w:pPr>
    </w:p>
    <w:p w:rsidR="006D6955" w:rsidRPr="000B0A3F" w:rsidRDefault="006D6955" w:rsidP="00780F86">
      <w:pPr>
        <w:ind w:left="540" w:hanging="540"/>
        <w:jc w:val="both"/>
        <w:rPr>
          <w:rFonts w:ascii="Book Antiqua" w:hAnsi="Book Antiqua" w:cs="Arial"/>
        </w:rPr>
      </w:pPr>
    </w:p>
    <w:p w:rsidR="001F2716" w:rsidRPr="000B0A3F" w:rsidRDefault="006D6955" w:rsidP="00402B9E">
      <w:pPr>
        <w:tabs>
          <w:tab w:val="left" w:pos="2520"/>
        </w:tabs>
        <w:ind w:left="540" w:hanging="540"/>
        <w:jc w:val="both"/>
        <w:rPr>
          <w:rFonts w:ascii="Book Antiqua" w:hAnsi="Book Antiqua" w:cs="Arial"/>
          <w:color w:val="000000"/>
        </w:r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p w:rsidR="000B0A3F" w:rsidRPr="000B0A3F" w:rsidRDefault="000B0A3F" w:rsidP="00402B9E">
      <w:pPr>
        <w:tabs>
          <w:tab w:val="left" w:pos="2520"/>
        </w:tabs>
        <w:ind w:left="540" w:hanging="540"/>
        <w:jc w:val="both"/>
        <w:rPr>
          <w:rFonts w:ascii="Book Antiqua" w:hAnsi="Book Antiqua" w:cs="Arial"/>
          <w:color w:val="000000"/>
        </w:rPr>
      </w:pPr>
    </w:p>
    <w:p w:rsidR="000B0A3F" w:rsidRPr="000B0A3F" w:rsidRDefault="000B0A3F" w:rsidP="00402B9E">
      <w:pPr>
        <w:tabs>
          <w:tab w:val="left" w:pos="2520"/>
        </w:tabs>
        <w:ind w:left="540" w:hanging="540"/>
        <w:jc w:val="both"/>
        <w:rPr>
          <w:rFonts w:ascii="Book Antiqua" w:hAnsi="Book Antiqua" w:cs="Arial"/>
          <w:color w:val="000000"/>
        </w:rPr>
      </w:pPr>
    </w:p>
    <w:p w:rsidR="000B0A3F" w:rsidRPr="000B0A3F" w:rsidRDefault="000B0A3F" w:rsidP="000B0A3F">
      <w:pPr>
        <w:spacing w:line="360" w:lineRule="auto"/>
        <w:jc w:val="both"/>
        <w:rPr>
          <w:rFonts w:ascii="Book Antiqua" w:hAnsi="Book Antiqua" w:cs="Arial"/>
          <w:b/>
          <w:u w:val="single"/>
        </w:rPr>
      </w:pPr>
      <w:r w:rsidRPr="000B0A3F">
        <w:rPr>
          <w:rFonts w:ascii="Book Antiqua" w:hAnsi="Book Antiqua" w:cs="Arial"/>
          <w:b/>
          <w:u w:val="single"/>
        </w:rPr>
        <w:lastRenderedPageBreak/>
        <w:t>TO THE RESPONDENT</w:t>
      </w:r>
    </w:p>
    <w:p w:rsidR="000B0A3F" w:rsidRPr="000B0A3F" w:rsidRDefault="000B0A3F" w:rsidP="000B0A3F">
      <w:pPr>
        <w:spacing w:line="360" w:lineRule="auto"/>
        <w:ind w:left="567" w:hanging="567"/>
        <w:jc w:val="both"/>
        <w:rPr>
          <w:rFonts w:ascii="Book Antiqua" w:hAnsi="Book Antiqua" w:cs="Arial"/>
        </w:rPr>
      </w:pPr>
      <w:r w:rsidRPr="000B0A3F">
        <w:rPr>
          <w:rFonts w:ascii="Book Antiqua" w:hAnsi="Book Antiqua" w:cs="Arial"/>
          <w:b/>
          <w:u w:val="single"/>
        </w:rPr>
        <w:t>FEE AWARD</w:t>
      </w:r>
    </w:p>
    <w:p w:rsidR="000B0A3F" w:rsidRPr="000B0A3F" w:rsidRDefault="000B0A3F" w:rsidP="000B0A3F">
      <w:pPr>
        <w:ind w:left="567" w:hanging="567"/>
        <w:jc w:val="both"/>
        <w:rPr>
          <w:rFonts w:ascii="Book Antiqua" w:hAnsi="Book Antiqua" w:cs="Arial"/>
        </w:rPr>
      </w:pPr>
    </w:p>
    <w:p w:rsidR="000B0A3F" w:rsidRDefault="000B0A3F" w:rsidP="000B0A3F">
      <w:pPr>
        <w:spacing w:line="360" w:lineRule="auto"/>
        <w:jc w:val="both"/>
        <w:rPr>
          <w:rFonts w:ascii="Book Antiqua" w:hAnsi="Book Antiqua" w:cs="Arial"/>
        </w:rPr>
      </w:pPr>
      <w:r w:rsidRPr="000B0A3F">
        <w:rPr>
          <w:rFonts w:ascii="Book Antiqua" w:hAnsi="Book Antiqua" w:cs="Arial"/>
        </w:rPr>
        <w:t>I have dismissed the appeal and therefore there can be no fee award.</w:t>
      </w:r>
    </w:p>
    <w:p w:rsidR="000B0A3F" w:rsidRDefault="000B0A3F" w:rsidP="000B0A3F">
      <w:pPr>
        <w:spacing w:line="360" w:lineRule="auto"/>
        <w:jc w:val="both"/>
        <w:rPr>
          <w:rFonts w:ascii="Book Antiqua" w:hAnsi="Book Antiqua" w:cs="Arial"/>
        </w:rPr>
      </w:pPr>
    </w:p>
    <w:p w:rsidR="000B0A3F" w:rsidRPr="000704BB" w:rsidRDefault="000B0A3F" w:rsidP="000B0A3F">
      <w:pPr>
        <w:spacing w:line="360" w:lineRule="auto"/>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8E49A3">
        <w:rPr>
          <w:rFonts w:ascii="Book Antiqua" w:hAnsi="Book Antiqua" w:cs="Arial"/>
        </w:rPr>
        <w:t xml:space="preserve"> 27 April2018</w:t>
      </w:r>
    </w:p>
    <w:p w:rsidR="000B0A3F" w:rsidRDefault="000B0A3F" w:rsidP="000B0A3F">
      <w:pPr>
        <w:spacing w:line="360" w:lineRule="auto"/>
        <w:ind w:left="540" w:hanging="540"/>
        <w:jc w:val="both"/>
        <w:rPr>
          <w:rFonts w:ascii="Book Antiqua" w:hAnsi="Book Antiqua" w:cs="Arial"/>
        </w:rPr>
      </w:pPr>
    </w:p>
    <w:p w:rsidR="000B0A3F" w:rsidRDefault="000B0A3F" w:rsidP="000B0A3F">
      <w:pPr>
        <w:spacing w:line="360" w:lineRule="auto"/>
        <w:ind w:left="540" w:hanging="540"/>
        <w:jc w:val="both"/>
        <w:rPr>
          <w:rFonts w:ascii="Book Antiqua" w:hAnsi="Book Antiqua" w:cs="Arial"/>
        </w:rPr>
      </w:pPr>
    </w:p>
    <w:p w:rsidR="00B95326" w:rsidRPr="000704BB" w:rsidRDefault="000B0A3F" w:rsidP="000B0A3F">
      <w:pPr>
        <w:tabs>
          <w:tab w:val="left" w:pos="2520"/>
        </w:tabs>
        <w:spacing w:line="360" w:lineRule="auto"/>
        <w:ind w:left="540" w:hanging="540"/>
        <w:jc w:val="both"/>
        <w:rPr>
          <w:rFonts w:ascii="Book Antiqua" w:hAnsi="Book Antiqua" w:cs="Arial"/>
        </w:rPr>
      </w:pPr>
      <w:r w:rsidRPr="00BC4F94">
        <w:rPr>
          <w:rFonts w:ascii="Book Antiqua" w:hAnsi="Book Antiqua" w:cs="Arial"/>
          <w:color w:val="000000"/>
        </w:rPr>
        <w:t xml:space="preserve">Deputy </w:t>
      </w:r>
      <w:r>
        <w:rPr>
          <w:rFonts w:ascii="Book Antiqua" w:hAnsi="Book Antiqua" w:cs="Arial"/>
          <w:color w:val="000000"/>
        </w:rPr>
        <w:t>Upper Tribunal Judge Davey</w:t>
      </w:r>
    </w:p>
    <w:p w:rsidR="00B95326" w:rsidRPr="000704BB" w:rsidRDefault="00B95326" w:rsidP="00905C6B">
      <w:pPr>
        <w:jc w:val="center"/>
        <w:rPr>
          <w:rFonts w:ascii="Book Antiqua" w:hAnsi="Book Antiqua" w:cs="Arial"/>
        </w:rPr>
      </w:pPr>
    </w:p>
    <w:sectPr w:rsidR="00B95326" w:rsidRPr="000704BB" w:rsidSect="007233F4">
      <w:headerReference w:type="default" r:id="rId7"/>
      <w:footerReference w:type="default" r:id="rId8"/>
      <w:headerReference w:type="first" r:id="rId9"/>
      <w:footerReference w:type="first" r:id="rId10"/>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218" w:rsidRDefault="00BA2218">
      <w:r>
        <w:separator/>
      </w:r>
    </w:p>
  </w:endnote>
  <w:endnote w:type="continuationSeparator" w:id="0">
    <w:p w:rsidR="00BA2218" w:rsidRDefault="00BA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F8" w:rsidRPr="00CB621C" w:rsidRDefault="001116F8" w:rsidP="00593795">
    <w:pPr>
      <w:pStyle w:val="Footer"/>
      <w:jc w:val="center"/>
      <w:rPr>
        <w:rFonts w:ascii="Book Antiqua" w:hAnsi="Book Antiqua" w:cs="Arial"/>
      </w:rPr>
    </w:pPr>
    <w:r w:rsidRPr="00CB621C">
      <w:rPr>
        <w:rStyle w:val="PageNumber"/>
        <w:rFonts w:ascii="Book Antiqua" w:hAnsi="Book Antiqua" w:cs="Arial"/>
      </w:rPr>
      <w:fldChar w:fldCharType="begin"/>
    </w:r>
    <w:r w:rsidRPr="00CB621C">
      <w:rPr>
        <w:rStyle w:val="PageNumber"/>
        <w:rFonts w:ascii="Book Antiqua" w:hAnsi="Book Antiqua" w:cs="Arial"/>
      </w:rPr>
      <w:instrText xml:space="preserve"> PAGE </w:instrText>
    </w:r>
    <w:r w:rsidRPr="00CB621C">
      <w:rPr>
        <w:rStyle w:val="PageNumber"/>
        <w:rFonts w:ascii="Book Antiqua" w:hAnsi="Book Antiqua" w:cs="Arial"/>
      </w:rPr>
      <w:fldChar w:fldCharType="separate"/>
    </w:r>
    <w:r w:rsidR="00034C9E">
      <w:rPr>
        <w:rStyle w:val="PageNumber"/>
        <w:rFonts w:ascii="Book Antiqua" w:hAnsi="Book Antiqua" w:cs="Arial"/>
        <w:noProof/>
      </w:rPr>
      <w:t>6</w:t>
    </w:r>
    <w:r w:rsidRPr="00CB621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F8" w:rsidRPr="000704BB" w:rsidRDefault="001116F8"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218" w:rsidRDefault="00BA2218">
      <w:r>
        <w:separator/>
      </w:r>
    </w:p>
  </w:footnote>
  <w:footnote w:type="continuationSeparator" w:id="0">
    <w:p w:rsidR="00BA2218" w:rsidRDefault="00BA2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F8" w:rsidRDefault="001116F8"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936706">
      <w:rPr>
        <w:rFonts w:ascii="Book Antiqua" w:hAnsi="Book Antiqua" w:cs="Arial"/>
        <w:sz w:val="16"/>
        <w:szCs w:val="16"/>
      </w:rPr>
      <w:t>AA/08387/2014</w:t>
    </w:r>
  </w:p>
  <w:p w:rsidR="00CB621C" w:rsidRPr="00936706" w:rsidRDefault="00CB621C"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F8" w:rsidRPr="000704BB" w:rsidRDefault="001116F8">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34"/>
    <w:rsid w:val="00000621"/>
    <w:rsid w:val="00003002"/>
    <w:rsid w:val="000036C2"/>
    <w:rsid w:val="00015AE5"/>
    <w:rsid w:val="00033D3D"/>
    <w:rsid w:val="00034C9E"/>
    <w:rsid w:val="00062F02"/>
    <w:rsid w:val="000704BB"/>
    <w:rsid w:val="00071A7E"/>
    <w:rsid w:val="000746C0"/>
    <w:rsid w:val="00074D1D"/>
    <w:rsid w:val="00092580"/>
    <w:rsid w:val="00093D4D"/>
    <w:rsid w:val="000B0A3F"/>
    <w:rsid w:val="000D5D94"/>
    <w:rsid w:val="000F1A0E"/>
    <w:rsid w:val="000F52D4"/>
    <w:rsid w:val="001116F8"/>
    <w:rsid w:val="00112583"/>
    <w:rsid w:val="00113CA8"/>
    <w:rsid w:val="001165A7"/>
    <w:rsid w:val="00125938"/>
    <w:rsid w:val="00150C5F"/>
    <w:rsid w:val="00151389"/>
    <w:rsid w:val="00153B8E"/>
    <w:rsid w:val="00167D3A"/>
    <w:rsid w:val="00171BD2"/>
    <w:rsid w:val="00190911"/>
    <w:rsid w:val="001A3082"/>
    <w:rsid w:val="001B186A"/>
    <w:rsid w:val="001B2F75"/>
    <w:rsid w:val="001B659F"/>
    <w:rsid w:val="001C1AEC"/>
    <w:rsid w:val="001C2D96"/>
    <w:rsid w:val="001C5B44"/>
    <w:rsid w:val="001D7121"/>
    <w:rsid w:val="001F2716"/>
    <w:rsid w:val="001F7682"/>
    <w:rsid w:val="00203FB0"/>
    <w:rsid w:val="00207617"/>
    <w:rsid w:val="0023134B"/>
    <w:rsid w:val="00237D00"/>
    <w:rsid w:val="00247C4D"/>
    <w:rsid w:val="00262039"/>
    <w:rsid w:val="00283659"/>
    <w:rsid w:val="002A1607"/>
    <w:rsid w:val="002A6A3C"/>
    <w:rsid w:val="002C6BD4"/>
    <w:rsid w:val="002D68BF"/>
    <w:rsid w:val="002F390F"/>
    <w:rsid w:val="002F4275"/>
    <w:rsid w:val="002F6B98"/>
    <w:rsid w:val="0030155E"/>
    <w:rsid w:val="00321BEA"/>
    <w:rsid w:val="00336CBF"/>
    <w:rsid w:val="00343FE3"/>
    <w:rsid w:val="00351854"/>
    <w:rsid w:val="003546C8"/>
    <w:rsid w:val="00365F5E"/>
    <w:rsid w:val="00373734"/>
    <w:rsid w:val="003A7CF2"/>
    <w:rsid w:val="003C2CDB"/>
    <w:rsid w:val="003C2D99"/>
    <w:rsid w:val="003C5CE5"/>
    <w:rsid w:val="003E092F"/>
    <w:rsid w:val="003E267B"/>
    <w:rsid w:val="003E7CD1"/>
    <w:rsid w:val="00402B9E"/>
    <w:rsid w:val="004243E8"/>
    <w:rsid w:val="004249CB"/>
    <w:rsid w:val="00424E21"/>
    <w:rsid w:val="004319AE"/>
    <w:rsid w:val="00440A34"/>
    <w:rsid w:val="0044127D"/>
    <w:rsid w:val="004448DB"/>
    <w:rsid w:val="00446C9A"/>
    <w:rsid w:val="00452F2B"/>
    <w:rsid w:val="00455AF2"/>
    <w:rsid w:val="00460347"/>
    <w:rsid w:val="00477193"/>
    <w:rsid w:val="00491F91"/>
    <w:rsid w:val="004A1848"/>
    <w:rsid w:val="004A6F4A"/>
    <w:rsid w:val="004E08A9"/>
    <w:rsid w:val="004E0F3D"/>
    <w:rsid w:val="004E4717"/>
    <w:rsid w:val="004F229B"/>
    <w:rsid w:val="00507FEC"/>
    <w:rsid w:val="00510F0E"/>
    <w:rsid w:val="005479E1"/>
    <w:rsid w:val="00550648"/>
    <w:rsid w:val="00553E0A"/>
    <w:rsid w:val="005570FD"/>
    <w:rsid w:val="005575EA"/>
    <w:rsid w:val="00560E11"/>
    <w:rsid w:val="0056234C"/>
    <w:rsid w:val="0057790C"/>
    <w:rsid w:val="00593795"/>
    <w:rsid w:val="00596FD5"/>
    <w:rsid w:val="005A75FF"/>
    <w:rsid w:val="005C3085"/>
    <w:rsid w:val="005C7C69"/>
    <w:rsid w:val="005D10AB"/>
    <w:rsid w:val="005F11B2"/>
    <w:rsid w:val="00601D8F"/>
    <w:rsid w:val="00625051"/>
    <w:rsid w:val="00643BFC"/>
    <w:rsid w:val="00653E97"/>
    <w:rsid w:val="006701F7"/>
    <w:rsid w:val="00674FB9"/>
    <w:rsid w:val="00684A74"/>
    <w:rsid w:val="00690B8A"/>
    <w:rsid w:val="006D0A2D"/>
    <w:rsid w:val="006D203F"/>
    <w:rsid w:val="006D3D44"/>
    <w:rsid w:val="006D6955"/>
    <w:rsid w:val="006F2CF1"/>
    <w:rsid w:val="007038ED"/>
    <w:rsid w:val="00703BC3"/>
    <w:rsid w:val="00704B61"/>
    <w:rsid w:val="007233F4"/>
    <w:rsid w:val="00731F9D"/>
    <w:rsid w:val="007552A9"/>
    <w:rsid w:val="00761858"/>
    <w:rsid w:val="00767D59"/>
    <w:rsid w:val="00776E97"/>
    <w:rsid w:val="00780F86"/>
    <w:rsid w:val="007912AD"/>
    <w:rsid w:val="00791B76"/>
    <w:rsid w:val="00797649"/>
    <w:rsid w:val="007B0824"/>
    <w:rsid w:val="007B5D3C"/>
    <w:rsid w:val="007F2A46"/>
    <w:rsid w:val="00806249"/>
    <w:rsid w:val="00821B72"/>
    <w:rsid w:val="00823EF2"/>
    <w:rsid w:val="00825B41"/>
    <w:rsid w:val="008262CB"/>
    <w:rsid w:val="008303B8"/>
    <w:rsid w:val="00833DCE"/>
    <w:rsid w:val="00855C07"/>
    <w:rsid w:val="008616C8"/>
    <w:rsid w:val="008670F7"/>
    <w:rsid w:val="00871D34"/>
    <w:rsid w:val="00876E37"/>
    <w:rsid w:val="00881D67"/>
    <w:rsid w:val="00883D05"/>
    <w:rsid w:val="00891488"/>
    <w:rsid w:val="008B270C"/>
    <w:rsid w:val="008B5078"/>
    <w:rsid w:val="008B6F77"/>
    <w:rsid w:val="008C3D3D"/>
    <w:rsid w:val="008D21F4"/>
    <w:rsid w:val="008D4131"/>
    <w:rsid w:val="008E49A3"/>
    <w:rsid w:val="008F1932"/>
    <w:rsid w:val="00905C6B"/>
    <w:rsid w:val="00921062"/>
    <w:rsid w:val="00931A34"/>
    <w:rsid w:val="00936706"/>
    <w:rsid w:val="009450E6"/>
    <w:rsid w:val="0095706A"/>
    <w:rsid w:val="009722BC"/>
    <w:rsid w:val="009727A3"/>
    <w:rsid w:val="00976910"/>
    <w:rsid w:val="00977A41"/>
    <w:rsid w:val="00985408"/>
    <w:rsid w:val="00987774"/>
    <w:rsid w:val="009A11E8"/>
    <w:rsid w:val="009C619F"/>
    <w:rsid w:val="009D3DBD"/>
    <w:rsid w:val="009E5E21"/>
    <w:rsid w:val="009F016A"/>
    <w:rsid w:val="009F5220"/>
    <w:rsid w:val="00A15234"/>
    <w:rsid w:val="00A201AB"/>
    <w:rsid w:val="00A31C8B"/>
    <w:rsid w:val="00A44CE6"/>
    <w:rsid w:val="00A509FA"/>
    <w:rsid w:val="00A705A8"/>
    <w:rsid w:val="00A71C11"/>
    <w:rsid w:val="00A845DC"/>
    <w:rsid w:val="00A85C18"/>
    <w:rsid w:val="00A92920"/>
    <w:rsid w:val="00AC5458"/>
    <w:rsid w:val="00AD67C4"/>
    <w:rsid w:val="00B26AA2"/>
    <w:rsid w:val="00B3524D"/>
    <w:rsid w:val="00B40F69"/>
    <w:rsid w:val="00B46616"/>
    <w:rsid w:val="00B7040A"/>
    <w:rsid w:val="00B73D79"/>
    <w:rsid w:val="00B83391"/>
    <w:rsid w:val="00B84CC1"/>
    <w:rsid w:val="00B95326"/>
    <w:rsid w:val="00BA2218"/>
    <w:rsid w:val="00BC4F94"/>
    <w:rsid w:val="00BD1AF2"/>
    <w:rsid w:val="00BD4196"/>
    <w:rsid w:val="00BF0C4C"/>
    <w:rsid w:val="00BF22CA"/>
    <w:rsid w:val="00BF23BB"/>
    <w:rsid w:val="00C145DF"/>
    <w:rsid w:val="00C26032"/>
    <w:rsid w:val="00C345E1"/>
    <w:rsid w:val="00C43BFD"/>
    <w:rsid w:val="00C72406"/>
    <w:rsid w:val="00C77BDD"/>
    <w:rsid w:val="00CB621C"/>
    <w:rsid w:val="00CB6E35"/>
    <w:rsid w:val="00CC6356"/>
    <w:rsid w:val="00CC7075"/>
    <w:rsid w:val="00CE1A46"/>
    <w:rsid w:val="00D20757"/>
    <w:rsid w:val="00D22636"/>
    <w:rsid w:val="00D332BB"/>
    <w:rsid w:val="00D40FD9"/>
    <w:rsid w:val="00D53769"/>
    <w:rsid w:val="00D702A7"/>
    <w:rsid w:val="00D85C13"/>
    <w:rsid w:val="00D9111A"/>
    <w:rsid w:val="00D91BE3"/>
    <w:rsid w:val="00D94AFC"/>
    <w:rsid w:val="00DB70AE"/>
    <w:rsid w:val="00DC3F2C"/>
    <w:rsid w:val="00DC69F1"/>
    <w:rsid w:val="00DD5071"/>
    <w:rsid w:val="00DD5C39"/>
    <w:rsid w:val="00DE5E10"/>
    <w:rsid w:val="00DE7DB7"/>
    <w:rsid w:val="00E00A0A"/>
    <w:rsid w:val="00E066DE"/>
    <w:rsid w:val="00E07F57"/>
    <w:rsid w:val="00E16EDD"/>
    <w:rsid w:val="00E303E2"/>
    <w:rsid w:val="00E30683"/>
    <w:rsid w:val="00E41F1F"/>
    <w:rsid w:val="00E453D8"/>
    <w:rsid w:val="00E50BCE"/>
    <w:rsid w:val="00E574BF"/>
    <w:rsid w:val="00E61292"/>
    <w:rsid w:val="00E664FA"/>
    <w:rsid w:val="00E71496"/>
    <w:rsid w:val="00E74E7B"/>
    <w:rsid w:val="00E77C4D"/>
    <w:rsid w:val="00E81D01"/>
    <w:rsid w:val="00E961E5"/>
    <w:rsid w:val="00EA2F7F"/>
    <w:rsid w:val="00EE3064"/>
    <w:rsid w:val="00EE45D8"/>
    <w:rsid w:val="00F22EDA"/>
    <w:rsid w:val="00F76D81"/>
    <w:rsid w:val="00F924A3"/>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70E9ED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rsid w:val="00003002"/>
    <w:pPr>
      <w:tabs>
        <w:tab w:val="left" w:pos="567"/>
      </w:tabs>
      <w:spacing w:line="360" w:lineRule="auto"/>
      <w:ind w:left="567" w:hanging="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1750</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2018-06-22T15:51:00Z</dcterms:created>
  <dcterms:modified xsi:type="dcterms:W3CDTF">2018-06-22T15:51:00Z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