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59" w:rsidRPr="000A3550" w:rsidRDefault="007E46C4" w:rsidP="008A6059">
      <w:pPr>
        <w:jc w:val="center"/>
        <w:rPr>
          <w:rFonts w:ascii="Book Antiqua" w:hAnsi="Book Antiqua" w:cs="Arial"/>
          <w:caps/>
          <w:color w:val="000000"/>
          <w:sz w:val="16"/>
          <w:szCs w:val="16"/>
        </w:rPr>
      </w:pPr>
      <w:r w:rsidRPr="000A3550">
        <w:rPr>
          <w:noProof/>
        </w:rPr>
        <w:drawing>
          <wp:inline distT="0" distB="0" distL="0" distR="0">
            <wp:extent cx="1043940" cy="905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5510"/>
                    </a:xfrm>
                    <a:prstGeom prst="rect">
                      <a:avLst/>
                    </a:prstGeom>
                    <a:noFill/>
                    <a:ln>
                      <a:noFill/>
                    </a:ln>
                  </pic:spPr>
                </pic:pic>
              </a:graphicData>
            </a:graphic>
          </wp:inline>
        </w:drawing>
      </w:r>
    </w:p>
    <w:p w:rsidR="00D94AFC" w:rsidRPr="000A3550" w:rsidRDefault="00D94AFC">
      <w:pPr>
        <w:rPr>
          <w:rFonts w:ascii="Book Antiqua" w:hAnsi="Book Antiqua" w:cs="Arial"/>
          <w:color w:val="000000"/>
        </w:rPr>
      </w:pPr>
    </w:p>
    <w:p w:rsidR="008A6059" w:rsidRPr="000A3550" w:rsidRDefault="008A6059" w:rsidP="00780F86">
      <w:pPr>
        <w:tabs>
          <w:tab w:val="right" w:pos="9720"/>
        </w:tabs>
        <w:ind w:right="-82"/>
        <w:rPr>
          <w:rFonts w:ascii="Book Antiqua" w:hAnsi="Book Antiqua" w:cs="Arial"/>
          <w:b/>
          <w:color w:val="000000"/>
        </w:rPr>
      </w:pPr>
      <w:r w:rsidRPr="000A3550">
        <w:rPr>
          <w:rFonts w:ascii="Book Antiqua" w:hAnsi="Book Antiqua" w:cs="Arial"/>
          <w:b/>
          <w:color w:val="000000"/>
        </w:rPr>
        <w:t xml:space="preserve">Upper Tribunal </w:t>
      </w:r>
    </w:p>
    <w:p w:rsidR="007B0824" w:rsidRPr="000A3550" w:rsidRDefault="008A6059" w:rsidP="00780F86">
      <w:pPr>
        <w:tabs>
          <w:tab w:val="right" w:pos="9720"/>
        </w:tabs>
        <w:ind w:right="-82"/>
        <w:rPr>
          <w:rFonts w:ascii="Book Antiqua" w:hAnsi="Book Antiqua" w:cs="Arial"/>
          <w:color w:val="000000"/>
        </w:rPr>
      </w:pPr>
      <w:r w:rsidRPr="000A3550">
        <w:rPr>
          <w:rFonts w:ascii="Book Antiqua" w:hAnsi="Book Antiqua" w:cs="Arial"/>
          <w:b/>
          <w:color w:val="000000"/>
        </w:rPr>
        <w:t>(Immigration and Asylum Chamber)</w:t>
      </w:r>
      <w:r w:rsidR="00DB70AE" w:rsidRPr="000A3550">
        <w:rPr>
          <w:rFonts w:ascii="Book Antiqua" w:hAnsi="Book Antiqua" w:cs="Arial"/>
          <w:b/>
          <w:color w:val="000000"/>
        </w:rPr>
        <w:tab/>
      </w:r>
      <w:r w:rsidR="00B3524D" w:rsidRPr="000A3550">
        <w:rPr>
          <w:rFonts w:ascii="Book Antiqua" w:hAnsi="Book Antiqua" w:cs="Arial"/>
          <w:color w:val="000000"/>
        </w:rPr>
        <w:t>Appeal Number</w:t>
      </w:r>
      <w:r w:rsidR="00D53769" w:rsidRPr="000A3550">
        <w:rPr>
          <w:rFonts w:ascii="Book Antiqua" w:hAnsi="Book Antiqua" w:cs="Arial"/>
          <w:color w:val="000000"/>
        </w:rPr>
        <w:t>:</w:t>
      </w:r>
      <w:r w:rsidR="00B3524D" w:rsidRPr="000A3550">
        <w:rPr>
          <w:rFonts w:ascii="Book Antiqua" w:hAnsi="Book Antiqua" w:cs="Arial"/>
          <w:color w:val="000000"/>
        </w:rPr>
        <w:t xml:space="preserve"> </w:t>
      </w:r>
      <w:r w:rsidR="007E46C4" w:rsidRPr="000A3550">
        <w:rPr>
          <w:rFonts w:ascii="Book Antiqua" w:hAnsi="Book Antiqua" w:cs="Arial"/>
          <w:caps/>
          <w:color w:val="000000"/>
        </w:rPr>
        <w:t>AA/11770/2015</w:t>
      </w:r>
      <w:r w:rsidR="00F62484" w:rsidRPr="000A3550">
        <w:rPr>
          <w:rFonts w:ascii="Book Antiqua" w:hAnsi="Book Antiqua" w:cs="Arial"/>
          <w:caps/>
          <w:color w:val="000000"/>
        </w:rPr>
        <w:t xml:space="preserve">  </w:t>
      </w:r>
    </w:p>
    <w:p w:rsidR="00C345E1" w:rsidRPr="000A3550" w:rsidRDefault="00C345E1" w:rsidP="00C345E1">
      <w:pPr>
        <w:jc w:val="center"/>
        <w:rPr>
          <w:rFonts w:ascii="Book Antiqua" w:hAnsi="Book Antiqua" w:cs="Arial"/>
          <w:color w:val="000000"/>
        </w:rPr>
      </w:pPr>
    </w:p>
    <w:p w:rsidR="00C345E1" w:rsidRPr="000A3550" w:rsidRDefault="00C345E1" w:rsidP="00C345E1">
      <w:pPr>
        <w:jc w:val="center"/>
        <w:rPr>
          <w:rFonts w:ascii="Book Antiqua" w:hAnsi="Book Antiqua" w:cs="Arial"/>
          <w:color w:val="000000"/>
        </w:rPr>
      </w:pPr>
    </w:p>
    <w:p w:rsidR="00C345E1" w:rsidRPr="000A3550" w:rsidRDefault="00C345E1" w:rsidP="00C345E1">
      <w:pPr>
        <w:jc w:val="center"/>
        <w:rPr>
          <w:rFonts w:ascii="Book Antiqua" w:hAnsi="Book Antiqua" w:cs="Arial"/>
          <w:b/>
          <w:color w:val="000000"/>
          <w:u w:val="single"/>
        </w:rPr>
      </w:pPr>
      <w:r w:rsidRPr="000A3550">
        <w:rPr>
          <w:rFonts w:ascii="Book Antiqua" w:hAnsi="Book Antiqua" w:cs="Arial"/>
          <w:b/>
          <w:color w:val="000000"/>
          <w:u w:val="single"/>
        </w:rPr>
        <w:t>THE IMMIGRATION ACTS</w:t>
      </w:r>
    </w:p>
    <w:p w:rsidR="00C345E1" w:rsidRPr="000A3550" w:rsidRDefault="00C345E1" w:rsidP="00C345E1">
      <w:pPr>
        <w:jc w:val="center"/>
        <w:rPr>
          <w:rFonts w:ascii="Book Antiqua" w:hAnsi="Book Antiqua" w:cs="Arial"/>
          <w:b/>
          <w:u w:val="single"/>
        </w:rPr>
      </w:pPr>
    </w:p>
    <w:p w:rsidR="00C345E1" w:rsidRPr="000A3550"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0A3550" w:rsidTr="00D949B7">
        <w:tc>
          <w:tcPr>
            <w:tcW w:w="6048" w:type="dxa"/>
          </w:tcPr>
          <w:p w:rsidR="00D22636" w:rsidRPr="000A3550" w:rsidRDefault="00D22636" w:rsidP="004A1848">
            <w:pPr>
              <w:jc w:val="both"/>
              <w:rPr>
                <w:rFonts w:ascii="Book Antiqua" w:hAnsi="Book Antiqua" w:cs="Arial"/>
                <w:b/>
              </w:rPr>
            </w:pPr>
            <w:r w:rsidRPr="000A3550">
              <w:rPr>
                <w:rFonts w:ascii="Book Antiqua" w:hAnsi="Book Antiqua" w:cs="Arial"/>
                <w:b/>
              </w:rPr>
              <w:t xml:space="preserve">Heard at </w:t>
            </w:r>
            <w:r w:rsidR="00F62484" w:rsidRPr="000A3550">
              <w:rPr>
                <w:rFonts w:ascii="Book Antiqua" w:hAnsi="Book Antiqua" w:cs="Arial"/>
                <w:b/>
              </w:rPr>
              <w:t xml:space="preserve">Field House </w:t>
            </w:r>
          </w:p>
        </w:tc>
        <w:tc>
          <w:tcPr>
            <w:tcW w:w="3960" w:type="dxa"/>
          </w:tcPr>
          <w:p w:rsidR="00D22636" w:rsidRPr="000A3550" w:rsidRDefault="00D949B7" w:rsidP="00093D4D">
            <w:pPr>
              <w:jc w:val="both"/>
              <w:rPr>
                <w:rFonts w:ascii="Book Antiqua" w:hAnsi="Book Antiqua" w:cs="Arial"/>
                <w:b/>
                <w:color w:val="000000"/>
              </w:rPr>
            </w:pPr>
            <w:r w:rsidRPr="000A3550">
              <w:rPr>
                <w:rFonts w:ascii="Book Antiqua" w:hAnsi="Book Antiqua" w:cs="Arial"/>
                <w:b/>
                <w:color w:val="000000"/>
              </w:rPr>
              <w:t>Decision &amp; Reasons</w:t>
            </w:r>
            <w:r w:rsidR="00283659" w:rsidRPr="000A3550">
              <w:rPr>
                <w:rFonts w:ascii="Book Antiqua" w:hAnsi="Book Antiqua" w:cs="Arial"/>
                <w:b/>
                <w:color w:val="000000"/>
              </w:rPr>
              <w:t xml:space="preserve"> Promulgated</w:t>
            </w:r>
          </w:p>
        </w:tc>
      </w:tr>
      <w:tr w:rsidR="00D22636" w:rsidRPr="000A3550" w:rsidTr="00D949B7">
        <w:tc>
          <w:tcPr>
            <w:tcW w:w="6048" w:type="dxa"/>
          </w:tcPr>
          <w:p w:rsidR="00D22636" w:rsidRPr="000A3550" w:rsidRDefault="00D22636" w:rsidP="004A1848">
            <w:pPr>
              <w:jc w:val="both"/>
              <w:rPr>
                <w:rFonts w:ascii="Book Antiqua" w:hAnsi="Book Antiqua" w:cs="Arial"/>
                <w:b/>
              </w:rPr>
            </w:pPr>
            <w:r w:rsidRPr="000A3550">
              <w:rPr>
                <w:rFonts w:ascii="Book Antiqua" w:hAnsi="Book Antiqua" w:cs="Arial"/>
                <w:b/>
              </w:rPr>
              <w:t xml:space="preserve">On </w:t>
            </w:r>
            <w:r w:rsidR="00180C13" w:rsidRPr="000A3550">
              <w:rPr>
                <w:rFonts w:ascii="Book Antiqua" w:hAnsi="Book Antiqua" w:cs="Arial"/>
                <w:b/>
              </w:rPr>
              <w:t>27</w:t>
            </w:r>
            <w:r w:rsidR="00E362D5" w:rsidRPr="000A3550">
              <w:rPr>
                <w:rFonts w:ascii="Book Antiqua" w:hAnsi="Book Antiqua" w:cs="Arial"/>
                <w:b/>
              </w:rPr>
              <w:t xml:space="preserve"> </w:t>
            </w:r>
            <w:r w:rsidR="00180C13" w:rsidRPr="000A3550">
              <w:rPr>
                <w:rFonts w:ascii="Book Antiqua" w:hAnsi="Book Antiqua" w:cs="Arial"/>
                <w:b/>
              </w:rPr>
              <w:t xml:space="preserve">July 2018  </w:t>
            </w:r>
          </w:p>
        </w:tc>
        <w:tc>
          <w:tcPr>
            <w:tcW w:w="3960" w:type="dxa"/>
          </w:tcPr>
          <w:p w:rsidR="00D22636" w:rsidRPr="000A3550" w:rsidRDefault="00B72C48" w:rsidP="004A1848">
            <w:pPr>
              <w:jc w:val="both"/>
              <w:rPr>
                <w:rFonts w:ascii="Book Antiqua" w:hAnsi="Book Antiqua" w:cs="Arial"/>
                <w:b/>
              </w:rPr>
            </w:pPr>
            <w:r>
              <w:rPr>
                <w:rFonts w:ascii="Book Antiqua" w:hAnsi="Book Antiqua" w:cs="Arial"/>
                <w:b/>
              </w:rPr>
              <w:t>On 29 August 2018</w:t>
            </w:r>
          </w:p>
        </w:tc>
      </w:tr>
      <w:tr w:rsidR="00D22636" w:rsidRPr="000A3550" w:rsidTr="00D949B7">
        <w:tc>
          <w:tcPr>
            <w:tcW w:w="6048" w:type="dxa"/>
          </w:tcPr>
          <w:p w:rsidR="00D22636" w:rsidRPr="000A3550" w:rsidRDefault="00D22636" w:rsidP="004A1848">
            <w:pPr>
              <w:jc w:val="both"/>
              <w:rPr>
                <w:rFonts w:ascii="Book Antiqua" w:hAnsi="Book Antiqua" w:cs="Arial"/>
                <w:b/>
              </w:rPr>
            </w:pPr>
          </w:p>
        </w:tc>
        <w:tc>
          <w:tcPr>
            <w:tcW w:w="3960" w:type="dxa"/>
          </w:tcPr>
          <w:p w:rsidR="00D22636" w:rsidRPr="000A3550" w:rsidRDefault="00D22636" w:rsidP="004A1848">
            <w:pPr>
              <w:jc w:val="both"/>
              <w:rPr>
                <w:rFonts w:ascii="Book Antiqua" w:hAnsi="Book Antiqua" w:cs="Arial"/>
                <w:b/>
              </w:rPr>
            </w:pPr>
          </w:p>
        </w:tc>
      </w:tr>
    </w:tbl>
    <w:p w:rsidR="00A15234" w:rsidRPr="000A3550" w:rsidRDefault="00A15234" w:rsidP="00A15234">
      <w:pPr>
        <w:jc w:val="center"/>
        <w:rPr>
          <w:rFonts w:ascii="Book Antiqua" w:hAnsi="Book Antiqua" w:cs="Arial"/>
        </w:rPr>
      </w:pPr>
    </w:p>
    <w:p w:rsidR="00A15234" w:rsidRPr="000A3550" w:rsidRDefault="00207617" w:rsidP="00A15234">
      <w:pPr>
        <w:jc w:val="center"/>
        <w:rPr>
          <w:rFonts w:ascii="Book Antiqua" w:hAnsi="Book Antiqua" w:cs="Arial"/>
          <w:b/>
        </w:rPr>
      </w:pPr>
      <w:r w:rsidRPr="000A3550">
        <w:rPr>
          <w:rFonts w:ascii="Book Antiqua" w:hAnsi="Book Antiqua" w:cs="Arial"/>
          <w:b/>
        </w:rPr>
        <w:t>Befo</w:t>
      </w:r>
      <w:r w:rsidR="00A15234" w:rsidRPr="000A3550">
        <w:rPr>
          <w:rFonts w:ascii="Book Antiqua" w:hAnsi="Book Antiqua" w:cs="Arial"/>
          <w:b/>
        </w:rPr>
        <w:t>re</w:t>
      </w:r>
    </w:p>
    <w:p w:rsidR="00A15234" w:rsidRPr="000A3550" w:rsidRDefault="00A15234" w:rsidP="00A15234">
      <w:pPr>
        <w:jc w:val="center"/>
        <w:rPr>
          <w:rFonts w:ascii="Book Antiqua" w:hAnsi="Book Antiqua" w:cs="Arial"/>
          <w:b/>
        </w:rPr>
      </w:pPr>
    </w:p>
    <w:p w:rsidR="001B186A" w:rsidRPr="000A3550" w:rsidRDefault="004A2D15" w:rsidP="00A15234">
      <w:pPr>
        <w:jc w:val="center"/>
        <w:rPr>
          <w:rFonts w:ascii="Book Antiqua" w:hAnsi="Book Antiqua" w:cs="Arial"/>
          <w:b/>
          <w:color w:val="000000"/>
        </w:rPr>
      </w:pPr>
      <w:r w:rsidRPr="000A3550">
        <w:rPr>
          <w:rFonts w:ascii="Book Antiqua" w:hAnsi="Book Antiqua" w:cs="Arial"/>
          <w:b/>
          <w:color w:val="000000"/>
        </w:rPr>
        <w:t>DE</w:t>
      </w:r>
      <w:r w:rsidR="00273201" w:rsidRPr="000A3550">
        <w:rPr>
          <w:rFonts w:ascii="Book Antiqua" w:hAnsi="Book Antiqua" w:cs="Arial"/>
          <w:b/>
          <w:color w:val="000000"/>
        </w:rPr>
        <w:t>PUTY UPPER TRIBUNAL JUDGE SHERIDAN</w:t>
      </w:r>
      <w:r w:rsidR="00F62484" w:rsidRPr="000A3550">
        <w:rPr>
          <w:rFonts w:ascii="Book Antiqua" w:hAnsi="Book Antiqua" w:cs="Arial"/>
          <w:b/>
          <w:color w:val="000000"/>
        </w:rPr>
        <w:t xml:space="preserve"> </w:t>
      </w:r>
    </w:p>
    <w:p w:rsidR="00D20757" w:rsidRDefault="00D20757" w:rsidP="00A15234">
      <w:pPr>
        <w:jc w:val="center"/>
        <w:rPr>
          <w:rFonts w:ascii="Book Antiqua" w:hAnsi="Book Antiqua" w:cs="Arial"/>
          <w:b/>
        </w:rPr>
      </w:pPr>
    </w:p>
    <w:p w:rsidR="00942965" w:rsidRPr="000A3550" w:rsidRDefault="00942965" w:rsidP="00A15234">
      <w:pPr>
        <w:jc w:val="center"/>
        <w:rPr>
          <w:rFonts w:ascii="Book Antiqua" w:hAnsi="Book Antiqua" w:cs="Arial"/>
          <w:b/>
        </w:rPr>
      </w:pPr>
    </w:p>
    <w:p w:rsidR="00A845DC" w:rsidRPr="000A3550" w:rsidRDefault="00A845DC" w:rsidP="00A15234">
      <w:pPr>
        <w:jc w:val="center"/>
        <w:rPr>
          <w:rFonts w:ascii="Book Antiqua" w:hAnsi="Book Antiqua" w:cs="Arial"/>
          <w:b/>
        </w:rPr>
      </w:pPr>
      <w:r w:rsidRPr="000A3550">
        <w:rPr>
          <w:rFonts w:ascii="Book Antiqua" w:hAnsi="Book Antiqua" w:cs="Arial"/>
          <w:b/>
        </w:rPr>
        <w:t>Between</w:t>
      </w:r>
    </w:p>
    <w:p w:rsidR="00A845DC" w:rsidRPr="000A3550" w:rsidRDefault="00A845DC" w:rsidP="00A15234">
      <w:pPr>
        <w:jc w:val="center"/>
        <w:rPr>
          <w:rFonts w:ascii="Book Antiqua" w:hAnsi="Book Antiqua" w:cs="Arial"/>
          <w:b/>
        </w:rPr>
      </w:pPr>
    </w:p>
    <w:p w:rsidR="00A845DC" w:rsidRPr="000A3550" w:rsidRDefault="00180C13" w:rsidP="00A15234">
      <w:pPr>
        <w:jc w:val="center"/>
        <w:rPr>
          <w:rFonts w:ascii="Book Antiqua" w:hAnsi="Book Antiqua" w:cs="Arial"/>
          <w:b/>
          <w:caps/>
        </w:rPr>
      </w:pPr>
      <w:r w:rsidRPr="000A3550">
        <w:rPr>
          <w:rFonts w:ascii="Book Antiqua" w:hAnsi="Book Antiqua" w:cs="Arial"/>
          <w:b/>
          <w:caps/>
        </w:rPr>
        <w:t xml:space="preserve">Z A H </w:t>
      </w:r>
      <w:r w:rsidR="00F62484" w:rsidRPr="000A3550">
        <w:rPr>
          <w:rFonts w:ascii="Book Antiqua" w:hAnsi="Book Antiqua" w:cs="Arial"/>
          <w:b/>
          <w:caps/>
        </w:rPr>
        <w:t xml:space="preserve"> </w:t>
      </w:r>
    </w:p>
    <w:p w:rsidR="00D949B7" w:rsidRPr="00AF54E7" w:rsidRDefault="00D949B7" w:rsidP="00D949B7">
      <w:pPr>
        <w:jc w:val="center"/>
        <w:rPr>
          <w:rFonts w:ascii="Book Antiqua" w:hAnsi="Book Antiqua" w:cs="Arial"/>
          <w:b/>
          <w:caps/>
          <w:sz w:val="22"/>
        </w:rPr>
      </w:pPr>
      <w:bookmarkStart w:id="0" w:name="_GoBack"/>
      <w:r w:rsidRPr="00AF54E7">
        <w:rPr>
          <w:rFonts w:ascii="Book Antiqua" w:hAnsi="Book Antiqua" w:cs="Arial"/>
          <w:b/>
          <w:caps/>
          <w:sz w:val="22"/>
        </w:rPr>
        <w:t xml:space="preserve">(ANONYMITY DIRECTION </w:t>
      </w:r>
      <w:r w:rsidR="00121A0E" w:rsidRPr="00AF54E7">
        <w:rPr>
          <w:rFonts w:ascii="Book Antiqua" w:hAnsi="Book Antiqua" w:cs="Arial"/>
          <w:b/>
          <w:caps/>
          <w:sz w:val="22"/>
        </w:rPr>
        <w:t>made)</w:t>
      </w:r>
    </w:p>
    <w:bookmarkEnd w:id="0"/>
    <w:p w:rsidR="00704B61" w:rsidRPr="000A3550" w:rsidRDefault="00704B61" w:rsidP="00704B61">
      <w:pPr>
        <w:jc w:val="right"/>
        <w:rPr>
          <w:rFonts w:ascii="Book Antiqua" w:hAnsi="Book Antiqua" w:cs="Arial"/>
          <w:u w:val="single"/>
        </w:rPr>
      </w:pPr>
      <w:r w:rsidRPr="000A3550">
        <w:rPr>
          <w:rFonts w:ascii="Book Antiqua" w:hAnsi="Book Antiqua" w:cs="Arial"/>
          <w:u w:val="single"/>
        </w:rPr>
        <w:t>Appellant</w:t>
      </w:r>
    </w:p>
    <w:p w:rsidR="00704B61" w:rsidRPr="000A3550" w:rsidRDefault="00DD5071" w:rsidP="00704B61">
      <w:pPr>
        <w:jc w:val="center"/>
        <w:rPr>
          <w:rFonts w:ascii="Book Antiqua" w:hAnsi="Book Antiqua" w:cs="Arial"/>
          <w:b/>
        </w:rPr>
      </w:pPr>
      <w:r w:rsidRPr="000A3550">
        <w:rPr>
          <w:rFonts w:ascii="Book Antiqua" w:hAnsi="Book Antiqua" w:cs="Arial"/>
          <w:b/>
        </w:rPr>
        <w:t>and</w:t>
      </w:r>
    </w:p>
    <w:p w:rsidR="00DD5071" w:rsidRPr="000A3550" w:rsidRDefault="00DD5071" w:rsidP="00704B61">
      <w:pPr>
        <w:jc w:val="center"/>
        <w:rPr>
          <w:rFonts w:ascii="Book Antiqua" w:hAnsi="Book Antiqua" w:cs="Arial"/>
          <w:b/>
        </w:rPr>
      </w:pPr>
    </w:p>
    <w:p w:rsidR="00DD5071" w:rsidRPr="000A3550" w:rsidRDefault="00DD5071" w:rsidP="00704B61">
      <w:pPr>
        <w:jc w:val="center"/>
        <w:rPr>
          <w:rFonts w:ascii="Book Antiqua" w:hAnsi="Book Antiqua" w:cs="Arial"/>
          <w:b/>
        </w:rPr>
      </w:pPr>
      <w:bookmarkStart w:id="1" w:name="Text7"/>
      <w:r w:rsidRPr="000A3550">
        <w:rPr>
          <w:rFonts w:ascii="Book Antiqua" w:hAnsi="Book Antiqua" w:cs="Arial"/>
          <w:b/>
          <w:noProof/>
        </w:rPr>
        <w:t>THE SECRETARY OF STATE FOR THE HOME DEPARTMENT</w:t>
      </w:r>
      <w:bookmarkEnd w:id="1"/>
      <w:r w:rsidR="00D375B9" w:rsidRPr="000A3550">
        <w:rPr>
          <w:rFonts w:ascii="Book Antiqua" w:hAnsi="Book Antiqua" w:cs="Arial"/>
          <w:b/>
          <w:noProof/>
        </w:rPr>
        <w:t xml:space="preserve"> </w:t>
      </w:r>
    </w:p>
    <w:p w:rsidR="00DD5071" w:rsidRPr="000A3550" w:rsidRDefault="00DD5071" w:rsidP="00DD5071">
      <w:pPr>
        <w:jc w:val="right"/>
        <w:rPr>
          <w:rFonts w:ascii="Book Antiqua" w:hAnsi="Book Antiqua" w:cs="Arial"/>
          <w:u w:val="single"/>
        </w:rPr>
      </w:pPr>
      <w:r w:rsidRPr="000A3550">
        <w:rPr>
          <w:rFonts w:ascii="Book Antiqua" w:hAnsi="Book Antiqua" w:cs="Arial"/>
          <w:u w:val="single"/>
        </w:rPr>
        <w:t>Respondent</w:t>
      </w:r>
    </w:p>
    <w:p w:rsidR="00DD5071" w:rsidRPr="000A3550" w:rsidRDefault="00DD5071" w:rsidP="0028783F">
      <w:pPr>
        <w:jc w:val="both"/>
        <w:rPr>
          <w:rFonts w:ascii="Book Antiqua" w:hAnsi="Book Antiqua" w:cs="Arial"/>
          <w:u w:val="single"/>
        </w:rPr>
      </w:pPr>
    </w:p>
    <w:p w:rsidR="00DD5071" w:rsidRPr="000A3550" w:rsidRDefault="00DD5071" w:rsidP="0028783F">
      <w:pPr>
        <w:jc w:val="both"/>
        <w:rPr>
          <w:rFonts w:ascii="Book Antiqua" w:hAnsi="Book Antiqua" w:cs="Arial"/>
          <w:u w:val="single"/>
        </w:rPr>
      </w:pPr>
    </w:p>
    <w:p w:rsidR="00DD5071" w:rsidRPr="000A3550" w:rsidRDefault="00DE7DB7" w:rsidP="0028783F">
      <w:pPr>
        <w:jc w:val="both"/>
        <w:rPr>
          <w:rFonts w:ascii="Book Antiqua" w:hAnsi="Book Antiqua" w:cs="Arial"/>
        </w:rPr>
      </w:pPr>
      <w:r w:rsidRPr="000A3550">
        <w:rPr>
          <w:rFonts w:ascii="Book Antiqua" w:hAnsi="Book Antiqua" w:cs="Arial"/>
          <w:b/>
          <w:u w:val="single"/>
        </w:rPr>
        <w:t>Representation</w:t>
      </w:r>
      <w:r w:rsidRPr="000A3550">
        <w:rPr>
          <w:rFonts w:ascii="Book Antiqua" w:hAnsi="Book Antiqua" w:cs="Arial"/>
          <w:b/>
        </w:rPr>
        <w:t>:</w:t>
      </w:r>
    </w:p>
    <w:p w:rsidR="00DE7DB7" w:rsidRPr="000A3550" w:rsidRDefault="00DE7DB7" w:rsidP="0028783F">
      <w:pPr>
        <w:tabs>
          <w:tab w:val="left" w:pos="2520"/>
        </w:tabs>
        <w:jc w:val="both"/>
        <w:rPr>
          <w:rFonts w:ascii="Book Antiqua" w:hAnsi="Book Antiqua" w:cs="Arial"/>
        </w:rPr>
      </w:pPr>
      <w:r w:rsidRPr="000A3550">
        <w:rPr>
          <w:rFonts w:ascii="Book Antiqua" w:hAnsi="Book Antiqua" w:cs="Arial"/>
        </w:rPr>
        <w:t>For the Appellant:</w:t>
      </w:r>
      <w:r w:rsidRPr="000A3550">
        <w:rPr>
          <w:rFonts w:ascii="Book Antiqua" w:hAnsi="Book Antiqua" w:cs="Arial"/>
        </w:rPr>
        <w:tab/>
      </w:r>
      <w:r w:rsidR="00121A0E">
        <w:rPr>
          <w:rFonts w:ascii="Book Antiqua" w:hAnsi="Book Antiqua" w:cs="Arial"/>
        </w:rPr>
        <w:t>Mr Eaton, instructed by Thompson &amp; Co solicitors</w:t>
      </w:r>
    </w:p>
    <w:p w:rsidR="00DE7DB7" w:rsidRPr="000A3550" w:rsidRDefault="00DE7DB7" w:rsidP="0028783F">
      <w:pPr>
        <w:tabs>
          <w:tab w:val="left" w:pos="2520"/>
        </w:tabs>
        <w:jc w:val="both"/>
        <w:rPr>
          <w:rFonts w:ascii="Book Antiqua" w:hAnsi="Book Antiqua" w:cs="Arial"/>
        </w:rPr>
      </w:pPr>
      <w:r w:rsidRPr="000A3550">
        <w:rPr>
          <w:rFonts w:ascii="Book Antiqua" w:hAnsi="Book Antiqua" w:cs="Arial"/>
        </w:rPr>
        <w:t>For the Respondent:</w:t>
      </w:r>
      <w:r w:rsidRPr="000A3550">
        <w:rPr>
          <w:rFonts w:ascii="Book Antiqua" w:hAnsi="Book Antiqua" w:cs="Arial"/>
        </w:rPr>
        <w:tab/>
      </w:r>
      <w:r w:rsidR="00F423B3" w:rsidRPr="000A3550">
        <w:rPr>
          <w:rFonts w:ascii="Book Antiqua" w:hAnsi="Book Antiqua" w:cs="Arial"/>
        </w:rPr>
        <w:t xml:space="preserve">Mr </w:t>
      </w:r>
      <w:proofErr w:type="spellStart"/>
      <w:r w:rsidR="00F423B3" w:rsidRPr="000A3550">
        <w:rPr>
          <w:rFonts w:ascii="Book Antiqua" w:hAnsi="Book Antiqua" w:cs="Arial"/>
        </w:rPr>
        <w:t>Tarlow</w:t>
      </w:r>
      <w:proofErr w:type="spellEnd"/>
      <w:r w:rsidR="00121A0E">
        <w:rPr>
          <w:rFonts w:ascii="Book Antiqua" w:hAnsi="Book Antiqua" w:cs="Arial"/>
        </w:rPr>
        <w:t>, Home Office Presenting Officer</w:t>
      </w:r>
      <w:r w:rsidR="00F423B3" w:rsidRPr="000A3550">
        <w:rPr>
          <w:rFonts w:ascii="Book Antiqua" w:hAnsi="Book Antiqua" w:cs="Arial"/>
        </w:rPr>
        <w:t xml:space="preserve"> </w:t>
      </w:r>
    </w:p>
    <w:p w:rsidR="00DE7DB7" w:rsidRPr="000A3550" w:rsidRDefault="00DE7DB7" w:rsidP="00402B9E">
      <w:pPr>
        <w:tabs>
          <w:tab w:val="left" w:pos="2520"/>
        </w:tabs>
        <w:jc w:val="center"/>
        <w:rPr>
          <w:rFonts w:ascii="Book Antiqua" w:hAnsi="Book Antiqua" w:cs="Arial"/>
        </w:rPr>
      </w:pPr>
    </w:p>
    <w:p w:rsidR="00DE7DB7" w:rsidRPr="000A3550" w:rsidRDefault="00DE7DB7" w:rsidP="000A0743">
      <w:pPr>
        <w:jc w:val="center"/>
        <w:rPr>
          <w:rFonts w:ascii="Book Antiqua" w:hAnsi="Book Antiqua" w:cs="Arial"/>
        </w:rPr>
      </w:pPr>
    </w:p>
    <w:p w:rsidR="00402B9E" w:rsidRPr="000A3550" w:rsidRDefault="00D949B7" w:rsidP="004D6B45">
      <w:pPr>
        <w:tabs>
          <w:tab w:val="left" w:pos="2520"/>
        </w:tabs>
        <w:jc w:val="center"/>
        <w:rPr>
          <w:rFonts w:ascii="Book Antiqua" w:hAnsi="Book Antiqua" w:cs="Arial"/>
        </w:rPr>
      </w:pPr>
      <w:r w:rsidRPr="000A3550">
        <w:rPr>
          <w:rFonts w:ascii="Book Antiqua" w:hAnsi="Book Antiqua" w:cs="Arial"/>
          <w:b/>
          <w:u w:val="single"/>
        </w:rPr>
        <w:t xml:space="preserve">DECISION </w:t>
      </w:r>
      <w:r w:rsidR="00402B9E" w:rsidRPr="000A3550">
        <w:rPr>
          <w:rFonts w:ascii="Book Antiqua" w:hAnsi="Book Antiqua" w:cs="Arial"/>
          <w:b/>
          <w:u w:val="single"/>
        </w:rPr>
        <w:t>AND REASONS</w:t>
      </w:r>
    </w:p>
    <w:p w:rsidR="0065212A" w:rsidRPr="000A3550" w:rsidRDefault="00D375B9" w:rsidP="00DF1E9E">
      <w:pPr>
        <w:numPr>
          <w:ilvl w:val="0"/>
          <w:numId w:val="1"/>
        </w:numPr>
        <w:tabs>
          <w:tab w:val="clear" w:pos="567"/>
        </w:tabs>
        <w:spacing w:before="240"/>
        <w:rPr>
          <w:rFonts w:ascii="Book Antiqua" w:hAnsi="Book Antiqua" w:cs="Arial"/>
        </w:rPr>
      </w:pPr>
      <w:r w:rsidRPr="000A3550">
        <w:rPr>
          <w:rFonts w:ascii="Book Antiqua" w:hAnsi="Book Antiqua" w:cs="Arial"/>
        </w:rPr>
        <w:t>This appeal arises from the decision of the respondent on 14 August 2015 to refuse the appellant’s protection and human rights claim.  The appellant’s subsequent appeals to the First-tier Tribunal</w:t>
      </w:r>
      <w:r w:rsidR="00121A0E">
        <w:rPr>
          <w:rFonts w:ascii="Book Antiqua" w:hAnsi="Book Antiqua" w:cs="Arial"/>
        </w:rPr>
        <w:t xml:space="preserve"> (</w:t>
      </w:r>
      <w:r w:rsidRPr="000A3550">
        <w:rPr>
          <w:rFonts w:ascii="Book Antiqua" w:hAnsi="Book Antiqua" w:cs="Arial"/>
        </w:rPr>
        <w:t>decision of First-tier Tribunal Judge Callow promulgated on 9 February 2016</w:t>
      </w:r>
      <w:r w:rsidR="001A2D44">
        <w:rPr>
          <w:rFonts w:ascii="Book Antiqua" w:hAnsi="Book Antiqua" w:cs="Arial"/>
        </w:rPr>
        <w:t>)</w:t>
      </w:r>
      <w:r w:rsidRPr="000A3550">
        <w:rPr>
          <w:rFonts w:ascii="Book Antiqua" w:hAnsi="Book Antiqua" w:cs="Arial"/>
        </w:rPr>
        <w:t xml:space="preserve"> and Upper Tribunal</w:t>
      </w:r>
      <w:r w:rsidR="00121A0E">
        <w:rPr>
          <w:rFonts w:ascii="Book Antiqua" w:hAnsi="Book Antiqua" w:cs="Arial"/>
        </w:rPr>
        <w:t xml:space="preserve"> (</w:t>
      </w:r>
      <w:r w:rsidRPr="000A3550">
        <w:rPr>
          <w:rFonts w:ascii="Book Antiqua" w:hAnsi="Book Antiqua" w:cs="Arial"/>
        </w:rPr>
        <w:t>decision of Deputy Upper Tribunal Chana promulgated on 28 February 2016</w:t>
      </w:r>
      <w:r w:rsidR="00121A0E">
        <w:rPr>
          <w:rFonts w:ascii="Book Antiqua" w:hAnsi="Book Antiqua" w:cs="Arial"/>
        </w:rPr>
        <w:t>)</w:t>
      </w:r>
      <w:r w:rsidRPr="000A3550">
        <w:rPr>
          <w:rFonts w:ascii="Book Antiqua" w:hAnsi="Book Antiqua" w:cs="Arial"/>
        </w:rPr>
        <w:t xml:space="preserve"> were dismissed.</w:t>
      </w:r>
    </w:p>
    <w:p w:rsidR="00935356" w:rsidRPr="000A3550" w:rsidRDefault="00D04F9E" w:rsidP="00DF1E9E">
      <w:pPr>
        <w:numPr>
          <w:ilvl w:val="0"/>
          <w:numId w:val="1"/>
        </w:numPr>
        <w:tabs>
          <w:tab w:val="clear" w:pos="567"/>
        </w:tabs>
        <w:spacing w:before="240"/>
        <w:rPr>
          <w:rFonts w:ascii="Book Antiqua" w:hAnsi="Book Antiqua" w:cs="Arial"/>
        </w:rPr>
      </w:pPr>
      <w:r w:rsidRPr="000A3550">
        <w:rPr>
          <w:rFonts w:ascii="Book Antiqua" w:hAnsi="Book Antiqua" w:cs="Arial"/>
        </w:rPr>
        <w:t xml:space="preserve">The appellant appealed to the Court of Appeal following a grant of permission to appeal by Lord Justice David Richards on 24 November </w:t>
      </w:r>
      <w:r w:rsidR="0065212A" w:rsidRPr="000A3550">
        <w:rPr>
          <w:rFonts w:ascii="Book Antiqua" w:hAnsi="Book Antiqua" w:cs="Arial"/>
        </w:rPr>
        <w:t xml:space="preserve">2017.  The parties agreed </w:t>
      </w:r>
      <w:r w:rsidR="0065212A" w:rsidRPr="000A3550">
        <w:rPr>
          <w:rFonts w:ascii="Book Antiqua" w:hAnsi="Book Antiqua" w:cs="Arial"/>
        </w:rPr>
        <w:lastRenderedPageBreak/>
        <w:t>that the appeal should be remitted to the Upper Tribunal for a rehearing in respect of the issue of internal relocation within Pakistan.  This is recorded in a consent order dated 5 March 2018</w:t>
      </w:r>
      <w:r w:rsidR="00935356" w:rsidRPr="000A3550">
        <w:rPr>
          <w:rFonts w:ascii="Book Antiqua" w:hAnsi="Book Antiqua" w:cs="Arial"/>
        </w:rPr>
        <w:t>.</w:t>
      </w:r>
    </w:p>
    <w:p w:rsidR="00BC1036" w:rsidRPr="000A3550" w:rsidRDefault="00935356" w:rsidP="00DF1E9E">
      <w:pPr>
        <w:numPr>
          <w:ilvl w:val="0"/>
          <w:numId w:val="1"/>
        </w:numPr>
        <w:tabs>
          <w:tab w:val="clear" w:pos="567"/>
        </w:tabs>
        <w:spacing w:before="240"/>
        <w:rPr>
          <w:rFonts w:ascii="Book Antiqua" w:hAnsi="Book Antiqua" w:cs="Arial"/>
        </w:rPr>
      </w:pPr>
      <w:r w:rsidRPr="000A3550">
        <w:rPr>
          <w:rFonts w:ascii="Book Antiqua" w:hAnsi="Book Antiqua" w:cs="Arial"/>
        </w:rPr>
        <w:t xml:space="preserve">The representatives appearing before me were Mr Eaton on behalf of the appellant and Mr </w:t>
      </w:r>
      <w:proofErr w:type="spellStart"/>
      <w:r w:rsidRPr="000A3550">
        <w:rPr>
          <w:rFonts w:ascii="Book Antiqua" w:hAnsi="Book Antiqua" w:cs="Arial"/>
        </w:rPr>
        <w:t>Tarlow</w:t>
      </w:r>
      <w:proofErr w:type="spellEnd"/>
      <w:r w:rsidRPr="000A3550">
        <w:rPr>
          <w:rFonts w:ascii="Book Antiqua" w:hAnsi="Book Antiqua" w:cs="Arial"/>
        </w:rPr>
        <w:t xml:space="preserve"> on behalf of the respondent.  The representatives were in agreement that the only issue to be resolved was whether the appellant can safely relocate to another part of Pakistan</w:t>
      </w:r>
      <w:r w:rsidR="001A2D44">
        <w:rPr>
          <w:rFonts w:ascii="Book Antiqua" w:hAnsi="Book Antiqua" w:cs="Arial"/>
        </w:rPr>
        <w:t xml:space="preserve"> and that if she could not she would be entitled to a grant of asylum</w:t>
      </w:r>
      <w:r w:rsidRPr="000A3550">
        <w:rPr>
          <w:rFonts w:ascii="Book Antiqua" w:hAnsi="Book Antiqua" w:cs="Arial"/>
        </w:rPr>
        <w:t>.</w:t>
      </w:r>
    </w:p>
    <w:p w:rsidR="00D375B9" w:rsidRPr="000A3550" w:rsidRDefault="00935356" w:rsidP="00DF1E9E">
      <w:pPr>
        <w:numPr>
          <w:ilvl w:val="0"/>
          <w:numId w:val="1"/>
        </w:numPr>
        <w:tabs>
          <w:tab w:val="clear" w:pos="567"/>
        </w:tabs>
        <w:spacing w:before="240"/>
        <w:rPr>
          <w:rFonts w:ascii="Book Antiqua" w:hAnsi="Book Antiqua" w:cs="Arial"/>
        </w:rPr>
      </w:pPr>
      <w:r w:rsidRPr="000A3550">
        <w:rPr>
          <w:rFonts w:ascii="Book Antiqua" w:hAnsi="Book Antiqua" w:cs="Arial"/>
        </w:rPr>
        <w:t xml:space="preserve">The factual background is not in dispute and Mr </w:t>
      </w:r>
      <w:proofErr w:type="spellStart"/>
      <w:r w:rsidRPr="000A3550">
        <w:rPr>
          <w:rFonts w:ascii="Book Antiqua" w:hAnsi="Book Antiqua" w:cs="Arial"/>
        </w:rPr>
        <w:t>Tarlow</w:t>
      </w:r>
      <w:proofErr w:type="spellEnd"/>
      <w:r w:rsidRPr="000A3550">
        <w:rPr>
          <w:rFonts w:ascii="Book Antiqua" w:hAnsi="Book Antiqua" w:cs="Arial"/>
        </w:rPr>
        <w:t xml:space="preserve"> confirmed that the respondent did not take issue</w:t>
      </w:r>
      <w:r w:rsidR="00A57AB9" w:rsidRPr="000A3550">
        <w:rPr>
          <w:rFonts w:ascii="Book Antiqua" w:hAnsi="Book Antiqua" w:cs="Arial"/>
        </w:rPr>
        <w:t xml:space="preserve"> </w:t>
      </w:r>
      <w:r w:rsidRPr="000A3550">
        <w:rPr>
          <w:rFonts w:ascii="Book Antiqua" w:hAnsi="Book Antiqua" w:cstheme="minorHAnsi"/>
        </w:rPr>
        <w:t>with any aspect of the appellant’s account, including that set out in her supplementary witness statement dated 20 July 2018.</w:t>
      </w:r>
    </w:p>
    <w:p w:rsidR="00121A0E" w:rsidRDefault="00935356" w:rsidP="00DF1E9E">
      <w:pPr>
        <w:numPr>
          <w:ilvl w:val="0"/>
          <w:numId w:val="1"/>
        </w:numPr>
        <w:tabs>
          <w:tab w:val="clear" w:pos="567"/>
        </w:tabs>
        <w:spacing w:before="240"/>
        <w:rPr>
          <w:rFonts w:ascii="Book Antiqua" w:hAnsi="Book Antiqua" w:cs="Arial"/>
        </w:rPr>
      </w:pPr>
      <w:r w:rsidRPr="000A3550">
        <w:rPr>
          <w:rFonts w:ascii="Book Antiqua" w:hAnsi="Book Antiqua" w:cs="Arial"/>
        </w:rPr>
        <w:t xml:space="preserve">The accepted factual matrix is that the appellant </w:t>
      </w:r>
      <w:r w:rsidR="00121A0E">
        <w:rPr>
          <w:rFonts w:ascii="Book Antiqua" w:hAnsi="Book Antiqua" w:cs="Arial"/>
        </w:rPr>
        <w:t xml:space="preserve">is a Sunni Muslim from Pakistan, born in 1987, who </w:t>
      </w:r>
      <w:r w:rsidRPr="000A3550">
        <w:rPr>
          <w:rFonts w:ascii="Book Antiqua" w:hAnsi="Book Antiqua" w:cs="Arial"/>
        </w:rPr>
        <w:t>entered the UK in May 2010 on a student visa.  She</w:t>
      </w:r>
      <w:r w:rsidR="00121A0E">
        <w:rPr>
          <w:rFonts w:ascii="Book Antiqua" w:hAnsi="Book Antiqua" w:cs="Arial"/>
        </w:rPr>
        <w:t xml:space="preserve"> travelled to Pakistan in May 2011 in order to enter into an arranged engagement with her cousin. She returned to the UK and her cousin/fiancée applied for leave to join her but his application was refused. The appellant then c</w:t>
      </w:r>
      <w:r w:rsidR="001A2D44">
        <w:rPr>
          <w:rFonts w:ascii="Book Antiqua" w:hAnsi="Book Antiqua" w:cs="Arial"/>
        </w:rPr>
        <w:t xml:space="preserve">ommenced a relationship with a </w:t>
      </w:r>
      <w:r w:rsidR="00121A0E">
        <w:rPr>
          <w:rFonts w:ascii="Book Antiqua" w:hAnsi="Book Antiqua" w:cs="Arial"/>
        </w:rPr>
        <w:t>Shia Muslim who she met in the UK and they married in February 2013.</w:t>
      </w:r>
    </w:p>
    <w:p w:rsidR="006E3C1C" w:rsidRPr="001A2D44" w:rsidRDefault="00914E3B" w:rsidP="001A2D44">
      <w:pPr>
        <w:numPr>
          <w:ilvl w:val="0"/>
          <w:numId w:val="1"/>
        </w:numPr>
        <w:spacing w:before="240"/>
        <w:rPr>
          <w:rFonts w:ascii="Book Antiqua" w:hAnsi="Book Antiqua" w:cs="Arial"/>
        </w:rPr>
      </w:pPr>
      <w:r w:rsidRPr="000A3550">
        <w:rPr>
          <w:rFonts w:ascii="Book Antiqua" w:hAnsi="Book Antiqua" w:cs="Arial"/>
        </w:rPr>
        <w:t>The appellant has received threats from her uncle and cousin, including a threat to kill her and her husband if they return to Pakistan.  The appellant’s brother-in-law’s home has been attacked.  The appellant</w:t>
      </w:r>
      <w:r w:rsidR="001106BA" w:rsidRPr="000A3550">
        <w:rPr>
          <w:rFonts w:ascii="Book Antiqua" w:hAnsi="Book Antiqua" w:cs="Arial"/>
        </w:rPr>
        <w:t xml:space="preserve">’s uncle is involved with or a member of </w:t>
      </w:r>
      <w:proofErr w:type="spellStart"/>
      <w:r w:rsidR="009E4360" w:rsidRPr="000A3550">
        <w:rPr>
          <w:rFonts w:ascii="Book Antiqua" w:hAnsi="Book Antiqua" w:cs="Arial"/>
        </w:rPr>
        <w:t>Sipah</w:t>
      </w:r>
      <w:proofErr w:type="spellEnd"/>
      <w:r w:rsidR="009E4360" w:rsidRPr="000A3550">
        <w:rPr>
          <w:rFonts w:ascii="Book Antiqua" w:hAnsi="Book Antiqua" w:cs="Arial"/>
        </w:rPr>
        <w:t xml:space="preserve">-e-Sahaba </w:t>
      </w:r>
      <w:r w:rsidR="001106BA" w:rsidRPr="000A3550">
        <w:rPr>
          <w:rFonts w:ascii="Book Antiqua" w:hAnsi="Book Antiqua" w:cs="Arial"/>
        </w:rPr>
        <w:t>Pakistan (SSP)</w:t>
      </w:r>
      <w:r w:rsidR="009E4360" w:rsidRPr="000A3550">
        <w:rPr>
          <w:rFonts w:ascii="Book Antiqua" w:hAnsi="Book Antiqua" w:cs="Arial"/>
        </w:rPr>
        <w:t xml:space="preserve"> and</w:t>
      </w:r>
      <w:r w:rsidR="009A7DB8" w:rsidRPr="000A3550">
        <w:rPr>
          <w:rFonts w:ascii="Book Antiqua" w:hAnsi="Book Antiqua" w:cs="Arial"/>
        </w:rPr>
        <w:t xml:space="preserve"> </w:t>
      </w:r>
      <w:r w:rsidR="00121A0E">
        <w:rPr>
          <w:rFonts w:ascii="Book Antiqua" w:hAnsi="Book Antiqua" w:cs="Arial"/>
        </w:rPr>
        <w:t>the appellant believes that the SSP</w:t>
      </w:r>
      <w:r w:rsidR="009E4360" w:rsidRPr="000A3550">
        <w:rPr>
          <w:rFonts w:ascii="Book Antiqua" w:hAnsi="Book Antiqua" w:cs="Arial"/>
        </w:rPr>
        <w:t xml:space="preserve"> were behind the attack on her brother-in-law’s home.  She has received threatening phone calls.  She believes that these are from her cousi</w:t>
      </w:r>
      <w:r w:rsidR="00680D2E" w:rsidRPr="000A3550">
        <w:rPr>
          <w:rFonts w:ascii="Book Antiqua" w:hAnsi="Book Antiqua" w:cs="Arial"/>
        </w:rPr>
        <w:t>n as well as members of the SSP.</w:t>
      </w:r>
      <w:r w:rsidR="001A2D44">
        <w:rPr>
          <w:rFonts w:ascii="Book Antiqua" w:hAnsi="Book Antiqua" w:cs="Arial"/>
        </w:rPr>
        <w:t xml:space="preserve"> </w:t>
      </w:r>
      <w:r w:rsidR="00680D2E" w:rsidRPr="001A2D44">
        <w:rPr>
          <w:rFonts w:ascii="Book Antiqua" w:hAnsi="Book Antiqua" w:cs="Arial"/>
        </w:rPr>
        <w:t xml:space="preserve">In </w:t>
      </w:r>
      <w:r w:rsidR="00121A0E" w:rsidRPr="001A2D44">
        <w:rPr>
          <w:rFonts w:ascii="Book Antiqua" w:hAnsi="Book Antiqua" w:cs="Arial"/>
        </w:rPr>
        <w:t>the appellant’s supplemental witness statement</w:t>
      </w:r>
      <w:r w:rsidR="009E4360" w:rsidRPr="001A2D44">
        <w:rPr>
          <w:rFonts w:ascii="Book Antiqua" w:hAnsi="Book Antiqua" w:cs="Arial"/>
        </w:rPr>
        <w:t xml:space="preserve"> dated 20 July 2018 she </w:t>
      </w:r>
      <w:r w:rsidR="00121A0E" w:rsidRPr="001A2D44">
        <w:rPr>
          <w:rFonts w:ascii="Book Antiqua" w:hAnsi="Book Antiqua" w:cs="Arial"/>
        </w:rPr>
        <w:t xml:space="preserve">states that she receives threatening </w:t>
      </w:r>
      <w:r w:rsidR="009E4360" w:rsidRPr="001A2D44">
        <w:rPr>
          <w:rFonts w:ascii="Book Antiqua" w:hAnsi="Book Antiqua" w:cs="Arial"/>
        </w:rPr>
        <w:t>phone calls approximately two to three times a month</w:t>
      </w:r>
      <w:r w:rsidR="00121A0E" w:rsidRPr="001A2D44">
        <w:rPr>
          <w:rFonts w:ascii="Book Antiqua" w:hAnsi="Book Antiqua" w:cs="Arial"/>
        </w:rPr>
        <w:t xml:space="preserve"> from her cousin and other unknown persons</w:t>
      </w:r>
      <w:r w:rsidR="00680D2E" w:rsidRPr="001A2D44">
        <w:rPr>
          <w:rFonts w:ascii="Book Antiqua" w:hAnsi="Book Antiqua" w:cs="Arial"/>
        </w:rPr>
        <w:t>.</w:t>
      </w:r>
    </w:p>
    <w:p w:rsidR="00D2285F" w:rsidRDefault="006E3C1C" w:rsidP="00DF1E9E">
      <w:pPr>
        <w:numPr>
          <w:ilvl w:val="0"/>
          <w:numId w:val="1"/>
        </w:numPr>
        <w:spacing w:before="240"/>
        <w:rPr>
          <w:rFonts w:ascii="Book Antiqua" w:hAnsi="Book Antiqua" w:cs="Arial"/>
        </w:rPr>
      </w:pPr>
      <w:r w:rsidRPr="000A3550">
        <w:rPr>
          <w:rFonts w:ascii="Book Antiqua" w:hAnsi="Book Antiqua" w:cs="Arial"/>
        </w:rPr>
        <w:t>It was accepted by the First-tier Tribunal that the appellant would</w:t>
      </w:r>
      <w:r w:rsidR="003071CF" w:rsidRPr="000A3550">
        <w:rPr>
          <w:rFonts w:ascii="Book Antiqua" w:hAnsi="Book Antiqua" w:cs="Arial"/>
        </w:rPr>
        <w:t xml:space="preserve"> be at risk in her home area of Chakwal </w:t>
      </w:r>
      <w:r w:rsidR="00121A0E">
        <w:rPr>
          <w:rFonts w:ascii="Book Antiqua" w:hAnsi="Book Antiqua" w:cs="Arial"/>
        </w:rPr>
        <w:t xml:space="preserve">because of the ongoing threat from her uncle and the lack of sufficient </w:t>
      </w:r>
      <w:r w:rsidR="00D2285F">
        <w:rPr>
          <w:rFonts w:ascii="Book Antiqua" w:hAnsi="Book Antiqua" w:cs="Arial"/>
        </w:rPr>
        <w:t>state protection. However, the T</w:t>
      </w:r>
      <w:r w:rsidR="00121A0E">
        <w:rPr>
          <w:rFonts w:ascii="Book Antiqua" w:hAnsi="Book Antiqua" w:cs="Arial"/>
        </w:rPr>
        <w:t>ribunal found that she could safely relocate to another part of Pakistan as there would only be a remote possibility of her being traced.</w:t>
      </w:r>
      <w:r w:rsidR="003071CF" w:rsidRPr="000A3550">
        <w:rPr>
          <w:rFonts w:ascii="Book Antiqua" w:hAnsi="Book Antiqua" w:cs="Arial"/>
        </w:rPr>
        <w:t xml:space="preserve"> </w:t>
      </w:r>
    </w:p>
    <w:p w:rsidR="00F63191" w:rsidRPr="00D2285F" w:rsidRDefault="003071CF" w:rsidP="00D2285F">
      <w:pPr>
        <w:numPr>
          <w:ilvl w:val="0"/>
          <w:numId w:val="1"/>
        </w:numPr>
        <w:spacing w:before="240"/>
        <w:rPr>
          <w:rFonts w:ascii="Book Antiqua" w:hAnsi="Book Antiqua" w:cs="Arial"/>
        </w:rPr>
      </w:pPr>
      <w:r w:rsidRPr="000A3550">
        <w:rPr>
          <w:rFonts w:ascii="Book Antiqua" w:hAnsi="Book Antiqua" w:cs="Arial"/>
        </w:rPr>
        <w:t>The appellant argues that she would be at risk anywhere in Pakistan from both her uncle/cousin and the SSP.</w:t>
      </w:r>
      <w:r w:rsidR="00D2285F">
        <w:rPr>
          <w:rFonts w:ascii="Book Antiqua" w:hAnsi="Book Antiqua" w:cs="Arial"/>
        </w:rPr>
        <w:t xml:space="preserve"> </w:t>
      </w:r>
      <w:r w:rsidRPr="00D2285F">
        <w:rPr>
          <w:rFonts w:ascii="Book Antiqua" w:hAnsi="Book Antiqua" w:cs="Arial"/>
        </w:rPr>
        <w:t xml:space="preserve">To support this </w:t>
      </w:r>
      <w:proofErr w:type="gramStart"/>
      <w:r w:rsidRPr="00D2285F">
        <w:rPr>
          <w:rFonts w:ascii="Book Antiqua" w:hAnsi="Book Antiqua" w:cs="Arial"/>
        </w:rPr>
        <w:t>argument</w:t>
      </w:r>
      <w:proofErr w:type="gramEnd"/>
      <w:r w:rsidRPr="00D2285F">
        <w:rPr>
          <w:rFonts w:ascii="Book Antiqua" w:hAnsi="Book Antiqua" w:cs="Arial"/>
        </w:rPr>
        <w:t xml:space="preserve"> she relies on an expert report of Mrs </w:t>
      </w:r>
      <w:proofErr w:type="spellStart"/>
      <w:r w:rsidR="001F2F05" w:rsidRPr="00D2285F">
        <w:rPr>
          <w:rFonts w:ascii="Book Antiqua" w:hAnsi="Book Antiqua" w:cs="Arial"/>
        </w:rPr>
        <w:t>Uzma</w:t>
      </w:r>
      <w:proofErr w:type="spellEnd"/>
      <w:r w:rsidR="001F2F05" w:rsidRPr="00D2285F">
        <w:rPr>
          <w:rFonts w:ascii="Book Antiqua" w:hAnsi="Book Antiqua" w:cs="Arial"/>
        </w:rPr>
        <w:t xml:space="preserve"> </w:t>
      </w:r>
      <w:proofErr w:type="spellStart"/>
      <w:r w:rsidR="001F2F05" w:rsidRPr="00D2285F">
        <w:rPr>
          <w:rFonts w:ascii="Book Antiqua" w:hAnsi="Book Antiqua" w:cs="Arial"/>
        </w:rPr>
        <w:t>Moeen</w:t>
      </w:r>
      <w:proofErr w:type="spellEnd"/>
      <w:r w:rsidR="001F2F05" w:rsidRPr="00D2285F">
        <w:rPr>
          <w:rFonts w:ascii="Book Antiqua" w:hAnsi="Book Antiqua" w:cs="Arial"/>
        </w:rPr>
        <w:t xml:space="preserve"> </w:t>
      </w:r>
      <w:r w:rsidR="00BC4392" w:rsidRPr="00D2285F">
        <w:rPr>
          <w:rFonts w:ascii="Book Antiqua" w:hAnsi="Book Antiqua" w:cs="Arial"/>
        </w:rPr>
        <w:t>who is an expert on Pakistani law and the situation in Pakistan.  The appellant submitted a report by Mrs</w:t>
      </w:r>
      <w:r w:rsidR="001F2F05" w:rsidRPr="00D2285F">
        <w:rPr>
          <w:rFonts w:ascii="Book Antiqua" w:hAnsi="Book Antiqua" w:cs="Arial"/>
        </w:rPr>
        <w:t xml:space="preserve"> </w:t>
      </w:r>
      <w:proofErr w:type="spellStart"/>
      <w:r w:rsidR="001F2F05" w:rsidRPr="00D2285F">
        <w:rPr>
          <w:rFonts w:ascii="Book Antiqua" w:hAnsi="Book Antiqua" w:cs="Arial"/>
        </w:rPr>
        <w:t>Moeen</w:t>
      </w:r>
      <w:proofErr w:type="spellEnd"/>
      <w:r w:rsidR="00BC4392" w:rsidRPr="00D2285F">
        <w:rPr>
          <w:rFonts w:ascii="Book Antiqua" w:hAnsi="Book Antiqua" w:cstheme="minorHAnsi"/>
        </w:rPr>
        <w:t xml:space="preserve"> dated 16 April 2018</w:t>
      </w:r>
      <w:r w:rsidR="00EC1585" w:rsidRPr="00D2285F">
        <w:rPr>
          <w:rFonts w:ascii="Book Antiqua" w:hAnsi="Book Antiqua" w:cstheme="minorHAnsi"/>
        </w:rPr>
        <w:t>,</w:t>
      </w:r>
      <w:r w:rsidR="00BC4392" w:rsidRPr="00D2285F">
        <w:rPr>
          <w:rFonts w:ascii="Book Antiqua" w:hAnsi="Book Antiqua" w:cstheme="minorHAnsi"/>
        </w:rPr>
        <w:t xml:space="preserve"> as well as an addendum report dated 20</w:t>
      </w:r>
      <w:r w:rsidR="001F2F05" w:rsidRPr="00D2285F">
        <w:rPr>
          <w:rFonts w:ascii="Book Antiqua" w:hAnsi="Book Antiqua" w:cstheme="minorHAnsi"/>
        </w:rPr>
        <w:t> </w:t>
      </w:r>
      <w:r w:rsidR="00BC4392" w:rsidRPr="00D2285F">
        <w:rPr>
          <w:rFonts w:ascii="Book Antiqua" w:hAnsi="Book Antiqua" w:cstheme="minorHAnsi"/>
        </w:rPr>
        <w:t>July 2018.</w:t>
      </w:r>
    </w:p>
    <w:p w:rsidR="00DF1E9E" w:rsidRPr="000A3550" w:rsidRDefault="001F2F05" w:rsidP="00DF1E9E">
      <w:pPr>
        <w:numPr>
          <w:ilvl w:val="0"/>
          <w:numId w:val="1"/>
        </w:numPr>
        <w:spacing w:before="240"/>
        <w:rPr>
          <w:rFonts w:ascii="Book Antiqua" w:hAnsi="Book Antiqua" w:cs="Arial"/>
        </w:rPr>
      </w:pPr>
      <w:r w:rsidRPr="000A3550">
        <w:rPr>
          <w:rFonts w:ascii="Book Antiqua" w:hAnsi="Book Antiqua" w:cstheme="minorHAnsi"/>
        </w:rPr>
        <w:t xml:space="preserve">In the report Mrs </w:t>
      </w:r>
      <w:proofErr w:type="spellStart"/>
      <w:r w:rsidRPr="000A3550">
        <w:rPr>
          <w:rFonts w:ascii="Book Antiqua" w:hAnsi="Book Antiqua" w:cstheme="minorHAnsi"/>
        </w:rPr>
        <w:t>Moeen</w:t>
      </w:r>
      <w:proofErr w:type="spellEnd"/>
      <w:r w:rsidRPr="000A3550">
        <w:rPr>
          <w:rFonts w:ascii="Book Antiqua" w:hAnsi="Book Antiqua" w:cstheme="minorHAnsi"/>
        </w:rPr>
        <w:t xml:space="preserve"> highlights that generally women in Pakistan are seen as “the repository of family honour</w:t>
      </w:r>
      <w:r w:rsidR="00FC068B" w:rsidRPr="000A3550">
        <w:rPr>
          <w:rFonts w:ascii="Book Antiqua" w:hAnsi="Book Antiqua" w:cstheme="minorHAnsi"/>
        </w:rPr>
        <w:t>”</w:t>
      </w:r>
      <w:r w:rsidRPr="000A3550">
        <w:rPr>
          <w:rFonts w:ascii="Book Antiqua" w:hAnsi="Book Antiqua" w:cstheme="minorHAnsi"/>
        </w:rPr>
        <w:t xml:space="preserve"> and that “any perceived slight</w:t>
      </w:r>
      <w:r w:rsidR="00F63191" w:rsidRPr="000A3550">
        <w:rPr>
          <w:rFonts w:ascii="Book Antiqua" w:hAnsi="Book Antiqua" w:cstheme="minorHAnsi"/>
        </w:rPr>
        <w:t xml:space="preserve"> </w:t>
      </w:r>
      <w:r w:rsidRPr="000A3550">
        <w:rPr>
          <w:rFonts w:ascii="Book Antiqua" w:hAnsi="Book Antiqua" w:cstheme="minorHAnsi"/>
        </w:rPr>
        <w:t>to that</w:t>
      </w:r>
      <w:r w:rsidR="00F63191" w:rsidRPr="000A3550">
        <w:rPr>
          <w:rFonts w:ascii="Book Antiqua" w:hAnsi="Book Antiqua" w:cstheme="minorHAnsi"/>
        </w:rPr>
        <w:t xml:space="preserve"> </w:t>
      </w:r>
      <w:r w:rsidRPr="000A3550">
        <w:rPr>
          <w:rFonts w:ascii="Book Antiqua" w:hAnsi="Book Antiqua" w:cstheme="minorHAnsi"/>
        </w:rPr>
        <w:t>honour whether true or not must be punished in the most brutal way”</w:t>
      </w:r>
      <w:r w:rsidR="00CC2907" w:rsidRPr="000A3550">
        <w:rPr>
          <w:rFonts w:ascii="Book Antiqua" w:hAnsi="Book Antiqua" w:cstheme="minorHAnsi"/>
        </w:rPr>
        <w:t xml:space="preserve">.  She gives a number of examples of the lengths </w:t>
      </w:r>
      <w:r w:rsidR="001A2D44">
        <w:rPr>
          <w:rFonts w:ascii="Book Antiqua" w:hAnsi="Book Antiqua" w:cstheme="minorHAnsi"/>
        </w:rPr>
        <w:t xml:space="preserve">to which </w:t>
      </w:r>
      <w:r w:rsidR="00CC2907" w:rsidRPr="000A3550">
        <w:rPr>
          <w:rFonts w:ascii="Book Antiqua" w:hAnsi="Book Antiqua" w:cstheme="minorHAnsi"/>
        </w:rPr>
        <w:t xml:space="preserve">families will go </w:t>
      </w:r>
      <w:r w:rsidR="001A2D44">
        <w:rPr>
          <w:rFonts w:ascii="Book Antiqua" w:hAnsi="Book Antiqua" w:cstheme="minorHAnsi"/>
        </w:rPr>
        <w:t xml:space="preserve">in order to locate </w:t>
      </w:r>
      <w:r w:rsidR="00CC2907" w:rsidRPr="000A3550">
        <w:rPr>
          <w:rFonts w:ascii="Book Antiqua" w:hAnsi="Book Antiqua" w:cstheme="minorHAnsi"/>
        </w:rPr>
        <w:t xml:space="preserve">female family members who are considered to have caused the family dishonour.  She also </w:t>
      </w:r>
      <w:r w:rsidR="00CC2907" w:rsidRPr="000A3550">
        <w:rPr>
          <w:rFonts w:ascii="Book Antiqua" w:hAnsi="Book Antiqua" w:cstheme="minorHAnsi"/>
        </w:rPr>
        <w:lastRenderedPageBreak/>
        <w:t xml:space="preserve">comments in the report on the extent to which a love marriage to a </w:t>
      </w:r>
      <w:r w:rsidR="00DF1E9E" w:rsidRPr="000A3550">
        <w:rPr>
          <w:rFonts w:ascii="Book Antiqua" w:hAnsi="Book Antiqua" w:cstheme="minorHAnsi"/>
        </w:rPr>
        <w:t xml:space="preserve">Shia will be considered an insult to the honour of a Sunni family, in particular a family that is associated with anti-Shia extremists </w:t>
      </w:r>
      <w:r w:rsidR="00D2285F">
        <w:rPr>
          <w:rFonts w:ascii="Book Antiqua" w:hAnsi="Book Antiqua" w:cstheme="minorHAnsi"/>
        </w:rPr>
        <w:t xml:space="preserve">such as </w:t>
      </w:r>
      <w:r w:rsidR="00DF1E9E" w:rsidRPr="000A3550">
        <w:rPr>
          <w:rFonts w:ascii="Book Antiqua" w:hAnsi="Book Antiqua" w:cstheme="minorHAnsi"/>
        </w:rPr>
        <w:t>the SSP.  Her report discusses that the SSP operate freely within Pakistan and have considerable reach and influence.</w:t>
      </w:r>
    </w:p>
    <w:p w:rsidR="00BC4392" w:rsidRPr="000A3550" w:rsidRDefault="00DF1E9E" w:rsidP="00DF1E9E">
      <w:pPr>
        <w:numPr>
          <w:ilvl w:val="0"/>
          <w:numId w:val="1"/>
        </w:numPr>
        <w:spacing w:before="240"/>
        <w:rPr>
          <w:rFonts w:ascii="Book Antiqua" w:hAnsi="Book Antiqua" w:cs="Arial"/>
        </w:rPr>
      </w:pPr>
      <w:r w:rsidRPr="000A3550">
        <w:rPr>
          <w:rFonts w:ascii="Book Antiqua" w:hAnsi="Book Antiqua" w:cstheme="minorHAnsi"/>
        </w:rPr>
        <w:t>The report also considers the extent to which family members or organisations such as the SSP are able to locate individuals throughout Pakistan.  She describes at</w:t>
      </w:r>
      <w:r w:rsidR="00C37407" w:rsidRPr="000A3550">
        <w:rPr>
          <w:rFonts w:ascii="Book Antiqua" w:hAnsi="Book Antiqua" w:cstheme="minorHAnsi"/>
        </w:rPr>
        <w:t xml:space="preserve"> paragraph</w:t>
      </w:r>
      <w:r w:rsidR="00D2285F">
        <w:rPr>
          <w:rFonts w:ascii="Book Antiqua" w:hAnsi="Book Antiqua" w:cstheme="minorHAnsi"/>
        </w:rPr>
        <w:t>s</w:t>
      </w:r>
      <w:r w:rsidR="00C37407" w:rsidRPr="000A3550">
        <w:rPr>
          <w:rFonts w:ascii="Book Antiqua" w:hAnsi="Book Antiqua" w:cstheme="minorHAnsi"/>
        </w:rPr>
        <w:t xml:space="preserve"> 109</w:t>
      </w:r>
      <w:r w:rsidR="00D2285F">
        <w:rPr>
          <w:rFonts w:ascii="Book Antiqua" w:hAnsi="Book Antiqua" w:cstheme="minorHAnsi"/>
        </w:rPr>
        <w:t xml:space="preserve"> and 110</w:t>
      </w:r>
      <w:r w:rsidR="00C37407" w:rsidRPr="000A3550">
        <w:rPr>
          <w:rFonts w:ascii="Book Antiqua" w:hAnsi="Book Antiqua" w:cstheme="minorHAnsi"/>
        </w:rPr>
        <w:t xml:space="preserve"> of her report a compulsory registration system known as the National Database</w:t>
      </w:r>
      <w:r w:rsidR="00D2285F">
        <w:rPr>
          <w:rFonts w:ascii="Book Antiqua" w:hAnsi="Book Antiqua" w:cstheme="minorHAnsi"/>
        </w:rPr>
        <w:t xml:space="preserve"> and Registration Authority (NADRA). </w:t>
      </w:r>
      <w:r w:rsidR="00C37407" w:rsidRPr="000A3550">
        <w:rPr>
          <w:rFonts w:ascii="Book Antiqua" w:hAnsi="Book Antiqua" w:cstheme="minorHAnsi"/>
        </w:rPr>
        <w:t xml:space="preserve">She states that it is mandatory for every citizen </w:t>
      </w:r>
      <w:r w:rsidR="00D2285F">
        <w:rPr>
          <w:rFonts w:ascii="Book Antiqua" w:hAnsi="Book Antiqua" w:cstheme="minorHAnsi"/>
        </w:rPr>
        <w:t xml:space="preserve">over </w:t>
      </w:r>
      <w:r w:rsidR="00C37407" w:rsidRPr="000A3550">
        <w:rPr>
          <w:rFonts w:ascii="Book Antiqua" w:hAnsi="Book Antiqua" w:cstheme="minorHAnsi"/>
        </w:rPr>
        <w:t>18 years of age to register with the NADRA and acquire a computerised national identity card</w:t>
      </w:r>
      <w:r w:rsidR="00D2285F">
        <w:rPr>
          <w:rFonts w:ascii="Book Antiqua" w:hAnsi="Book Antiqua" w:cstheme="minorHAnsi"/>
        </w:rPr>
        <w:t xml:space="preserve"> (CNIC) and that a</w:t>
      </w:r>
      <w:r w:rsidR="00C37407" w:rsidRPr="000A3550">
        <w:rPr>
          <w:rFonts w:ascii="Book Antiqua" w:hAnsi="Book Antiqua" w:cstheme="minorHAnsi"/>
        </w:rPr>
        <w:t xml:space="preserve"> CNIC </w:t>
      </w:r>
      <w:r w:rsidR="00D2285F">
        <w:rPr>
          <w:rFonts w:ascii="Book Antiqua" w:hAnsi="Book Antiqua" w:cstheme="minorHAnsi"/>
        </w:rPr>
        <w:t xml:space="preserve">is needed </w:t>
      </w:r>
      <w:r w:rsidR="00C37407" w:rsidRPr="000A3550">
        <w:rPr>
          <w:rFonts w:ascii="Book Antiqua" w:hAnsi="Book Antiqua" w:cstheme="minorHAnsi"/>
        </w:rPr>
        <w:t xml:space="preserve">to seek employment, obtain accommodation, open a bank account or obtain a passport.  She describes in her report that it is relatively easy for citizens of Pakistan to verify registration on the NADRA and that there is a system by which the public can obtain </w:t>
      </w:r>
      <w:r w:rsidR="00B7338F" w:rsidRPr="000A3550">
        <w:rPr>
          <w:rFonts w:ascii="Book Antiqua" w:hAnsi="Book Antiqua" w:cstheme="minorHAnsi"/>
        </w:rPr>
        <w:t xml:space="preserve">CNIC information through their mobile phones.  </w:t>
      </w:r>
    </w:p>
    <w:p w:rsidR="00F90CB3" w:rsidRPr="000A3550" w:rsidRDefault="00B7338F" w:rsidP="00DF1E9E">
      <w:pPr>
        <w:numPr>
          <w:ilvl w:val="0"/>
          <w:numId w:val="1"/>
        </w:numPr>
        <w:spacing w:before="240"/>
        <w:rPr>
          <w:rFonts w:ascii="Book Antiqua" w:hAnsi="Book Antiqua" w:cs="Arial"/>
        </w:rPr>
      </w:pPr>
      <w:r w:rsidRPr="000A3550">
        <w:rPr>
          <w:rFonts w:ascii="Book Antiqua" w:hAnsi="Book Antiqua" w:cstheme="minorHAnsi"/>
        </w:rPr>
        <w:t>At paragraph 111</w:t>
      </w:r>
      <w:r w:rsidR="00D2285F">
        <w:rPr>
          <w:rFonts w:ascii="Book Antiqua" w:hAnsi="Book Antiqua" w:cstheme="minorHAnsi"/>
        </w:rPr>
        <w:t xml:space="preserve"> of the report she states that:</w:t>
      </w:r>
      <w:r w:rsidR="00F90CB3" w:rsidRPr="000A3550">
        <w:rPr>
          <w:rFonts w:ascii="Book Antiqua" w:hAnsi="Book Antiqua" w:cstheme="minorHAnsi"/>
        </w:rPr>
        <w:t xml:space="preserve">         </w:t>
      </w:r>
    </w:p>
    <w:p w:rsidR="00B7338F" w:rsidRPr="000A3550" w:rsidRDefault="00B7338F" w:rsidP="00F90CB3">
      <w:pPr>
        <w:spacing w:before="240"/>
        <w:ind w:left="1134"/>
        <w:rPr>
          <w:rFonts w:ascii="Book Antiqua" w:hAnsi="Book Antiqua" w:cs="Arial"/>
        </w:rPr>
      </w:pPr>
      <w:r w:rsidRPr="000A3550">
        <w:rPr>
          <w:rFonts w:ascii="Book Antiqua" w:hAnsi="Book Antiqua" w:cstheme="minorHAnsi"/>
          <w:sz w:val="22"/>
        </w:rPr>
        <w:t>“</w:t>
      </w:r>
      <w:r w:rsidR="00D2285F">
        <w:rPr>
          <w:rFonts w:ascii="Book Antiqua" w:hAnsi="Book Antiqua" w:cstheme="minorHAnsi"/>
          <w:sz w:val="22"/>
        </w:rPr>
        <w:t>[</w:t>
      </w:r>
      <w:r w:rsidR="00F90CB3" w:rsidRPr="000A3550">
        <w:rPr>
          <w:rFonts w:ascii="Book Antiqua" w:hAnsi="Book Antiqua" w:cstheme="minorHAnsi"/>
          <w:sz w:val="22"/>
        </w:rPr>
        <w:t>I</w:t>
      </w:r>
      <w:r w:rsidR="00D2285F">
        <w:rPr>
          <w:rFonts w:ascii="Book Antiqua" w:hAnsi="Book Antiqua" w:cstheme="minorHAnsi"/>
          <w:sz w:val="22"/>
        </w:rPr>
        <w:t>]</w:t>
      </w:r>
      <w:r w:rsidR="00F90CB3" w:rsidRPr="000A3550">
        <w:rPr>
          <w:rFonts w:ascii="Book Antiqua" w:hAnsi="Book Antiqua" w:cstheme="minorHAnsi"/>
          <w:sz w:val="22"/>
        </w:rPr>
        <w:t xml:space="preserve">t </w:t>
      </w:r>
      <w:r w:rsidRPr="000A3550">
        <w:rPr>
          <w:rFonts w:ascii="Book Antiqua" w:hAnsi="Book Antiqua" w:cstheme="minorHAnsi"/>
          <w:sz w:val="22"/>
        </w:rPr>
        <w:t xml:space="preserve">is highly likely that </w:t>
      </w:r>
      <w:r w:rsidR="00D2285F">
        <w:rPr>
          <w:rFonts w:ascii="Book Antiqua" w:hAnsi="Book Antiqua" w:cstheme="minorHAnsi"/>
          <w:sz w:val="22"/>
        </w:rPr>
        <w:t xml:space="preserve">[the appellant’s] </w:t>
      </w:r>
      <w:r w:rsidRPr="000A3550">
        <w:rPr>
          <w:rFonts w:ascii="Book Antiqua" w:hAnsi="Book Antiqua" w:cstheme="minorHAnsi"/>
          <w:sz w:val="22"/>
        </w:rPr>
        <w:t xml:space="preserve">estranged cousin and/or her uncle and their </w:t>
      </w:r>
      <w:proofErr w:type="gramStart"/>
      <w:r w:rsidRPr="000A3550">
        <w:rPr>
          <w:rFonts w:ascii="Book Antiqua" w:hAnsi="Book Antiqua" w:cstheme="minorHAnsi"/>
          <w:sz w:val="22"/>
        </w:rPr>
        <w:t>associates</w:t>
      </w:r>
      <w:r w:rsidR="00D2285F">
        <w:rPr>
          <w:rFonts w:ascii="Book Antiqua" w:hAnsi="Book Antiqua" w:cstheme="minorHAnsi"/>
          <w:sz w:val="22"/>
        </w:rPr>
        <w:t xml:space="preserve"> </w:t>
      </w:r>
      <w:r w:rsidRPr="000A3550">
        <w:rPr>
          <w:rFonts w:ascii="Book Antiqua" w:hAnsi="Book Antiqua" w:cstheme="minorHAnsi"/>
          <w:sz w:val="22"/>
        </w:rPr>
        <w:t xml:space="preserve"> </w:t>
      </w:r>
      <w:r w:rsidR="00D2285F">
        <w:rPr>
          <w:rFonts w:ascii="Book Antiqua" w:hAnsi="Book Antiqua" w:cstheme="minorHAnsi"/>
          <w:sz w:val="22"/>
        </w:rPr>
        <w:t>(</w:t>
      </w:r>
      <w:proofErr w:type="gramEnd"/>
      <w:r w:rsidRPr="000A3550">
        <w:rPr>
          <w:rFonts w:ascii="Book Antiqua" w:hAnsi="Book Antiqua" w:cstheme="minorHAnsi"/>
          <w:sz w:val="22"/>
        </w:rPr>
        <w:t>irrespective of their social, po</w:t>
      </w:r>
      <w:r w:rsidR="00F90CB3" w:rsidRPr="000A3550">
        <w:rPr>
          <w:rFonts w:ascii="Book Antiqua" w:hAnsi="Book Antiqua" w:cstheme="minorHAnsi"/>
          <w:sz w:val="22"/>
        </w:rPr>
        <w:t>litical or militant background</w:t>
      </w:r>
      <w:r w:rsidR="00D2285F">
        <w:rPr>
          <w:rFonts w:ascii="Book Antiqua" w:hAnsi="Book Antiqua" w:cstheme="minorHAnsi"/>
          <w:sz w:val="22"/>
        </w:rPr>
        <w:t>)</w:t>
      </w:r>
      <w:r w:rsidR="00F90CB3" w:rsidRPr="000A3550">
        <w:rPr>
          <w:rFonts w:ascii="Book Antiqua" w:hAnsi="Book Antiqua" w:cstheme="minorHAnsi"/>
          <w:sz w:val="22"/>
        </w:rPr>
        <w:t xml:space="preserve"> who</w:t>
      </w:r>
      <w:r w:rsidR="00F957A5" w:rsidRPr="000A3550">
        <w:rPr>
          <w:rFonts w:ascii="Book Antiqua" w:hAnsi="Book Antiqua" w:cstheme="minorHAnsi"/>
          <w:sz w:val="22"/>
        </w:rPr>
        <w:t xml:space="preserve"> </w:t>
      </w:r>
      <w:r w:rsidR="00F90CB3" w:rsidRPr="000A3550">
        <w:rPr>
          <w:rFonts w:ascii="Book Antiqua" w:hAnsi="Book Antiqua" w:cstheme="minorHAnsi"/>
          <w:sz w:val="22"/>
        </w:rPr>
        <w:t>would hold her personal details could easily get information about her whereabouts by winning favour with the police by a simple bribe which is a common practice in Pakistan”</w:t>
      </w:r>
      <w:r w:rsidR="00F90CB3" w:rsidRPr="000A3550">
        <w:rPr>
          <w:rFonts w:ascii="Book Antiqua" w:hAnsi="Book Antiqua" w:cstheme="minorHAnsi"/>
        </w:rPr>
        <w:t xml:space="preserve">.  </w:t>
      </w:r>
    </w:p>
    <w:p w:rsidR="00F90CB3" w:rsidRPr="000A3550" w:rsidRDefault="00F90CB3" w:rsidP="00DF1E9E">
      <w:pPr>
        <w:numPr>
          <w:ilvl w:val="0"/>
          <w:numId w:val="1"/>
        </w:numPr>
        <w:spacing w:before="240"/>
        <w:rPr>
          <w:rFonts w:ascii="Book Antiqua" w:hAnsi="Book Antiqua" w:cs="Arial"/>
        </w:rPr>
      </w:pPr>
      <w:r w:rsidRPr="000A3550">
        <w:rPr>
          <w:rFonts w:ascii="Book Antiqua" w:hAnsi="Book Antiqua" w:cstheme="minorHAnsi"/>
        </w:rPr>
        <w:t xml:space="preserve">At paragraph 124 she states that in her view the appellant’s           </w:t>
      </w:r>
    </w:p>
    <w:p w:rsidR="00F90CB3" w:rsidRPr="000A3550" w:rsidRDefault="00F90CB3" w:rsidP="00F90CB3">
      <w:pPr>
        <w:spacing w:before="240"/>
        <w:ind w:left="1134"/>
        <w:rPr>
          <w:rFonts w:ascii="Book Antiqua" w:hAnsi="Book Antiqua" w:cs="Arial"/>
        </w:rPr>
      </w:pPr>
      <w:r w:rsidRPr="000A3550">
        <w:rPr>
          <w:rFonts w:ascii="Book Antiqua" w:hAnsi="Book Antiqua" w:cstheme="minorHAnsi"/>
          <w:sz w:val="22"/>
        </w:rPr>
        <w:t>“</w:t>
      </w:r>
      <w:r w:rsidR="00D2285F">
        <w:rPr>
          <w:rFonts w:ascii="Book Antiqua" w:hAnsi="Book Antiqua" w:cstheme="minorHAnsi"/>
          <w:sz w:val="22"/>
        </w:rPr>
        <w:t>[</w:t>
      </w:r>
      <w:r w:rsidRPr="000A3550">
        <w:rPr>
          <w:rFonts w:ascii="Book Antiqua" w:hAnsi="Book Antiqua" w:cstheme="minorHAnsi"/>
          <w:sz w:val="22"/>
        </w:rPr>
        <w:t>E</w:t>
      </w:r>
      <w:r w:rsidR="00D2285F">
        <w:rPr>
          <w:rFonts w:ascii="Book Antiqua" w:hAnsi="Book Antiqua" w:cstheme="minorHAnsi"/>
          <w:sz w:val="22"/>
        </w:rPr>
        <w:t>]</w:t>
      </w:r>
      <w:proofErr w:type="spellStart"/>
      <w:r w:rsidRPr="000A3550">
        <w:rPr>
          <w:rFonts w:ascii="Book Antiqua" w:hAnsi="Book Antiqua" w:cstheme="minorHAnsi"/>
          <w:sz w:val="22"/>
        </w:rPr>
        <w:t>stranged</w:t>
      </w:r>
      <w:proofErr w:type="spellEnd"/>
      <w:r w:rsidRPr="000A3550">
        <w:rPr>
          <w:rFonts w:ascii="Book Antiqua" w:hAnsi="Book Antiqua" w:cstheme="minorHAnsi"/>
          <w:sz w:val="22"/>
        </w:rPr>
        <w:t xml:space="preserve"> ex-fiancé and/or his associates or her estranged male</w:t>
      </w:r>
      <w:r w:rsidR="00C43BEE" w:rsidRPr="000A3550">
        <w:rPr>
          <w:rFonts w:ascii="Book Antiqua" w:hAnsi="Book Antiqua" w:cstheme="minorHAnsi"/>
          <w:sz w:val="22"/>
        </w:rPr>
        <w:t xml:space="preserve"> </w:t>
      </w:r>
      <w:r w:rsidRPr="000A3550">
        <w:rPr>
          <w:rFonts w:ascii="Book Antiqua" w:hAnsi="Book Antiqua" w:cstheme="minorHAnsi"/>
          <w:sz w:val="22"/>
        </w:rPr>
        <w:t>relatives would highly likely be motivated to track her down in Pakistan.  They also ha</w:t>
      </w:r>
      <w:r w:rsidR="00504F5F" w:rsidRPr="000A3550">
        <w:rPr>
          <w:rFonts w:ascii="Book Antiqua" w:hAnsi="Book Antiqua" w:cstheme="minorHAnsi"/>
          <w:sz w:val="22"/>
        </w:rPr>
        <w:t xml:space="preserve">ve </w:t>
      </w:r>
      <w:r w:rsidRPr="000A3550">
        <w:rPr>
          <w:rFonts w:ascii="Book Antiqua" w:hAnsi="Book Antiqua" w:cstheme="minorHAnsi"/>
          <w:sz w:val="22"/>
        </w:rPr>
        <w:t>the option of flagging up her details with the NADRA database and it would then be very easy for them to track her down should she return to Pakistan.  I</w:t>
      </w:r>
      <w:r w:rsidR="00AA1593" w:rsidRPr="000A3550">
        <w:rPr>
          <w:rFonts w:ascii="Book Antiqua" w:hAnsi="Book Antiqua" w:cstheme="minorHAnsi"/>
          <w:sz w:val="22"/>
        </w:rPr>
        <w:t xml:space="preserve"> </w:t>
      </w:r>
      <w:r w:rsidRPr="000A3550">
        <w:rPr>
          <w:rFonts w:ascii="Book Antiqua" w:hAnsi="Book Antiqua" w:cstheme="minorHAnsi"/>
          <w:sz w:val="22"/>
        </w:rPr>
        <w:t xml:space="preserve">confirm that if someone’s details are flagged up by their relatives on any pretext e.g. being a missing person or by the authorities then NADRA informs those who flag up their details and filed their concerns with the NADRA of the data held such as the person’s residential address.  Changes in addresses are even shared with banks.  In my opinion it is highly likely that </w:t>
      </w:r>
      <w:r w:rsidR="00D2285F">
        <w:rPr>
          <w:rFonts w:ascii="Book Antiqua" w:hAnsi="Book Antiqua" w:cstheme="minorHAnsi"/>
          <w:sz w:val="22"/>
        </w:rPr>
        <w:t>[</w:t>
      </w:r>
      <w:r w:rsidRPr="000A3550">
        <w:rPr>
          <w:rFonts w:ascii="Book Antiqua" w:hAnsi="Book Antiqua" w:cstheme="minorHAnsi"/>
          <w:sz w:val="22"/>
        </w:rPr>
        <w:t>the appellant’s</w:t>
      </w:r>
      <w:r w:rsidR="00D2285F">
        <w:rPr>
          <w:rFonts w:ascii="Book Antiqua" w:hAnsi="Book Antiqua" w:cstheme="minorHAnsi"/>
          <w:sz w:val="22"/>
        </w:rPr>
        <w:t>]</w:t>
      </w:r>
      <w:r w:rsidRPr="000A3550">
        <w:rPr>
          <w:rFonts w:ascii="Book Antiqua" w:hAnsi="Book Antiqua" w:cstheme="minorHAnsi"/>
          <w:sz w:val="22"/>
        </w:rPr>
        <w:t xml:space="preserve"> estranged ex-fiancé, her uncle or their associates or her estranged male relatives would track her and her husband down through the C</w:t>
      </w:r>
      <w:r w:rsidR="00887F97" w:rsidRPr="000A3550">
        <w:rPr>
          <w:rFonts w:ascii="Book Antiqua" w:hAnsi="Book Antiqua" w:cstheme="minorHAnsi"/>
          <w:sz w:val="22"/>
        </w:rPr>
        <w:t>I</w:t>
      </w:r>
      <w:r w:rsidRPr="000A3550">
        <w:rPr>
          <w:rFonts w:ascii="Book Antiqua" w:hAnsi="Book Antiqua" w:cstheme="minorHAnsi"/>
          <w:sz w:val="22"/>
        </w:rPr>
        <w:t>NC’s data issued by the NADRA through their own resources in Pakistan”</w:t>
      </w:r>
      <w:r w:rsidRPr="000A3550">
        <w:rPr>
          <w:rFonts w:ascii="Book Antiqua" w:hAnsi="Book Antiqua" w:cstheme="minorHAnsi"/>
        </w:rPr>
        <w:t xml:space="preserve">.   </w:t>
      </w:r>
    </w:p>
    <w:p w:rsidR="00F423B3" w:rsidRPr="000A3550" w:rsidRDefault="00F423B3" w:rsidP="00DF1E9E">
      <w:pPr>
        <w:numPr>
          <w:ilvl w:val="0"/>
          <w:numId w:val="1"/>
        </w:numPr>
        <w:spacing w:before="240"/>
        <w:rPr>
          <w:rFonts w:ascii="Book Antiqua" w:hAnsi="Book Antiqua" w:cs="Arial"/>
        </w:rPr>
      </w:pPr>
      <w:r w:rsidRPr="000A3550">
        <w:rPr>
          <w:rFonts w:ascii="Book Antiqua" w:hAnsi="Book Antiqua" w:cs="Arial"/>
        </w:rPr>
        <w:t xml:space="preserve">In the supplemental report Mrs </w:t>
      </w:r>
      <w:proofErr w:type="spellStart"/>
      <w:r w:rsidRPr="000A3550">
        <w:rPr>
          <w:rFonts w:ascii="Book Antiqua" w:hAnsi="Book Antiqua" w:cs="Arial"/>
        </w:rPr>
        <w:t>Moeen</w:t>
      </w:r>
      <w:proofErr w:type="spellEnd"/>
      <w:r w:rsidRPr="000A3550">
        <w:rPr>
          <w:rFonts w:ascii="Book Antiqua" w:hAnsi="Book Antiqua" w:cs="Arial"/>
        </w:rPr>
        <w:t xml:space="preserve"> gives further detail on the SSP and describes them as having considerable reach and support within Pakistan with a substantial number of registered workers and a large following.  She also referred to Home Office </w:t>
      </w:r>
      <w:r w:rsidR="006651BB" w:rsidRPr="000A3550">
        <w:rPr>
          <w:rFonts w:ascii="Book Antiqua" w:hAnsi="Book Antiqua" w:cs="Arial"/>
        </w:rPr>
        <w:t xml:space="preserve">Country Information Guidance </w:t>
      </w:r>
      <w:r w:rsidRPr="000A3550">
        <w:rPr>
          <w:rFonts w:ascii="Book Antiqua" w:hAnsi="Book Antiqua" w:cs="Arial"/>
        </w:rPr>
        <w:t>which discusses Shia deaths in Pakistan which are linked to prominent anti-Shia groups</w:t>
      </w:r>
      <w:r w:rsidR="00A6485A" w:rsidRPr="000A3550">
        <w:rPr>
          <w:rFonts w:ascii="Book Antiqua" w:hAnsi="Book Antiqua" w:cs="Arial"/>
        </w:rPr>
        <w:t>,</w:t>
      </w:r>
      <w:r w:rsidRPr="000A3550">
        <w:rPr>
          <w:rFonts w:ascii="Book Antiqua" w:hAnsi="Book Antiqua" w:cs="Arial"/>
        </w:rPr>
        <w:t xml:space="preserve"> such as the SSP.  </w:t>
      </w:r>
    </w:p>
    <w:p w:rsidR="00F90CB3" w:rsidRPr="000A3550" w:rsidRDefault="00D2285F" w:rsidP="00DF1E9E">
      <w:pPr>
        <w:numPr>
          <w:ilvl w:val="0"/>
          <w:numId w:val="1"/>
        </w:numPr>
        <w:spacing w:before="240"/>
        <w:rPr>
          <w:rFonts w:ascii="Book Antiqua" w:hAnsi="Book Antiqua" w:cs="Arial"/>
        </w:rPr>
      </w:pPr>
      <w:r>
        <w:rPr>
          <w:rFonts w:ascii="Book Antiqua" w:hAnsi="Book Antiqua" w:cs="Arial"/>
        </w:rPr>
        <w:t xml:space="preserve">The argument of </w:t>
      </w:r>
      <w:r w:rsidR="00F423B3" w:rsidRPr="000A3550">
        <w:rPr>
          <w:rFonts w:ascii="Book Antiqua" w:hAnsi="Book Antiqua" w:cs="Arial"/>
        </w:rPr>
        <w:t xml:space="preserve">Mr </w:t>
      </w:r>
      <w:r>
        <w:rPr>
          <w:rFonts w:ascii="Book Antiqua" w:hAnsi="Book Antiqua" w:cs="Arial"/>
        </w:rPr>
        <w:t>Eaton, in summary,</w:t>
      </w:r>
      <w:r w:rsidR="002037C8" w:rsidRPr="000A3550">
        <w:rPr>
          <w:rFonts w:ascii="Book Antiqua" w:hAnsi="Book Antiqua" w:cs="Arial"/>
        </w:rPr>
        <w:t xml:space="preserve"> is that the appellant’s family in Pakistan are highly motivated to </w:t>
      </w:r>
      <w:r w:rsidR="0045647A" w:rsidRPr="000A3550">
        <w:rPr>
          <w:rFonts w:ascii="Book Antiqua" w:hAnsi="Book Antiqua" w:cs="Arial"/>
        </w:rPr>
        <w:t xml:space="preserve">kill or injure her because of the dishonour she has caused by failing to marry her cousin and instead marrying a Shia and that they have the means to locate her anywhere in Pakistan because of the registration system and their </w:t>
      </w:r>
      <w:r w:rsidR="0045647A" w:rsidRPr="000A3550">
        <w:rPr>
          <w:rFonts w:ascii="Book Antiqua" w:hAnsi="Book Antiqua" w:cs="Arial"/>
        </w:rPr>
        <w:lastRenderedPageBreak/>
        <w:t>involvement with the SSP who would have the means</w:t>
      </w:r>
      <w:r>
        <w:rPr>
          <w:rFonts w:ascii="Book Antiqua" w:hAnsi="Book Antiqua" w:cs="Arial"/>
        </w:rPr>
        <w:t>,</w:t>
      </w:r>
      <w:r w:rsidR="0045647A" w:rsidRPr="000A3550">
        <w:rPr>
          <w:rFonts w:ascii="Book Antiqua" w:hAnsi="Book Antiqua" w:cs="Arial"/>
        </w:rPr>
        <w:t xml:space="preserve"> even if they personally did not</w:t>
      </w:r>
      <w:r>
        <w:rPr>
          <w:rFonts w:ascii="Book Antiqua" w:hAnsi="Book Antiqua" w:cs="Arial"/>
        </w:rPr>
        <w:t>,</w:t>
      </w:r>
      <w:r w:rsidR="0045647A" w:rsidRPr="000A3550">
        <w:rPr>
          <w:rFonts w:ascii="Book Antiqua" w:hAnsi="Book Antiqua" w:cs="Arial"/>
        </w:rPr>
        <w:t xml:space="preserve"> to access the registration system and thereby locate the appellant.</w:t>
      </w:r>
    </w:p>
    <w:p w:rsidR="0045647A" w:rsidRPr="000A3550" w:rsidRDefault="00D2285F" w:rsidP="00DF1E9E">
      <w:pPr>
        <w:numPr>
          <w:ilvl w:val="0"/>
          <w:numId w:val="1"/>
        </w:numPr>
        <w:spacing w:before="240"/>
        <w:rPr>
          <w:rFonts w:ascii="Book Antiqua" w:hAnsi="Book Antiqua" w:cs="Arial"/>
        </w:rPr>
      </w:pPr>
      <w:r>
        <w:rPr>
          <w:rFonts w:ascii="Book Antiqua" w:hAnsi="Book Antiqua" w:cs="Arial"/>
        </w:rPr>
        <w:t xml:space="preserve">Mr </w:t>
      </w:r>
      <w:proofErr w:type="spellStart"/>
      <w:r>
        <w:rPr>
          <w:rFonts w:ascii="Book Antiqua" w:hAnsi="Book Antiqua" w:cs="Arial"/>
        </w:rPr>
        <w:t>Tarlow</w:t>
      </w:r>
      <w:proofErr w:type="spellEnd"/>
      <w:r>
        <w:rPr>
          <w:rFonts w:ascii="Book Antiqua" w:hAnsi="Book Antiqua" w:cs="Arial"/>
        </w:rPr>
        <w:t>, in his submissions, highlighted</w:t>
      </w:r>
      <w:r w:rsidR="0045647A" w:rsidRPr="000A3550">
        <w:rPr>
          <w:rFonts w:ascii="Book Antiqua" w:hAnsi="Book Antiqua" w:cs="Arial"/>
        </w:rPr>
        <w:t xml:space="preserve"> the size of Pakistan which has </w:t>
      </w:r>
      <w:r w:rsidR="001A2D44">
        <w:rPr>
          <w:rFonts w:ascii="Book Antiqua" w:hAnsi="Book Antiqua" w:cs="Arial"/>
        </w:rPr>
        <w:t>a population of over 200 million</w:t>
      </w:r>
      <w:r w:rsidR="0045647A" w:rsidRPr="000A3550">
        <w:rPr>
          <w:rFonts w:ascii="Book Antiqua" w:hAnsi="Book Antiqua" w:cs="Arial"/>
        </w:rPr>
        <w:t xml:space="preserve"> and that </w:t>
      </w:r>
      <w:r w:rsidR="00B800E1" w:rsidRPr="000A3550">
        <w:rPr>
          <w:rFonts w:ascii="Book Antiqua" w:hAnsi="Book Antiqua" w:cs="Arial"/>
        </w:rPr>
        <w:t>approximately</w:t>
      </w:r>
      <w:r w:rsidR="0045647A" w:rsidRPr="000A3550">
        <w:rPr>
          <w:rFonts w:ascii="Book Antiqua" w:hAnsi="Book Antiqua" w:cs="Arial"/>
        </w:rPr>
        <w:t xml:space="preserve"> a quarter of the population is Shia.  He relied on the </w:t>
      </w:r>
      <w:r w:rsidR="00B800E1" w:rsidRPr="000A3550">
        <w:rPr>
          <w:rFonts w:ascii="Book Antiqua" w:hAnsi="Book Antiqua" w:cs="Arial"/>
        </w:rPr>
        <w:t>refusal letter where it is said that internal relocation would be safe because the appellant’s cousin and uncle would not know the appellant had returned and would not know her whereabouts</w:t>
      </w:r>
      <w:r w:rsidR="007E1B4F" w:rsidRPr="000A3550">
        <w:rPr>
          <w:rFonts w:ascii="Book Antiqua" w:hAnsi="Book Antiqua" w:cs="Arial"/>
        </w:rPr>
        <w:t xml:space="preserve"> within the country.  </w:t>
      </w:r>
      <w:r>
        <w:rPr>
          <w:rFonts w:ascii="Book Antiqua" w:hAnsi="Book Antiqua" w:cs="Arial"/>
        </w:rPr>
        <w:t xml:space="preserve">In sum, Mr </w:t>
      </w:r>
      <w:proofErr w:type="spellStart"/>
      <w:r>
        <w:rPr>
          <w:rFonts w:ascii="Book Antiqua" w:hAnsi="Book Antiqua" w:cs="Arial"/>
        </w:rPr>
        <w:t>Tarlow’s</w:t>
      </w:r>
      <w:proofErr w:type="spellEnd"/>
      <w:r>
        <w:rPr>
          <w:rFonts w:ascii="Book Antiqua" w:hAnsi="Book Antiqua" w:cs="Arial"/>
        </w:rPr>
        <w:t xml:space="preserve"> argument was that the SSP would not have the motivation to locate the appellant and the appellant’s uncle/cousin would not have the means to locate her.</w:t>
      </w:r>
    </w:p>
    <w:p w:rsidR="004966C0" w:rsidRPr="000A3550" w:rsidRDefault="004966C0" w:rsidP="004966C0">
      <w:pPr>
        <w:spacing w:before="240"/>
        <w:rPr>
          <w:rFonts w:ascii="Book Antiqua" w:hAnsi="Book Antiqua" w:cs="Arial"/>
          <w:b/>
          <w:u w:val="single"/>
        </w:rPr>
      </w:pPr>
      <w:r w:rsidRPr="000A3550">
        <w:rPr>
          <w:rFonts w:ascii="Book Antiqua" w:hAnsi="Book Antiqua" w:cs="Arial"/>
          <w:b/>
          <w:u w:val="single"/>
        </w:rPr>
        <w:t xml:space="preserve">Analysis  </w:t>
      </w:r>
    </w:p>
    <w:p w:rsidR="00D2285F" w:rsidRDefault="004966C0" w:rsidP="00DF1E9E">
      <w:pPr>
        <w:numPr>
          <w:ilvl w:val="0"/>
          <w:numId w:val="1"/>
        </w:numPr>
        <w:spacing w:before="240"/>
        <w:rPr>
          <w:rFonts w:ascii="Book Antiqua" w:hAnsi="Book Antiqua" w:cs="Arial"/>
        </w:rPr>
      </w:pPr>
      <w:r w:rsidRPr="000A3550">
        <w:rPr>
          <w:rFonts w:ascii="Book Antiqua" w:hAnsi="Book Antiqua" w:cs="Arial"/>
        </w:rPr>
        <w:t>It is common ground that the only issue to be resolved is whether the appellant can safely relocate to another part of Pakistan</w:t>
      </w:r>
      <w:r w:rsidR="0095446C">
        <w:rPr>
          <w:rFonts w:ascii="Book Antiqua" w:hAnsi="Book Antiqua" w:cs="Arial"/>
        </w:rPr>
        <w:t>.</w:t>
      </w:r>
    </w:p>
    <w:p w:rsidR="00857346" w:rsidRDefault="000F29BA" w:rsidP="00857346">
      <w:pPr>
        <w:numPr>
          <w:ilvl w:val="0"/>
          <w:numId w:val="1"/>
        </w:numPr>
        <w:spacing w:before="240"/>
        <w:rPr>
          <w:rFonts w:ascii="Book Antiqua" w:hAnsi="Book Antiqua" w:cs="Arial"/>
        </w:rPr>
      </w:pPr>
      <w:r w:rsidRPr="000A3550">
        <w:rPr>
          <w:rFonts w:ascii="Book Antiqua" w:hAnsi="Book Antiqua" w:cs="Arial"/>
        </w:rPr>
        <w:t xml:space="preserve">The expert evidence before me in the form of a detailed report by Mrs </w:t>
      </w:r>
      <w:proofErr w:type="spellStart"/>
      <w:r w:rsidRPr="000A3550">
        <w:rPr>
          <w:rFonts w:ascii="Book Antiqua" w:hAnsi="Book Antiqua" w:cs="Arial"/>
        </w:rPr>
        <w:t>Moeen</w:t>
      </w:r>
      <w:proofErr w:type="spellEnd"/>
      <w:r w:rsidRPr="000A3550">
        <w:rPr>
          <w:rFonts w:ascii="Book Antiqua" w:hAnsi="Book Antiqua" w:cs="Arial"/>
        </w:rPr>
        <w:t xml:space="preserve"> is comprehensive and thorough.</w:t>
      </w:r>
      <w:r w:rsidR="00857346">
        <w:rPr>
          <w:rFonts w:ascii="Book Antiqua" w:hAnsi="Book Antiqua" w:cs="Arial"/>
        </w:rPr>
        <w:t xml:space="preserve"> </w:t>
      </w:r>
      <w:r w:rsidRPr="00857346">
        <w:rPr>
          <w:rFonts w:ascii="Book Antiqua" w:hAnsi="Book Antiqua" w:cs="Arial"/>
        </w:rPr>
        <w:t>No arguments were advanced at the hearing</w:t>
      </w:r>
      <w:r w:rsidR="00857346">
        <w:rPr>
          <w:rFonts w:ascii="Book Antiqua" w:hAnsi="Book Antiqua" w:cs="Arial"/>
        </w:rPr>
        <w:t xml:space="preserve"> which undermined the report or took issue with its analysis.</w:t>
      </w:r>
    </w:p>
    <w:p w:rsidR="00764179" w:rsidRDefault="00857346" w:rsidP="00857346">
      <w:pPr>
        <w:numPr>
          <w:ilvl w:val="0"/>
          <w:numId w:val="1"/>
        </w:numPr>
        <w:spacing w:before="240"/>
        <w:rPr>
          <w:rFonts w:ascii="Book Antiqua" w:hAnsi="Book Antiqua" w:cs="Arial"/>
        </w:rPr>
      </w:pPr>
      <w:r>
        <w:rPr>
          <w:rFonts w:ascii="Book Antiqua" w:hAnsi="Book Antiqua" w:cs="Arial"/>
        </w:rPr>
        <w:t xml:space="preserve">I find that the appellant’s uncle and cousin are strongly motivated to locate the appellant. I reach this conclusion because </w:t>
      </w:r>
      <w:r w:rsidRPr="000A3550">
        <w:rPr>
          <w:rFonts w:ascii="Book Antiqua" w:hAnsi="Book Antiqua" w:cs="Arial"/>
        </w:rPr>
        <w:t>the appellant has been subjected</w:t>
      </w:r>
      <w:r>
        <w:rPr>
          <w:rFonts w:ascii="Book Antiqua" w:hAnsi="Book Antiqua" w:cs="Arial"/>
        </w:rPr>
        <w:t xml:space="preserve"> to continuous harassment from them or at their behest</w:t>
      </w:r>
      <w:r w:rsidRPr="000A3550">
        <w:rPr>
          <w:rFonts w:ascii="Book Antiqua" w:hAnsi="Book Antiqua" w:cs="Arial"/>
        </w:rPr>
        <w:t xml:space="preserve"> </w:t>
      </w:r>
      <w:r>
        <w:rPr>
          <w:rFonts w:ascii="Book Antiqua" w:hAnsi="Book Antiqua" w:cs="Arial"/>
        </w:rPr>
        <w:t xml:space="preserve">for several years </w:t>
      </w:r>
      <w:r w:rsidRPr="000A3550">
        <w:rPr>
          <w:rFonts w:ascii="Book Antiqua" w:hAnsi="Book Antiqua" w:cs="Arial"/>
        </w:rPr>
        <w:t xml:space="preserve">and </w:t>
      </w:r>
      <w:r>
        <w:rPr>
          <w:rFonts w:ascii="Book Antiqua" w:hAnsi="Book Antiqua" w:cs="Arial"/>
        </w:rPr>
        <w:t>the appellant’s</w:t>
      </w:r>
      <w:r w:rsidRPr="000A3550">
        <w:rPr>
          <w:rFonts w:ascii="Book Antiqua" w:hAnsi="Book Antiqua" w:cs="Arial"/>
        </w:rPr>
        <w:t xml:space="preserve"> brother-in-law has been attacked. </w:t>
      </w:r>
      <w:r>
        <w:rPr>
          <w:rFonts w:ascii="Book Antiqua" w:hAnsi="Book Antiqua" w:cs="Arial"/>
        </w:rPr>
        <w:t xml:space="preserve">Moreover, the expert’s report states that </w:t>
      </w:r>
      <w:r w:rsidR="000F29BA" w:rsidRPr="00857346">
        <w:rPr>
          <w:rFonts w:ascii="Book Antiqua" w:hAnsi="Book Antiqua" w:cs="Arial"/>
        </w:rPr>
        <w:t xml:space="preserve">it is consistent with cultural norms within Pakistan for a Sunni family to consider themselves dishonoured when a woman in the appellant’s circumstances fails to marry a cousin to whom she </w:t>
      </w:r>
      <w:r w:rsidR="00A07E1D" w:rsidRPr="00857346">
        <w:rPr>
          <w:rFonts w:ascii="Book Antiqua" w:hAnsi="Book Antiqua" w:cs="Arial"/>
        </w:rPr>
        <w:t>has been promised and instead marries a Shia</w:t>
      </w:r>
      <w:r w:rsidR="00764179" w:rsidRPr="00857346">
        <w:rPr>
          <w:rFonts w:ascii="Book Antiqua" w:hAnsi="Book Antiqua" w:cs="Arial"/>
        </w:rPr>
        <w:t>.</w:t>
      </w:r>
    </w:p>
    <w:p w:rsidR="0095446C" w:rsidRPr="00857346" w:rsidRDefault="00857346" w:rsidP="00857346">
      <w:pPr>
        <w:numPr>
          <w:ilvl w:val="0"/>
          <w:numId w:val="1"/>
        </w:numPr>
        <w:spacing w:before="240"/>
        <w:rPr>
          <w:rFonts w:ascii="Book Antiqua" w:hAnsi="Book Antiqua" w:cs="Arial"/>
        </w:rPr>
      </w:pPr>
      <w:r>
        <w:rPr>
          <w:rFonts w:ascii="Book Antiqua" w:hAnsi="Book Antiqua" w:cs="Arial"/>
        </w:rPr>
        <w:t>I do not accept</w:t>
      </w:r>
      <w:r w:rsidR="0095446C">
        <w:rPr>
          <w:rFonts w:ascii="Book Antiqua" w:hAnsi="Book Antiqua" w:cs="Arial"/>
        </w:rPr>
        <w:t xml:space="preserve">, however, that the SSP (independent of the interests of the appellant’s uncle and cousin) is motivated to locate the appellant and her husband. The evidence of Mrs </w:t>
      </w:r>
      <w:proofErr w:type="spellStart"/>
      <w:r w:rsidR="0095446C">
        <w:rPr>
          <w:rFonts w:ascii="Book Antiqua" w:hAnsi="Book Antiqua" w:cs="Arial"/>
        </w:rPr>
        <w:t>Moeen</w:t>
      </w:r>
      <w:proofErr w:type="spellEnd"/>
      <w:r w:rsidR="0095446C">
        <w:rPr>
          <w:rFonts w:ascii="Book Antiqua" w:hAnsi="Book Antiqua" w:cs="Arial"/>
        </w:rPr>
        <w:t xml:space="preserve"> indicates that the SSP would be opposed to the appellant’s marriage but not that a person in her circumstances would be of sufficient interest to expend resources locating her.</w:t>
      </w:r>
    </w:p>
    <w:p w:rsidR="0095446C" w:rsidRDefault="0095446C" w:rsidP="0095446C">
      <w:pPr>
        <w:numPr>
          <w:ilvl w:val="0"/>
          <w:numId w:val="1"/>
        </w:numPr>
        <w:spacing w:before="240"/>
        <w:rPr>
          <w:rFonts w:ascii="Book Antiqua" w:hAnsi="Book Antiqua" w:cs="Arial"/>
        </w:rPr>
      </w:pPr>
      <w:r>
        <w:rPr>
          <w:rFonts w:ascii="Book Antiqua" w:hAnsi="Book Antiqua" w:cs="Arial"/>
        </w:rPr>
        <w:t>Having found that the appellant’s uncle and cousin are motivated to locate the appellant, the remaining issue is whether they would have the means to do so.</w:t>
      </w:r>
    </w:p>
    <w:p w:rsidR="0095446C" w:rsidRPr="00014712" w:rsidRDefault="00764179" w:rsidP="0095446C">
      <w:pPr>
        <w:numPr>
          <w:ilvl w:val="0"/>
          <w:numId w:val="1"/>
        </w:numPr>
        <w:spacing w:before="240"/>
        <w:rPr>
          <w:rFonts w:ascii="Book Antiqua" w:hAnsi="Book Antiqua" w:cs="Arial"/>
        </w:rPr>
      </w:pPr>
      <w:r w:rsidRPr="0095446C">
        <w:rPr>
          <w:rFonts w:ascii="Book Antiqua" w:hAnsi="Book Antiqua" w:cstheme="minorHAnsi"/>
        </w:rPr>
        <w:t xml:space="preserve">The evidence of Mrs </w:t>
      </w:r>
      <w:proofErr w:type="spellStart"/>
      <w:r w:rsidRPr="0095446C">
        <w:rPr>
          <w:rFonts w:ascii="Book Antiqua" w:hAnsi="Book Antiqua" w:cstheme="minorHAnsi"/>
        </w:rPr>
        <w:t>Moeen</w:t>
      </w:r>
      <w:proofErr w:type="spellEnd"/>
      <w:r w:rsidR="00014712">
        <w:rPr>
          <w:rFonts w:ascii="Book Antiqua" w:hAnsi="Book Antiqua" w:cstheme="minorHAnsi"/>
        </w:rPr>
        <w:t xml:space="preserve">, which has </w:t>
      </w:r>
      <w:r w:rsidR="00AC1853">
        <w:rPr>
          <w:rFonts w:ascii="Book Antiqua" w:hAnsi="Book Antiqua" w:cstheme="minorHAnsi"/>
        </w:rPr>
        <w:t xml:space="preserve">not been disputed and I accept </w:t>
      </w:r>
      <w:r w:rsidR="00014712">
        <w:rPr>
          <w:rFonts w:ascii="Book Antiqua" w:hAnsi="Book Antiqua" w:cstheme="minorHAnsi"/>
        </w:rPr>
        <w:t>(as quoted above at paragraphs 12 and 13 of this decision),</w:t>
      </w:r>
      <w:r w:rsidRPr="0095446C">
        <w:rPr>
          <w:rFonts w:ascii="Book Antiqua" w:hAnsi="Book Antiqua" w:cstheme="minorHAnsi"/>
        </w:rPr>
        <w:t xml:space="preserve"> is that the appellant and her husband would need to register with a national database upon return to Pakistan in order to function with</w:t>
      </w:r>
      <w:r w:rsidR="00E40B7E" w:rsidRPr="0095446C">
        <w:rPr>
          <w:rFonts w:ascii="Book Antiqua" w:hAnsi="Book Antiqua" w:cstheme="minorHAnsi"/>
        </w:rPr>
        <w:t>in</w:t>
      </w:r>
      <w:r w:rsidRPr="0095446C">
        <w:rPr>
          <w:rFonts w:ascii="Book Antiqua" w:hAnsi="Book Antiqua" w:cstheme="minorHAnsi"/>
        </w:rPr>
        <w:t xml:space="preserve"> society and that once re</w:t>
      </w:r>
      <w:r w:rsidR="001A2D44">
        <w:rPr>
          <w:rFonts w:ascii="Book Antiqua" w:hAnsi="Book Antiqua" w:cstheme="minorHAnsi"/>
        </w:rPr>
        <w:t>gistered on this database it wou</w:t>
      </w:r>
      <w:r w:rsidRPr="0095446C">
        <w:rPr>
          <w:rFonts w:ascii="Book Antiqua" w:hAnsi="Book Antiqua" w:cstheme="minorHAnsi"/>
        </w:rPr>
        <w:t>ld be relatively straightforward for a</w:t>
      </w:r>
      <w:r w:rsidR="001A2D44">
        <w:rPr>
          <w:rFonts w:ascii="Book Antiqua" w:hAnsi="Book Antiqua" w:cstheme="minorHAnsi"/>
        </w:rPr>
        <w:t xml:space="preserve"> motivated </w:t>
      </w:r>
      <w:r w:rsidRPr="0095446C">
        <w:rPr>
          <w:rFonts w:ascii="Book Antiqua" w:hAnsi="Book Antiqua" w:cstheme="minorHAnsi"/>
        </w:rPr>
        <w:t>person to obtain information on</w:t>
      </w:r>
      <w:r w:rsidR="00014712">
        <w:rPr>
          <w:rFonts w:ascii="Book Antiqua" w:hAnsi="Book Antiqua" w:cstheme="minorHAnsi"/>
        </w:rPr>
        <w:t xml:space="preserve"> their whereabouts</w:t>
      </w:r>
      <w:r w:rsidR="0095446C">
        <w:rPr>
          <w:rFonts w:ascii="Book Antiqua" w:hAnsi="Book Antiqua" w:cstheme="minorHAnsi"/>
        </w:rPr>
        <w:t xml:space="preserve">, </w:t>
      </w:r>
      <w:r w:rsidRPr="0095446C">
        <w:rPr>
          <w:rFonts w:ascii="Book Antiqua" w:hAnsi="Book Antiqua" w:cstheme="minorHAnsi"/>
        </w:rPr>
        <w:t>even without connections to an organisation such as the SSP</w:t>
      </w:r>
      <w:r w:rsidR="0095446C">
        <w:rPr>
          <w:rFonts w:ascii="Book Antiqua" w:hAnsi="Book Antiqua" w:cstheme="minorHAnsi"/>
        </w:rPr>
        <w:t>.</w:t>
      </w:r>
    </w:p>
    <w:p w:rsidR="00014712" w:rsidRPr="00014712" w:rsidRDefault="00014712" w:rsidP="0095446C">
      <w:pPr>
        <w:numPr>
          <w:ilvl w:val="0"/>
          <w:numId w:val="1"/>
        </w:numPr>
        <w:spacing w:before="240"/>
        <w:rPr>
          <w:rFonts w:ascii="Book Antiqua" w:hAnsi="Book Antiqua" w:cs="Arial"/>
        </w:rPr>
      </w:pPr>
      <w:r>
        <w:rPr>
          <w:rFonts w:ascii="Book Antiqua" w:hAnsi="Book Antiqua" w:cs="Arial"/>
        </w:rPr>
        <w:t xml:space="preserve">An argument raised by the respondent is that the appellant’s uncle/cousin would not be aware of her return to Pakistan. Given that the appellant’s mother shares a family home with the appellant’s uncle, I consider there to be a substantial risk that </w:t>
      </w:r>
      <w:r w:rsidR="001A2D44">
        <w:rPr>
          <w:rFonts w:ascii="Book Antiqua" w:hAnsi="Book Antiqua" w:cs="Arial"/>
        </w:rPr>
        <w:t xml:space="preserve">the </w:t>
      </w:r>
      <w:r>
        <w:rPr>
          <w:rFonts w:ascii="Book Antiqua" w:hAnsi="Book Antiqua" w:cs="Arial"/>
        </w:rPr>
        <w:t xml:space="preserve">uncle will find out that the appellant has returned to Pakistan. </w:t>
      </w:r>
    </w:p>
    <w:p w:rsidR="00014712" w:rsidRDefault="00B33923" w:rsidP="0095446C">
      <w:pPr>
        <w:numPr>
          <w:ilvl w:val="0"/>
          <w:numId w:val="1"/>
        </w:numPr>
        <w:spacing w:before="240"/>
        <w:rPr>
          <w:rFonts w:ascii="Book Antiqua" w:hAnsi="Book Antiqua" w:cs="Arial"/>
        </w:rPr>
      </w:pPr>
      <w:r>
        <w:rPr>
          <w:rFonts w:ascii="Book Antiqua" w:hAnsi="Book Antiqua" w:cs="Arial"/>
        </w:rPr>
        <w:lastRenderedPageBreak/>
        <w:t>It therefore follows that, i</w:t>
      </w:r>
      <w:r w:rsidR="00D82DDE">
        <w:rPr>
          <w:rFonts w:ascii="Book Antiqua" w:hAnsi="Book Antiqua" w:cs="Arial"/>
        </w:rPr>
        <w:t>f the appellant is returned to Pakistan,</w:t>
      </w:r>
      <w:r w:rsidR="00014712">
        <w:rPr>
          <w:rFonts w:ascii="Book Antiqua" w:hAnsi="Book Antiqua" w:cs="Arial"/>
        </w:rPr>
        <w:t xml:space="preserve"> the</w:t>
      </w:r>
      <w:r w:rsidR="001A2D44">
        <w:rPr>
          <w:rFonts w:ascii="Book Antiqua" w:hAnsi="Book Antiqua" w:cs="Arial"/>
        </w:rPr>
        <w:t xml:space="preserve">re is </w:t>
      </w:r>
      <w:r w:rsidR="00D82DDE">
        <w:rPr>
          <w:rFonts w:ascii="Book Antiqua" w:hAnsi="Book Antiqua" w:cs="Arial"/>
        </w:rPr>
        <w:t>a reasonable degree of likelihood that</w:t>
      </w:r>
      <w:r w:rsidR="00014712">
        <w:rPr>
          <w:rFonts w:ascii="Book Antiqua" w:hAnsi="Book Antiqua" w:cs="Arial"/>
        </w:rPr>
        <w:t xml:space="preserve"> appellant’s uncle and cousin will </w:t>
      </w:r>
      <w:r w:rsidR="00D82DDE">
        <w:rPr>
          <w:rFonts w:ascii="Book Antiqua" w:hAnsi="Book Antiqua" w:cs="Arial"/>
        </w:rPr>
        <w:t xml:space="preserve">become aware of this and </w:t>
      </w:r>
      <w:r>
        <w:rPr>
          <w:rFonts w:ascii="Book Antiqua" w:hAnsi="Book Antiqua" w:cs="Arial"/>
        </w:rPr>
        <w:t xml:space="preserve">that they </w:t>
      </w:r>
      <w:r w:rsidR="00D82DDE">
        <w:rPr>
          <w:rFonts w:ascii="Book Antiqua" w:hAnsi="Book Antiqua" w:cs="Arial"/>
        </w:rPr>
        <w:t xml:space="preserve">will be able to locate her </w:t>
      </w:r>
      <w:r w:rsidR="00D82DDE" w:rsidRPr="000A3550">
        <w:rPr>
          <w:rFonts w:ascii="Book Antiqua" w:hAnsi="Book Antiqua" w:cstheme="minorHAnsi"/>
        </w:rPr>
        <w:t>irrespective of th</w:t>
      </w:r>
      <w:r w:rsidR="00D82DDE">
        <w:rPr>
          <w:rFonts w:ascii="Book Antiqua" w:hAnsi="Book Antiqua" w:cstheme="minorHAnsi"/>
        </w:rPr>
        <w:t>e area of the country in which she</w:t>
      </w:r>
      <w:r w:rsidR="00D82DDE" w:rsidRPr="000A3550">
        <w:rPr>
          <w:rFonts w:ascii="Book Antiqua" w:hAnsi="Book Antiqua" w:cstheme="minorHAnsi"/>
        </w:rPr>
        <w:t xml:space="preserve"> reside</w:t>
      </w:r>
      <w:r w:rsidR="00D82DDE">
        <w:rPr>
          <w:rFonts w:ascii="Book Antiqua" w:hAnsi="Book Antiqua" w:cstheme="minorHAnsi"/>
        </w:rPr>
        <w:t>s.</w:t>
      </w:r>
      <w:r w:rsidR="00D82DDE">
        <w:rPr>
          <w:rFonts w:ascii="Book Antiqua" w:hAnsi="Book Antiqua" w:cs="Arial"/>
        </w:rPr>
        <w:t xml:space="preserve"> I find, therefore, that internal relocation is not a viable option for the appellant. Accordingly, her appeal is allowed.</w:t>
      </w:r>
    </w:p>
    <w:p w:rsidR="00D82DDE" w:rsidRPr="00D82DDE" w:rsidRDefault="00D82DDE" w:rsidP="00D82DDE">
      <w:pPr>
        <w:spacing w:before="240"/>
        <w:rPr>
          <w:rFonts w:ascii="Book Antiqua" w:hAnsi="Book Antiqua" w:cs="Arial"/>
          <w:u w:val="single"/>
        </w:rPr>
      </w:pPr>
      <w:r w:rsidRPr="00D82DDE">
        <w:rPr>
          <w:rFonts w:ascii="Book Antiqua" w:hAnsi="Book Antiqua" w:cs="Arial"/>
          <w:u w:val="single"/>
        </w:rPr>
        <w:t>Decision</w:t>
      </w:r>
    </w:p>
    <w:p w:rsidR="00D949B7" w:rsidRPr="00D82DDE" w:rsidRDefault="00D82DDE" w:rsidP="00DF1E9E">
      <w:pPr>
        <w:numPr>
          <w:ilvl w:val="0"/>
          <w:numId w:val="1"/>
        </w:numPr>
        <w:spacing w:before="240"/>
        <w:rPr>
          <w:rFonts w:ascii="Book Antiqua" w:hAnsi="Book Antiqua" w:cs="Arial"/>
        </w:rPr>
      </w:pPr>
      <w:r>
        <w:rPr>
          <w:rFonts w:ascii="Book Antiqua" w:hAnsi="Book Antiqua" w:cs="Arial"/>
        </w:rPr>
        <w:t xml:space="preserve">I allow the appellant’s appeal </w:t>
      </w:r>
      <w:r w:rsidR="00B33923">
        <w:rPr>
          <w:rFonts w:ascii="Book Antiqua" w:hAnsi="Book Antiqua" w:cs="Arial"/>
        </w:rPr>
        <w:t xml:space="preserve">against </w:t>
      </w:r>
      <w:r>
        <w:rPr>
          <w:rFonts w:ascii="Book Antiqua" w:hAnsi="Book Antiqua" w:cs="Arial"/>
        </w:rPr>
        <w:t>the decision of the Secretary of State to refuse her asylum claim.</w:t>
      </w:r>
    </w:p>
    <w:p w:rsidR="00D82DDE" w:rsidRDefault="00D82DDE" w:rsidP="00DF1E9E">
      <w:pPr>
        <w:rPr>
          <w:rFonts w:ascii="Book Antiqua" w:hAnsi="Book Antiqua" w:cs="Arial"/>
          <w:b/>
          <w:u w:val="single"/>
        </w:rPr>
      </w:pPr>
    </w:p>
    <w:p w:rsidR="00D949B7" w:rsidRPr="000A3550" w:rsidRDefault="00D949B7" w:rsidP="00DF1E9E">
      <w:pPr>
        <w:rPr>
          <w:rFonts w:ascii="Book Antiqua" w:hAnsi="Book Antiqua" w:cs="Arial"/>
        </w:rPr>
      </w:pPr>
      <w:r w:rsidRPr="000A3550">
        <w:rPr>
          <w:rFonts w:ascii="Book Antiqua" w:hAnsi="Book Antiqua" w:cs="Arial"/>
          <w:b/>
          <w:u w:val="single"/>
        </w:rPr>
        <w:t>Direction Regarding Anonymity – Rule 14 of the Tribunal Procedure (Upper Tribunal) Rules 2008</w:t>
      </w:r>
    </w:p>
    <w:p w:rsidR="00D949B7" w:rsidRPr="000A3550" w:rsidRDefault="00D949B7" w:rsidP="00DF1E9E">
      <w:pPr>
        <w:rPr>
          <w:rFonts w:ascii="Book Antiqua" w:hAnsi="Book Antiqua" w:cs="Arial"/>
        </w:rPr>
      </w:pPr>
    </w:p>
    <w:p w:rsidR="00D949B7" w:rsidRPr="000A3550" w:rsidRDefault="00D949B7" w:rsidP="00DF1E9E">
      <w:pPr>
        <w:rPr>
          <w:rFonts w:ascii="Book Antiqua" w:hAnsi="Book Antiqua" w:cs="Arial"/>
        </w:rPr>
      </w:pPr>
      <w:r w:rsidRPr="000A3550">
        <w:rPr>
          <w:rFonts w:ascii="Book Antiqua" w:hAnsi="Book Antiqua" w:cs="Arial"/>
        </w:rPr>
        <w:t xml:space="preserve">Unless and </w:t>
      </w:r>
      <w:r w:rsidRPr="000A3550">
        <w:rPr>
          <w:rFonts w:ascii="Book Antiqua" w:hAnsi="Book Antiqua"/>
        </w:rPr>
        <w:t xml:space="preserve">until a Tribunal or court directs otherwise, the </w:t>
      </w:r>
      <w:r w:rsidR="00B528BB" w:rsidRPr="000A3550">
        <w:rPr>
          <w:rFonts w:ascii="Book Antiqua" w:hAnsi="Book Antiqua"/>
        </w:rPr>
        <w:t>a</w:t>
      </w:r>
      <w:r w:rsidRPr="000A3550">
        <w:rPr>
          <w:rFonts w:ascii="Book Antiqua" w:hAnsi="Book Antiqua"/>
        </w:rPr>
        <w:t>ppellant is granted anonymity.  No report of these proceedings shall di</w:t>
      </w:r>
      <w:r w:rsidR="00D82DDE">
        <w:rPr>
          <w:rFonts w:ascii="Book Antiqua" w:hAnsi="Book Antiqua"/>
        </w:rPr>
        <w:t>rectly or indirectly identify her</w:t>
      </w:r>
      <w:r w:rsidRPr="000A3550">
        <w:rPr>
          <w:rFonts w:ascii="Book Antiqua" w:hAnsi="Book Antiqua"/>
        </w:rPr>
        <w:t xml:space="preserve"> or any member of </w:t>
      </w:r>
      <w:r w:rsidR="00D82DDE">
        <w:rPr>
          <w:rFonts w:ascii="Book Antiqua" w:hAnsi="Book Antiqua"/>
        </w:rPr>
        <w:t xml:space="preserve">her </w:t>
      </w:r>
      <w:r w:rsidRPr="000A3550">
        <w:rPr>
          <w:rFonts w:ascii="Book Antiqua" w:hAnsi="Book Antiqua"/>
        </w:rPr>
        <w:t xml:space="preserve">family.  This direction applies both to the </w:t>
      </w:r>
      <w:r w:rsidR="00B528BB" w:rsidRPr="000A3550">
        <w:rPr>
          <w:rFonts w:ascii="Book Antiqua" w:hAnsi="Book Antiqua"/>
        </w:rPr>
        <w:t>a</w:t>
      </w:r>
      <w:r w:rsidRPr="000A3550">
        <w:rPr>
          <w:rFonts w:ascii="Book Antiqua" w:hAnsi="Book Antiqua"/>
        </w:rPr>
        <w:t xml:space="preserve">ppellant and to the </w:t>
      </w:r>
      <w:r w:rsidR="00B528BB" w:rsidRPr="000A3550">
        <w:rPr>
          <w:rFonts w:ascii="Book Antiqua" w:hAnsi="Book Antiqua"/>
        </w:rPr>
        <w:t>r</w:t>
      </w:r>
      <w:r w:rsidRPr="000A3550">
        <w:rPr>
          <w:rFonts w:ascii="Book Antiqua" w:hAnsi="Book Antiqua"/>
        </w:rPr>
        <w:t>espondent.  Failure to comply with this direction could lead to contempt of court proceedings.</w:t>
      </w:r>
    </w:p>
    <w:p w:rsidR="009F5220" w:rsidRPr="000A3550" w:rsidRDefault="009F5220" w:rsidP="00DF1E9E">
      <w:pPr>
        <w:rPr>
          <w:rFonts w:ascii="Book Antiqua" w:hAnsi="Book Antiqua" w:cs="Arial"/>
        </w:rPr>
      </w:pPr>
    </w:p>
    <w:p w:rsidR="009F5220" w:rsidRPr="000A3550" w:rsidRDefault="009F5220" w:rsidP="00DF1E9E">
      <w:pPr>
        <w:rPr>
          <w:rFonts w:ascii="Book Antiqua" w:hAnsi="Book Antiqua" w:cs="Arial"/>
        </w:rPr>
      </w:pPr>
    </w:p>
    <w:p w:rsidR="006267A3" w:rsidRDefault="006267A3" w:rsidP="00D82DDE">
      <w:pPr>
        <w:rPr>
          <w:rFonts w:ascii="Book Antiqua" w:hAnsi="Book Antiqua" w:cs="Arial"/>
        </w:rPr>
      </w:pPr>
    </w:p>
    <w:tbl>
      <w:tblPr>
        <w:tblW w:w="0" w:type="auto"/>
        <w:tblLook w:val="01E0" w:firstRow="1" w:lastRow="1" w:firstColumn="1" w:lastColumn="1" w:noHBand="0" w:noVBand="0"/>
      </w:tblPr>
      <w:tblGrid>
        <w:gridCol w:w="4821"/>
        <w:gridCol w:w="4817"/>
      </w:tblGrid>
      <w:tr w:rsidR="00D82DDE" w:rsidRPr="00B53DCC" w:rsidTr="000B39F8">
        <w:trPr>
          <w:trHeight w:val="277"/>
        </w:trPr>
        <w:tc>
          <w:tcPr>
            <w:tcW w:w="4916" w:type="dxa"/>
          </w:tcPr>
          <w:p w:rsidR="00D82DDE" w:rsidRPr="00B53DCC" w:rsidRDefault="00D82DDE" w:rsidP="000B39F8">
            <w:pPr>
              <w:tabs>
                <w:tab w:val="left" w:pos="2520"/>
              </w:tabs>
              <w:rPr>
                <w:rFonts w:ascii="Book Antiqua" w:hAnsi="Book Antiqua" w:cs="Arial"/>
              </w:rPr>
            </w:pPr>
          </w:p>
          <w:p w:rsidR="00D82DDE" w:rsidRDefault="00D82DDE" w:rsidP="000B39F8">
            <w:pPr>
              <w:tabs>
                <w:tab w:val="left" w:pos="2520"/>
              </w:tabs>
              <w:rPr>
                <w:rFonts w:ascii="Book Antiqua" w:hAnsi="Book Antiqua" w:cs="Arial"/>
              </w:rPr>
            </w:pPr>
          </w:p>
          <w:p w:rsidR="00D82DDE" w:rsidRPr="00B53DCC" w:rsidRDefault="00D82DDE" w:rsidP="000B39F8">
            <w:pPr>
              <w:tabs>
                <w:tab w:val="left" w:pos="2520"/>
              </w:tabs>
              <w:rPr>
                <w:rFonts w:ascii="Book Antiqua" w:hAnsi="Book Antiqua" w:cs="Arial"/>
              </w:rPr>
            </w:pPr>
            <w:r w:rsidRPr="00B53DCC">
              <w:rPr>
                <w:rFonts w:ascii="Book Antiqua" w:hAnsi="Book Antiqua" w:cs="Arial"/>
              </w:rPr>
              <w:t>Signed</w:t>
            </w:r>
          </w:p>
          <w:p w:rsidR="00D82DDE" w:rsidRPr="00B53DCC" w:rsidRDefault="00D82DDE" w:rsidP="000B39F8">
            <w:pPr>
              <w:tabs>
                <w:tab w:val="left" w:pos="2520"/>
              </w:tabs>
              <w:rPr>
                <w:rFonts w:ascii="Book Antiqua" w:hAnsi="Book Antiqua" w:cs="Arial"/>
              </w:rPr>
            </w:pPr>
            <w:r>
              <w:rPr>
                <w:rFonts w:ascii="Book Antiqua" w:hAnsi="Book Antiqua" w:cs="Arial"/>
                <w:noProof/>
              </w:rPr>
              <w:drawing>
                <wp:anchor distT="0" distB="0" distL="114300" distR="114300" simplePos="0" relativeHeight="251659264" behindDoc="0" locked="0" layoutInCell="1" allowOverlap="1">
                  <wp:simplePos x="0" y="0"/>
                  <wp:positionH relativeFrom="column">
                    <wp:posOffset>384175</wp:posOffset>
                  </wp:positionH>
                  <wp:positionV relativeFrom="paragraph">
                    <wp:posOffset>166370</wp:posOffset>
                  </wp:positionV>
                  <wp:extent cx="1482090" cy="323215"/>
                  <wp:effectExtent l="19050" t="0" r="3810" b="0"/>
                  <wp:wrapNone/>
                  <wp:docPr id="2" name="In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3"/>
                          <pic:cNvPicPr>
                            <a:picLocks noChangeAspect="1" noChangeArrowheads="1"/>
                          </pic:cNvPicPr>
                        </pic:nvPicPr>
                        <pic:blipFill>
                          <a:blip r:embed="rId8" cstate="print"/>
                          <a:srcRect/>
                          <a:stretch>
                            <a:fillRect/>
                          </a:stretch>
                        </pic:blipFill>
                        <pic:spPr bwMode="auto">
                          <a:xfrm>
                            <a:off x="0" y="0"/>
                            <a:ext cx="1482090" cy="323215"/>
                          </a:xfrm>
                          <a:prstGeom prst="rect">
                            <a:avLst/>
                          </a:prstGeom>
                          <a:noFill/>
                        </pic:spPr>
                      </pic:pic>
                    </a:graphicData>
                  </a:graphic>
                </wp:anchor>
              </w:drawing>
            </w:r>
          </w:p>
          <w:p w:rsidR="00D82DDE" w:rsidRPr="00B53DCC" w:rsidRDefault="00D82DDE" w:rsidP="000B39F8">
            <w:pPr>
              <w:tabs>
                <w:tab w:val="left" w:pos="2520"/>
              </w:tabs>
              <w:rPr>
                <w:rFonts w:ascii="Book Antiqua" w:hAnsi="Book Antiqua" w:cs="Arial"/>
              </w:rPr>
            </w:pPr>
          </w:p>
          <w:p w:rsidR="00D82DDE" w:rsidRPr="00B53DCC" w:rsidRDefault="00D82DDE" w:rsidP="000B39F8">
            <w:pPr>
              <w:tabs>
                <w:tab w:val="left" w:pos="2520"/>
              </w:tabs>
              <w:rPr>
                <w:rFonts w:ascii="Book Antiqua" w:hAnsi="Book Antiqua" w:cs="Arial"/>
              </w:rPr>
            </w:pPr>
          </w:p>
          <w:p w:rsidR="00D82DDE" w:rsidRPr="00B53DCC" w:rsidRDefault="00D82DDE" w:rsidP="000B39F8">
            <w:pPr>
              <w:tabs>
                <w:tab w:val="left" w:pos="2520"/>
              </w:tabs>
              <w:rPr>
                <w:rFonts w:ascii="Book Antiqua" w:hAnsi="Book Antiqua" w:cs="Arial"/>
              </w:rPr>
            </w:pPr>
          </w:p>
        </w:tc>
        <w:tc>
          <w:tcPr>
            <w:tcW w:w="4916" w:type="dxa"/>
          </w:tcPr>
          <w:p w:rsidR="00D82DDE" w:rsidRPr="00B53DCC" w:rsidRDefault="00D82DDE" w:rsidP="000B39F8">
            <w:pPr>
              <w:tabs>
                <w:tab w:val="left" w:pos="2520"/>
              </w:tabs>
              <w:rPr>
                <w:rFonts w:ascii="Book Antiqua" w:hAnsi="Book Antiqua" w:cs="Arial"/>
              </w:rPr>
            </w:pPr>
          </w:p>
        </w:tc>
      </w:tr>
      <w:tr w:rsidR="00D82DDE" w:rsidRPr="00B53DCC" w:rsidTr="000B39F8">
        <w:trPr>
          <w:trHeight w:val="1000"/>
        </w:trPr>
        <w:tc>
          <w:tcPr>
            <w:tcW w:w="4916" w:type="dxa"/>
          </w:tcPr>
          <w:p w:rsidR="00D82DDE" w:rsidRPr="00B53DCC" w:rsidRDefault="00D82DDE" w:rsidP="000B39F8">
            <w:pPr>
              <w:tabs>
                <w:tab w:val="left" w:pos="2520"/>
              </w:tabs>
              <w:rPr>
                <w:rFonts w:ascii="Book Antiqua" w:hAnsi="Book Antiqua" w:cs="Arial"/>
              </w:rPr>
            </w:pPr>
            <w:r w:rsidRPr="00B53DCC">
              <w:rPr>
                <w:rFonts w:ascii="Book Antiqua" w:hAnsi="Book Antiqua" w:cs="Arial"/>
              </w:rPr>
              <w:t>Deputy Upper Tribunal Judge Sheridan</w:t>
            </w:r>
          </w:p>
        </w:tc>
        <w:tc>
          <w:tcPr>
            <w:tcW w:w="4916" w:type="dxa"/>
          </w:tcPr>
          <w:p w:rsidR="00D82DDE" w:rsidRPr="00B53DCC" w:rsidRDefault="00D82DDE" w:rsidP="000B39F8">
            <w:pPr>
              <w:tabs>
                <w:tab w:val="left" w:pos="2520"/>
              </w:tabs>
              <w:rPr>
                <w:rFonts w:ascii="Book Antiqua" w:hAnsi="Book Antiqua" w:cs="Arial"/>
              </w:rPr>
            </w:pPr>
          </w:p>
          <w:p w:rsidR="00D82DDE" w:rsidRPr="00B53DCC" w:rsidRDefault="00D82DDE" w:rsidP="000B39F8">
            <w:pPr>
              <w:tabs>
                <w:tab w:val="left" w:pos="2520"/>
              </w:tabs>
              <w:rPr>
                <w:rFonts w:ascii="Book Antiqua" w:hAnsi="Book Antiqua" w:cs="Arial"/>
              </w:rPr>
            </w:pPr>
            <w:r w:rsidRPr="00B53DCC">
              <w:rPr>
                <w:rFonts w:ascii="Book Antiqua" w:hAnsi="Book Antiqua" w:cs="Arial"/>
              </w:rPr>
              <w:t xml:space="preserve">Dated: </w:t>
            </w:r>
            <w:r>
              <w:rPr>
                <w:rFonts w:ascii="Book Antiqua" w:hAnsi="Book Antiqua" w:cs="Arial"/>
              </w:rPr>
              <w:t xml:space="preserve">16 August </w:t>
            </w:r>
            <w:r w:rsidR="00D7089B">
              <w:rPr>
                <w:rFonts w:ascii="Book Antiqua" w:hAnsi="Book Antiqua" w:cs="Arial"/>
              </w:rPr>
              <w:t>2018</w:t>
            </w:r>
          </w:p>
        </w:tc>
      </w:tr>
    </w:tbl>
    <w:p w:rsidR="006267A3" w:rsidRDefault="006267A3" w:rsidP="00B95326">
      <w:pPr>
        <w:jc w:val="center"/>
        <w:rPr>
          <w:rFonts w:ascii="Book Antiqua" w:hAnsi="Book Antiqua" w:cs="Arial"/>
        </w:rPr>
      </w:pPr>
    </w:p>
    <w:p w:rsidR="006267A3" w:rsidRDefault="006267A3" w:rsidP="00B95326">
      <w:pPr>
        <w:jc w:val="center"/>
        <w:rPr>
          <w:rFonts w:ascii="Book Antiqua" w:hAnsi="Book Antiqua" w:cs="Arial"/>
        </w:rPr>
      </w:pPr>
    </w:p>
    <w:p w:rsidR="006267A3" w:rsidRDefault="006267A3" w:rsidP="00B95326">
      <w:pPr>
        <w:jc w:val="center"/>
        <w:rPr>
          <w:rFonts w:ascii="Book Antiqua" w:hAnsi="Book Antiqua" w:cs="Arial"/>
        </w:rPr>
      </w:pPr>
    </w:p>
    <w:p w:rsidR="006267A3" w:rsidRDefault="006267A3" w:rsidP="00B95326">
      <w:pPr>
        <w:jc w:val="center"/>
        <w:rPr>
          <w:rFonts w:ascii="Book Antiqua" w:hAnsi="Book Antiqua" w:cs="Arial"/>
        </w:rPr>
      </w:pPr>
    </w:p>
    <w:p w:rsidR="006267A3" w:rsidRDefault="006267A3" w:rsidP="00B95326">
      <w:pPr>
        <w:jc w:val="center"/>
        <w:rPr>
          <w:rFonts w:ascii="Book Antiqua" w:hAnsi="Book Antiqua" w:cs="Arial"/>
        </w:rPr>
      </w:pPr>
    </w:p>
    <w:p w:rsidR="006267A3" w:rsidRDefault="006267A3" w:rsidP="00B95326">
      <w:pPr>
        <w:jc w:val="center"/>
        <w:rPr>
          <w:rFonts w:ascii="Book Antiqua" w:hAnsi="Book Antiqua" w:cs="Arial"/>
        </w:rPr>
      </w:pPr>
    </w:p>
    <w:p w:rsidR="006267A3" w:rsidRDefault="006267A3" w:rsidP="00B95326">
      <w:pPr>
        <w:jc w:val="center"/>
        <w:rPr>
          <w:rFonts w:ascii="Book Antiqua" w:hAnsi="Book Antiqua" w:cs="Arial"/>
        </w:rPr>
      </w:pPr>
    </w:p>
    <w:p w:rsidR="006267A3" w:rsidRDefault="006267A3" w:rsidP="00B95326">
      <w:pPr>
        <w:jc w:val="center"/>
        <w:rPr>
          <w:rFonts w:ascii="Book Antiqua" w:hAnsi="Book Antiqua" w:cs="Arial"/>
        </w:rPr>
      </w:pPr>
    </w:p>
    <w:p w:rsidR="006267A3" w:rsidRDefault="006267A3" w:rsidP="00B95326">
      <w:pPr>
        <w:jc w:val="center"/>
        <w:rPr>
          <w:rFonts w:ascii="Book Antiqua" w:hAnsi="Book Antiqua" w:cs="Arial"/>
        </w:rPr>
      </w:pPr>
    </w:p>
    <w:p w:rsidR="006267A3" w:rsidRDefault="006267A3" w:rsidP="00B95326">
      <w:pPr>
        <w:jc w:val="center"/>
        <w:rPr>
          <w:rFonts w:ascii="Book Antiqua" w:hAnsi="Book Antiqua" w:cs="Arial"/>
        </w:rPr>
      </w:pPr>
    </w:p>
    <w:p w:rsidR="006267A3" w:rsidRDefault="006267A3" w:rsidP="00D82DDE">
      <w:pPr>
        <w:rPr>
          <w:rFonts w:ascii="Book Antiqua" w:hAnsi="Book Antiqua" w:cs="Arial"/>
        </w:rPr>
      </w:pPr>
    </w:p>
    <w:sectPr w:rsidR="006267A3"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71CB" w:rsidRDefault="00C371CB">
      <w:r>
        <w:separator/>
      </w:r>
    </w:p>
  </w:endnote>
  <w:endnote w:type="continuationSeparator" w:id="0">
    <w:p w:rsidR="00C371CB" w:rsidRDefault="00C37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D44" w:rsidRPr="009B7433" w:rsidRDefault="001A2D44"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BC120A">
      <w:rPr>
        <w:rStyle w:val="PageNumber"/>
        <w:rFonts w:ascii="Book Antiqua" w:hAnsi="Book Antiqua" w:cs="Arial"/>
        <w:noProof/>
        <w:sz w:val="16"/>
        <w:szCs w:val="16"/>
      </w:rPr>
      <w:t>5</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D44" w:rsidRPr="009B7433" w:rsidRDefault="001A2D44"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71CB" w:rsidRDefault="00C371CB">
      <w:r>
        <w:separator/>
      </w:r>
    </w:p>
  </w:footnote>
  <w:footnote w:type="continuationSeparator" w:id="0">
    <w:p w:rsidR="00C371CB" w:rsidRDefault="00C371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D44" w:rsidRPr="009B7433" w:rsidRDefault="001A2D44" w:rsidP="00593795">
    <w:pPr>
      <w:pStyle w:val="Header"/>
      <w:jc w:val="right"/>
      <w:rPr>
        <w:rFonts w:ascii="Book Antiqua" w:hAnsi="Book Antiqua" w:cs="Arial"/>
        <w:sz w:val="16"/>
        <w:szCs w:val="16"/>
      </w:rPr>
    </w:pPr>
    <w:r w:rsidRPr="009B7433">
      <w:rPr>
        <w:rFonts w:ascii="Book Antiqua" w:hAnsi="Book Antiqua" w:cs="Arial"/>
        <w:sz w:val="16"/>
        <w:szCs w:val="16"/>
      </w:rPr>
      <w:t xml:space="preserve">Appeal Number: </w:t>
    </w:r>
    <w:r w:rsidRPr="007E46C4">
      <w:rPr>
        <w:rFonts w:ascii="Book Antiqua" w:hAnsi="Book Antiqua" w:cs="Arial"/>
        <w:sz w:val="16"/>
        <w:szCs w:val="16"/>
      </w:rPr>
      <w:t>AA/11770/2015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D44" w:rsidRPr="009B7433" w:rsidRDefault="001A2D44">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D70D5E7A-541A-40C2-A773-FC805B82649A}"/>
    <w:docVar w:name="dgnword-eventsink" w:val="124060792"/>
  </w:docVars>
  <w:rsids>
    <w:rsidRoot w:val="007E46C4"/>
    <w:rsid w:val="00000621"/>
    <w:rsid w:val="000036C2"/>
    <w:rsid w:val="00014712"/>
    <w:rsid w:val="00016C1A"/>
    <w:rsid w:val="00033402"/>
    <w:rsid w:val="00033588"/>
    <w:rsid w:val="00033D3D"/>
    <w:rsid w:val="0004776F"/>
    <w:rsid w:val="00052895"/>
    <w:rsid w:val="00056B9E"/>
    <w:rsid w:val="00062F02"/>
    <w:rsid w:val="00071A7E"/>
    <w:rsid w:val="000746C0"/>
    <w:rsid w:val="00074D1D"/>
    <w:rsid w:val="00086B03"/>
    <w:rsid w:val="00092580"/>
    <w:rsid w:val="00093D4D"/>
    <w:rsid w:val="000A0743"/>
    <w:rsid w:val="000A3550"/>
    <w:rsid w:val="000C580D"/>
    <w:rsid w:val="000D5D94"/>
    <w:rsid w:val="000F1A0E"/>
    <w:rsid w:val="000F29BA"/>
    <w:rsid w:val="001106BA"/>
    <w:rsid w:val="001165A7"/>
    <w:rsid w:val="00121A0E"/>
    <w:rsid w:val="0013532E"/>
    <w:rsid w:val="00135633"/>
    <w:rsid w:val="00155245"/>
    <w:rsid w:val="0016508E"/>
    <w:rsid w:val="00167D3A"/>
    <w:rsid w:val="00173F50"/>
    <w:rsid w:val="00180C13"/>
    <w:rsid w:val="00182C6D"/>
    <w:rsid w:val="00185986"/>
    <w:rsid w:val="001A2D44"/>
    <w:rsid w:val="001A3082"/>
    <w:rsid w:val="001A3921"/>
    <w:rsid w:val="001B186A"/>
    <w:rsid w:val="001B2F75"/>
    <w:rsid w:val="001C3B37"/>
    <w:rsid w:val="001C6F5F"/>
    <w:rsid w:val="001D6167"/>
    <w:rsid w:val="001F2716"/>
    <w:rsid w:val="001F2F05"/>
    <w:rsid w:val="001F3AC0"/>
    <w:rsid w:val="002037C8"/>
    <w:rsid w:val="00207617"/>
    <w:rsid w:val="0023134B"/>
    <w:rsid w:val="00247730"/>
    <w:rsid w:val="00273201"/>
    <w:rsid w:val="00283659"/>
    <w:rsid w:val="0028783F"/>
    <w:rsid w:val="0029568F"/>
    <w:rsid w:val="002C6BD4"/>
    <w:rsid w:val="002D68BF"/>
    <w:rsid w:val="002E4541"/>
    <w:rsid w:val="002E74A8"/>
    <w:rsid w:val="002F6B98"/>
    <w:rsid w:val="003071CF"/>
    <w:rsid w:val="00336CBF"/>
    <w:rsid w:val="00341998"/>
    <w:rsid w:val="00343FE3"/>
    <w:rsid w:val="003546C8"/>
    <w:rsid w:val="0037777D"/>
    <w:rsid w:val="003825D4"/>
    <w:rsid w:val="003A7CF2"/>
    <w:rsid w:val="003C5CE5"/>
    <w:rsid w:val="003D25F1"/>
    <w:rsid w:val="003D60DD"/>
    <w:rsid w:val="003D6FAD"/>
    <w:rsid w:val="003E267B"/>
    <w:rsid w:val="003E7CD1"/>
    <w:rsid w:val="00402B9E"/>
    <w:rsid w:val="004249CB"/>
    <w:rsid w:val="0044127D"/>
    <w:rsid w:val="004448DB"/>
    <w:rsid w:val="00446C9A"/>
    <w:rsid w:val="00446F1E"/>
    <w:rsid w:val="00452F2B"/>
    <w:rsid w:val="0045647A"/>
    <w:rsid w:val="00477193"/>
    <w:rsid w:val="00483D5F"/>
    <w:rsid w:val="004966C0"/>
    <w:rsid w:val="004A1848"/>
    <w:rsid w:val="004A2D15"/>
    <w:rsid w:val="004A534C"/>
    <w:rsid w:val="004A6F4A"/>
    <w:rsid w:val="004B2C90"/>
    <w:rsid w:val="004B3E33"/>
    <w:rsid w:val="004B70D7"/>
    <w:rsid w:val="004D6B45"/>
    <w:rsid w:val="004E4717"/>
    <w:rsid w:val="004F2676"/>
    <w:rsid w:val="00504F5F"/>
    <w:rsid w:val="00507FEC"/>
    <w:rsid w:val="00510F0E"/>
    <w:rsid w:val="005479E1"/>
    <w:rsid w:val="00553028"/>
    <w:rsid w:val="00553E0A"/>
    <w:rsid w:val="005570FD"/>
    <w:rsid w:val="005575EA"/>
    <w:rsid w:val="00572658"/>
    <w:rsid w:val="0057790C"/>
    <w:rsid w:val="00593795"/>
    <w:rsid w:val="005A75FF"/>
    <w:rsid w:val="005B2EEC"/>
    <w:rsid w:val="005D10AB"/>
    <w:rsid w:val="005F6859"/>
    <w:rsid w:val="00601D8F"/>
    <w:rsid w:val="00605582"/>
    <w:rsid w:val="00611F34"/>
    <w:rsid w:val="00612A16"/>
    <w:rsid w:val="00621A33"/>
    <w:rsid w:val="00621FE8"/>
    <w:rsid w:val="006267A3"/>
    <w:rsid w:val="006434B6"/>
    <w:rsid w:val="0065212A"/>
    <w:rsid w:val="00653E97"/>
    <w:rsid w:val="006651BB"/>
    <w:rsid w:val="006667DB"/>
    <w:rsid w:val="00680D2E"/>
    <w:rsid w:val="00684A74"/>
    <w:rsid w:val="0068620A"/>
    <w:rsid w:val="00690B8A"/>
    <w:rsid w:val="006B0504"/>
    <w:rsid w:val="006C2FB8"/>
    <w:rsid w:val="006E3C1C"/>
    <w:rsid w:val="006E45B8"/>
    <w:rsid w:val="006F2CF1"/>
    <w:rsid w:val="007038ED"/>
    <w:rsid w:val="00703BC3"/>
    <w:rsid w:val="00704B61"/>
    <w:rsid w:val="00715A64"/>
    <w:rsid w:val="007217D8"/>
    <w:rsid w:val="00733961"/>
    <w:rsid w:val="00740C1F"/>
    <w:rsid w:val="007552A9"/>
    <w:rsid w:val="0075658A"/>
    <w:rsid w:val="00761858"/>
    <w:rsid w:val="00764179"/>
    <w:rsid w:val="00767D59"/>
    <w:rsid w:val="00776E97"/>
    <w:rsid w:val="00780F86"/>
    <w:rsid w:val="007845C5"/>
    <w:rsid w:val="007912AD"/>
    <w:rsid w:val="007A141C"/>
    <w:rsid w:val="007B0824"/>
    <w:rsid w:val="007B5D3C"/>
    <w:rsid w:val="007E1B4F"/>
    <w:rsid w:val="007E46C4"/>
    <w:rsid w:val="00815011"/>
    <w:rsid w:val="00821B72"/>
    <w:rsid w:val="0082229E"/>
    <w:rsid w:val="00823EF2"/>
    <w:rsid w:val="008303B8"/>
    <w:rsid w:val="00833DCE"/>
    <w:rsid w:val="00833E86"/>
    <w:rsid w:val="00853875"/>
    <w:rsid w:val="00857346"/>
    <w:rsid w:val="00871D34"/>
    <w:rsid w:val="00872A23"/>
    <w:rsid w:val="00887F97"/>
    <w:rsid w:val="008A25EC"/>
    <w:rsid w:val="008A6059"/>
    <w:rsid w:val="008B17FF"/>
    <w:rsid w:val="008B270C"/>
    <w:rsid w:val="008B5078"/>
    <w:rsid w:val="008C3D3D"/>
    <w:rsid w:val="008D4131"/>
    <w:rsid w:val="008D44FA"/>
    <w:rsid w:val="008E43AC"/>
    <w:rsid w:val="008F1932"/>
    <w:rsid w:val="008F27A1"/>
    <w:rsid w:val="0090151B"/>
    <w:rsid w:val="009042A9"/>
    <w:rsid w:val="00914E3B"/>
    <w:rsid w:val="00921062"/>
    <w:rsid w:val="00935356"/>
    <w:rsid w:val="00936004"/>
    <w:rsid w:val="00942965"/>
    <w:rsid w:val="0095446C"/>
    <w:rsid w:val="009722BC"/>
    <w:rsid w:val="009727A3"/>
    <w:rsid w:val="00987774"/>
    <w:rsid w:val="009916E9"/>
    <w:rsid w:val="009A11E8"/>
    <w:rsid w:val="009A7DB8"/>
    <w:rsid w:val="009B7433"/>
    <w:rsid w:val="009C57C8"/>
    <w:rsid w:val="009D348A"/>
    <w:rsid w:val="009E4360"/>
    <w:rsid w:val="009F5220"/>
    <w:rsid w:val="009F5E10"/>
    <w:rsid w:val="00A07919"/>
    <w:rsid w:val="00A07E1D"/>
    <w:rsid w:val="00A15234"/>
    <w:rsid w:val="00A1656A"/>
    <w:rsid w:val="00A172F5"/>
    <w:rsid w:val="00A201AB"/>
    <w:rsid w:val="00A31C8B"/>
    <w:rsid w:val="00A34EBE"/>
    <w:rsid w:val="00A509FA"/>
    <w:rsid w:val="00A57AB9"/>
    <w:rsid w:val="00A6485A"/>
    <w:rsid w:val="00A845DC"/>
    <w:rsid w:val="00AA1593"/>
    <w:rsid w:val="00AC1853"/>
    <w:rsid w:val="00AC46A3"/>
    <w:rsid w:val="00AD1B85"/>
    <w:rsid w:val="00AF54E7"/>
    <w:rsid w:val="00B042C7"/>
    <w:rsid w:val="00B22D98"/>
    <w:rsid w:val="00B22FA3"/>
    <w:rsid w:val="00B26AA2"/>
    <w:rsid w:val="00B33923"/>
    <w:rsid w:val="00B3524D"/>
    <w:rsid w:val="00B40F69"/>
    <w:rsid w:val="00B46616"/>
    <w:rsid w:val="00B528BB"/>
    <w:rsid w:val="00B7040A"/>
    <w:rsid w:val="00B72C48"/>
    <w:rsid w:val="00B7338F"/>
    <w:rsid w:val="00B76C59"/>
    <w:rsid w:val="00B800E1"/>
    <w:rsid w:val="00B83391"/>
    <w:rsid w:val="00B95326"/>
    <w:rsid w:val="00BC1036"/>
    <w:rsid w:val="00BC120A"/>
    <w:rsid w:val="00BC4392"/>
    <w:rsid w:val="00BD4196"/>
    <w:rsid w:val="00BE6535"/>
    <w:rsid w:val="00BF22CA"/>
    <w:rsid w:val="00BF23BB"/>
    <w:rsid w:val="00C26032"/>
    <w:rsid w:val="00C345E1"/>
    <w:rsid w:val="00C371CB"/>
    <w:rsid w:val="00C37407"/>
    <w:rsid w:val="00C43BEE"/>
    <w:rsid w:val="00C43BFD"/>
    <w:rsid w:val="00C6048A"/>
    <w:rsid w:val="00CA354A"/>
    <w:rsid w:val="00CB6E35"/>
    <w:rsid w:val="00CC2907"/>
    <w:rsid w:val="00CC59F0"/>
    <w:rsid w:val="00CD1D43"/>
    <w:rsid w:val="00CE09B1"/>
    <w:rsid w:val="00CE1A46"/>
    <w:rsid w:val="00CF716F"/>
    <w:rsid w:val="00D04F9E"/>
    <w:rsid w:val="00D05EA6"/>
    <w:rsid w:val="00D20757"/>
    <w:rsid w:val="00D22636"/>
    <w:rsid w:val="00D2285F"/>
    <w:rsid w:val="00D375B9"/>
    <w:rsid w:val="00D40FD9"/>
    <w:rsid w:val="00D53769"/>
    <w:rsid w:val="00D62228"/>
    <w:rsid w:val="00D6602D"/>
    <w:rsid w:val="00D7089B"/>
    <w:rsid w:val="00D82DDE"/>
    <w:rsid w:val="00D85C13"/>
    <w:rsid w:val="00D9111A"/>
    <w:rsid w:val="00D91BE3"/>
    <w:rsid w:val="00D949B7"/>
    <w:rsid w:val="00D94AFC"/>
    <w:rsid w:val="00DA6312"/>
    <w:rsid w:val="00DB70AE"/>
    <w:rsid w:val="00DD5071"/>
    <w:rsid w:val="00DD5C39"/>
    <w:rsid w:val="00DE7DB7"/>
    <w:rsid w:val="00DF1E9E"/>
    <w:rsid w:val="00DF69A8"/>
    <w:rsid w:val="00E00A0A"/>
    <w:rsid w:val="00E05AD9"/>
    <w:rsid w:val="00E066DE"/>
    <w:rsid w:val="00E07F57"/>
    <w:rsid w:val="00E30683"/>
    <w:rsid w:val="00E362D5"/>
    <w:rsid w:val="00E40B7E"/>
    <w:rsid w:val="00E42107"/>
    <w:rsid w:val="00E453D8"/>
    <w:rsid w:val="00E50BCE"/>
    <w:rsid w:val="00E574BF"/>
    <w:rsid w:val="00E61292"/>
    <w:rsid w:val="00E76A66"/>
    <w:rsid w:val="00E77C4D"/>
    <w:rsid w:val="00E81D01"/>
    <w:rsid w:val="00EA7D0C"/>
    <w:rsid w:val="00EB485A"/>
    <w:rsid w:val="00EC1585"/>
    <w:rsid w:val="00EE45D8"/>
    <w:rsid w:val="00EF5A5F"/>
    <w:rsid w:val="00F11802"/>
    <w:rsid w:val="00F22EDA"/>
    <w:rsid w:val="00F40176"/>
    <w:rsid w:val="00F423B3"/>
    <w:rsid w:val="00F470D6"/>
    <w:rsid w:val="00F5589A"/>
    <w:rsid w:val="00F62484"/>
    <w:rsid w:val="00F63191"/>
    <w:rsid w:val="00F90CB3"/>
    <w:rsid w:val="00F957A5"/>
    <w:rsid w:val="00FA1081"/>
    <w:rsid w:val="00FC068B"/>
    <w:rsid w:val="00FC40FA"/>
    <w:rsid w:val="00FE7A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C59F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1904</Words>
  <Characters>9465</Characters>
  <Application>Microsoft Office Word</Application>
  <DocSecurity>0</DocSecurity>
  <Lines>78</Lines>
  <Paragraphs>22</Paragraphs>
  <ScaleCrop>false</ScaleCrop>
  <Company/>
  <LinksUpToDate>false</LinksUpToDate>
  <CharactersWithSpaces>11347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2018-09-12T11:46:00Z</dcterms:created>
  <dcterms:modified xsi:type="dcterms:W3CDTF">2018-09-12T11:46:00Z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