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B5E67"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76B7C"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C76B7C">
        <w:rPr>
          <w:rFonts w:ascii="Book Antiqua" w:hAnsi="Book Antiqua" w:cs="Arial"/>
          <w:b/>
          <w:color w:val="000000"/>
        </w:rPr>
        <w:t xml:space="preserve">   </w:t>
      </w:r>
      <w:proofErr w:type="gramEnd"/>
      <w:r w:rsidR="00C76B7C">
        <w:rPr>
          <w:rFonts w:ascii="Book Antiqua" w:hAnsi="Book Antiqua" w:cs="Arial"/>
          <w:b/>
          <w:color w:val="000000"/>
        </w:rPr>
        <w:t xml:space="preserve">                    </w:t>
      </w:r>
      <w:r w:rsidR="00B3524D" w:rsidRPr="00C76B7C">
        <w:rPr>
          <w:rFonts w:ascii="Book Antiqua" w:hAnsi="Book Antiqua" w:cs="Arial"/>
          <w:b/>
          <w:color w:val="000000"/>
        </w:rPr>
        <w:t>Appeal Number</w:t>
      </w:r>
      <w:r w:rsidR="009D2BFB" w:rsidRPr="00C76B7C">
        <w:rPr>
          <w:rFonts w:ascii="Book Antiqua" w:hAnsi="Book Antiqua" w:cs="Arial"/>
          <w:b/>
          <w:color w:val="000000"/>
        </w:rPr>
        <w:t>s</w:t>
      </w:r>
      <w:r w:rsidR="00D53769" w:rsidRPr="00C76B7C">
        <w:rPr>
          <w:rFonts w:ascii="Book Antiqua" w:hAnsi="Book Antiqua" w:cs="Arial"/>
          <w:b/>
          <w:color w:val="000000"/>
        </w:rPr>
        <w:t>:</w:t>
      </w:r>
      <w:r w:rsidR="00B3524D" w:rsidRPr="00C76B7C">
        <w:rPr>
          <w:rFonts w:ascii="Book Antiqua" w:hAnsi="Book Antiqua" w:cs="Arial"/>
          <w:b/>
          <w:color w:val="000000"/>
        </w:rPr>
        <w:t xml:space="preserve"> </w:t>
      </w:r>
      <w:r w:rsidR="009D2BFB" w:rsidRPr="00C76B7C">
        <w:rPr>
          <w:rFonts w:ascii="Book Antiqua" w:hAnsi="Book Antiqua" w:cs="Arial"/>
          <w:b/>
          <w:caps/>
          <w:color w:val="000000"/>
        </w:rPr>
        <w:t>AA/12001/2015</w:t>
      </w:r>
    </w:p>
    <w:p w:rsidR="009D2BFB" w:rsidRPr="00C76B7C" w:rsidRDefault="00C76B7C"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9D2BFB" w:rsidRPr="00C76B7C">
        <w:rPr>
          <w:rFonts w:ascii="Book Antiqua" w:hAnsi="Book Antiqua" w:cs="Arial"/>
          <w:b/>
          <w:caps/>
          <w:color w:val="000000"/>
        </w:rPr>
        <w:t>AA/12133/2015</w:t>
      </w:r>
    </w:p>
    <w:p w:rsidR="00C345E1" w:rsidRPr="00C76B7C" w:rsidRDefault="00C345E1" w:rsidP="00C345E1">
      <w:pPr>
        <w:jc w:val="center"/>
        <w:rPr>
          <w:rFonts w:ascii="Book Antiqua" w:hAnsi="Book Antiqua" w:cs="Arial"/>
          <w:b/>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9B7433" w:rsidTr="00C76B7C">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D2BFB">
              <w:rPr>
                <w:rFonts w:ascii="Book Antiqua" w:hAnsi="Book Antiqua" w:cs="Arial"/>
                <w:b/>
              </w:rPr>
              <w:t>Field House</w:t>
            </w:r>
          </w:p>
        </w:tc>
        <w:tc>
          <w:tcPr>
            <w:tcW w:w="4763" w:type="dxa"/>
            <w:gridSpan w:val="2"/>
          </w:tcPr>
          <w:p w:rsidR="00D22636" w:rsidRPr="009B7433" w:rsidRDefault="00C76B7C"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C76B7C">
        <w:tc>
          <w:tcPr>
            <w:tcW w:w="5245" w:type="dxa"/>
          </w:tcPr>
          <w:p w:rsidR="00D22636" w:rsidRPr="009B7433" w:rsidRDefault="00506AB8" w:rsidP="004A1848">
            <w:pPr>
              <w:jc w:val="both"/>
              <w:rPr>
                <w:rFonts w:ascii="Book Antiqua" w:hAnsi="Book Antiqua" w:cs="Arial"/>
                <w:b/>
              </w:rPr>
            </w:pPr>
            <w:r>
              <w:rPr>
                <w:rFonts w:ascii="Book Antiqua" w:hAnsi="Book Antiqua" w:cs="Arial"/>
                <w:b/>
              </w:rPr>
              <w:t>On 14 May 2018</w:t>
            </w:r>
          </w:p>
        </w:tc>
        <w:tc>
          <w:tcPr>
            <w:tcW w:w="4763" w:type="dxa"/>
            <w:gridSpan w:val="2"/>
          </w:tcPr>
          <w:p w:rsidR="00D22636" w:rsidRPr="009B7433" w:rsidRDefault="00C76B7C" w:rsidP="004A1848">
            <w:pPr>
              <w:jc w:val="both"/>
              <w:rPr>
                <w:rFonts w:ascii="Book Antiqua" w:hAnsi="Book Antiqua" w:cs="Arial"/>
                <w:b/>
              </w:rPr>
            </w:pPr>
            <w:r>
              <w:rPr>
                <w:rFonts w:ascii="Book Antiqua" w:hAnsi="Book Antiqua" w:cs="Arial"/>
                <w:b/>
              </w:rPr>
              <w:t xml:space="preserve"> </w:t>
            </w:r>
            <w:r w:rsidR="00506AB8">
              <w:rPr>
                <w:rFonts w:ascii="Book Antiqua" w:hAnsi="Book Antiqua" w:cs="Arial"/>
                <w:b/>
              </w:rPr>
              <w:t>On 5 June 2018</w:t>
            </w:r>
          </w:p>
        </w:tc>
      </w:tr>
      <w:tr w:rsidR="00D22636" w:rsidRPr="009B7433" w:rsidTr="00D949B7">
        <w:tc>
          <w:tcPr>
            <w:tcW w:w="6048" w:type="dxa"/>
            <w:gridSpan w:val="2"/>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C76B7C" w:rsidRDefault="00C76B7C"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9D2BFB" w:rsidRDefault="009D2BFB"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D926B5" w:rsidRDefault="00D926B5" w:rsidP="00A15234">
      <w:pPr>
        <w:jc w:val="center"/>
        <w:rPr>
          <w:rFonts w:ascii="Book Antiqua" w:hAnsi="Book Antiqua" w:cs="Arial"/>
          <w:b/>
          <w:caps/>
        </w:rPr>
      </w:pPr>
      <w:r>
        <w:rPr>
          <w:rFonts w:ascii="Book Antiqua" w:hAnsi="Book Antiqua" w:cs="Arial"/>
          <w:b/>
          <w:caps/>
        </w:rPr>
        <w:t>mS A</w:t>
      </w:r>
    </w:p>
    <w:p w:rsidR="00A845DC" w:rsidRDefault="00D926B5" w:rsidP="00A15234">
      <w:pPr>
        <w:jc w:val="center"/>
        <w:rPr>
          <w:rFonts w:ascii="Book Antiqua" w:hAnsi="Book Antiqua" w:cs="Arial"/>
          <w:b/>
          <w:caps/>
        </w:rPr>
      </w:pPr>
      <w:r>
        <w:rPr>
          <w:rFonts w:ascii="Book Antiqua" w:hAnsi="Book Antiqua" w:cs="Arial"/>
          <w:b/>
          <w:caps/>
        </w:rPr>
        <w:t>MASTER B</w:t>
      </w:r>
    </w:p>
    <w:p w:rsidR="00D949B7" w:rsidRPr="00C76B7C" w:rsidRDefault="00D926B5" w:rsidP="00D949B7">
      <w:pPr>
        <w:jc w:val="center"/>
        <w:rPr>
          <w:rFonts w:ascii="Book Antiqua" w:hAnsi="Book Antiqua" w:cs="Arial"/>
          <w:caps/>
        </w:rPr>
      </w:pPr>
      <w:r w:rsidRPr="00C76B7C">
        <w:rPr>
          <w:rFonts w:ascii="Book Antiqua" w:hAnsi="Book Antiqua" w:cs="Arial"/>
          <w:caps/>
        </w:rPr>
        <w:t xml:space="preserve"> </w:t>
      </w:r>
      <w:r w:rsidR="00D949B7" w:rsidRPr="00C76B7C">
        <w:rPr>
          <w:rFonts w:ascii="Book Antiqua" w:hAnsi="Book Antiqua" w:cs="Arial"/>
          <w:caps/>
        </w:rPr>
        <w:t xml:space="preserve">(ANONYMITY DIRECTION </w:t>
      </w:r>
      <w:r w:rsidRPr="00C76B7C">
        <w:rPr>
          <w:rFonts w:ascii="Book Antiqua" w:hAnsi="Book Antiqua" w:cs="Arial"/>
          <w:caps/>
        </w:rPr>
        <w:t>MADE</w:t>
      </w:r>
      <w:r w:rsidR="00D949B7" w:rsidRPr="00C76B7C">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D926B5">
        <w:rPr>
          <w:rFonts w:ascii="Book Antiqua" w:hAnsi="Book Antiqua" w:cs="Arial"/>
          <w:u w:val="single"/>
        </w:rPr>
        <w:t>s</w:t>
      </w:r>
    </w:p>
    <w:p w:rsidR="00C76B7C" w:rsidRDefault="00C76B7C"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C76B7C" w:rsidRPr="009B7433" w:rsidRDefault="00C76B7C"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926B5">
      <w:pPr>
        <w:tabs>
          <w:tab w:val="left" w:pos="2520"/>
        </w:tabs>
        <w:ind w:right="-802"/>
        <w:rPr>
          <w:rFonts w:ascii="Book Antiqua" w:hAnsi="Book Antiqua" w:cs="Arial"/>
        </w:rPr>
      </w:pPr>
      <w:r w:rsidRPr="009B7433">
        <w:rPr>
          <w:rFonts w:ascii="Book Antiqua" w:hAnsi="Book Antiqua" w:cs="Arial"/>
        </w:rPr>
        <w:t>For the Appellant</w:t>
      </w:r>
      <w:r w:rsidR="009D2BFB">
        <w:rPr>
          <w:rFonts w:ascii="Book Antiqua" w:hAnsi="Book Antiqua" w:cs="Arial"/>
        </w:rPr>
        <w:t>s</w:t>
      </w:r>
      <w:r w:rsidRPr="009B7433">
        <w:rPr>
          <w:rFonts w:ascii="Book Antiqua" w:hAnsi="Book Antiqua" w:cs="Arial"/>
        </w:rPr>
        <w:t>:</w:t>
      </w:r>
      <w:r w:rsidRPr="009B7433">
        <w:rPr>
          <w:rFonts w:ascii="Book Antiqua" w:hAnsi="Book Antiqua" w:cs="Arial"/>
        </w:rPr>
        <w:tab/>
      </w:r>
      <w:r w:rsidR="009D2BFB">
        <w:rPr>
          <w:rFonts w:ascii="Book Antiqua" w:hAnsi="Book Antiqua" w:cs="Arial"/>
        </w:rPr>
        <w:t>Mr K Tait, Legal Representative</w:t>
      </w:r>
      <w:r w:rsidR="00D926B5">
        <w:rPr>
          <w:rFonts w:ascii="Book Antiqua" w:hAnsi="Book Antiqua" w:cs="Arial"/>
        </w:rPr>
        <w:t xml:space="preserve"> of </w:t>
      </w:r>
      <w:smartTag w:uri="urn:schemas-microsoft-com:office:smarttags" w:element="City">
        <w:smartTag w:uri="urn:schemas-microsoft-com:office:smarttags" w:element="place">
          <w:r w:rsidR="00D926B5">
            <w:rPr>
              <w:rFonts w:ascii="Book Antiqua" w:hAnsi="Book Antiqua" w:cs="Arial"/>
            </w:rPr>
            <w:t>Camden</w:t>
          </w:r>
        </w:smartTag>
      </w:smartTag>
      <w:r w:rsidR="00D926B5">
        <w:rPr>
          <w:rFonts w:ascii="Book Antiqua" w:hAnsi="Book Antiqua" w:cs="Arial"/>
        </w:rPr>
        <w:t xml:space="preserve"> Community Law Centre</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926B5">
        <w:rPr>
          <w:rFonts w:ascii="Book Antiqua" w:hAnsi="Book Antiqua" w:cs="Arial"/>
        </w:rPr>
        <w:t xml:space="preserve">Mr J McGirr, Senior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D926B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are both nationals of the </w:t>
      </w:r>
      <w:smartTag w:uri="urn:schemas-microsoft-com:office:smarttags" w:element="country-region">
        <w:smartTag w:uri="urn:schemas-microsoft-com:office:smarttags" w:element="place">
          <w:r>
            <w:rPr>
              <w:rFonts w:ascii="Book Antiqua" w:hAnsi="Book Antiqua" w:cs="Arial"/>
            </w:rPr>
            <w:t>Ivory Coast</w:t>
          </w:r>
        </w:smartTag>
      </w:smartTag>
      <w:r>
        <w:rPr>
          <w:rFonts w:ascii="Book Antiqua" w:hAnsi="Book Antiqua" w:cs="Arial"/>
        </w:rPr>
        <w:t xml:space="preserve">.  This decision has at the request of the appellants been anonymised and </w:t>
      </w:r>
      <w:proofErr w:type="gramStart"/>
      <w:r>
        <w:rPr>
          <w:rFonts w:ascii="Book Antiqua" w:hAnsi="Book Antiqua" w:cs="Arial"/>
        </w:rPr>
        <w:t>in order to</w:t>
      </w:r>
      <w:proofErr w:type="gramEnd"/>
      <w:r>
        <w:rPr>
          <w:rFonts w:ascii="Book Antiqua" w:hAnsi="Book Antiqua" w:cs="Arial"/>
        </w:rPr>
        <w:t xml:space="preserve"> preserve their anonymity it has been necessary for me to be circumspect within the decision as to some of the precise details which would more easily lead to their identification.  </w:t>
      </w:r>
    </w:p>
    <w:p w:rsidR="00AE0668" w:rsidRDefault="00CD2E5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first appellant, Ms A was born in 1980 and the second appellant, who was born in this country towards the end of 2010 is her son.  He is her dependant.  Master B’s father </w:t>
      </w:r>
      <w:r>
        <w:rPr>
          <w:rFonts w:ascii="Book Antiqua" w:hAnsi="Book Antiqua" w:cs="Arial"/>
        </w:rPr>
        <w:lastRenderedPageBreak/>
        <w:t xml:space="preserve">is not a British national and no evidence has been adduced as to his nationality.  Although it is said that he is a national of another EU country, no case has been advanced that on that basis he should be allowed to remain and no evidence has been adduced in support of such a proposition.  It is the first appellant’s case that the father has nothing to do with his son.  </w:t>
      </w:r>
    </w:p>
    <w:p w:rsidR="00CD2E5D" w:rsidRDefault="00CD2E5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was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lawfully from September 2001 until 2010 as a student. In 2008 she had sought permission to remain in this country but permission had been refused although she was on that occasion given a further period in which to remain as a student</w:t>
      </w:r>
      <w:r w:rsidR="006170C2">
        <w:rPr>
          <w:rFonts w:ascii="Book Antiqua" w:hAnsi="Book Antiqua" w:cs="Arial"/>
        </w:rPr>
        <w:t>,</w:t>
      </w:r>
      <w:r>
        <w:rPr>
          <w:rFonts w:ascii="Book Antiqua" w:hAnsi="Book Antiqua" w:cs="Arial"/>
        </w:rPr>
        <w:t xml:space="preserve"> which leave did not expire until March 2010.  Thereafter she overstayed, her son being born a few months later.  </w:t>
      </w:r>
    </w:p>
    <w:p w:rsidR="00CD2E5D" w:rsidRDefault="00CD2E5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14 November 2013 the first appellant applied for asylum but that application was refused on 24 August 2015.  She appealed against that decision and this appeal was heard at </w:t>
      </w:r>
      <w:smartTag w:uri="urn:schemas-microsoft-com:office:smarttags" w:element="City">
        <w:smartTag w:uri="urn:schemas-microsoft-com:office:smarttags" w:element="place">
          <w:r>
            <w:rPr>
              <w:rFonts w:ascii="Book Antiqua" w:hAnsi="Book Antiqua" w:cs="Arial"/>
            </w:rPr>
            <w:t>Birmingham</w:t>
          </w:r>
        </w:smartTag>
      </w:smartTag>
      <w:r>
        <w:rPr>
          <w:rFonts w:ascii="Book Antiqua" w:hAnsi="Book Antiqua" w:cs="Arial"/>
        </w:rPr>
        <w:t xml:space="preserve"> before First-tier Tribunal Judge Obhi on 24 February 2017, but was dismissed in a decision and reasons promulgated on 28 March 2017.</w:t>
      </w:r>
    </w:p>
    <w:p w:rsidR="009B7544" w:rsidRDefault="00CD2E5D"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appellants now appeal against this decision to the Upper Tribunal, permission having been granted by Upper Tribunal Judge Frances on 25 October 2017.  For the purposes of this appeal it is possible to summarise the appellant</w:t>
      </w:r>
      <w:r w:rsidR="006170C2">
        <w:rPr>
          <w:rFonts w:ascii="Book Antiqua" w:hAnsi="Book Antiqua" w:cs="Arial"/>
        </w:rPr>
        <w:t>’s</w:t>
      </w:r>
      <w:r>
        <w:rPr>
          <w:rFonts w:ascii="Book Antiqua" w:hAnsi="Book Antiqua" w:cs="Arial"/>
        </w:rPr>
        <w:t xml:space="preserve"> case briefly.  She is the daughter of a man who was a prominent politician in the </w:t>
      </w:r>
      <w:smartTag w:uri="urn:schemas-microsoft-com:office:smarttags" w:element="country-region">
        <w:smartTag w:uri="urn:schemas-microsoft-com:office:smarttags" w:element="place">
          <w:r>
            <w:rPr>
              <w:rFonts w:ascii="Book Antiqua" w:hAnsi="Book Antiqua" w:cs="Arial"/>
            </w:rPr>
            <w:t>Ivory Coast</w:t>
          </w:r>
        </w:smartTag>
      </w:smartTag>
      <w:r>
        <w:rPr>
          <w:rFonts w:ascii="Book Antiqua" w:hAnsi="Book Antiqua" w:cs="Arial"/>
        </w:rPr>
        <w:t xml:space="preserve"> in the government which has now been overthrown.  </w:t>
      </w:r>
      <w:r w:rsidRPr="00840F8C">
        <w:rPr>
          <w:rFonts w:ascii="Book Antiqua" w:hAnsi="Book Antiqua" w:cs="Arial"/>
        </w:rPr>
        <w:t>She claims to be a supporter of her father’s party which was the party of President Gb</w:t>
      </w:r>
      <w:r w:rsidR="009B7544" w:rsidRPr="00840F8C">
        <w:rPr>
          <w:rFonts w:ascii="Book Antiqua" w:hAnsi="Book Antiqua" w:cs="Arial"/>
        </w:rPr>
        <w:t>agbo</w:t>
      </w:r>
      <w:r w:rsidR="009B7544">
        <w:rPr>
          <w:rFonts w:ascii="Book Antiqua" w:hAnsi="Book Antiqua" w:cs="Arial"/>
        </w:rPr>
        <w:t xml:space="preserve">.  Her father had fled the country but was brought back and at the time of her application for asylum was in prison awaiting trial.  It was her case that she had been active on behalf of her father’s political party as a secretary while in the </w:t>
      </w:r>
      <w:smartTag w:uri="urn:schemas-microsoft-com:office:smarttags" w:element="country-region">
        <w:r w:rsidR="009B7544">
          <w:rPr>
            <w:rFonts w:ascii="Book Antiqua" w:hAnsi="Book Antiqua" w:cs="Arial"/>
          </w:rPr>
          <w:t>UK</w:t>
        </w:r>
      </w:smartTag>
      <w:r w:rsidR="009B7544">
        <w:rPr>
          <w:rFonts w:ascii="Book Antiqua" w:hAnsi="Book Antiqua" w:cs="Arial"/>
        </w:rPr>
        <w:t xml:space="preserve"> and that she would be at risk on return to the </w:t>
      </w:r>
      <w:smartTag w:uri="urn:schemas-microsoft-com:office:smarttags" w:element="country-region">
        <w:smartTag w:uri="urn:schemas-microsoft-com:office:smarttags" w:element="place">
          <w:r w:rsidR="009B7544">
            <w:rPr>
              <w:rFonts w:ascii="Book Antiqua" w:hAnsi="Book Antiqua" w:cs="Arial"/>
            </w:rPr>
            <w:t>Ivory Coast</w:t>
          </w:r>
        </w:smartTag>
      </w:smartTag>
      <w:r w:rsidR="009B7544">
        <w:rPr>
          <w:rFonts w:ascii="Book Antiqua" w:hAnsi="Book Antiqua" w:cs="Arial"/>
        </w:rPr>
        <w:t xml:space="preserve">.  </w:t>
      </w:r>
    </w:p>
    <w:p w:rsidR="00474FAB" w:rsidRDefault="009B7544" w:rsidP="00EA79AF">
      <w:pPr>
        <w:numPr>
          <w:ilvl w:val="0"/>
          <w:numId w:val="1"/>
        </w:numPr>
        <w:tabs>
          <w:tab w:val="clear" w:pos="567"/>
        </w:tabs>
        <w:spacing w:before="240"/>
        <w:jc w:val="both"/>
        <w:rPr>
          <w:rFonts w:ascii="Book Antiqua" w:hAnsi="Book Antiqua" w:cs="Arial"/>
        </w:rPr>
      </w:pPr>
      <w:r>
        <w:rPr>
          <w:rFonts w:ascii="Book Antiqua" w:hAnsi="Book Antiqua" w:cs="Arial"/>
        </w:rPr>
        <w:t>At her hearing before Judge Obhi, the first appellant had given evidence together with a half</w:t>
      </w:r>
      <w:r w:rsidR="00D57CF1">
        <w:rPr>
          <w:rFonts w:ascii="Book Antiqua" w:hAnsi="Book Antiqua" w:cs="Arial"/>
        </w:rPr>
        <w:t>-</w:t>
      </w:r>
      <w:r>
        <w:rPr>
          <w:rFonts w:ascii="Book Antiqua" w:hAnsi="Book Antiqua" w:cs="Arial"/>
        </w:rPr>
        <w:t xml:space="preserve">brother who had apparently been granted asylum in France and another witness </w:t>
      </w:r>
      <w:bookmarkStart w:id="0" w:name="_GoBack"/>
      <w:bookmarkEnd w:id="0"/>
      <w:r>
        <w:rPr>
          <w:rFonts w:ascii="Book Antiqua" w:hAnsi="Book Antiqua" w:cs="Arial"/>
        </w:rPr>
        <w:t xml:space="preserve">who claimed to be a member of the same political party as her.  The appellant also relied on an expert report which was given by Dr Virginie Boudais, which report was dated 26 September 2016.  </w:t>
      </w:r>
    </w:p>
    <w:p w:rsidR="00D926B5" w:rsidRDefault="00474FAB" w:rsidP="00EA79AF">
      <w:pPr>
        <w:numPr>
          <w:ilvl w:val="0"/>
          <w:numId w:val="1"/>
        </w:numPr>
        <w:tabs>
          <w:tab w:val="clear" w:pos="567"/>
        </w:tabs>
        <w:spacing w:before="240"/>
        <w:jc w:val="both"/>
        <w:rPr>
          <w:rFonts w:ascii="Book Antiqua" w:hAnsi="Book Antiqua" w:cs="Arial"/>
        </w:rPr>
      </w:pPr>
      <w:r>
        <w:rPr>
          <w:rFonts w:ascii="Book Antiqua" w:hAnsi="Book Antiqua" w:cs="Arial"/>
        </w:rPr>
        <w:t>In her decision Judge Obhi made certain adverse credibility findings from paragraph 38 onwards and found that the appellants would not be at risk on return.  She also considered the appellants’ position under Article 8</w:t>
      </w:r>
      <w:r w:rsidR="00CD2E5D">
        <w:rPr>
          <w:rFonts w:ascii="Book Antiqua" w:hAnsi="Book Antiqua" w:cs="Arial"/>
        </w:rPr>
        <w:t xml:space="preserve"> </w:t>
      </w:r>
      <w:r>
        <w:rPr>
          <w:rFonts w:ascii="Book Antiqua" w:hAnsi="Book Antiqua" w:cs="Arial"/>
        </w:rPr>
        <w:t>but dismissed the appeal under Article 8 also.</w:t>
      </w:r>
    </w:p>
    <w:p w:rsidR="00474FAB" w:rsidRDefault="00474FA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This appeal is advanced on a narrow ground.  As Judge </w:t>
      </w:r>
      <w:smartTag w:uri="urn:schemas-microsoft-com:office:smarttags" w:element="country-region">
        <w:smartTag w:uri="urn:schemas-microsoft-com:office:smarttags" w:element="place">
          <w:r>
            <w:rPr>
              <w:rFonts w:ascii="Book Antiqua" w:hAnsi="Book Antiqua" w:cs="Arial"/>
            </w:rPr>
            <w:t>Frances</w:t>
          </w:r>
        </w:smartTag>
      </w:smartTag>
      <w:r>
        <w:rPr>
          <w:rFonts w:ascii="Book Antiqua" w:hAnsi="Book Antiqua" w:cs="Arial"/>
        </w:rPr>
        <w:t xml:space="preserve"> notes when giving her reasons, there has been no challenge to Judge Obhi’s findings in paragraphs 53 and 54 </w:t>
      </w:r>
      <w:proofErr w:type="gramStart"/>
      <w:r>
        <w:rPr>
          <w:rFonts w:ascii="Book Antiqua" w:hAnsi="Book Antiqua" w:cs="Arial"/>
        </w:rPr>
        <w:t>with regard to</w:t>
      </w:r>
      <w:proofErr w:type="gramEnd"/>
      <w:r>
        <w:rPr>
          <w:rFonts w:ascii="Book Antiqua" w:hAnsi="Book Antiqua" w:cs="Arial"/>
        </w:rPr>
        <w:t xml:space="preserve"> the dismissal of the appeal under Article 8.  The basis upon which permission was granted and the </w:t>
      </w:r>
      <w:proofErr w:type="gramStart"/>
      <w:r>
        <w:rPr>
          <w:rFonts w:ascii="Book Antiqua" w:hAnsi="Book Antiqua" w:cs="Arial"/>
        </w:rPr>
        <w:t>manner in which</w:t>
      </w:r>
      <w:proofErr w:type="gramEnd"/>
      <w:r>
        <w:rPr>
          <w:rFonts w:ascii="Book Antiqua" w:hAnsi="Book Antiqua" w:cs="Arial"/>
        </w:rPr>
        <w:t xml:space="preserve"> the appeal was being advanced before this Tribunal is that the judge failed to deal adequately with the expert report in her decision.  Permission was granted in the following terms by Judge </w:t>
      </w:r>
      <w:smartTag w:uri="urn:schemas-microsoft-com:office:smarttags" w:element="place">
        <w:smartTag w:uri="urn:schemas-microsoft-com:office:smarttags" w:element="country-region">
          <w:r>
            <w:rPr>
              <w:rFonts w:ascii="Book Antiqua" w:hAnsi="Book Antiqua" w:cs="Arial"/>
            </w:rPr>
            <w:t>Frances</w:t>
          </w:r>
        </w:smartTag>
      </w:smartTag>
      <w:r>
        <w:rPr>
          <w:rFonts w:ascii="Book Antiqua" w:hAnsi="Book Antiqua" w:cs="Arial"/>
        </w:rPr>
        <w:t xml:space="preserve"> at paragraph 2 of her reasons for granting permission:</w:t>
      </w:r>
    </w:p>
    <w:p w:rsidR="00474FAB" w:rsidRDefault="00474FAB" w:rsidP="00474FAB">
      <w:pPr>
        <w:spacing w:before="240"/>
        <w:ind w:left="1701" w:hanging="567"/>
        <w:jc w:val="both"/>
        <w:rPr>
          <w:rFonts w:ascii="Book Antiqua" w:hAnsi="Book Antiqua" w:cs="Arial"/>
        </w:rPr>
      </w:pPr>
      <w:r>
        <w:rPr>
          <w:rFonts w:ascii="Book Antiqua" w:hAnsi="Book Antiqua" w:cs="Arial"/>
        </w:rPr>
        <w:lastRenderedPageBreak/>
        <w:t>“2.</w:t>
      </w:r>
      <w:r>
        <w:rPr>
          <w:rFonts w:ascii="Book Antiqua" w:hAnsi="Book Antiqua" w:cs="Arial"/>
        </w:rPr>
        <w:tab/>
        <w:t>It is arguable that the reasons given at paragraphs 49 to 52 fail to adequately explain the weight attached to the expert report and why the Appellant would not be at risk on return...”.</w:t>
      </w:r>
    </w:p>
    <w:p w:rsidR="00474FAB" w:rsidRDefault="00474FA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before </w:t>
      </w:r>
      <w:r w:rsidR="00483AF2">
        <w:rPr>
          <w:rFonts w:ascii="Book Antiqua" w:hAnsi="Book Antiqua" w:cs="Arial"/>
        </w:rPr>
        <w:t xml:space="preserve">this Tribunal, both appellants, including the second appellant who is 7 years old, were present at the hearing.  There was no other adult present with the appellant who </w:t>
      </w:r>
      <w:proofErr w:type="gramStart"/>
      <w:r w:rsidR="00483AF2">
        <w:rPr>
          <w:rFonts w:ascii="Book Antiqua" w:hAnsi="Book Antiqua" w:cs="Arial"/>
        </w:rPr>
        <w:t>was able to</w:t>
      </w:r>
      <w:proofErr w:type="gramEnd"/>
      <w:r w:rsidR="00483AF2">
        <w:rPr>
          <w:rFonts w:ascii="Book Antiqua" w:hAnsi="Book Antiqua" w:cs="Arial"/>
        </w:rPr>
        <w:t xml:space="preserve"> look after the child.  By reason of the nature of the matters which would need to be discussed during the submissions, I considered that it was inappropriate for a </w:t>
      </w:r>
      <w:proofErr w:type="gramStart"/>
      <w:r w:rsidR="00483AF2">
        <w:rPr>
          <w:rFonts w:ascii="Book Antiqua" w:hAnsi="Book Antiqua" w:cs="Arial"/>
        </w:rPr>
        <w:t>7 year old</w:t>
      </w:r>
      <w:proofErr w:type="gramEnd"/>
      <w:r w:rsidR="00483AF2">
        <w:rPr>
          <w:rFonts w:ascii="Book Antiqua" w:hAnsi="Book Antiqua" w:cs="Arial"/>
        </w:rPr>
        <w:t xml:space="preserve"> child who has been brought up in this country and therefore speaks English, to be present while these matters were being discussed.  Accordingly, following discussion with the appellants’ representative, and with the agreement also of the first appellant, given that no evidence was to be given during the hearing, it was decided that the appellants would leave the Tribunal </w:t>
      </w:r>
      <w:r w:rsidR="00AE0668">
        <w:rPr>
          <w:rFonts w:ascii="Book Antiqua" w:hAnsi="Book Antiqua" w:cs="Arial"/>
        </w:rPr>
        <w:t>and</w:t>
      </w:r>
      <w:r w:rsidR="00483AF2">
        <w:rPr>
          <w:rFonts w:ascii="Book Antiqua" w:hAnsi="Book Antiqua" w:cs="Arial"/>
        </w:rPr>
        <w:t xml:space="preserve"> that the submissions would be made in their absence.  The first appellant </w:t>
      </w:r>
      <w:proofErr w:type="gramStart"/>
      <w:r w:rsidR="00483AF2">
        <w:rPr>
          <w:rFonts w:ascii="Book Antiqua" w:hAnsi="Book Antiqua" w:cs="Arial"/>
        </w:rPr>
        <w:t>in particular did</w:t>
      </w:r>
      <w:proofErr w:type="gramEnd"/>
      <w:r w:rsidR="00483AF2">
        <w:rPr>
          <w:rFonts w:ascii="Book Antiqua" w:hAnsi="Book Antiqua" w:cs="Arial"/>
        </w:rPr>
        <w:t xml:space="preserve"> not want to adjourn the hearing because she had had to come to the hearing from a considerable distance out of </w:t>
      </w:r>
      <w:smartTag w:uri="urn:schemas-microsoft-com:office:smarttags" w:element="City">
        <w:smartTag w:uri="urn:schemas-microsoft-com:office:smarttags" w:element="place">
          <w:r w:rsidR="00483AF2">
            <w:rPr>
              <w:rFonts w:ascii="Book Antiqua" w:hAnsi="Book Antiqua" w:cs="Arial"/>
            </w:rPr>
            <w:t>London</w:t>
          </w:r>
        </w:smartTag>
      </w:smartTag>
      <w:r w:rsidR="00483AF2">
        <w:rPr>
          <w:rFonts w:ascii="Book Antiqua" w:hAnsi="Book Antiqua" w:cs="Arial"/>
        </w:rPr>
        <w:t xml:space="preserve"> and believed that on a future occasion she might also face difficulties in </w:t>
      </w:r>
      <w:r w:rsidR="00AE0668">
        <w:rPr>
          <w:rFonts w:ascii="Book Antiqua" w:hAnsi="Book Antiqua" w:cs="Arial"/>
        </w:rPr>
        <w:t>arrang</w:t>
      </w:r>
      <w:r w:rsidR="00483AF2">
        <w:rPr>
          <w:rFonts w:ascii="Book Antiqua" w:hAnsi="Book Antiqua" w:cs="Arial"/>
        </w:rPr>
        <w:t xml:space="preserve">ing adequate supervision </w:t>
      </w:r>
      <w:r w:rsidR="00AE0668">
        <w:rPr>
          <w:rFonts w:ascii="Book Antiqua" w:hAnsi="Book Antiqua" w:cs="Arial"/>
        </w:rPr>
        <w:t>for</w:t>
      </w:r>
      <w:r w:rsidR="00483AF2">
        <w:rPr>
          <w:rFonts w:ascii="Book Antiqua" w:hAnsi="Book Antiqua" w:cs="Arial"/>
        </w:rPr>
        <w:t xml:space="preserve"> her child were she to have to come to the hearing on her own.  </w:t>
      </w:r>
      <w:proofErr w:type="gramStart"/>
      <w:r w:rsidR="00483AF2">
        <w:rPr>
          <w:rFonts w:ascii="Book Antiqua" w:hAnsi="Book Antiqua" w:cs="Arial"/>
        </w:rPr>
        <w:t>Accordingly</w:t>
      </w:r>
      <w:proofErr w:type="gramEnd"/>
      <w:r w:rsidR="00483AF2">
        <w:rPr>
          <w:rFonts w:ascii="Book Antiqua" w:hAnsi="Book Antiqua" w:cs="Arial"/>
        </w:rPr>
        <w:t xml:space="preserve"> the hearing proceeded in the absence (</w:t>
      </w:r>
      <w:r w:rsidR="00AE0668">
        <w:rPr>
          <w:rFonts w:ascii="Book Antiqua" w:hAnsi="Book Antiqua" w:cs="Arial"/>
        </w:rPr>
        <w:t xml:space="preserve">but </w:t>
      </w:r>
      <w:r w:rsidR="00483AF2">
        <w:rPr>
          <w:rFonts w:ascii="Book Antiqua" w:hAnsi="Book Antiqua" w:cs="Arial"/>
        </w:rPr>
        <w:t xml:space="preserve">with </w:t>
      </w:r>
      <w:r w:rsidR="00AE0668">
        <w:rPr>
          <w:rFonts w:ascii="Book Antiqua" w:hAnsi="Book Antiqua" w:cs="Arial"/>
        </w:rPr>
        <w:t xml:space="preserve">the </w:t>
      </w:r>
      <w:r w:rsidR="00483AF2">
        <w:rPr>
          <w:rFonts w:ascii="Book Antiqua" w:hAnsi="Book Antiqua" w:cs="Arial"/>
        </w:rPr>
        <w:t>agreement</w:t>
      </w:r>
      <w:r w:rsidR="00AE0668">
        <w:rPr>
          <w:rFonts w:ascii="Book Antiqua" w:hAnsi="Book Antiqua" w:cs="Arial"/>
        </w:rPr>
        <w:t>) of</w:t>
      </w:r>
      <w:r w:rsidR="00483AF2">
        <w:rPr>
          <w:rFonts w:ascii="Book Antiqua" w:hAnsi="Book Antiqua" w:cs="Arial"/>
        </w:rPr>
        <w:t xml:space="preserve"> the appellant</w:t>
      </w:r>
      <w:r w:rsidR="00AE0668">
        <w:rPr>
          <w:rFonts w:ascii="Book Antiqua" w:hAnsi="Book Antiqua" w:cs="Arial"/>
        </w:rPr>
        <w:t>s</w:t>
      </w:r>
      <w:r w:rsidR="00483AF2">
        <w:rPr>
          <w:rFonts w:ascii="Book Antiqua" w:hAnsi="Book Antiqua" w:cs="Arial"/>
        </w:rPr>
        <w:t xml:space="preserve">. </w:t>
      </w:r>
    </w:p>
    <w:p w:rsidR="00483AF2" w:rsidRDefault="00483AF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heard submissions on behalf of both parties, who addressed me </w:t>
      </w:r>
      <w:proofErr w:type="gramStart"/>
      <w:r>
        <w:rPr>
          <w:rFonts w:ascii="Book Antiqua" w:hAnsi="Book Antiqua" w:cs="Arial"/>
        </w:rPr>
        <w:t>with regard to</w:t>
      </w:r>
      <w:proofErr w:type="gramEnd"/>
      <w:r>
        <w:rPr>
          <w:rFonts w:ascii="Book Antiqua" w:hAnsi="Book Antiqua" w:cs="Arial"/>
        </w:rPr>
        <w:t xml:space="preserve"> all the evidence and material that was on the file.  I shall not set out below everything which was said to me </w:t>
      </w:r>
      <w:proofErr w:type="gramStart"/>
      <w:r>
        <w:rPr>
          <w:rFonts w:ascii="Book Antiqua" w:hAnsi="Book Antiqua" w:cs="Arial"/>
        </w:rPr>
        <w:t>during the course of</w:t>
      </w:r>
      <w:proofErr w:type="gramEnd"/>
      <w:r>
        <w:rPr>
          <w:rFonts w:ascii="Book Antiqua" w:hAnsi="Book Antiqua" w:cs="Arial"/>
        </w:rPr>
        <w:t xml:space="preserve"> the hearing, but I have had regard to everything which was said to me during the course of the hearing, and also to all the documents contained within the file to which my attention was specifically drawn by the parties.  These include </w:t>
      </w:r>
      <w:proofErr w:type="gramStart"/>
      <w:r>
        <w:rPr>
          <w:rFonts w:ascii="Book Antiqua" w:hAnsi="Book Antiqua" w:cs="Arial"/>
        </w:rPr>
        <w:t>in particular the</w:t>
      </w:r>
      <w:proofErr w:type="gramEnd"/>
      <w:r>
        <w:rPr>
          <w:rFonts w:ascii="Book Antiqua" w:hAnsi="Book Antiqua" w:cs="Arial"/>
        </w:rPr>
        <w:t xml:space="preserve"> skeleton argument which was before Judge Obhi (a further skeleton argument not having been prepared for this hearing) and also the expert report to which it was considered inadequate consideration had been given by the First-tier Tribunal Judge.</w:t>
      </w:r>
    </w:p>
    <w:p w:rsidR="00D57CF1" w:rsidRDefault="00483AF2" w:rsidP="00EA79AF">
      <w:pPr>
        <w:numPr>
          <w:ilvl w:val="0"/>
          <w:numId w:val="1"/>
        </w:numPr>
        <w:tabs>
          <w:tab w:val="clear" w:pos="567"/>
        </w:tabs>
        <w:spacing w:before="240"/>
        <w:jc w:val="both"/>
        <w:rPr>
          <w:rFonts w:ascii="Book Antiqua" w:hAnsi="Book Antiqua" w:cs="Arial"/>
        </w:rPr>
      </w:pPr>
      <w:r>
        <w:rPr>
          <w:rFonts w:ascii="Book Antiqua" w:hAnsi="Book Antiqua" w:cs="Arial"/>
        </w:rPr>
        <w:t>On behalf of the respondent</w:t>
      </w:r>
      <w:r w:rsidR="00F903DA">
        <w:rPr>
          <w:rFonts w:ascii="Book Antiqua" w:hAnsi="Book Antiqua" w:cs="Arial"/>
        </w:rPr>
        <w:t xml:space="preserve">, Mr McGirr accepted </w:t>
      </w:r>
      <w:r w:rsidR="00D57CF1">
        <w:rPr>
          <w:rFonts w:ascii="Book Antiqua" w:hAnsi="Book Antiqua" w:cs="Arial"/>
        </w:rPr>
        <w:t xml:space="preserve">that it might have been preferable had Judge Obhi stated in terms that the report of the expert did not assist the appellants in any material way, but he submitted that it was </w:t>
      </w:r>
      <w:r w:rsidR="00AE0668">
        <w:rPr>
          <w:rFonts w:ascii="Book Antiqua" w:hAnsi="Book Antiqua" w:cs="Arial"/>
        </w:rPr>
        <w:t xml:space="preserve">nonetheless </w:t>
      </w:r>
      <w:r w:rsidR="00D57CF1">
        <w:rPr>
          <w:rFonts w:ascii="Book Antiqua" w:hAnsi="Book Antiqua" w:cs="Arial"/>
        </w:rPr>
        <w:t xml:space="preserve">quite clear from the decision that she had had proper regard to that report and that when one considers the report itself, any failure to state this in terms could not have been material to the outcome of the appeal.  </w:t>
      </w:r>
      <w:proofErr w:type="gramStart"/>
      <w:r w:rsidR="00D57CF1">
        <w:rPr>
          <w:rFonts w:ascii="Book Antiqua" w:hAnsi="Book Antiqua" w:cs="Arial"/>
        </w:rPr>
        <w:t>In particular, he</w:t>
      </w:r>
      <w:proofErr w:type="gramEnd"/>
      <w:r w:rsidR="00D57CF1">
        <w:rPr>
          <w:rFonts w:ascii="Book Antiqua" w:hAnsi="Book Antiqua" w:cs="Arial"/>
        </w:rPr>
        <w:t xml:space="preserve"> referred to the statement at paragraph 48 of the decision that “I have considered the expert report carefully and I have also considered the claims made by the appellant”, which followed a discussion at paragraphs 44 to 47 of what the contents of this report were.  From paragraph 49 to 52, the judge then noted that the current regime in the Ivory Coast ha</w:t>
      </w:r>
      <w:r w:rsidR="00AE0668">
        <w:rPr>
          <w:rFonts w:ascii="Book Antiqua" w:hAnsi="Book Antiqua" w:cs="Arial"/>
        </w:rPr>
        <w:t>d tried to build reconciliation</w:t>
      </w:r>
      <w:r w:rsidR="00D57CF1">
        <w:rPr>
          <w:rFonts w:ascii="Book Antiqua" w:hAnsi="Book Antiqua" w:cs="Arial"/>
        </w:rPr>
        <w:t xml:space="preserve"> between the opposing factions and that many of the political prisoners detained following a handover of power had been released (</w:t>
      </w:r>
      <w:r w:rsidR="006170C2">
        <w:rPr>
          <w:rFonts w:ascii="Book Antiqua" w:hAnsi="Book Antiqua" w:cs="Arial"/>
        </w:rPr>
        <w:t xml:space="preserve">at </w:t>
      </w:r>
      <w:r w:rsidR="00D57CF1">
        <w:rPr>
          <w:rFonts w:ascii="Book Antiqua" w:hAnsi="Book Antiqua" w:cs="Arial"/>
        </w:rPr>
        <w:t>paragraph 49) and that although the authorities “may have a legitimate interest in the appellant if she allies herself to the destabilising actions of her father”, nonetheless, the objective information suggested</w:t>
      </w:r>
      <w:r w:rsidR="006170C2">
        <w:rPr>
          <w:rFonts w:ascii="Book Antiqua" w:hAnsi="Book Antiqua" w:cs="Arial"/>
        </w:rPr>
        <w:t xml:space="preserve"> - </w:t>
      </w:r>
      <w:r w:rsidR="00D57CF1">
        <w:rPr>
          <w:rFonts w:ascii="Book Antiqua" w:hAnsi="Book Antiqua" w:cs="Arial"/>
        </w:rPr>
        <w:t xml:space="preserve"> </w:t>
      </w:r>
    </w:p>
    <w:p w:rsidR="00483AF2" w:rsidRDefault="00D57CF1" w:rsidP="00D57CF1">
      <w:pPr>
        <w:spacing w:before="240"/>
        <w:ind w:left="1134"/>
        <w:jc w:val="both"/>
        <w:rPr>
          <w:rFonts w:ascii="Book Antiqua" w:hAnsi="Book Antiqua" w:cs="Arial"/>
        </w:rPr>
      </w:pPr>
      <w:r>
        <w:rPr>
          <w:rFonts w:ascii="Book Antiqua" w:hAnsi="Book Antiqua" w:cs="Arial"/>
        </w:rPr>
        <w:t xml:space="preserve">“that the authorities are prepared to attempt reconciliation with the appellants and that many of those in prison have been released, the present government is </w:t>
      </w:r>
      <w:r>
        <w:rPr>
          <w:rFonts w:ascii="Book Antiqua" w:hAnsi="Book Antiqua" w:cs="Arial"/>
        </w:rPr>
        <w:lastRenderedPageBreak/>
        <w:t xml:space="preserve">accepted by the international community and the former President is being prosecuted at </w:t>
      </w:r>
      <w:proofErr w:type="gramStart"/>
      <w:r>
        <w:rPr>
          <w:rFonts w:ascii="Book Antiqua" w:hAnsi="Book Antiqua" w:cs="Arial"/>
        </w:rPr>
        <w:t>the Hague</w:t>
      </w:r>
      <w:proofErr w:type="gramEnd"/>
      <w:r>
        <w:rPr>
          <w:rFonts w:ascii="Book Antiqua" w:hAnsi="Book Antiqua" w:cs="Arial"/>
        </w:rPr>
        <w:t xml:space="preserve"> and not by the current regime.” (at paragraph 50).</w:t>
      </w:r>
    </w:p>
    <w:p w:rsidR="00474FAB" w:rsidRDefault="00D57CF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51 the judge noted that the first appellant’s half-brother had political refugee status in </w:t>
      </w:r>
      <w:smartTag w:uri="urn:schemas-microsoft-com:office:smarttags" w:element="country-region">
        <w:smartTag w:uri="urn:schemas-microsoft-com:office:smarttags" w:element="place">
          <w:r>
            <w:rPr>
              <w:rFonts w:ascii="Book Antiqua" w:hAnsi="Book Antiqua" w:cs="Arial"/>
            </w:rPr>
            <w:t>France</w:t>
          </w:r>
        </w:smartTag>
      </w:smartTag>
      <w:r>
        <w:rPr>
          <w:rFonts w:ascii="Book Antiqua" w:hAnsi="Book Antiqua" w:cs="Arial"/>
        </w:rPr>
        <w:t xml:space="preserve"> and that she had taken this into account when considering these appellants’ position.  She noted that although she did not know the precise details of his claim he appeared to have claimed asylum during a different time “when there was greater uncertainty”.</w:t>
      </w:r>
    </w:p>
    <w:p w:rsidR="00D57CF1" w:rsidRDefault="00D57CF1" w:rsidP="00EA79AF">
      <w:pPr>
        <w:numPr>
          <w:ilvl w:val="0"/>
          <w:numId w:val="1"/>
        </w:numPr>
        <w:tabs>
          <w:tab w:val="clear" w:pos="567"/>
        </w:tabs>
        <w:spacing w:before="240"/>
        <w:jc w:val="both"/>
        <w:rPr>
          <w:rFonts w:ascii="Book Antiqua" w:hAnsi="Book Antiqua" w:cs="Arial"/>
        </w:rPr>
      </w:pPr>
      <w:proofErr w:type="gramStart"/>
      <w:r>
        <w:rPr>
          <w:rFonts w:ascii="Book Antiqua" w:hAnsi="Book Antiqua" w:cs="Arial"/>
        </w:rPr>
        <w:t>In order to</w:t>
      </w:r>
      <w:proofErr w:type="gramEnd"/>
      <w:r>
        <w:rPr>
          <w:rFonts w:ascii="Book Antiqua" w:hAnsi="Book Antiqua" w:cs="Arial"/>
        </w:rPr>
        <w:t xml:space="preserve"> determine whether or not there was anything in the expert report which was capable of persuading an Immigration Judge that asylum ought to be granted to these appellant</w:t>
      </w:r>
      <w:r w:rsidR="006170C2">
        <w:rPr>
          <w:rFonts w:ascii="Book Antiqua" w:hAnsi="Book Antiqua" w:cs="Arial"/>
        </w:rPr>
        <w:t>s</w:t>
      </w:r>
      <w:r>
        <w:rPr>
          <w:rFonts w:ascii="Book Antiqua" w:hAnsi="Book Antiqua" w:cs="Arial"/>
        </w:rPr>
        <w:t xml:space="preserve">, I invited Mr Tait to address me after the adjournment as to any particular parts of the expert report which merited further consideration than had been given within Judge Obhi’s decision.  Despite my invitation to him to refer me to everything within the report on which he now relied, he was only able to point me to two very brief comments of the expert, at paragraphs 63 and 66 of her report.  At paragraph 63 the expert had referred to the first appellant’s father as “a well-known Ivorian politician” and had gone on to say that “it is plausible to say that the children may be targeted”.  However, Mr Tait was unable to point to any part of the report which supported a finding that children of dissidents within the </w:t>
      </w:r>
      <w:smartTag w:uri="urn:schemas-microsoft-com:office:smarttags" w:element="country-region">
        <w:smartTag w:uri="urn:schemas-microsoft-com:office:smarttags" w:element="place">
          <w:r>
            <w:rPr>
              <w:rFonts w:ascii="Book Antiqua" w:hAnsi="Book Antiqua" w:cs="Arial"/>
            </w:rPr>
            <w:t>Ivory Coast</w:t>
          </w:r>
        </w:smartTag>
      </w:smartTag>
      <w:r>
        <w:rPr>
          <w:rFonts w:ascii="Book Antiqua" w:hAnsi="Book Antiqua" w:cs="Arial"/>
        </w:rPr>
        <w:t xml:space="preserve"> would be at risk because they were family members of a dissident. </w:t>
      </w:r>
    </w:p>
    <w:p w:rsidR="00D57CF1" w:rsidRDefault="00D57CF1" w:rsidP="00EA79AF">
      <w:pPr>
        <w:numPr>
          <w:ilvl w:val="0"/>
          <w:numId w:val="1"/>
        </w:numPr>
        <w:tabs>
          <w:tab w:val="clear" w:pos="567"/>
        </w:tabs>
        <w:spacing w:before="240"/>
        <w:jc w:val="both"/>
        <w:rPr>
          <w:rFonts w:ascii="Book Antiqua" w:hAnsi="Book Antiqua" w:cs="Arial"/>
        </w:rPr>
      </w:pPr>
      <w:r>
        <w:rPr>
          <w:rFonts w:ascii="Book Antiqua" w:hAnsi="Book Antiqua" w:cs="Arial"/>
        </w:rPr>
        <w:t>Mr Tai</w:t>
      </w:r>
      <w:r w:rsidR="006170C2">
        <w:rPr>
          <w:rFonts w:ascii="Book Antiqua" w:hAnsi="Book Antiqua" w:cs="Arial"/>
        </w:rPr>
        <w:t>t</w:t>
      </w:r>
      <w:r>
        <w:rPr>
          <w:rFonts w:ascii="Book Antiqua" w:hAnsi="Book Antiqua" w:cs="Arial"/>
        </w:rPr>
        <w:t xml:space="preserve"> referred also to what was said at paragraph 66 of the expert report which was that the first appellant “could be targeted by accusations in relation with her father’s political activities”.  It was said that every member of the appellant</w:t>
      </w:r>
      <w:r w:rsidR="00684460">
        <w:rPr>
          <w:rFonts w:ascii="Book Antiqua" w:hAnsi="Book Antiqua" w:cs="Arial"/>
        </w:rPr>
        <w:t>’s</w:t>
      </w:r>
      <w:r>
        <w:rPr>
          <w:rFonts w:ascii="Book Antiqua" w:hAnsi="Book Antiqua" w:cs="Arial"/>
        </w:rPr>
        <w:t xml:space="preserve"> family, including the first appellant’s siblings, had left the country and that accordingly she could be targeted by the authorities in relation to her father’s political activities.  Those were the submissions made on behalf of the appellants.</w:t>
      </w:r>
    </w:p>
    <w:p w:rsidR="00D57CF1" w:rsidRDefault="00D57CF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right to say </w:t>
      </w:r>
      <w:r w:rsidR="00557963">
        <w:rPr>
          <w:rFonts w:ascii="Book Antiqua" w:hAnsi="Book Antiqua" w:cs="Arial"/>
        </w:rPr>
        <w:t xml:space="preserve">that Mr Tait also advanced the argument that the treatment by the judge of the fact that the first appellant’s half-brother had been granted asylum in France was inadequately dealt with and </w:t>
      </w:r>
      <w:proofErr w:type="gramStart"/>
      <w:r w:rsidR="00557963">
        <w:rPr>
          <w:rFonts w:ascii="Book Antiqua" w:hAnsi="Book Antiqua" w:cs="Arial"/>
        </w:rPr>
        <w:t>in particular where</w:t>
      </w:r>
      <w:proofErr w:type="gramEnd"/>
      <w:r w:rsidR="00557963">
        <w:rPr>
          <w:rFonts w:ascii="Book Antiqua" w:hAnsi="Book Antiqua" w:cs="Arial"/>
        </w:rPr>
        <w:t xml:space="preserve"> the judge had said that she did “not know the precise details of his claim” noting that he had given evidence about it and that was before her.  However, this argument was not taken further during arguments advanced before this Tribunal and the judge in effect did not say she knew nothing about it but that she did not know the precise details of the claim which would appear to have been correct.</w:t>
      </w:r>
    </w:p>
    <w:p w:rsidR="00557963" w:rsidRDefault="0055796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should note that </w:t>
      </w:r>
      <w:proofErr w:type="gramStart"/>
      <w:r>
        <w:rPr>
          <w:rFonts w:ascii="Book Antiqua" w:hAnsi="Book Antiqua" w:cs="Arial"/>
        </w:rPr>
        <w:t>with regard to</w:t>
      </w:r>
      <w:proofErr w:type="gramEnd"/>
      <w:r>
        <w:rPr>
          <w:rFonts w:ascii="Book Antiqua" w:hAnsi="Book Antiqua" w:cs="Arial"/>
        </w:rPr>
        <w:t xml:space="preserve"> the decision in general, it is clearly a very thorough and careful decision in which the judge has looked at all the evidence in the round.  It is clear even though the expert report itself is dealt with relatively briefly, that the judge has looked at it carefully and has summarised what it says.  </w:t>
      </w:r>
      <w:proofErr w:type="spellStart"/>
      <w:r w:rsidR="00AE0668">
        <w:rPr>
          <w:rFonts w:ascii="Book Antiqua" w:hAnsi="Book Antiqua" w:cs="Arial"/>
        </w:rPr>
        <w:t>Moreo</w:t>
      </w:r>
      <w:r>
        <w:rPr>
          <w:rFonts w:ascii="Book Antiqua" w:hAnsi="Book Antiqua" w:cs="Arial"/>
        </w:rPr>
        <w:t>ever</w:t>
      </w:r>
      <w:proofErr w:type="spellEnd"/>
      <w:r>
        <w:rPr>
          <w:rFonts w:ascii="Book Antiqua" w:hAnsi="Book Antiqua" w:cs="Arial"/>
        </w:rPr>
        <w:t xml:space="preserve">, she has considered this report in the round </w:t>
      </w:r>
      <w:proofErr w:type="gramStart"/>
      <w:r>
        <w:rPr>
          <w:rFonts w:ascii="Book Antiqua" w:hAnsi="Book Antiqua" w:cs="Arial"/>
        </w:rPr>
        <w:t>in light of</w:t>
      </w:r>
      <w:proofErr w:type="gramEnd"/>
      <w:r>
        <w:rPr>
          <w:rFonts w:ascii="Book Antiqua" w:hAnsi="Book Antiqua" w:cs="Arial"/>
        </w:rPr>
        <w:t xml:space="preserve"> all the evidence which was given, and to which she has had regard.  In particular, she notes at paragraph 40 that the claim that the first appellant’s father “is being held and denied communications which amount to evidence of persecution of him” and “that he will not receive a fair trial” (see paragraph 39) is (at paragraph 40) “inconsistent with the oral evidence which was given to me by the appellant and indeed by her half-brother” who “both told me that </w:t>
      </w:r>
      <w:r>
        <w:rPr>
          <w:rFonts w:ascii="Book Antiqua" w:hAnsi="Book Antiqua" w:cs="Arial"/>
        </w:rPr>
        <w:lastRenderedPageBreak/>
        <w:t xml:space="preserve">they are in regular contact with [the first appellant’s father] and that he has been given a tablet on which he can communicate with people in the outside world”.  The judge notes further that “indeed he regularly appears to communicate with both his daughter and his son as she told me that she had spoken to him the day before the hearing”.  </w:t>
      </w:r>
    </w:p>
    <w:p w:rsidR="00557963" w:rsidRDefault="0055796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also </w:t>
      </w:r>
      <w:r w:rsidR="00295EF2">
        <w:rPr>
          <w:rFonts w:ascii="Book Antiqua" w:hAnsi="Book Antiqua" w:cs="Arial"/>
        </w:rPr>
        <w:t xml:space="preserve">notes (at paragraph 43) </w:t>
      </w:r>
      <w:proofErr w:type="gramStart"/>
      <w:r w:rsidR="00295EF2">
        <w:rPr>
          <w:rFonts w:ascii="Book Antiqua" w:hAnsi="Book Antiqua" w:cs="Arial"/>
        </w:rPr>
        <w:t>with regard to</w:t>
      </w:r>
      <w:proofErr w:type="gramEnd"/>
      <w:r w:rsidR="00295EF2">
        <w:rPr>
          <w:rFonts w:ascii="Book Antiqua" w:hAnsi="Book Antiqua" w:cs="Arial"/>
        </w:rPr>
        <w:t xml:space="preserve"> the first appellant’s stated belief “that she will be arrested upon return to the Ivory Coast and that she will be held by the current government and that </w:t>
      </w:r>
      <w:r w:rsidR="00191041">
        <w:rPr>
          <w:rFonts w:ascii="Book Antiqua" w:hAnsi="Book Antiqua" w:cs="Arial"/>
        </w:rPr>
        <w:t>her son</w:t>
      </w:r>
      <w:r w:rsidR="00295EF2">
        <w:rPr>
          <w:rFonts w:ascii="Book Antiqua" w:hAnsi="Book Antiqua" w:cs="Arial"/>
        </w:rPr>
        <w:t xml:space="preserve"> will be removed from the care and used either for ritual sacrifice or in some form of trafficking” that </w:t>
      </w:r>
      <w:r w:rsidR="00AE0668">
        <w:rPr>
          <w:rFonts w:ascii="Book Antiqua" w:hAnsi="Book Antiqua" w:cs="Arial"/>
        </w:rPr>
        <w:t>“</w:t>
      </w:r>
      <w:r w:rsidR="00295EF2">
        <w:rPr>
          <w:rFonts w:ascii="Book Antiqua" w:hAnsi="Book Antiqua" w:cs="Arial"/>
        </w:rPr>
        <w:t>there is of course no evidence to support what she says”.  The judge also finds that “further a claim that her father has been deprived of basic rights while in prison awaiting charges/trial is undermined by the fact that he has the freedom to communicate with her through Facebook”, noting that “if her father were being badly treated in prison then she would be aware of that and it is unlikely that he would have access to the outside world in the way that she claims”.</w:t>
      </w:r>
    </w:p>
    <w:p w:rsidR="00295EF2" w:rsidRDefault="00295EF2" w:rsidP="00EA79AF">
      <w:pPr>
        <w:numPr>
          <w:ilvl w:val="0"/>
          <w:numId w:val="1"/>
        </w:numPr>
        <w:tabs>
          <w:tab w:val="clear" w:pos="567"/>
        </w:tabs>
        <w:spacing w:before="240"/>
        <w:jc w:val="both"/>
        <w:rPr>
          <w:rFonts w:ascii="Book Antiqua" w:hAnsi="Book Antiqua" w:cs="Arial"/>
        </w:rPr>
      </w:pPr>
      <w:r>
        <w:rPr>
          <w:rFonts w:ascii="Book Antiqua" w:hAnsi="Book Antiqua" w:cs="Arial"/>
        </w:rPr>
        <w:t>The judge notes also at paragraph 43, that:</w:t>
      </w:r>
    </w:p>
    <w:p w:rsidR="00D57CF1" w:rsidRDefault="00295EF2" w:rsidP="00295EF2">
      <w:pPr>
        <w:spacing w:before="240"/>
        <w:ind w:left="1134"/>
        <w:jc w:val="both"/>
        <w:rPr>
          <w:rFonts w:ascii="Book Antiqua" w:hAnsi="Book Antiqua" w:cs="Arial"/>
        </w:rPr>
      </w:pPr>
      <w:r>
        <w:rPr>
          <w:rFonts w:ascii="Book Antiqua" w:hAnsi="Book Antiqua" w:cs="Arial"/>
        </w:rPr>
        <w:t>“The fact that President Gbagbo is facing charges at the International Criminal Court and has not been abused by the present government of the Ivory Coast further lends weight to the fact that the current regime is unlikely to treat members of the former regime and their families in an adverse manner.”</w:t>
      </w:r>
    </w:p>
    <w:p w:rsidR="00295EF2" w:rsidRDefault="00295EF2" w:rsidP="00295EF2">
      <w:pPr>
        <w:spacing w:before="240"/>
        <w:ind w:left="567"/>
        <w:jc w:val="both"/>
        <w:rPr>
          <w:rFonts w:ascii="Book Antiqua" w:hAnsi="Book Antiqua" w:cs="Arial"/>
        </w:rPr>
      </w:pPr>
      <w:r>
        <w:rPr>
          <w:rFonts w:ascii="Book Antiqua" w:hAnsi="Book Antiqua" w:cs="Arial"/>
        </w:rPr>
        <w:t xml:space="preserve">The judge concludes </w:t>
      </w:r>
      <w:proofErr w:type="gramStart"/>
      <w:r>
        <w:rPr>
          <w:rFonts w:ascii="Book Antiqua" w:hAnsi="Book Antiqua" w:cs="Arial"/>
        </w:rPr>
        <w:t>with regard to</w:t>
      </w:r>
      <w:proofErr w:type="gramEnd"/>
      <w:r>
        <w:rPr>
          <w:rFonts w:ascii="Book Antiqua" w:hAnsi="Book Antiqua" w:cs="Arial"/>
        </w:rPr>
        <w:t xml:space="preserve"> the family members of the first appellant’s father, that her mother “continues to reside in the </w:t>
      </w:r>
      <w:smartTag w:uri="urn:schemas-microsoft-com:office:smarttags" w:element="country-region">
        <w:smartTag w:uri="urn:schemas-microsoft-com:office:smarttags" w:element="place">
          <w:r>
            <w:rPr>
              <w:rFonts w:ascii="Book Antiqua" w:hAnsi="Book Antiqua" w:cs="Arial"/>
            </w:rPr>
            <w:t>Ivory Coast</w:t>
          </w:r>
        </w:smartTag>
      </w:smartTag>
      <w:r>
        <w:rPr>
          <w:rFonts w:ascii="Book Antiqua" w:hAnsi="Book Antiqua" w:cs="Arial"/>
        </w:rPr>
        <w:t xml:space="preserve"> and there is no evidence that she had been badly treated”.  </w:t>
      </w:r>
    </w:p>
    <w:p w:rsidR="00295EF2" w:rsidRDefault="00295EF2" w:rsidP="00EA79AF">
      <w:pPr>
        <w:numPr>
          <w:ilvl w:val="0"/>
          <w:numId w:val="1"/>
        </w:numPr>
        <w:tabs>
          <w:tab w:val="clear" w:pos="567"/>
        </w:tabs>
        <w:spacing w:before="240"/>
        <w:jc w:val="both"/>
        <w:rPr>
          <w:rFonts w:ascii="Book Antiqua" w:hAnsi="Book Antiqua" w:cs="Arial"/>
        </w:rPr>
      </w:pPr>
      <w:r>
        <w:rPr>
          <w:rFonts w:ascii="Book Antiqua" w:hAnsi="Book Antiqua" w:cs="Arial"/>
        </w:rPr>
        <w:t>It is in the context of this discussion of the evidence that consideration was given to the expert report.</w:t>
      </w:r>
    </w:p>
    <w:p w:rsidR="00295EF2" w:rsidRDefault="00295EF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on a proper analysis of the evidence and the consideration of that evidence by Judge Obhi, no judge, on the basis of </w:t>
      </w:r>
      <w:r w:rsidR="00AE0668">
        <w:rPr>
          <w:rFonts w:ascii="Book Antiqua" w:hAnsi="Book Antiqua" w:cs="Arial"/>
        </w:rPr>
        <w:t>an opinion of</w:t>
      </w:r>
      <w:r>
        <w:rPr>
          <w:rFonts w:ascii="Book Antiqua" w:hAnsi="Book Antiqua" w:cs="Arial"/>
        </w:rPr>
        <w:t xml:space="preserve"> an expert that it was “plausible to say that the children may be targeted” or that the first appellant “could be targeted by accusations in relation with her father’s political activities” (which are the two parts of the report which it is said merited further consideration) could ma</w:t>
      </w:r>
      <w:r w:rsidR="00AE0668">
        <w:rPr>
          <w:rFonts w:ascii="Book Antiqua" w:hAnsi="Book Antiqua" w:cs="Arial"/>
        </w:rPr>
        <w:t>ke</w:t>
      </w:r>
      <w:r>
        <w:rPr>
          <w:rFonts w:ascii="Book Antiqua" w:hAnsi="Book Antiqua" w:cs="Arial"/>
        </w:rPr>
        <w:t xml:space="preserve"> a sustainable finding that the appellants would be at risk on return.  The judge clearly </w:t>
      </w:r>
      <w:proofErr w:type="gramStart"/>
      <w:r>
        <w:rPr>
          <w:rFonts w:ascii="Book Antiqua" w:hAnsi="Book Antiqua" w:cs="Arial"/>
        </w:rPr>
        <w:t>gave consideration to</w:t>
      </w:r>
      <w:proofErr w:type="gramEnd"/>
      <w:r>
        <w:rPr>
          <w:rFonts w:ascii="Book Antiqua" w:hAnsi="Book Antiqua" w:cs="Arial"/>
        </w:rPr>
        <w:t xml:space="preserve"> the case advanced by the first appellant and by witnesses and a representative on her behalf, but concluded that she had failed to establish even to the lower standard of proof, (of which the judge was well aware – see paragraph 13 of the decision) that the appellants would be at risk on return.  This decision was made following a full consideration of all the evidence in the case and although the expert evidence was dealt with relatively briefly, on the facts of this case there was nothing within that report and certainly nothing which has been highlighted on the appellants’ behalf during this hearing, which undermines Judge Obhi’s conclusions to this effect.</w:t>
      </w:r>
    </w:p>
    <w:p w:rsidR="00D606D2" w:rsidRDefault="00D606D2" w:rsidP="006170C2">
      <w:pPr>
        <w:spacing w:before="240"/>
        <w:jc w:val="both"/>
        <w:rPr>
          <w:rFonts w:ascii="Book Antiqua" w:hAnsi="Book Antiqua" w:cs="Arial"/>
          <w:b/>
          <w:u w:val="single"/>
        </w:rPr>
      </w:pPr>
    </w:p>
    <w:p w:rsidR="006170C2" w:rsidRDefault="006170C2" w:rsidP="006170C2">
      <w:pPr>
        <w:spacing w:before="240"/>
        <w:jc w:val="both"/>
        <w:rPr>
          <w:rFonts w:ascii="Book Antiqua" w:hAnsi="Book Antiqua" w:cs="Arial"/>
        </w:rPr>
      </w:pPr>
      <w:r>
        <w:rPr>
          <w:rFonts w:ascii="Book Antiqua" w:hAnsi="Book Antiqua" w:cs="Arial"/>
          <w:b/>
          <w:u w:val="single"/>
        </w:rPr>
        <w:lastRenderedPageBreak/>
        <w:t>Notice of Decision</w:t>
      </w:r>
    </w:p>
    <w:p w:rsidR="00D57CF1" w:rsidRDefault="00295EF2" w:rsidP="006170C2">
      <w:pPr>
        <w:spacing w:before="240"/>
        <w:jc w:val="both"/>
        <w:rPr>
          <w:rFonts w:ascii="Book Antiqua" w:hAnsi="Book Antiqua" w:cs="Arial"/>
        </w:rPr>
      </w:pPr>
      <w:r w:rsidRPr="006170C2">
        <w:rPr>
          <w:rFonts w:ascii="Book Antiqua" w:hAnsi="Book Antiqua" w:cs="Arial"/>
          <w:b/>
        </w:rPr>
        <w:t xml:space="preserve">It follows that there having been no material </w:t>
      </w:r>
      <w:r w:rsidR="006170C2" w:rsidRPr="006170C2">
        <w:rPr>
          <w:rFonts w:ascii="Book Antiqua" w:hAnsi="Book Antiqua" w:cs="Arial"/>
          <w:b/>
        </w:rPr>
        <w:t>error in Judge Obhi’s decision, this appeal must be dismissed and I so find</w:t>
      </w:r>
      <w:r w:rsidR="006170C2">
        <w:rPr>
          <w:rFonts w:ascii="Book Antiqua" w:hAnsi="Book Antiqua" w:cs="Arial"/>
        </w:rPr>
        <w:t>.</w:t>
      </w:r>
      <w:r>
        <w:rPr>
          <w:rFonts w:ascii="Book Antiqua" w:hAnsi="Book Antiqua" w:cs="Arial"/>
        </w:rPr>
        <w:t xml:space="preserve"> </w:t>
      </w:r>
    </w:p>
    <w:p w:rsidR="00D949B7" w:rsidRPr="00D949B7" w:rsidRDefault="00D949B7" w:rsidP="00D949B7">
      <w:pPr>
        <w:jc w:val="both"/>
        <w:rPr>
          <w:rFonts w:ascii="Book Antiqua" w:hAnsi="Book Antiqua" w:cs="Arial"/>
        </w:rPr>
      </w:pPr>
    </w:p>
    <w:p w:rsidR="00D606D2" w:rsidRDefault="00D606D2" w:rsidP="00C659D4">
      <w:pPr>
        <w:jc w:val="both"/>
        <w:rPr>
          <w:rFonts w:ascii="Book Antiqua" w:hAnsi="Book Antiqua" w:cs="Arial"/>
          <w:b/>
          <w:u w:val="single"/>
        </w:rPr>
      </w:pPr>
    </w:p>
    <w:p w:rsidR="00C659D4" w:rsidRPr="00D6134E" w:rsidRDefault="00C659D4" w:rsidP="00C659D4">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C659D4" w:rsidRPr="00D6134E" w:rsidRDefault="00C659D4" w:rsidP="00C659D4">
      <w:pPr>
        <w:jc w:val="both"/>
        <w:rPr>
          <w:rFonts w:ascii="Book Antiqua" w:hAnsi="Book Antiqua" w:cs="Arial"/>
        </w:rPr>
      </w:pPr>
    </w:p>
    <w:p w:rsidR="00C659D4" w:rsidRPr="00687601" w:rsidRDefault="00C659D4" w:rsidP="00C659D4">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6B5E67"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AE0668" w:rsidRDefault="00AE0668" w:rsidP="00C659D4">
      <w:pPr>
        <w:tabs>
          <w:tab w:val="left" w:pos="7371"/>
        </w:tabs>
        <w:ind w:left="540" w:hanging="540"/>
        <w:jc w:val="both"/>
        <w:rPr>
          <w:rFonts w:ascii="Book Antiqua" w:hAnsi="Book Antiqua"/>
        </w:rPr>
      </w:pPr>
    </w:p>
    <w:p w:rsidR="00B95326" w:rsidRPr="009B7433" w:rsidRDefault="00C659D4" w:rsidP="00506AB8">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r>
      <w:r w:rsidR="00AE0668">
        <w:rPr>
          <w:rFonts w:ascii="Book Antiqua" w:hAnsi="Book Antiqua"/>
        </w:rPr>
        <w:t xml:space="preserve">       D</w:t>
      </w:r>
      <w:r>
        <w:rPr>
          <w:rFonts w:ascii="Book Antiqua" w:hAnsi="Book Antiqua"/>
        </w:rPr>
        <w:t>ate</w:t>
      </w:r>
      <w:r w:rsidR="00AE0668">
        <w:rPr>
          <w:rFonts w:ascii="Book Antiqua" w:hAnsi="Book Antiqua"/>
        </w:rPr>
        <w:t>: 1 June 2018</w:t>
      </w:r>
    </w:p>
    <w:sectPr w:rsidR="00B95326" w:rsidRPr="009B7433" w:rsidSect="00C76B7C">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5E1" w:rsidRDefault="00A245E1">
      <w:r>
        <w:separator/>
      </w:r>
    </w:p>
  </w:endnote>
  <w:endnote w:type="continuationSeparator" w:id="0">
    <w:p w:rsidR="00A245E1" w:rsidRDefault="00A2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880E90" w:rsidRDefault="008A6059" w:rsidP="00593795">
    <w:pPr>
      <w:pStyle w:val="Footer"/>
      <w:jc w:val="center"/>
      <w:rPr>
        <w:rFonts w:ascii="Book Antiqua" w:hAnsi="Book Antiqua" w:cs="Arial"/>
      </w:rPr>
    </w:pPr>
    <w:r w:rsidRPr="00880E90">
      <w:rPr>
        <w:rStyle w:val="PageNumber"/>
        <w:rFonts w:ascii="Book Antiqua" w:hAnsi="Book Antiqua" w:cs="Arial"/>
      </w:rPr>
      <w:fldChar w:fldCharType="begin"/>
    </w:r>
    <w:r w:rsidRPr="00880E90">
      <w:rPr>
        <w:rStyle w:val="PageNumber"/>
        <w:rFonts w:ascii="Book Antiqua" w:hAnsi="Book Antiqua" w:cs="Arial"/>
      </w:rPr>
      <w:instrText xml:space="preserve"> PAGE </w:instrText>
    </w:r>
    <w:r w:rsidRPr="00880E90">
      <w:rPr>
        <w:rStyle w:val="PageNumber"/>
        <w:rFonts w:ascii="Book Antiqua" w:hAnsi="Book Antiqua" w:cs="Arial"/>
      </w:rPr>
      <w:fldChar w:fldCharType="separate"/>
    </w:r>
    <w:r w:rsidR="00C93785">
      <w:rPr>
        <w:rStyle w:val="PageNumber"/>
        <w:rFonts w:ascii="Book Antiqua" w:hAnsi="Book Antiqua" w:cs="Arial"/>
        <w:noProof/>
      </w:rPr>
      <w:t>6</w:t>
    </w:r>
    <w:r w:rsidRPr="00880E9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B8149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5E1" w:rsidRDefault="00A245E1">
      <w:r>
        <w:separator/>
      </w:r>
    </w:p>
  </w:footnote>
  <w:footnote w:type="continuationSeparator" w:id="0">
    <w:p w:rsidR="00A245E1" w:rsidRDefault="00A24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0C2"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6170C2">
      <w:rPr>
        <w:rFonts w:ascii="Book Antiqua" w:hAnsi="Book Antiqua" w:cs="Arial"/>
        <w:sz w:val="16"/>
        <w:szCs w:val="16"/>
      </w:rPr>
      <w:t>s</w:t>
    </w:r>
    <w:r w:rsidRPr="009B7433">
      <w:rPr>
        <w:rFonts w:ascii="Book Antiqua" w:hAnsi="Book Antiqua" w:cs="Arial"/>
        <w:sz w:val="16"/>
        <w:szCs w:val="16"/>
      </w:rPr>
      <w:t>:</w:t>
    </w:r>
    <w:r w:rsidR="006170C2">
      <w:rPr>
        <w:rFonts w:ascii="Book Antiqua" w:hAnsi="Book Antiqua" w:cs="Arial"/>
        <w:sz w:val="16"/>
        <w:szCs w:val="16"/>
      </w:rPr>
      <w:t xml:space="preserve"> AA/12001/2015</w:t>
    </w:r>
  </w:p>
  <w:p w:rsidR="008A6059" w:rsidRDefault="006170C2" w:rsidP="00593795">
    <w:pPr>
      <w:pStyle w:val="Header"/>
      <w:jc w:val="right"/>
      <w:rPr>
        <w:rFonts w:ascii="Book Antiqua" w:hAnsi="Book Antiqua" w:cs="Arial"/>
        <w:sz w:val="16"/>
        <w:szCs w:val="16"/>
      </w:rPr>
    </w:pPr>
    <w:r>
      <w:rPr>
        <w:rFonts w:ascii="Book Antiqua" w:hAnsi="Book Antiqua" w:cs="Arial"/>
        <w:sz w:val="16"/>
        <w:szCs w:val="16"/>
      </w:rPr>
      <w:t>AA/12133/2015</w:t>
    </w:r>
    <w:r w:rsidR="008A6059" w:rsidRPr="009B7433">
      <w:rPr>
        <w:rFonts w:ascii="Book Antiqua" w:hAnsi="Book Antiqua" w:cs="Arial"/>
        <w:sz w:val="16"/>
        <w:szCs w:val="16"/>
      </w:rPr>
      <w:t xml:space="preserve"> </w:t>
    </w:r>
  </w:p>
  <w:p w:rsidR="00880E90" w:rsidRPr="009B7433" w:rsidRDefault="00880E9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FB"/>
    <w:rsid w:val="00000621"/>
    <w:rsid w:val="000036C2"/>
    <w:rsid w:val="00016C1A"/>
    <w:rsid w:val="00033588"/>
    <w:rsid w:val="00033D3D"/>
    <w:rsid w:val="00043AC7"/>
    <w:rsid w:val="0004776F"/>
    <w:rsid w:val="00052895"/>
    <w:rsid w:val="00062F02"/>
    <w:rsid w:val="00071A7E"/>
    <w:rsid w:val="000746C0"/>
    <w:rsid w:val="00074D1D"/>
    <w:rsid w:val="00092580"/>
    <w:rsid w:val="00093D4D"/>
    <w:rsid w:val="000A0743"/>
    <w:rsid w:val="000D5D94"/>
    <w:rsid w:val="000F1A0E"/>
    <w:rsid w:val="001165A7"/>
    <w:rsid w:val="0016508E"/>
    <w:rsid w:val="00167D3A"/>
    <w:rsid w:val="00173F50"/>
    <w:rsid w:val="00185986"/>
    <w:rsid w:val="00191041"/>
    <w:rsid w:val="00194CE2"/>
    <w:rsid w:val="001A3082"/>
    <w:rsid w:val="001A53AD"/>
    <w:rsid w:val="001B186A"/>
    <w:rsid w:val="001B2F75"/>
    <w:rsid w:val="001C6F5F"/>
    <w:rsid w:val="001D6167"/>
    <w:rsid w:val="001F2716"/>
    <w:rsid w:val="001F3AC0"/>
    <w:rsid w:val="00207617"/>
    <w:rsid w:val="0023134B"/>
    <w:rsid w:val="00231BFB"/>
    <w:rsid w:val="00283659"/>
    <w:rsid w:val="00294211"/>
    <w:rsid w:val="00295EF2"/>
    <w:rsid w:val="002C6BD4"/>
    <w:rsid w:val="002D68BF"/>
    <w:rsid w:val="002E4541"/>
    <w:rsid w:val="002E5B4D"/>
    <w:rsid w:val="002F6B98"/>
    <w:rsid w:val="00336CBF"/>
    <w:rsid w:val="00343FE3"/>
    <w:rsid w:val="003546C8"/>
    <w:rsid w:val="003825D4"/>
    <w:rsid w:val="003A7CF2"/>
    <w:rsid w:val="003C5CE5"/>
    <w:rsid w:val="003D6FAD"/>
    <w:rsid w:val="003E267B"/>
    <w:rsid w:val="003E7CD1"/>
    <w:rsid w:val="00402B9E"/>
    <w:rsid w:val="00405831"/>
    <w:rsid w:val="004249CB"/>
    <w:rsid w:val="0044127D"/>
    <w:rsid w:val="004448DB"/>
    <w:rsid w:val="00446C9A"/>
    <w:rsid w:val="00452F2B"/>
    <w:rsid w:val="00474FAB"/>
    <w:rsid w:val="00477193"/>
    <w:rsid w:val="00483AF2"/>
    <w:rsid w:val="00492E0F"/>
    <w:rsid w:val="004A1848"/>
    <w:rsid w:val="004A2D15"/>
    <w:rsid w:val="004A534C"/>
    <w:rsid w:val="004A6F4A"/>
    <w:rsid w:val="004B70D7"/>
    <w:rsid w:val="004D6B45"/>
    <w:rsid w:val="004E4717"/>
    <w:rsid w:val="00506AB8"/>
    <w:rsid w:val="00507FEC"/>
    <w:rsid w:val="00510F0E"/>
    <w:rsid w:val="005479E1"/>
    <w:rsid w:val="00553028"/>
    <w:rsid w:val="00553E0A"/>
    <w:rsid w:val="005570FD"/>
    <w:rsid w:val="005575EA"/>
    <w:rsid w:val="00557963"/>
    <w:rsid w:val="0057790C"/>
    <w:rsid w:val="00593795"/>
    <w:rsid w:val="005A75FF"/>
    <w:rsid w:val="005B08F5"/>
    <w:rsid w:val="005C4303"/>
    <w:rsid w:val="005D10AB"/>
    <w:rsid w:val="00601D8F"/>
    <w:rsid w:val="00605582"/>
    <w:rsid w:val="00606A60"/>
    <w:rsid w:val="00611F34"/>
    <w:rsid w:val="006170C2"/>
    <w:rsid w:val="00621FE8"/>
    <w:rsid w:val="006434B6"/>
    <w:rsid w:val="00653E97"/>
    <w:rsid w:val="006667DB"/>
    <w:rsid w:val="00667AD5"/>
    <w:rsid w:val="00684460"/>
    <w:rsid w:val="00684A74"/>
    <w:rsid w:val="0068620A"/>
    <w:rsid w:val="00690B8A"/>
    <w:rsid w:val="006B5E67"/>
    <w:rsid w:val="006F2CF1"/>
    <w:rsid w:val="007038ED"/>
    <w:rsid w:val="00703BC3"/>
    <w:rsid w:val="00704B61"/>
    <w:rsid w:val="00715A64"/>
    <w:rsid w:val="00723858"/>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40F8C"/>
    <w:rsid w:val="008457A9"/>
    <w:rsid w:val="00871D34"/>
    <w:rsid w:val="00880E90"/>
    <w:rsid w:val="00893D95"/>
    <w:rsid w:val="008A25EC"/>
    <w:rsid w:val="008A6059"/>
    <w:rsid w:val="008B2229"/>
    <w:rsid w:val="008B270C"/>
    <w:rsid w:val="008B5078"/>
    <w:rsid w:val="008C3D3D"/>
    <w:rsid w:val="008D4131"/>
    <w:rsid w:val="008F1932"/>
    <w:rsid w:val="0090151B"/>
    <w:rsid w:val="009042A9"/>
    <w:rsid w:val="00921062"/>
    <w:rsid w:val="009433A1"/>
    <w:rsid w:val="009722BC"/>
    <w:rsid w:val="009727A3"/>
    <w:rsid w:val="00987774"/>
    <w:rsid w:val="00996B75"/>
    <w:rsid w:val="009A11E8"/>
    <w:rsid w:val="009B7433"/>
    <w:rsid w:val="009B7544"/>
    <w:rsid w:val="009C57C8"/>
    <w:rsid w:val="009D2BFB"/>
    <w:rsid w:val="009F5220"/>
    <w:rsid w:val="00A07919"/>
    <w:rsid w:val="00A15234"/>
    <w:rsid w:val="00A172F5"/>
    <w:rsid w:val="00A201AB"/>
    <w:rsid w:val="00A245E1"/>
    <w:rsid w:val="00A31C8B"/>
    <w:rsid w:val="00A509FA"/>
    <w:rsid w:val="00A845DC"/>
    <w:rsid w:val="00AE0668"/>
    <w:rsid w:val="00B21297"/>
    <w:rsid w:val="00B26AA2"/>
    <w:rsid w:val="00B3524D"/>
    <w:rsid w:val="00B40F69"/>
    <w:rsid w:val="00B46616"/>
    <w:rsid w:val="00B47B0C"/>
    <w:rsid w:val="00B528BB"/>
    <w:rsid w:val="00B7040A"/>
    <w:rsid w:val="00B81492"/>
    <w:rsid w:val="00B83391"/>
    <w:rsid w:val="00B95326"/>
    <w:rsid w:val="00BD4196"/>
    <w:rsid w:val="00BF22CA"/>
    <w:rsid w:val="00BF23BB"/>
    <w:rsid w:val="00C23DFC"/>
    <w:rsid w:val="00C26032"/>
    <w:rsid w:val="00C345E1"/>
    <w:rsid w:val="00C43BFD"/>
    <w:rsid w:val="00C6048A"/>
    <w:rsid w:val="00C659D4"/>
    <w:rsid w:val="00C76B7C"/>
    <w:rsid w:val="00C93785"/>
    <w:rsid w:val="00CB6E35"/>
    <w:rsid w:val="00CD2E5D"/>
    <w:rsid w:val="00CD4E66"/>
    <w:rsid w:val="00CE09B1"/>
    <w:rsid w:val="00CE1A46"/>
    <w:rsid w:val="00D05EA6"/>
    <w:rsid w:val="00D20757"/>
    <w:rsid w:val="00D22636"/>
    <w:rsid w:val="00D40FD9"/>
    <w:rsid w:val="00D53769"/>
    <w:rsid w:val="00D57CF1"/>
    <w:rsid w:val="00D606D2"/>
    <w:rsid w:val="00D606FA"/>
    <w:rsid w:val="00D6602D"/>
    <w:rsid w:val="00D85C13"/>
    <w:rsid w:val="00D9111A"/>
    <w:rsid w:val="00D91BE3"/>
    <w:rsid w:val="00D926B5"/>
    <w:rsid w:val="00D949B7"/>
    <w:rsid w:val="00D94AFC"/>
    <w:rsid w:val="00DB70AE"/>
    <w:rsid w:val="00DD5071"/>
    <w:rsid w:val="00DD5C39"/>
    <w:rsid w:val="00DE5CD4"/>
    <w:rsid w:val="00DE7DB7"/>
    <w:rsid w:val="00E00A0A"/>
    <w:rsid w:val="00E066DE"/>
    <w:rsid w:val="00E06F42"/>
    <w:rsid w:val="00E07F57"/>
    <w:rsid w:val="00E30683"/>
    <w:rsid w:val="00E403E4"/>
    <w:rsid w:val="00E42107"/>
    <w:rsid w:val="00E453D8"/>
    <w:rsid w:val="00E50BCE"/>
    <w:rsid w:val="00E574BF"/>
    <w:rsid w:val="00E61292"/>
    <w:rsid w:val="00E77C4D"/>
    <w:rsid w:val="00E81D01"/>
    <w:rsid w:val="00EA79AF"/>
    <w:rsid w:val="00EB485A"/>
    <w:rsid w:val="00EE45D8"/>
    <w:rsid w:val="00F2278B"/>
    <w:rsid w:val="00F22EDA"/>
    <w:rsid w:val="00F470D6"/>
    <w:rsid w:val="00F5589A"/>
    <w:rsid w:val="00F768D4"/>
    <w:rsid w:val="00F903DA"/>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392ECB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2554</Words>
  <Characters>12369</Characters>
  <Application>Microsoft Office Word</Application>
  <DocSecurity>0</DocSecurity>
  <Lines>103</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2018-06-22T16:04:00Z</dcterms:created>
  <dcterms:modified xsi:type="dcterms:W3CDTF">2018-06-22T16:04:00Z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