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0C25F3" w:rsidRDefault="00926CB5" w:rsidP="00CB7FD7">
      <w:pPr>
        <w:jc w:val="center"/>
        <w:rPr>
          <w:rFonts w:ascii="Book Antiqua" w:hAnsi="Book Antiqua" w:cs="Arial"/>
          <w:sz w:val="16"/>
          <w:szCs w:val="16"/>
        </w:rPr>
      </w:pPr>
      <w:r w:rsidRPr="000C25F3">
        <w:rPr>
          <w:noProof/>
          <w:sz w:val="16"/>
          <w:szCs w:val="16"/>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652200" w:rsidRDefault="00CB7FD7" w:rsidP="00B626FA">
      <w:pPr>
        <w:tabs>
          <w:tab w:val="right" w:pos="9639"/>
        </w:tabs>
        <w:rPr>
          <w:rFonts w:ascii="Book Antiqua" w:hAnsi="Book Antiqua" w:cs="Arial"/>
          <w:b/>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652200">
        <w:rPr>
          <w:rFonts w:ascii="Book Antiqua" w:hAnsi="Book Antiqua" w:cs="Arial"/>
          <w:b/>
        </w:rPr>
        <w:t xml:space="preserve">   </w:t>
      </w:r>
      <w:proofErr w:type="gramEnd"/>
      <w:r w:rsidR="00652200">
        <w:rPr>
          <w:rFonts w:ascii="Book Antiqua" w:hAnsi="Book Antiqua" w:cs="Arial"/>
          <w:b/>
        </w:rPr>
        <w:t xml:space="preserve">                    </w:t>
      </w:r>
      <w:r w:rsidR="00B3524D" w:rsidRPr="00652200">
        <w:rPr>
          <w:rFonts w:ascii="Book Antiqua" w:hAnsi="Book Antiqua" w:cs="Arial"/>
          <w:b/>
        </w:rPr>
        <w:t>Appeal Number</w:t>
      </w:r>
      <w:r w:rsidR="00D53769" w:rsidRPr="00652200">
        <w:rPr>
          <w:rFonts w:ascii="Book Antiqua" w:hAnsi="Book Antiqua" w:cs="Arial"/>
          <w:b/>
        </w:rPr>
        <w:t>:</w:t>
      </w:r>
      <w:r w:rsidR="00B3524D" w:rsidRPr="00652200">
        <w:rPr>
          <w:rFonts w:ascii="Book Antiqua" w:hAnsi="Book Antiqua" w:cs="Arial"/>
          <w:b/>
        </w:rPr>
        <w:t xml:space="preserve"> </w:t>
      </w:r>
      <w:r w:rsidR="00A42BCC" w:rsidRPr="00652200">
        <w:rPr>
          <w:rFonts w:ascii="Book Antiqua" w:hAnsi="Book Antiqua" w:cs="Arial"/>
          <w:b/>
          <w:caps/>
        </w:rPr>
        <w:t>AA/12261/2015</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0E06B7" w:rsidTr="00652200">
        <w:tc>
          <w:tcPr>
            <w:tcW w:w="5245" w:type="dxa"/>
            <w:shd w:val="clear" w:color="auto" w:fill="auto"/>
          </w:tcPr>
          <w:p w:rsidR="00D22636" w:rsidRPr="000E06B7" w:rsidRDefault="00D22636" w:rsidP="000E06B7">
            <w:pPr>
              <w:jc w:val="both"/>
              <w:rPr>
                <w:rFonts w:ascii="Book Antiqua" w:hAnsi="Book Antiqua" w:cs="Arial"/>
                <w:b/>
              </w:rPr>
            </w:pPr>
            <w:r w:rsidRPr="000E06B7">
              <w:rPr>
                <w:rFonts w:ascii="Book Antiqua" w:hAnsi="Book Antiqua" w:cs="Arial"/>
                <w:b/>
              </w:rPr>
              <w:t xml:space="preserve">Heard at </w:t>
            </w:r>
            <w:r w:rsidR="00A42BCC" w:rsidRPr="000E06B7">
              <w:rPr>
                <w:rFonts w:ascii="Book Antiqua" w:hAnsi="Book Antiqua" w:cs="Arial"/>
                <w:b/>
              </w:rPr>
              <w:t>Upper Tribunal Birmingham</w:t>
            </w:r>
          </w:p>
        </w:tc>
        <w:tc>
          <w:tcPr>
            <w:tcW w:w="4763" w:type="dxa"/>
            <w:shd w:val="clear" w:color="auto" w:fill="auto"/>
          </w:tcPr>
          <w:p w:rsidR="00D22636" w:rsidRPr="000E06B7" w:rsidRDefault="00BF3B8C" w:rsidP="000E06B7">
            <w:pPr>
              <w:jc w:val="both"/>
              <w:rPr>
                <w:rFonts w:ascii="Book Antiqua" w:hAnsi="Book Antiqua" w:cs="Arial"/>
                <w:b/>
              </w:rPr>
            </w:pPr>
            <w:r w:rsidRPr="000E06B7">
              <w:rPr>
                <w:rFonts w:ascii="Book Antiqua" w:hAnsi="Book Antiqua" w:cs="Arial"/>
                <w:b/>
              </w:rPr>
              <w:t>Decision &amp; Reasons</w:t>
            </w:r>
            <w:r w:rsidR="00283659" w:rsidRPr="000E06B7">
              <w:rPr>
                <w:rFonts w:ascii="Book Antiqua" w:hAnsi="Book Antiqua" w:cs="Arial"/>
                <w:b/>
              </w:rPr>
              <w:t xml:space="preserve"> Promulgated</w:t>
            </w:r>
          </w:p>
        </w:tc>
      </w:tr>
      <w:tr w:rsidR="00D22636" w:rsidRPr="000E06B7" w:rsidTr="00652200">
        <w:tc>
          <w:tcPr>
            <w:tcW w:w="5245" w:type="dxa"/>
            <w:shd w:val="clear" w:color="auto" w:fill="auto"/>
          </w:tcPr>
          <w:p w:rsidR="00D22636" w:rsidRPr="000E06B7" w:rsidRDefault="00D22636" w:rsidP="000E06B7">
            <w:pPr>
              <w:jc w:val="both"/>
              <w:rPr>
                <w:rFonts w:ascii="Book Antiqua" w:hAnsi="Book Antiqua" w:cs="Arial"/>
                <w:b/>
              </w:rPr>
            </w:pPr>
            <w:r w:rsidRPr="000E06B7">
              <w:rPr>
                <w:rFonts w:ascii="Book Antiqua" w:hAnsi="Book Antiqua" w:cs="Arial"/>
                <w:b/>
              </w:rPr>
              <w:t xml:space="preserve">On </w:t>
            </w:r>
            <w:r w:rsidR="00A42BCC" w:rsidRPr="000E06B7">
              <w:rPr>
                <w:rFonts w:ascii="Book Antiqua" w:hAnsi="Book Antiqua" w:cs="Arial"/>
                <w:b/>
              </w:rPr>
              <w:t>16 February 2017</w:t>
            </w:r>
          </w:p>
        </w:tc>
        <w:tc>
          <w:tcPr>
            <w:tcW w:w="4763" w:type="dxa"/>
            <w:shd w:val="clear" w:color="auto" w:fill="auto"/>
          </w:tcPr>
          <w:p w:rsidR="00D22636" w:rsidRPr="000E06B7" w:rsidRDefault="00926CB5" w:rsidP="000E06B7">
            <w:pPr>
              <w:jc w:val="both"/>
              <w:rPr>
                <w:rFonts w:ascii="Book Antiqua" w:hAnsi="Book Antiqua" w:cs="Arial"/>
                <w:b/>
              </w:rPr>
            </w:pPr>
            <w:r>
              <w:rPr>
                <w:rFonts w:ascii="Book Antiqua" w:hAnsi="Book Antiqua" w:cs="Arial"/>
                <w:b/>
              </w:rPr>
              <w:t>On 3 August 2018</w:t>
            </w:r>
          </w:p>
        </w:tc>
      </w:tr>
      <w:tr w:rsidR="00D22636" w:rsidRPr="000E06B7" w:rsidTr="00652200">
        <w:tc>
          <w:tcPr>
            <w:tcW w:w="5245" w:type="dxa"/>
            <w:shd w:val="clear" w:color="auto" w:fill="auto"/>
          </w:tcPr>
          <w:p w:rsidR="00D22636" w:rsidRPr="000E06B7" w:rsidRDefault="00D22636" w:rsidP="000E06B7">
            <w:pPr>
              <w:jc w:val="both"/>
              <w:rPr>
                <w:rFonts w:ascii="Book Antiqua" w:hAnsi="Book Antiqua" w:cs="Arial"/>
                <w:b/>
              </w:rPr>
            </w:pPr>
          </w:p>
        </w:tc>
        <w:tc>
          <w:tcPr>
            <w:tcW w:w="4763" w:type="dxa"/>
            <w:shd w:val="clear" w:color="auto" w:fill="auto"/>
          </w:tcPr>
          <w:p w:rsidR="00D22636" w:rsidRPr="000E06B7" w:rsidRDefault="00D22636" w:rsidP="000E06B7">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244A9E" w:rsidRPr="00CE6902" w:rsidRDefault="00561B4E" w:rsidP="00A42BCC">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A42BCC" w:rsidP="00742A8D">
      <w:pPr>
        <w:jc w:val="center"/>
        <w:rPr>
          <w:rFonts w:ascii="Book Antiqua" w:hAnsi="Book Antiqua" w:cs="Arial"/>
          <w:b/>
          <w:caps/>
        </w:rPr>
      </w:pPr>
      <w:r>
        <w:rPr>
          <w:rFonts w:ascii="Book Antiqua" w:hAnsi="Book Antiqua" w:cs="Arial"/>
          <w:b/>
          <w:caps/>
        </w:rPr>
        <w:t>tariq niazi</w:t>
      </w:r>
    </w:p>
    <w:p w:rsidR="00BF3B8C" w:rsidRPr="00652200" w:rsidRDefault="00BF3B8C" w:rsidP="00BF3B8C">
      <w:pPr>
        <w:jc w:val="center"/>
        <w:rPr>
          <w:rFonts w:ascii="Book Antiqua" w:hAnsi="Book Antiqua" w:cs="Arial"/>
          <w:caps/>
        </w:rPr>
      </w:pPr>
      <w:r w:rsidRPr="00652200">
        <w:rPr>
          <w:rFonts w:ascii="Book Antiqua" w:hAnsi="Book Antiqua" w:cs="Arial"/>
          <w:caps/>
        </w:rPr>
        <w:t>(ANONYMITY DIRECTION</w:t>
      </w:r>
      <w:r w:rsidR="00652200" w:rsidRPr="00652200">
        <w:rPr>
          <w:rFonts w:ascii="Book Antiqua" w:hAnsi="Book Antiqua" w:cs="Arial"/>
          <w:caps/>
        </w:rPr>
        <w:t xml:space="preserve"> NOT MADE</w:t>
      </w:r>
      <w:r w:rsidRPr="00652200">
        <w:rPr>
          <w:rFonts w:ascii="Book Antiqua" w:hAnsi="Book Antiqua" w:cs="Arial"/>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Default="00DD5071" w:rsidP="00704B61">
      <w:pPr>
        <w:jc w:val="center"/>
        <w:rPr>
          <w:rFonts w:ascii="Book Antiqua" w:hAnsi="Book Antiqua" w:cs="Arial"/>
          <w:b/>
        </w:rPr>
      </w:pPr>
    </w:p>
    <w:p w:rsidR="00652200" w:rsidRPr="00CE6902" w:rsidRDefault="00652200" w:rsidP="00704B61">
      <w:pPr>
        <w:jc w:val="center"/>
        <w:rPr>
          <w:rFonts w:ascii="Book Antiqua" w:hAnsi="Book Antiqua" w:cs="Arial"/>
          <w:b/>
        </w:rPr>
      </w:pPr>
      <w:r>
        <w:rPr>
          <w:rFonts w:ascii="Book Antiqua" w:hAnsi="Book Antiqua" w:cs="Arial"/>
          <w:b/>
        </w:rPr>
        <w:t>THE SECRETARY OF STATE FOR THE HOME DEPARTMENT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Default="00DE7DB7" w:rsidP="00DD5071">
      <w:pPr>
        <w:rPr>
          <w:rFonts w:ascii="Book Antiqua" w:hAnsi="Book Antiqua" w:cs="Arial"/>
          <w:b/>
        </w:rPr>
      </w:pPr>
      <w:r w:rsidRPr="00CE6902">
        <w:rPr>
          <w:rFonts w:ascii="Book Antiqua" w:hAnsi="Book Antiqua" w:cs="Arial"/>
          <w:b/>
          <w:u w:val="single"/>
        </w:rPr>
        <w:t>Representation</w:t>
      </w:r>
      <w:r w:rsidRPr="00CE6902">
        <w:rPr>
          <w:rFonts w:ascii="Book Antiqua" w:hAnsi="Book Antiqua" w:cs="Arial"/>
          <w:b/>
        </w:rPr>
        <w:t>:</w:t>
      </w:r>
    </w:p>
    <w:p w:rsidR="00652200" w:rsidRPr="00CE6902" w:rsidRDefault="00652200" w:rsidP="00DD5071">
      <w:pPr>
        <w:rPr>
          <w:rFonts w:ascii="Book Antiqua" w:hAnsi="Book Antiqua" w:cs="Arial"/>
        </w:rPr>
      </w:pPr>
    </w:p>
    <w:p w:rsidR="00DE7DB7" w:rsidRPr="00CE6902" w:rsidRDefault="00DE7DB7" w:rsidP="000C25F3">
      <w:pPr>
        <w:ind w:left="2552" w:hanging="2552"/>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A42BCC">
        <w:rPr>
          <w:rFonts w:ascii="Book Antiqua" w:hAnsi="Book Antiqua" w:cs="Arial"/>
        </w:rPr>
        <w:t>Mr Bedford</w:t>
      </w:r>
      <w:r w:rsidR="00762B96">
        <w:rPr>
          <w:rFonts w:ascii="Book Antiqua" w:hAnsi="Book Antiqua" w:cs="Arial"/>
        </w:rPr>
        <w:t xml:space="preserve">; Mr </w:t>
      </w:r>
      <w:proofErr w:type="spellStart"/>
      <w:r w:rsidR="00762B96">
        <w:rPr>
          <w:rFonts w:ascii="Book Antiqua" w:hAnsi="Book Antiqua" w:cs="Arial"/>
        </w:rPr>
        <w:t>Tala</w:t>
      </w:r>
      <w:r w:rsidR="00AE6BB7">
        <w:rPr>
          <w:rFonts w:ascii="Book Antiqua" w:hAnsi="Book Antiqua" w:cs="Arial"/>
        </w:rPr>
        <w:t>c</w:t>
      </w:r>
      <w:r w:rsidR="00762B96">
        <w:rPr>
          <w:rFonts w:ascii="Book Antiqua" w:hAnsi="Book Antiqua" w:cs="Arial"/>
        </w:rPr>
        <w:t>chi</w:t>
      </w:r>
      <w:proofErr w:type="spellEnd"/>
      <w:r w:rsidR="00762B96">
        <w:rPr>
          <w:rFonts w:ascii="Book Antiqua" w:hAnsi="Book Antiqua" w:cs="Arial"/>
        </w:rPr>
        <w:t>, Counsel</w:t>
      </w:r>
      <w:r w:rsidR="00AE6BB7">
        <w:rPr>
          <w:rFonts w:ascii="Book Antiqua" w:hAnsi="Book Antiqua" w:cs="Arial"/>
        </w:rPr>
        <w:t>, instructed by Buckingham Legal Associates</w:t>
      </w:r>
    </w:p>
    <w:p w:rsidR="00DE7DB7" w:rsidRPr="00CE6902" w:rsidRDefault="00DE7DB7" w:rsidP="000C25F3">
      <w:pPr>
        <w:tabs>
          <w:tab w:val="left" w:pos="2552"/>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A42BCC">
        <w:rPr>
          <w:rFonts w:ascii="Book Antiqua" w:hAnsi="Book Antiqua" w:cs="Arial"/>
        </w:rPr>
        <w:t>Mr Mills</w:t>
      </w:r>
      <w:r w:rsidR="0039351C">
        <w:rPr>
          <w:rFonts w:ascii="Book Antiqua" w:hAnsi="Book Antiqua" w:cs="Arial"/>
        </w:rPr>
        <w:t>, HOPO: Ms Isherwood, HOP</w:t>
      </w:r>
      <w:r w:rsidR="00762B96">
        <w:rPr>
          <w:rFonts w:ascii="Book Antiqua" w:hAnsi="Book Antiqua" w:cs="Arial"/>
        </w:rPr>
        <w:t>O</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C665DF" w:rsidRDefault="00A42BCC"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Boylan-Kemp made following a hearing at Birmingham on 20</w:t>
      </w:r>
      <w:r w:rsidRPr="00A42BCC">
        <w:rPr>
          <w:rFonts w:ascii="Book Antiqua" w:hAnsi="Book Antiqua" w:cs="Arial"/>
          <w:vertAlign w:val="superscript"/>
        </w:rPr>
        <w:t>th</w:t>
      </w:r>
      <w:r>
        <w:rPr>
          <w:rFonts w:ascii="Book Antiqua" w:hAnsi="Book Antiqua" w:cs="Arial"/>
        </w:rPr>
        <w:t xml:space="preserve"> June 2016.  </w:t>
      </w:r>
    </w:p>
    <w:p w:rsidR="00A42BCC" w:rsidRPr="00A42BCC" w:rsidRDefault="00A42BCC" w:rsidP="00A42BCC">
      <w:pPr>
        <w:spacing w:before="240"/>
        <w:jc w:val="both"/>
        <w:rPr>
          <w:rFonts w:ascii="Book Antiqua" w:hAnsi="Book Antiqua" w:cs="Arial"/>
          <w:b/>
          <w:u w:val="single"/>
        </w:rPr>
      </w:pPr>
      <w:r>
        <w:rPr>
          <w:rFonts w:ascii="Book Antiqua" w:hAnsi="Book Antiqua" w:cs="Arial"/>
          <w:b/>
          <w:u w:val="single"/>
        </w:rPr>
        <w:t>Background</w:t>
      </w:r>
    </w:p>
    <w:p w:rsidR="00A42BCC" w:rsidRDefault="00A42BCC" w:rsidP="00C665DF">
      <w:pPr>
        <w:numPr>
          <w:ilvl w:val="0"/>
          <w:numId w:val="3"/>
        </w:numPr>
        <w:spacing w:before="240"/>
        <w:jc w:val="both"/>
        <w:rPr>
          <w:rFonts w:ascii="Book Antiqua" w:hAnsi="Book Antiqua" w:cs="Arial"/>
        </w:rPr>
      </w:pPr>
      <w:r>
        <w:rPr>
          <w:rFonts w:ascii="Book Antiqua" w:hAnsi="Book Antiqua" w:cs="Arial"/>
        </w:rPr>
        <w:t>The appellant is a national of Afghanistan born on 1</w:t>
      </w:r>
      <w:r w:rsidRPr="00A42BCC">
        <w:rPr>
          <w:rFonts w:ascii="Book Antiqua" w:hAnsi="Book Antiqua" w:cs="Arial"/>
          <w:vertAlign w:val="superscript"/>
        </w:rPr>
        <w:t>st</w:t>
      </w:r>
      <w:r>
        <w:rPr>
          <w:rFonts w:ascii="Book Antiqua" w:hAnsi="Book Antiqua" w:cs="Arial"/>
        </w:rPr>
        <w:t xml:space="preserve"> January 1994.  He left Afghanistan in 2009 and came to the UK, via France, claiming asylum on 10</w:t>
      </w:r>
      <w:r w:rsidRPr="00A42BCC">
        <w:rPr>
          <w:rFonts w:ascii="Book Antiqua" w:hAnsi="Book Antiqua" w:cs="Arial"/>
          <w:vertAlign w:val="superscript"/>
        </w:rPr>
        <w:t>th</w:t>
      </w:r>
      <w:r>
        <w:rPr>
          <w:rFonts w:ascii="Book Antiqua" w:hAnsi="Book Antiqua" w:cs="Arial"/>
        </w:rPr>
        <w:t xml:space="preserve"> September 2010 following arrest for working illegally.  He was granted discretionary leave to remain until 1</w:t>
      </w:r>
      <w:r w:rsidRPr="00A42BCC">
        <w:rPr>
          <w:rFonts w:ascii="Book Antiqua" w:hAnsi="Book Antiqua" w:cs="Arial"/>
          <w:vertAlign w:val="superscript"/>
        </w:rPr>
        <w:t>st</w:t>
      </w:r>
      <w:r>
        <w:rPr>
          <w:rFonts w:ascii="Book Antiqua" w:hAnsi="Book Antiqua" w:cs="Arial"/>
        </w:rPr>
        <w:t xml:space="preserve"> July 2011 as an unaccompanied </w:t>
      </w:r>
      <w:proofErr w:type="gramStart"/>
      <w:r>
        <w:rPr>
          <w:rFonts w:ascii="Book Antiqua" w:hAnsi="Book Antiqua" w:cs="Arial"/>
        </w:rPr>
        <w:t>asylum seeking</w:t>
      </w:r>
      <w:proofErr w:type="gramEnd"/>
      <w:r>
        <w:rPr>
          <w:rFonts w:ascii="Book Antiqua" w:hAnsi="Book Antiqua" w:cs="Arial"/>
        </w:rPr>
        <w:t xml:space="preserve"> child.  The appellant’s asylum claim was dismissed but subsequently allowed by the Upper Tribunal to the extent that the Secretary of State was said not to have complied with </w:t>
      </w:r>
      <w:r>
        <w:rPr>
          <w:rFonts w:ascii="Book Antiqua" w:hAnsi="Book Antiqua" w:cs="Arial"/>
        </w:rPr>
        <w:lastRenderedPageBreak/>
        <w:t>her duty of assessing the extent to which the reception arrangements and family support and involvement would reduce or eliminate the risk to the appellant.</w:t>
      </w:r>
    </w:p>
    <w:p w:rsidR="001377E1" w:rsidRDefault="001377E1" w:rsidP="00C665DF">
      <w:pPr>
        <w:numPr>
          <w:ilvl w:val="0"/>
          <w:numId w:val="3"/>
        </w:numPr>
        <w:spacing w:before="240"/>
        <w:jc w:val="both"/>
        <w:rPr>
          <w:rFonts w:ascii="Book Antiqua" w:hAnsi="Book Antiqua" w:cs="Arial"/>
        </w:rPr>
      </w:pPr>
      <w:r>
        <w:rPr>
          <w:rFonts w:ascii="Book Antiqua" w:hAnsi="Book Antiqua" w:cs="Arial"/>
        </w:rPr>
        <w:t>A fresh decision was subsequently made on 4</w:t>
      </w:r>
      <w:r w:rsidRPr="001377E1">
        <w:rPr>
          <w:rFonts w:ascii="Book Antiqua" w:hAnsi="Book Antiqua" w:cs="Arial"/>
          <w:vertAlign w:val="superscript"/>
        </w:rPr>
        <w:t>th</w:t>
      </w:r>
      <w:r>
        <w:rPr>
          <w:rFonts w:ascii="Book Antiqua" w:hAnsi="Book Antiqua" w:cs="Arial"/>
        </w:rPr>
        <w:t xml:space="preserve"> September 2015 refusing to grant the appellant asylum.  </w:t>
      </w:r>
    </w:p>
    <w:p w:rsidR="001377E1" w:rsidRPr="001377E1" w:rsidRDefault="001377E1" w:rsidP="001377E1">
      <w:pPr>
        <w:spacing w:before="240"/>
        <w:jc w:val="both"/>
        <w:rPr>
          <w:rFonts w:ascii="Book Antiqua" w:hAnsi="Book Antiqua" w:cs="Arial"/>
          <w:b/>
          <w:u w:val="single"/>
        </w:rPr>
      </w:pPr>
      <w:r>
        <w:rPr>
          <w:rFonts w:ascii="Book Antiqua" w:hAnsi="Book Antiqua" w:cs="Arial"/>
          <w:b/>
          <w:u w:val="single"/>
        </w:rPr>
        <w:t>The First-tier Judge’s Decision</w:t>
      </w:r>
    </w:p>
    <w:p w:rsidR="001377E1" w:rsidRDefault="001377E1" w:rsidP="00C665DF">
      <w:pPr>
        <w:numPr>
          <w:ilvl w:val="0"/>
          <w:numId w:val="3"/>
        </w:numPr>
        <w:spacing w:before="240"/>
        <w:jc w:val="both"/>
        <w:rPr>
          <w:rFonts w:ascii="Book Antiqua" w:hAnsi="Book Antiqua" w:cs="Arial"/>
        </w:rPr>
      </w:pPr>
      <w:r>
        <w:rPr>
          <w:rFonts w:ascii="Book Antiqua" w:hAnsi="Book Antiqua" w:cs="Arial"/>
        </w:rPr>
        <w:t>The judge found that the appellant to be wholly credible and accepted that his paternal uncles had tried to recruit him to the Taliban against his will.  The judge also accepted that the appellant had assisted the relevant agencies insofar as possible in providing the details to locate his family but this had been without success.  The judge therefore accepted that the appellant had lost contact with his family and would be consequently without familial support on his return.</w:t>
      </w:r>
    </w:p>
    <w:p w:rsidR="001377E1" w:rsidRDefault="001377E1" w:rsidP="00C665DF">
      <w:pPr>
        <w:numPr>
          <w:ilvl w:val="0"/>
          <w:numId w:val="3"/>
        </w:numPr>
        <w:spacing w:before="240"/>
        <w:jc w:val="both"/>
        <w:rPr>
          <w:rFonts w:ascii="Book Antiqua" w:hAnsi="Book Antiqua" w:cs="Arial"/>
        </w:rPr>
      </w:pPr>
      <w:r>
        <w:rPr>
          <w:rFonts w:ascii="Book Antiqua" w:hAnsi="Book Antiqua" w:cs="Arial"/>
        </w:rPr>
        <w:t xml:space="preserve">The appeal was dismissed on the grounds that the risk of forcible recruitment had diminished since the appellant had reached adulthood and he was no longer at risk of persecution on his return to his home area.  If he was wrong about that the appellant would have sufficiency of protection from the Afghan authorities and/or </w:t>
      </w:r>
      <w:r w:rsidR="00931A3F">
        <w:rPr>
          <w:rFonts w:ascii="Book Antiqua" w:hAnsi="Book Antiqua" w:cs="Arial"/>
        </w:rPr>
        <w:t xml:space="preserve">could </w:t>
      </w:r>
      <w:r>
        <w:rPr>
          <w:rFonts w:ascii="Book Antiqua" w:hAnsi="Book Antiqua" w:cs="Arial"/>
        </w:rPr>
        <w:t xml:space="preserve">relocate from his home province of </w:t>
      </w:r>
      <w:proofErr w:type="spellStart"/>
      <w:r>
        <w:rPr>
          <w:rFonts w:ascii="Book Antiqua" w:hAnsi="Book Antiqua" w:cs="Arial"/>
        </w:rPr>
        <w:t>Logar</w:t>
      </w:r>
      <w:proofErr w:type="spellEnd"/>
      <w:r>
        <w:rPr>
          <w:rFonts w:ascii="Book Antiqua" w:hAnsi="Book Antiqua" w:cs="Arial"/>
        </w:rPr>
        <w:t xml:space="preserve"> to Kabul.  On that basis he dismissed the appeal.</w:t>
      </w:r>
    </w:p>
    <w:p w:rsidR="001377E1" w:rsidRPr="001377E1" w:rsidRDefault="001377E1" w:rsidP="001377E1">
      <w:pPr>
        <w:spacing w:before="240"/>
        <w:jc w:val="both"/>
        <w:rPr>
          <w:rFonts w:ascii="Book Antiqua" w:hAnsi="Book Antiqua" w:cs="Arial"/>
          <w:b/>
          <w:u w:val="single"/>
        </w:rPr>
      </w:pPr>
      <w:r>
        <w:rPr>
          <w:rFonts w:ascii="Book Antiqua" w:hAnsi="Book Antiqua" w:cs="Arial"/>
          <w:b/>
          <w:u w:val="single"/>
        </w:rPr>
        <w:t>Background</w:t>
      </w:r>
    </w:p>
    <w:p w:rsidR="001377E1" w:rsidRDefault="001377E1"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on the grounds that the judge had misapplied the law in concluding that the appellant would not be at risk in his home area of </w:t>
      </w:r>
      <w:proofErr w:type="spellStart"/>
      <w:r>
        <w:rPr>
          <w:rFonts w:ascii="Book Antiqua" w:hAnsi="Book Antiqua" w:cs="Arial"/>
        </w:rPr>
        <w:t>Logar</w:t>
      </w:r>
      <w:proofErr w:type="spellEnd"/>
      <w:r>
        <w:rPr>
          <w:rFonts w:ascii="Book Antiqua" w:hAnsi="Book Antiqua" w:cs="Arial"/>
        </w:rPr>
        <w:t xml:space="preserve"> which is a contested province.</w:t>
      </w:r>
      <w:r w:rsidR="003F3944">
        <w:rPr>
          <w:rFonts w:ascii="Book Antiqua" w:hAnsi="Book Antiqua" w:cs="Arial"/>
        </w:rPr>
        <w:t xml:space="preserve">  The appellant relied on the UNHCR Eligibility Guidelines which state that men and boys of fighting age may be at risk in provinces which are contested.</w:t>
      </w:r>
    </w:p>
    <w:p w:rsidR="00065568" w:rsidRDefault="00065568" w:rsidP="00C665DF">
      <w:pPr>
        <w:numPr>
          <w:ilvl w:val="0"/>
          <w:numId w:val="3"/>
        </w:numPr>
        <w:spacing w:before="240"/>
        <w:jc w:val="both"/>
        <w:rPr>
          <w:rFonts w:ascii="Book Antiqua" w:hAnsi="Book Antiqua" w:cs="Arial"/>
        </w:rPr>
      </w:pPr>
      <w:r>
        <w:rPr>
          <w:rFonts w:ascii="Book Antiqua" w:hAnsi="Book Antiqua" w:cs="Arial"/>
        </w:rPr>
        <w:t xml:space="preserve">The judge had furthermore erred in her assessment of the reasonableness of relocation to Kabul, both in not taking into account relevant evidence before her, namely the evidence of the expert Dr Schuster and the UNHCR Guidelines for </w:t>
      </w:r>
      <w:r w:rsidR="00F42F77">
        <w:rPr>
          <w:rFonts w:ascii="Book Antiqua" w:hAnsi="Book Antiqua" w:cs="Arial"/>
        </w:rPr>
        <w:t xml:space="preserve">Assessing </w:t>
      </w:r>
      <w:r>
        <w:rPr>
          <w:rFonts w:ascii="Book Antiqua" w:hAnsi="Book Antiqua" w:cs="Arial"/>
        </w:rPr>
        <w:t xml:space="preserve">the </w:t>
      </w:r>
      <w:r w:rsidR="00F42F77">
        <w:rPr>
          <w:rFonts w:ascii="Book Antiqua" w:hAnsi="Book Antiqua" w:cs="Arial"/>
        </w:rPr>
        <w:t xml:space="preserve">International Protection Needs </w:t>
      </w:r>
      <w:r>
        <w:rPr>
          <w:rFonts w:ascii="Book Antiqua" w:hAnsi="Book Antiqua" w:cs="Arial"/>
        </w:rPr>
        <w:t xml:space="preserve">of </w:t>
      </w:r>
      <w:r w:rsidR="00F42F77">
        <w:rPr>
          <w:rFonts w:ascii="Book Antiqua" w:hAnsi="Book Antiqua" w:cs="Arial"/>
        </w:rPr>
        <w:t xml:space="preserve">Asylum Seekers </w:t>
      </w:r>
      <w:r>
        <w:rPr>
          <w:rFonts w:ascii="Book Antiqua" w:hAnsi="Book Antiqua" w:cs="Arial"/>
        </w:rPr>
        <w:t xml:space="preserve">from Afghanistan dated April 2016.  </w:t>
      </w:r>
      <w:proofErr w:type="gramStart"/>
      <w:r>
        <w:rPr>
          <w:rFonts w:ascii="Book Antiqua" w:hAnsi="Book Antiqua" w:cs="Arial"/>
        </w:rPr>
        <w:t>Moreover</w:t>
      </w:r>
      <w:proofErr w:type="gramEnd"/>
      <w:r>
        <w:rPr>
          <w:rFonts w:ascii="Book Antiqua" w:hAnsi="Book Antiqua" w:cs="Arial"/>
        </w:rPr>
        <w:t xml:space="preserve"> she had not properly applied the case law in relying on the cases of </w:t>
      </w:r>
      <w:r w:rsidRPr="001313D7">
        <w:rPr>
          <w:rFonts w:ascii="Book Antiqua" w:hAnsi="Book Antiqua" w:cs="Arial"/>
          <w:u w:val="single"/>
        </w:rPr>
        <w:t>PM</w:t>
      </w:r>
      <w:r>
        <w:rPr>
          <w:rFonts w:ascii="Book Antiqua" w:hAnsi="Book Antiqua" w:cs="Arial"/>
        </w:rPr>
        <w:t xml:space="preserve"> [2007] UKAIT 00089 and </w:t>
      </w:r>
      <w:r w:rsidRPr="001313D7">
        <w:rPr>
          <w:rFonts w:ascii="Book Antiqua" w:hAnsi="Book Antiqua" w:cs="Arial"/>
          <w:u w:val="single"/>
        </w:rPr>
        <w:t>RQ</w:t>
      </w:r>
      <w:r>
        <w:rPr>
          <w:rFonts w:ascii="Book Antiqua" w:hAnsi="Book Antiqua" w:cs="Arial"/>
        </w:rPr>
        <w:t xml:space="preserve"> [2008] UKAIT 00013 which were plainly distinguishable.</w:t>
      </w:r>
    </w:p>
    <w:p w:rsidR="001313D7" w:rsidRDefault="001313D7" w:rsidP="00C665DF">
      <w:pPr>
        <w:numPr>
          <w:ilvl w:val="0"/>
          <w:numId w:val="3"/>
        </w:numPr>
        <w:spacing w:before="240"/>
        <w:jc w:val="both"/>
        <w:rPr>
          <w:rFonts w:ascii="Book Antiqua" w:hAnsi="Book Antiqua" w:cs="Arial"/>
        </w:rPr>
      </w:pPr>
      <w:r>
        <w:rPr>
          <w:rFonts w:ascii="Book Antiqua" w:hAnsi="Book Antiqua" w:cs="Arial"/>
        </w:rPr>
        <w:t>Permission was granted by Judge Gillespie on 15</w:t>
      </w:r>
      <w:r w:rsidRPr="001313D7">
        <w:rPr>
          <w:rFonts w:ascii="Book Antiqua" w:hAnsi="Book Antiqua" w:cs="Arial"/>
          <w:vertAlign w:val="superscript"/>
        </w:rPr>
        <w:t>th</w:t>
      </w:r>
      <w:r>
        <w:rPr>
          <w:rFonts w:ascii="Book Antiqua" w:hAnsi="Book Antiqua" w:cs="Arial"/>
        </w:rPr>
        <w:t xml:space="preserve"> August 2016 for the reasons stated in the grounds.</w:t>
      </w:r>
    </w:p>
    <w:p w:rsidR="001313D7" w:rsidRDefault="001313D7" w:rsidP="00C665DF">
      <w:pPr>
        <w:numPr>
          <w:ilvl w:val="0"/>
          <w:numId w:val="3"/>
        </w:numPr>
        <w:spacing w:before="240"/>
        <w:jc w:val="both"/>
        <w:rPr>
          <w:rFonts w:ascii="Book Antiqua" w:hAnsi="Book Antiqua" w:cs="Arial"/>
        </w:rPr>
      </w:pPr>
      <w:r>
        <w:rPr>
          <w:rFonts w:ascii="Book Antiqua" w:hAnsi="Book Antiqua" w:cs="Arial"/>
        </w:rPr>
        <w:t>On 12</w:t>
      </w:r>
      <w:r w:rsidRPr="001313D7">
        <w:rPr>
          <w:rFonts w:ascii="Book Antiqua" w:hAnsi="Book Antiqua" w:cs="Arial"/>
          <w:vertAlign w:val="superscript"/>
        </w:rPr>
        <w:t>th</w:t>
      </w:r>
      <w:r>
        <w:rPr>
          <w:rFonts w:ascii="Book Antiqua" w:hAnsi="Book Antiqua" w:cs="Arial"/>
        </w:rPr>
        <w:t xml:space="preserve"> September 2016 the respondent served a reply defending the determination and commenting on the fact that the bundle amounted to well over 600 pages.  It was argued that the judge could not be expected to carry out a trawl through such a large bundle to search for evidence to make out the appellant’s case and in any </w:t>
      </w:r>
      <w:proofErr w:type="gramStart"/>
      <w:r>
        <w:rPr>
          <w:rFonts w:ascii="Book Antiqua" w:hAnsi="Book Antiqua" w:cs="Arial"/>
        </w:rPr>
        <w:t>event</w:t>
      </w:r>
      <w:proofErr w:type="gramEnd"/>
      <w:r>
        <w:rPr>
          <w:rFonts w:ascii="Book Antiqua" w:hAnsi="Book Antiqua" w:cs="Arial"/>
        </w:rPr>
        <w:t xml:space="preserve"> there was no authority for the proposition that the view of UNHCR should be taken as determinative.  </w:t>
      </w:r>
    </w:p>
    <w:p w:rsidR="003D40F6" w:rsidRDefault="003D40F6" w:rsidP="001313D7">
      <w:pPr>
        <w:spacing w:before="240"/>
        <w:jc w:val="both"/>
        <w:rPr>
          <w:rFonts w:ascii="Book Antiqua" w:hAnsi="Book Antiqua" w:cs="Arial"/>
          <w:b/>
          <w:u w:val="single"/>
        </w:rPr>
      </w:pPr>
    </w:p>
    <w:p w:rsidR="003D40F6" w:rsidRDefault="003D40F6" w:rsidP="001313D7">
      <w:pPr>
        <w:spacing w:before="240"/>
        <w:jc w:val="both"/>
        <w:rPr>
          <w:rFonts w:ascii="Book Antiqua" w:hAnsi="Book Antiqua" w:cs="Arial"/>
          <w:b/>
          <w:u w:val="single"/>
        </w:rPr>
      </w:pPr>
    </w:p>
    <w:p w:rsidR="001313D7" w:rsidRPr="001313D7" w:rsidRDefault="001313D7" w:rsidP="001313D7">
      <w:pPr>
        <w:spacing w:before="240"/>
        <w:jc w:val="both"/>
        <w:rPr>
          <w:rFonts w:ascii="Book Antiqua" w:hAnsi="Book Antiqua" w:cs="Arial"/>
          <w:b/>
          <w:u w:val="single"/>
        </w:rPr>
      </w:pPr>
      <w:r>
        <w:rPr>
          <w:rFonts w:ascii="Book Antiqua" w:hAnsi="Book Antiqua" w:cs="Arial"/>
          <w:b/>
          <w:u w:val="single"/>
        </w:rPr>
        <w:lastRenderedPageBreak/>
        <w:t>Submissions</w:t>
      </w:r>
    </w:p>
    <w:p w:rsidR="001313D7" w:rsidRDefault="004076C2" w:rsidP="00C665DF">
      <w:pPr>
        <w:numPr>
          <w:ilvl w:val="0"/>
          <w:numId w:val="3"/>
        </w:numPr>
        <w:spacing w:before="240"/>
        <w:jc w:val="both"/>
        <w:rPr>
          <w:rFonts w:ascii="Book Antiqua" w:hAnsi="Book Antiqua" w:cs="Arial"/>
        </w:rPr>
      </w:pPr>
      <w:r>
        <w:rPr>
          <w:rFonts w:ascii="Book Antiqua" w:hAnsi="Book Antiqua" w:cs="Arial"/>
        </w:rPr>
        <w:t xml:space="preserve">At the commencement of the hearing Mr Mills helpfully conceded that the judge was wrong to consider that the appellant could return to his home area of </w:t>
      </w:r>
      <w:proofErr w:type="spellStart"/>
      <w:r>
        <w:rPr>
          <w:rFonts w:ascii="Book Antiqua" w:hAnsi="Book Antiqua" w:cs="Arial"/>
        </w:rPr>
        <w:t>Logar</w:t>
      </w:r>
      <w:proofErr w:type="spellEnd"/>
      <w:r>
        <w:rPr>
          <w:rFonts w:ascii="Book Antiqua" w:hAnsi="Book Antiqua" w:cs="Arial"/>
        </w:rPr>
        <w:t xml:space="preserve"> Province.  The respondent accepted that since this was a contested province, he would at risk in his home area.  He did however submit that, whilst the judge could have done far more with the new evidence before her, and in many respects the determination was not ideal as he put it, it was nevertheless sustainable since it was open to her to conclude that the appellant could reasonably relocate to Kabul.  He accepted that there was no specific reference to the Schuster </w:t>
      </w:r>
      <w:r w:rsidR="00F42F77">
        <w:rPr>
          <w:rFonts w:ascii="Book Antiqua" w:hAnsi="Book Antiqua" w:cs="Arial"/>
        </w:rPr>
        <w:t xml:space="preserve">Report </w:t>
      </w:r>
      <w:r>
        <w:rPr>
          <w:rFonts w:ascii="Book Antiqua" w:hAnsi="Book Antiqua" w:cs="Arial"/>
        </w:rPr>
        <w:t xml:space="preserve">but the </w:t>
      </w:r>
      <w:r w:rsidRPr="004076C2">
        <w:rPr>
          <w:rFonts w:ascii="Book Antiqua" w:hAnsi="Book Antiqua" w:cs="Arial"/>
        </w:rPr>
        <w:t>Court of Appeal</w:t>
      </w:r>
      <w:r>
        <w:rPr>
          <w:rFonts w:ascii="Book Antiqua" w:hAnsi="Book Antiqua" w:cs="Arial"/>
        </w:rPr>
        <w:t xml:space="preserve"> in </w:t>
      </w:r>
      <w:proofErr w:type="spellStart"/>
      <w:r w:rsidRPr="004076C2">
        <w:rPr>
          <w:rFonts w:ascii="Book Antiqua" w:hAnsi="Book Antiqua" w:cs="Arial"/>
          <w:u w:val="single"/>
        </w:rPr>
        <w:t>Naziri</w:t>
      </w:r>
      <w:proofErr w:type="spellEnd"/>
      <w:r w:rsidRPr="004076C2">
        <w:rPr>
          <w:rFonts w:ascii="Book Antiqua" w:hAnsi="Book Antiqua" w:cs="Arial"/>
          <w:u w:val="single"/>
        </w:rPr>
        <w:t xml:space="preserve"> and Others (R on the application of) v SSHD</w:t>
      </w:r>
      <w:r>
        <w:rPr>
          <w:rFonts w:ascii="Book Antiqua" w:hAnsi="Book Antiqua" w:cs="Arial"/>
        </w:rPr>
        <w:t xml:space="preserve"> (JR – scope – evidence IJR) [2015] UKUT 437 had dealt with a similar report from Dr Schuster and found that it was not sufficient to justify departure from the country guidance case of </w:t>
      </w:r>
      <w:r w:rsidRPr="004076C2">
        <w:rPr>
          <w:rFonts w:ascii="Book Antiqua" w:hAnsi="Book Antiqua" w:cs="Arial"/>
          <w:u w:val="single"/>
        </w:rPr>
        <w:t>AK</w:t>
      </w:r>
      <w:r>
        <w:rPr>
          <w:rFonts w:ascii="Book Antiqua" w:hAnsi="Book Antiqua" w:cs="Arial"/>
        </w:rPr>
        <w:t xml:space="preserve"> (</w:t>
      </w:r>
      <w:r w:rsidRPr="004076C2">
        <w:rPr>
          <w:rFonts w:ascii="Book Antiqua" w:hAnsi="Book Antiqua" w:cs="Arial"/>
        </w:rPr>
        <w:t>Article</w:t>
      </w:r>
      <w:r>
        <w:rPr>
          <w:rFonts w:ascii="Book Antiqua" w:hAnsi="Book Antiqua" w:cs="Arial"/>
        </w:rPr>
        <w:t xml:space="preserve"> 15(c)) Afghanistan CG [2012] UKUT 00163 (IAC).  The Tribunal in that case held that the level of indiscriminate violence in Afghanistan taken as a whole was not at such a high level as to mean within the meaning of Article 15(c) of the Qualification Directive a civilian solely by being present in the country faces a real risk which threatens his life or person.</w:t>
      </w:r>
      <w:r w:rsidR="0089423C">
        <w:rPr>
          <w:rFonts w:ascii="Book Antiqua" w:hAnsi="Book Antiqua" w:cs="Arial"/>
        </w:rPr>
        <w:t xml:space="preserve">  Whilst there was no reference to the UNHCR Guidelines, they were not binding although an opinion to be respected and had not been followed in a number of different cases, specifically </w:t>
      </w:r>
      <w:r w:rsidR="0089423C" w:rsidRPr="0089423C">
        <w:rPr>
          <w:rFonts w:ascii="Book Antiqua" w:hAnsi="Book Antiqua" w:cs="Arial"/>
          <w:u w:val="single"/>
        </w:rPr>
        <w:t>GJ</w:t>
      </w:r>
      <w:r w:rsidR="0089423C">
        <w:rPr>
          <w:rFonts w:ascii="Book Antiqua" w:hAnsi="Book Antiqua" w:cs="Arial"/>
        </w:rPr>
        <w:t xml:space="preserve"> (Post-civil war returnees) Sri Lanka CG [2013] UKUT 319.  </w:t>
      </w:r>
    </w:p>
    <w:p w:rsidR="0089423C" w:rsidRDefault="0089423C" w:rsidP="00C665DF">
      <w:pPr>
        <w:numPr>
          <w:ilvl w:val="0"/>
          <w:numId w:val="3"/>
        </w:numPr>
        <w:spacing w:before="240"/>
        <w:jc w:val="both"/>
        <w:rPr>
          <w:rFonts w:ascii="Book Antiqua" w:hAnsi="Book Antiqua" w:cs="Arial"/>
        </w:rPr>
      </w:pPr>
      <w:proofErr w:type="gramStart"/>
      <w:r>
        <w:rPr>
          <w:rFonts w:ascii="Book Antiqua" w:hAnsi="Book Antiqua" w:cs="Arial"/>
        </w:rPr>
        <w:t>Finally</w:t>
      </w:r>
      <w:proofErr w:type="gramEnd"/>
      <w:r>
        <w:rPr>
          <w:rFonts w:ascii="Book Antiqua" w:hAnsi="Book Antiqua" w:cs="Arial"/>
        </w:rPr>
        <w:t xml:space="preserve"> he repeated the point made in the grounds that the judge had not been provided with a list of essential reading nor a </w:t>
      </w:r>
      <w:r w:rsidRPr="0089423C">
        <w:rPr>
          <w:rFonts w:ascii="Book Antiqua" w:hAnsi="Book Antiqua" w:cs="Arial"/>
        </w:rPr>
        <w:t>skeleton argument</w:t>
      </w:r>
      <w:r>
        <w:rPr>
          <w:rFonts w:ascii="Book Antiqua" w:hAnsi="Book Antiqua" w:cs="Arial"/>
        </w:rPr>
        <w:t xml:space="preserve"> and it was therefore unreasonable to expect her to find her way through such a large bundle of evidence.  </w:t>
      </w:r>
      <w:r w:rsidRPr="0089423C">
        <w:rPr>
          <w:rFonts w:ascii="Book Antiqua" w:hAnsi="Book Antiqua" w:cs="Arial"/>
          <w:u w:val="single"/>
        </w:rPr>
        <w:t>AK</w:t>
      </w:r>
      <w:r>
        <w:rPr>
          <w:rFonts w:ascii="Book Antiqua" w:hAnsi="Book Antiqua" w:cs="Arial"/>
        </w:rPr>
        <w:t xml:space="preserve"> made it clear that Kabul was safe for </w:t>
      </w:r>
      <w:r w:rsidRPr="0089423C">
        <w:rPr>
          <w:rFonts w:ascii="Book Antiqua" w:hAnsi="Book Antiqua" w:cs="Arial"/>
        </w:rPr>
        <w:t>Article</w:t>
      </w:r>
      <w:r>
        <w:rPr>
          <w:rFonts w:ascii="Book Antiqua" w:hAnsi="Book Antiqua" w:cs="Arial"/>
        </w:rPr>
        <w:t xml:space="preserve"> 15(c) purposes and that finding must transfer across to the question of whether it provided a reasonable relocation alternative.</w:t>
      </w:r>
    </w:p>
    <w:p w:rsidR="00EC0D26" w:rsidRDefault="00EC0D26" w:rsidP="00C665DF">
      <w:pPr>
        <w:numPr>
          <w:ilvl w:val="0"/>
          <w:numId w:val="3"/>
        </w:numPr>
        <w:spacing w:before="240"/>
        <w:jc w:val="both"/>
        <w:rPr>
          <w:rFonts w:ascii="Book Antiqua" w:hAnsi="Book Antiqua" w:cs="Arial"/>
        </w:rPr>
      </w:pPr>
      <w:r>
        <w:rPr>
          <w:rFonts w:ascii="Book Antiqua" w:hAnsi="Book Antiqua" w:cs="Arial"/>
        </w:rPr>
        <w:t xml:space="preserve">Mr Bedford submitted that the Tribunal in </w:t>
      </w:r>
      <w:r w:rsidRPr="00EC0D26">
        <w:rPr>
          <w:rFonts w:ascii="Book Antiqua" w:hAnsi="Book Antiqua" w:cs="Arial"/>
          <w:u w:val="single"/>
        </w:rPr>
        <w:t>AK</w:t>
      </w:r>
      <w:r>
        <w:rPr>
          <w:rFonts w:ascii="Book Antiqua" w:hAnsi="Book Antiqua" w:cs="Arial"/>
        </w:rPr>
        <w:t xml:space="preserve"> was not dealing with the circumstances of this particular appellant namely someone who arrived in the UK as a child and had spent a considerable amount of time in local authority care and who had no familial support on return.  </w:t>
      </w:r>
      <w:r w:rsidRPr="00B37240">
        <w:rPr>
          <w:rFonts w:ascii="Book Antiqua" w:hAnsi="Book Antiqua" w:cs="Arial"/>
          <w:u w:val="single"/>
        </w:rPr>
        <w:t>AK</w:t>
      </w:r>
      <w:r>
        <w:rPr>
          <w:rFonts w:ascii="Book Antiqua" w:hAnsi="Book Antiqua" w:cs="Arial"/>
        </w:rPr>
        <w:t xml:space="preserve"> made it clear that although in general return to Kabul was not unsafe or unreasonable the individual circumstances of each appellant had to be assessed and the ju</w:t>
      </w:r>
      <w:r w:rsidR="00B37240">
        <w:rPr>
          <w:rFonts w:ascii="Book Antiqua" w:hAnsi="Book Antiqua" w:cs="Arial"/>
        </w:rPr>
        <w:t xml:space="preserve">dge had not carried out such an assessment.  The cases which she relied on were clearly distinguishable.  In </w:t>
      </w:r>
      <w:r w:rsidR="00B37240" w:rsidRPr="00B37240">
        <w:rPr>
          <w:rFonts w:ascii="Book Antiqua" w:hAnsi="Book Antiqua" w:cs="Arial"/>
          <w:u w:val="single"/>
        </w:rPr>
        <w:t>PM</w:t>
      </w:r>
      <w:r w:rsidR="00B37240">
        <w:rPr>
          <w:rFonts w:ascii="Book Antiqua" w:hAnsi="Book Antiqua" w:cs="Arial"/>
        </w:rPr>
        <w:t xml:space="preserve"> the appellants were battle hardened former soldiers aged 30 to 40.  The appellant in </w:t>
      </w:r>
      <w:r w:rsidR="00B37240" w:rsidRPr="00B37240">
        <w:rPr>
          <w:rFonts w:ascii="Book Antiqua" w:hAnsi="Book Antiqua" w:cs="Arial"/>
          <w:u w:val="single"/>
        </w:rPr>
        <w:t>RQ</w:t>
      </w:r>
      <w:r w:rsidR="00B37240">
        <w:rPr>
          <w:rFonts w:ascii="Book Antiqua" w:hAnsi="Book Antiqua" w:cs="Arial"/>
        </w:rPr>
        <w:t xml:space="preserve">, although 18, had been a soldier for three years and had also been in the UK for less than a year.  They were plainly distinguishable.  </w:t>
      </w:r>
    </w:p>
    <w:p w:rsidR="00B37240" w:rsidRDefault="00B37240" w:rsidP="00C665DF">
      <w:pPr>
        <w:numPr>
          <w:ilvl w:val="0"/>
          <w:numId w:val="3"/>
        </w:numPr>
        <w:spacing w:before="240"/>
        <w:jc w:val="both"/>
        <w:rPr>
          <w:rFonts w:ascii="Book Antiqua" w:hAnsi="Book Antiqua" w:cs="Arial"/>
        </w:rPr>
      </w:pPr>
      <w:r>
        <w:rPr>
          <w:rFonts w:ascii="Book Antiqua" w:hAnsi="Book Antiqua" w:cs="Arial"/>
        </w:rPr>
        <w:t xml:space="preserve">So far as the case of </w:t>
      </w:r>
      <w:proofErr w:type="spellStart"/>
      <w:r w:rsidRPr="00B37240">
        <w:rPr>
          <w:rFonts w:ascii="Book Antiqua" w:hAnsi="Book Antiqua" w:cs="Arial"/>
          <w:u w:val="single"/>
        </w:rPr>
        <w:t>Naziri</w:t>
      </w:r>
      <w:proofErr w:type="spellEnd"/>
      <w:r>
        <w:rPr>
          <w:rFonts w:ascii="Book Antiqua" w:hAnsi="Book Antiqua" w:cs="Arial"/>
        </w:rPr>
        <w:t xml:space="preserve"> was concerned he submitted that in </w:t>
      </w:r>
      <w:r w:rsidRPr="00B37240">
        <w:rPr>
          <w:rFonts w:ascii="Book Antiqua" w:hAnsi="Book Antiqua" w:cs="Arial"/>
          <w:u w:val="single"/>
        </w:rPr>
        <w:t>R (HN and SA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123 the court ruled that it had not been a part of the Tribunal’s function in </w:t>
      </w:r>
      <w:r w:rsidRPr="00B37240">
        <w:rPr>
          <w:rFonts w:ascii="Book Antiqua" w:hAnsi="Book Antiqua" w:cs="Arial"/>
          <w:u w:val="single"/>
        </w:rPr>
        <w:t>R (</w:t>
      </w:r>
      <w:proofErr w:type="spellStart"/>
      <w:r w:rsidRPr="00B37240">
        <w:rPr>
          <w:rFonts w:ascii="Book Antiqua" w:hAnsi="Book Antiqua" w:cs="Arial"/>
          <w:u w:val="single"/>
        </w:rPr>
        <w:t>Naziri</w:t>
      </w:r>
      <w:proofErr w:type="spellEnd"/>
      <w:r>
        <w:rPr>
          <w:rFonts w:ascii="Book Antiqua" w:hAnsi="Book Antiqua" w:cs="Arial"/>
        </w:rPr>
        <w:t xml:space="preserve">) to assess country conditions in Afghanistan in the context of a fresh claim </w:t>
      </w:r>
      <w:r w:rsidRPr="00EC42E5">
        <w:rPr>
          <w:rFonts w:ascii="Book Antiqua" w:hAnsi="Book Antiqua" w:cs="Arial"/>
        </w:rPr>
        <w:t>JR</w:t>
      </w:r>
      <w:r>
        <w:rPr>
          <w:rFonts w:ascii="Book Antiqua" w:hAnsi="Book Antiqua" w:cs="Arial"/>
        </w:rPr>
        <w:t xml:space="preserve">.  </w:t>
      </w:r>
    </w:p>
    <w:p w:rsidR="00B37240" w:rsidRDefault="00B37240" w:rsidP="00C665DF">
      <w:pPr>
        <w:numPr>
          <w:ilvl w:val="0"/>
          <w:numId w:val="3"/>
        </w:numPr>
        <w:spacing w:before="240"/>
        <w:jc w:val="both"/>
        <w:rPr>
          <w:rFonts w:ascii="Book Antiqua" w:hAnsi="Book Antiqua" w:cs="Arial"/>
        </w:rPr>
      </w:pPr>
      <w:r>
        <w:rPr>
          <w:rFonts w:ascii="Book Antiqua" w:hAnsi="Book Antiqua" w:cs="Arial"/>
        </w:rPr>
        <w:t xml:space="preserve">Finally, whilst he accepted that he had not submitted a </w:t>
      </w:r>
      <w:r w:rsidRPr="00B37240">
        <w:rPr>
          <w:rFonts w:ascii="Book Antiqua" w:hAnsi="Book Antiqua" w:cs="Arial"/>
        </w:rPr>
        <w:t>skeleton argument</w:t>
      </w:r>
      <w:r>
        <w:rPr>
          <w:rFonts w:ascii="Book Antiqua" w:hAnsi="Book Antiqua" w:cs="Arial"/>
        </w:rPr>
        <w:t xml:space="preserve">, he had marked certain passages in the extensive bundle which he had referred to specifically in his submissions.  </w:t>
      </w:r>
    </w:p>
    <w:p w:rsidR="003D40F6" w:rsidRDefault="003D40F6" w:rsidP="00B37240">
      <w:pPr>
        <w:spacing w:before="240"/>
        <w:jc w:val="both"/>
        <w:rPr>
          <w:rFonts w:ascii="Book Antiqua" w:hAnsi="Book Antiqua" w:cs="Arial"/>
          <w:b/>
          <w:u w:val="single"/>
        </w:rPr>
      </w:pPr>
    </w:p>
    <w:p w:rsidR="00B37240" w:rsidRPr="00B37240" w:rsidRDefault="00B37240" w:rsidP="00B37240">
      <w:pPr>
        <w:spacing w:before="240"/>
        <w:jc w:val="both"/>
        <w:rPr>
          <w:rFonts w:ascii="Book Antiqua" w:hAnsi="Book Antiqua" w:cs="Arial"/>
          <w:b/>
          <w:u w:val="single"/>
        </w:rPr>
      </w:pPr>
      <w:r>
        <w:rPr>
          <w:rFonts w:ascii="Book Antiqua" w:hAnsi="Book Antiqua" w:cs="Arial"/>
          <w:b/>
          <w:u w:val="single"/>
        </w:rPr>
        <w:lastRenderedPageBreak/>
        <w:t>Decision</w:t>
      </w:r>
    </w:p>
    <w:p w:rsidR="00B37240" w:rsidRDefault="00B37240" w:rsidP="00C665DF">
      <w:pPr>
        <w:numPr>
          <w:ilvl w:val="0"/>
          <w:numId w:val="3"/>
        </w:numPr>
        <w:spacing w:before="240"/>
        <w:jc w:val="both"/>
        <w:rPr>
          <w:rFonts w:ascii="Book Antiqua" w:hAnsi="Book Antiqua" w:cs="Arial"/>
        </w:rPr>
      </w:pPr>
      <w:r>
        <w:rPr>
          <w:rFonts w:ascii="Book Antiqua" w:hAnsi="Book Antiqua" w:cs="Arial"/>
        </w:rPr>
        <w:t xml:space="preserve">I am satisfied that the judge erred in law in failing to take into account all relevant matters when reaching her decision. </w:t>
      </w:r>
    </w:p>
    <w:p w:rsidR="00B37240" w:rsidRDefault="00B37240" w:rsidP="00C665DF">
      <w:pPr>
        <w:numPr>
          <w:ilvl w:val="0"/>
          <w:numId w:val="3"/>
        </w:numPr>
        <w:spacing w:before="240"/>
        <w:jc w:val="both"/>
        <w:rPr>
          <w:rFonts w:ascii="Book Antiqua" w:hAnsi="Book Antiqua" w:cs="Arial"/>
        </w:rPr>
      </w:pPr>
      <w:r>
        <w:rPr>
          <w:rFonts w:ascii="Book Antiqua" w:hAnsi="Book Antiqua" w:cs="Arial"/>
        </w:rPr>
        <w:t>First, there is no reference at all to the Schuster Report which states at paragraph 76:</w:t>
      </w:r>
    </w:p>
    <w:p w:rsidR="00B37240" w:rsidRPr="000C25F3" w:rsidRDefault="00B37240" w:rsidP="000C25F3">
      <w:pPr>
        <w:spacing w:before="120"/>
        <w:ind w:left="1134" w:right="567"/>
        <w:jc w:val="both"/>
        <w:rPr>
          <w:rFonts w:ascii="Book Antiqua" w:hAnsi="Book Antiqua" w:cs="Arial"/>
          <w:sz w:val="22"/>
          <w:szCs w:val="22"/>
        </w:rPr>
      </w:pPr>
      <w:r w:rsidRPr="000C25F3">
        <w:rPr>
          <w:rFonts w:ascii="Book Antiqua" w:hAnsi="Book Antiqua" w:cs="Arial"/>
          <w:sz w:val="22"/>
          <w:szCs w:val="22"/>
        </w:rPr>
        <w:t>“A further concern is that those returned after spending years in Europe, in particular formative teenage years would stand out.  Though those returned may still speak Dari or Pashtu, their accents and compartment are different, and they do not have the local knowledge and experience necessary to assess and deal with risks.  If they do not have family or friends in Kabul, they will not have the necessary guidance and advice on where to go and how to behave.  This is as true in Kabul as in the provinces, since most of the new arrivals have reproduced their village and social structure when resettling in Kabul as noticed in an article published in 2013.”</w:t>
      </w:r>
    </w:p>
    <w:p w:rsidR="00B37240" w:rsidRDefault="00B37240" w:rsidP="00C665DF">
      <w:pPr>
        <w:numPr>
          <w:ilvl w:val="0"/>
          <w:numId w:val="3"/>
        </w:numPr>
        <w:spacing w:before="240"/>
        <w:jc w:val="both"/>
        <w:rPr>
          <w:rFonts w:ascii="Book Antiqua" w:hAnsi="Book Antiqua" w:cs="Arial"/>
        </w:rPr>
      </w:pPr>
      <w:r>
        <w:rPr>
          <w:rFonts w:ascii="Book Antiqua" w:hAnsi="Book Antiqua" w:cs="Arial"/>
        </w:rPr>
        <w:t xml:space="preserve">And </w:t>
      </w:r>
      <w:proofErr w:type="gramStart"/>
      <w:r>
        <w:rPr>
          <w:rFonts w:ascii="Book Antiqua" w:hAnsi="Book Antiqua" w:cs="Arial"/>
        </w:rPr>
        <w:t>again</w:t>
      </w:r>
      <w:proofErr w:type="gramEnd"/>
      <w:r>
        <w:rPr>
          <w:rFonts w:ascii="Book Antiqua" w:hAnsi="Book Antiqua" w:cs="Arial"/>
        </w:rPr>
        <w:t xml:space="preserve"> at paragraph 78:</w:t>
      </w:r>
    </w:p>
    <w:p w:rsidR="00B37240" w:rsidRPr="000C25F3" w:rsidRDefault="00B37240" w:rsidP="000C25F3">
      <w:pPr>
        <w:spacing w:before="120"/>
        <w:ind w:left="1134" w:right="567"/>
        <w:jc w:val="both"/>
        <w:rPr>
          <w:rFonts w:ascii="Book Antiqua" w:hAnsi="Book Antiqua" w:cs="Arial"/>
          <w:sz w:val="22"/>
          <w:szCs w:val="22"/>
        </w:rPr>
      </w:pPr>
      <w:r w:rsidRPr="000C25F3">
        <w:rPr>
          <w:rFonts w:ascii="Book Antiqua" w:hAnsi="Book Antiqua" w:cs="Arial"/>
          <w:sz w:val="22"/>
          <w:szCs w:val="22"/>
        </w:rPr>
        <w:t xml:space="preserve">“Those who return as young men without social networks are also vulnerable to recruitment by insurgents.  In the course of my research I have met young men who say they are desperate, have been approached by recruiters and are considering joining insurgent groups (see also </w:t>
      </w:r>
      <w:r w:rsidR="00EC42E5" w:rsidRPr="000C25F3">
        <w:rPr>
          <w:rFonts w:ascii="Book Antiqua" w:hAnsi="Book Antiqua" w:cs="Arial"/>
          <w:sz w:val="22"/>
          <w:szCs w:val="22"/>
        </w:rPr>
        <w:t xml:space="preserve">Institute </w:t>
      </w:r>
      <w:r w:rsidRPr="000C25F3">
        <w:rPr>
          <w:rFonts w:ascii="Book Antiqua" w:hAnsi="Book Antiqua" w:cs="Arial"/>
          <w:sz w:val="22"/>
          <w:szCs w:val="22"/>
        </w:rPr>
        <w:t xml:space="preserve">for </w:t>
      </w:r>
      <w:r w:rsidR="00EC42E5" w:rsidRPr="000C25F3">
        <w:rPr>
          <w:rFonts w:ascii="Book Antiqua" w:hAnsi="Book Antiqua" w:cs="Arial"/>
          <w:sz w:val="22"/>
          <w:szCs w:val="22"/>
        </w:rPr>
        <w:t xml:space="preserve">War </w:t>
      </w:r>
      <w:r w:rsidRPr="000C25F3">
        <w:rPr>
          <w:rFonts w:ascii="Book Antiqua" w:hAnsi="Book Antiqua" w:cs="Arial"/>
          <w:sz w:val="22"/>
          <w:szCs w:val="22"/>
        </w:rPr>
        <w:t xml:space="preserve">and </w:t>
      </w:r>
      <w:r w:rsidR="00EC42E5" w:rsidRPr="000C25F3">
        <w:rPr>
          <w:rFonts w:ascii="Book Antiqua" w:hAnsi="Book Antiqua" w:cs="Arial"/>
          <w:sz w:val="22"/>
          <w:szCs w:val="22"/>
        </w:rPr>
        <w:t xml:space="preserve">Peace </w:t>
      </w:r>
      <w:proofErr w:type="gramStart"/>
      <w:r w:rsidRPr="000C25F3">
        <w:rPr>
          <w:rFonts w:ascii="Book Antiqua" w:hAnsi="Book Antiqua" w:cs="Arial"/>
          <w:sz w:val="22"/>
          <w:szCs w:val="22"/>
        </w:rPr>
        <w:t>reporting</w:t>
      </w:r>
      <w:proofErr w:type="gramEnd"/>
      <w:r w:rsidRPr="000C25F3">
        <w:rPr>
          <w:rFonts w:ascii="Book Antiqua" w:hAnsi="Book Antiqua" w:cs="Arial"/>
          <w:sz w:val="22"/>
          <w:szCs w:val="22"/>
        </w:rPr>
        <w:t xml:space="preserve"> Afghan </w:t>
      </w:r>
      <w:r w:rsidR="00EC42E5" w:rsidRPr="000C25F3">
        <w:rPr>
          <w:rFonts w:ascii="Book Antiqua" w:hAnsi="Book Antiqua" w:cs="Arial"/>
          <w:sz w:val="22"/>
          <w:szCs w:val="22"/>
        </w:rPr>
        <w:t xml:space="preserve">Militants </w:t>
      </w:r>
      <w:r w:rsidRPr="000C25F3">
        <w:rPr>
          <w:rFonts w:ascii="Book Antiqua" w:hAnsi="Book Antiqua" w:cs="Arial"/>
          <w:sz w:val="22"/>
          <w:szCs w:val="22"/>
        </w:rPr>
        <w:t xml:space="preserve">find </w:t>
      </w:r>
      <w:r w:rsidR="00EC42E5" w:rsidRPr="000C25F3">
        <w:rPr>
          <w:rFonts w:ascii="Book Antiqua" w:hAnsi="Book Antiqua" w:cs="Arial"/>
          <w:sz w:val="22"/>
          <w:szCs w:val="22"/>
        </w:rPr>
        <w:t xml:space="preserve">Unemployed </w:t>
      </w:r>
      <w:r w:rsidRPr="000C25F3">
        <w:rPr>
          <w:rFonts w:ascii="Book Antiqua" w:hAnsi="Book Antiqua" w:cs="Arial"/>
          <w:sz w:val="22"/>
          <w:szCs w:val="22"/>
        </w:rPr>
        <w:t xml:space="preserve">make </w:t>
      </w:r>
      <w:r w:rsidR="00EC42E5" w:rsidRPr="000C25F3">
        <w:rPr>
          <w:rFonts w:ascii="Book Antiqua" w:hAnsi="Book Antiqua" w:cs="Arial"/>
          <w:sz w:val="22"/>
          <w:szCs w:val="22"/>
        </w:rPr>
        <w:t xml:space="preserve">easy Recruits </w:t>
      </w:r>
      <w:r w:rsidRPr="000C25F3">
        <w:rPr>
          <w:rFonts w:ascii="Book Antiqua" w:hAnsi="Book Antiqua" w:cs="Arial"/>
          <w:sz w:val="22"/>
          <w:szCs w:val="22"/>
        </w:rPr>
        <w:t>10</w:t>
      </w:r>
      <w:r w:rsidRPr="000C25F3">
        <w:rPr>
          <w:rFonts w:ascii="Book Antiqua" w:hAnsi="Book Antiqua" w:cs="Arial"/>
          <w:sz w:val="22"/>
          <w:szCs w:val="22"/>
          <w:vertAlign w:val="superscript"/>
        </w:rPr>
        <w:t>th</w:t>
      </w:r>
      <w:r w:rsidRPr="000C25F3">
        <w:rPr>
          <w:rFonts w:ascii="Book Antiqua" w:hAnsi="Book Antiqua" w:cs="Arial"/>
          <w:sz w:val="22"/>
          <w:szCs w:val="22"/>
        </w:rPr>
        <w:t xml:space="preserve"> February 2015).</w:t>
      </w:r>
      <w:r w:rsidR="00961E1E" w:rsidRPr="000C25F3">
        <w:rPr>
          <w:rFonts w:ascii="Book Antiqua" w:hAnsi="Book Antiqua" w:cs="Arial"/>
          <w:sz w:val="22"/>
          <w:szCs w:val="22"/>
        </w:rPr>
        <w:t>”</w:t>
      </w:r>
      <w:r w:rsidRPr="000C25F3">
        <w:rPr>
          <w:rFonts w:ascii="Book Antiqua" w:hAnsi="Book Antiqua" w:cs="Arial"/>
          <w:sz w:val="22"/>
          <w:szCs w:val="22"/>
        </w:rPr>
        <w:t xml:space="preserve">  </w:t>
      </w:r>
    </w:p>
    <w:p w:rsidR="00B37240" w:rsidRDefault="00961E1E" w:rsidP="00C665DF">
      <w:pPr>
        <w:numPr>
          <w:ilvl w:val="0"/>
          <w:numId w:val="3"/>
        </w:numPr>
        <w:spacing w:before="240"/>
        <w:jc w:val="both"/>
        <w:rPr>
          <w:rFonts w:ascii="Book Antiqua" w:hAnsi="Book Antiqua" w:cs="Arial"/>
        </w:rPr>
      </w:pPr>
      <w:r>
        <w:rPr>
          <w:rFonts w:ascii="Book Antiqua" w:hAnsi="Book Antiqua" w:cs="Arial"/>
        </w:rPr>
        <w:t>It is not sufficient to refer to a judicial review case which dealt with a different report by the same author.</w:t>
      </w:r>
    </w:p>
    <w:p w:rsidR="00961E1E" w:rsidRDefault="00961E1E" w:rsidP="00C665DF">
      <w:pPr>
        <w:numPr>
          <w:ilvl w:val="0"/>
          <w:numId w:val="3"/>
        </w:numPr>
        <w:spacing w:before="240"/>
        <w:jc w:val="both"/>
        <w:rPr>
          <w:rFonts w:ascii="Book Antiqua" w:hAnsi="Book Antiqua" w:cs="Arial"/>
        </w:rPr>
      </w:pPr>
      <w:r>
        <w:rPr>
          <w:rFonts w:ascii="Book Antiqua" w:hAnsi="Book Antiqua" w:cs="Arial"/>
        </w:rPr>
        <w:t>Second there is no reference at all to the UNHCR Guidelines which states that a particularly careful examination of possible risks is required, inter alia, on the return of men of fighting age and children in the context of under age and forced recruitment.  A careful examination is also necessary for individuals perceived as contravening AGE’s interpretation of Islamic principles, norms and values.</w:t>
      </w:r>
    </w:p>
    <w:p w:rsidR="00812092" w:rsidRDefault="00812092" w:rsidP="00C665DF">
      <w:pPr>
        <w:numPr>
          <w:ilvl w:val="0"/>
          <w:numId w:val="3"/>
        </w:numPr>
        <w:spacing w:before="240"/>
        <w:jc w:val="both"/>
        <w:rPr>
          <w:rFonts w:ascii="Book Antiqua" w:hAnsi="Book Antiqua" w:cs="Arial"/>
        </w:rPr>
      </w:pPr>
      <w:r>
        <w:rPr>
          <w:rFonts w:ascii="Book Antiqua" w:hAnsi="Book Antiqua" w:cs="Arial"/>
        </w:rPr>
        <w:t>The judge erred in failing to take into account relevant material.  The error is material because the cases which she relied upo</w:t>
      </w:r>
      <w:r w:rsidR="00EC42E5">
        <w:rPr>
          <w:rFonts w:ascii="Book Antiqua" w:hAnsi="Book Antiqua" w:cs="Arial"/>
        </w:rPr>
        <w:t>n in</w:t>
      </w:r>
      <w:r>
        <w:rPr>
          <w:rFonts w:ascii="Book Antiqua" w:hAnsi="Book Antiqua" w:cs="Arial"/>
        </w:rPr>
        <w:t xml:space="preserve"> deciding that it would be reasonable for the appellant to return to Kabul are arguably distinguishable and she did not deal with the argument, by reference to the objective material, that they should be so distinguished.  </w:t>
      </w:r>
      <w:proofErr w:type="gramStart"/>
      <w:r>
        <w:rPr>
          <w:rFonts w:ascii="Book Antiqua" w:hAnsi="Book Antiqua" w:cs="Arial"/>
        </w:rPr>
        <w:t>Moreover</w:t>
      </w:r>
      <w:proofErr w:type="gramEnd"/>
      <w:r>
        <w:rPr>
          <w:rFonts w:ascii="Book Antiqua" w:hAnsi="Book Antiqua" w:cs="Arial"/>
        </w:rPr>
        <w:t xml:space="preserve"> the Tribunal in </w:t>
      </w:r>
      <w:r w:rsidRPr="00812092">
        <w:rPr>
          <w:rFonts w:ascii="Book Antiqua" w:hAnsi="Book Antiqua" w:cs="Arial"/>
          <w:u w:val="single"/>
        </w:rPr>
        <w:t>AK</w:t>
      </w:r>
      <w:r>
        <w:rPr>
          <w:rFonts w:ascii="Book Antiqua" w:hAnsi="Book Antiqua" w:cs="Arial"/>
        </w:rPr>
        <w:t xml:space="preserve">, which was not a decision on the reasonableness of return to Kabul, nevertheless made it clear that whilst the situation there would not in general make a return to Kabul unsafe or unreasonable.  It was still necessary to take into account the appellant’s circumstances in deciding both the safety and reasonableness of return.  The judge should have engaged with the material to determine what skills if any the appellant had to protect him from destitution in Kabul beyond the fact that he was a </w:t>
      </w:r>
      <w:proofErr w:type="gramStart"/>
      <w:r>
        <w:rPr>
          <w:rFonts w:ascii="Book Antiqua" w:hAnsi="Book Antiqua" w:cs="Arial"/>
        </w:rPr>
        <w:t>23 year old</w:t>
      </w:r>
      <w:proofErr w:type="gramEnd"/>
      <w:r>
        <w:rPr>
          <w:rFonts w:ascii="Book Antiqua" w:hAnsi="Book Antiqua" w:cs="Arial"/>
        </w:rPr>
        <w:t xml:space="preserve"> male with no known health problems who had previously travelled to Europe with the assistance of an agent.  His circumstances are manifestly different from the appellants in </w:t>
      </w:r>
      <w:r w:rsidRPr="00812092">
        <w:rPr>
          <w:rFonts w:ascii="Book Antiqua" w:hAnsi="Book Antiqua" w:cs="Arial"/>
          <w:u w:val="single"/>
        </w:rPr>
        <w:t>PM</w:t>
      </w:r>
      <w:r>
        <w:rPr>
          <w:rFonts w:ascii="Book Antiqua" w:hAnsi="Book Antiqua" w:cs="Arial"/>
        </w:rPr>
        <w:t xml:space="preserve">, who were much older and former </w:t>
      </w:r>
      <w:proofErr w:type="spellStart"/>
      <w:r>
        <w:rPr>
          <w:rFonts w:ascii="Book Antiqua" w:hAnsi="Book Antiqua" w:cs="Arial"/>
        </w:rPr>
        <w:t>Hezb</w:t>
      </w:r>
      <w:proofErr w:type="spellEnd"/>
      <w:r>
        <w:rPr>
          <w:rFonts w:ascii="Book Antiqua" w:hAnsi="Book Antiqua" w:cs="Arial"/>
        </w:rPr>
        <w:t>-e-</w:t>
      </w:r>
      <w:proofErr w:type="spellStart"/>
      <w:r>
        <w:rPr>
          <w:rFonts w:ascii="Book Antiqua" w:hAnsi="Book Antiqua" w:cs="Arial"/>
        </w:rPr>
        <w:t>Islami</w:t>
      </w:r>
      <w:proofErr w:type="spellEnd"/>
      <w:r>
        <w:rPr>
          <w:rFonts w:ascii="Book Antiqua" w:hAnsi="Book Antiqua" w:cs="Arial"/>
        </w:rPr>
        <w:t xml:space="preserve"> commanders and from </w:t>
      </w:r>
      <w:r w:rsidRPr="00356A4B">
        <w:rPr>
          <w:rFonts w:ascii="Book Antiqua" w:hAnsi="Book Antiqua" w:cs="Arial"/>
          <w:u w:val="single"/>
        </w:rPr>
        <w:t>RQ</w:t>
      </w:r>
      <w:r>
        <w:rPr>
          <w:rFonts w:ascii="Book Antiqua" w:hAnsi="Book Antiqua" w:cs="Arial"/>
        </w:rPr>
        <w:t xml:space="preserve"> who had only been in the UK for less than a year.</w:t>
      </w:r>
    </w:p>
    <w:p w:rsidR="004076C2" w:rsidRDefault="00356A4B" w:rsidP="001A57F6">
      <w:pPr>
        <w:numPr>
          <w:ilvl w:val="0"/>
          <w:numId w:val="3"/>
        </w:numPr>
        <w:spacing w:before="240"/>
        <w:jc w:val="both"/>
        <w:rPr>
          <w:rFonts w:ascii="Book Antiqua" w:hAnsi="Book Antiqua" w:cs="Arial"/>
        </w:rPr>
      </w:pPr>
      <w:r>
        <w:rPr>
          <w:rFonts w:ascii="Book Antiqua" w:hAnsi="Book Antiqua" w:cs="Arial"/>
        </w:rPr>
        <w:lastRenderedPageBreak/>
        <w:t>Both Mr Bedford and Mr Mills said that they would welcome clear guidance from the Upper Tribunal in relation to former child asylum seekers returning to Kabul without family support.</w:t>
      </w:r>
    </w:p>
    <w:p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rsidR="00BF3B8C" w:rsidRPr="00BF3B8C" w:rsidRDefault="00BF3B8C" w:rsidP="00BF3B8C">
      <w:pPr>
        <w:jc w:val="both"/>
        <w:rPr>
          <w:rFonts w:ascii="Book Antiqua" w:hAnsi="Book Antiqua" w:cs="Arial"/>
        </w:rPr>
      </w:pPr>
    </w:p>
    <w:p w:rsidR="00BF3B8C" w:rsidRDefault="00BF3B8C" w:rsidP="00275F12">
      <w:pPr>
        <w:jc w:val="both"/>
        <w:rPr>
          <w:rFonts w:ascii="Book Antiqua" w:hAnsi="Book Antiqua" w:cs="Arial"/>
        </w:rPr>
      </w:pPr>
      <w:r w:rsidRPr="00BF3B8C">
        <w:rPr>
          <w:rFonts w:ascii="Book Antiqua" w:hAnsi="Book Antiqua" w:cs="Arial"/>
        </w:rPr>
        <w:t>The</w:t>
      </w:r>
      <w:r w:rsidR="001A57F6">
        <w:rPr>
          <w:rFonts w:ascii="Book Antiqua" w:hAnsi="Book Antiqua" w:cs="Arial"/>
        </w:rPr>
        <w:t xml:space="preserve"> original judge erred in law.  The decision is set aside.</w:t>
      </w:r>
    </w:p>
    <w:p w:rsidR="003D40F6" w:rsidRDefault="003D40F6" w:rsidP="003D40F6">
      <w:pPr>
        <w:rPr>
          <w:rFonts w:ascii="Book Antiqua" w:hAnsi="Book Antiqua" w:cs="Arial"/>
          <w:b/>
          <w:u w:val="single"/>
        </w:rPr>
      </w:pPr>
    </w:p>
    <w:p w:rsidR="003D40F6" w:rsidRDefault="003D40F6" w:rsidP="003D40F6">
      <w:pPr>
        <w:rPr>
          <w:rFonts w:ascii="Book Antiqua" w:hAnsi="Book Antiqua" w:cs="Arial"/>
          <w:b/>
          <w:u w:val="single"/>
        </w:rPr>
      </w:pPr>
    </w:p>
    <w:p w:rsidR="00EA4B23" w:rsidRPr="00CE6902" w:rsidRDefault="00EA4B23" w:rsidP="003D40F6">
      <w:pPr>
        <w:rPr>
          <w:rFonts w:ascii="Book Antiqua" w:hAnsi="Book Antiqua" w:cs="Arial"/>
        </w:rPr>
      </w:pPr>
      <w:bookmarkStart w:id="0" w:name="_GoBack"/>
      <w:bookmarkEnd w:id="0"/>
      <w:r>
        <w:rPr>
          <w:rFonts w:ascii="Book Antiqua" w:hAnsi="Book Antiqua" w:cs="Arial"/>
          <w:b/>
          <w:u w:val="single"/>
        </w:rPr>
        <w:t>RESUMED HEARING</w:t>
      </w:r>
    </w:p>
    <w:p w:rsidR="00EA4B23" w:rsidRPr="00013987" w:rsidRDefault="00EA4B23" w:rsidP="00EA4B23">
      <w:pPr>
        <w:numPr>
          <w:ilvl w:val="0"/>
          <w:numId w:val="3"/>
        </w:numPr>
        <w:spacing w:before="240"/>
        <w:jc w:val="both"/>
        <w:rPr>
          <w:rFonts w:ascii="Book Antiqua" w:hAnsi="Book Antiqua" w:cs="Arial"/>
        </w:rPr>
      </w:pPr>
      <w:r>
        <w:rPr>
          <w:rFonts w:ascii="Book Antiqua" w:hAnsi="Book Antiqua" w:cs="Arial"/>
        </w:rPr>
        <w:t xml:space="preserve">This matter came back before me following the promulgation of the country guidance decision of </w:t>
      </w:r>
      <w:r w:rsidRPr="00F97346">
        <w:rPr>
          <w:rFonts w:ascii="Book Antiqua" w:hAnsi="Book Antiqua" w:cs="Arial"/>
          <w:u w:val="single"/>
        </w:rPr>
        <w:t>AS</w:t>
      </w:r>
      <w:r w:rsidRPr="00F97346">
        <w:rPr>
          <w:rFonts w:ascii="Book Antiqua" w:hAnsi="Book Antiqua" w:cs="Arial"/>
        </w:rPr>
        <w:t xml:space="preserve"> (Safety of Kabul) Afghanistan CG [2018] UKUT 118</w:t>
      </w:r>
      <w:r>
        <w:rPr>
          <w:rFonts w:ascii="Book Antiqua" w:hAnsi="Book Antiqua" w:cs="Arial"/>
        </w:rPr>
        <w:t>.</w:t>
      </w:r>
      <w:r w:rsidRPr="00013987">
        <w:rPr>
          <w:rFonts w:ascii="Book Antiqua" w:hAnsi="Book Antiqua" w:cs="Arial"/>
        </w:rPr>
        <w:t xml:space="preserve">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At the commencement of the hearing Mr </w:t>
      </w:r>
      <w:proofErr w:type="spellStart"/>
      <w:r>
        <w:rPr>
          <w:rFonts w:ascii="Book Antiqua" w:hAnsi="Book Antiqua" w:cs="Arial"/>
        </w:rPr>
        <w:t>Talacchi</w:t>
      </w:r>
      <w:proofErr w:type="spellEnd"/>
      <w:r>
        <w:rPr>
          <w:rFonts w:ascii="Book Antiqua" w:hAnsi="Book Antiqua" w:cs="Arial"/>
        </w:rPr>
        <w:t xml:space="preserve"> made an application for the matter to be adjourned and converted to a CMR but, upon reflection, he agreed that there was no reason not to proceed.</w:t>
      </w:r>
      <w:r w:rsidRPr="00013987">
        <w:rPr>
          <w:rFonts w:ascii="Book Antiqua" w:hAnsi="Book Antiqua" w:cs="Arial"/>
        </w:rPr>
        <w:t xml:space="preserve"> </w:t>
      </w:r>
      <w:r>
        <w:rPr>
          <w:rFonts w:ascii="Book Antiqua" w:hAnsi="Book Antiqua" w:cs="Arial"/>
        </w:rPr>
        <w:t xml:space="preserve">I then heard oral evidence from Mr </w:t>
      </w:r>
      <w:proofErr w:type="spellStart"/>
      <w:r>
        <w:rPr>
          <w:rFonts w:ascii="Book Antiqua" w:hAnsi="Book Antiqua" w:cs="Arial"/>
        </w:rPr>
        <w:t>Niazi</w:t>
      </w:r>
      <w:proofErr w:type="spellEnd"/>
      <w:r>
        <w:rPr>
          <w:rFonts w:ascii="Book Antiqua" w:hAnsi="Book Antiqua" w:cs="Arial"/>
        </w:rPr>
        <w:t xml:space="preserve"> which I have taken into account together with his additional statement and the expert report provided by Mr Tim </w:t>
      </w:r>
      <w:proofErr w:type="spellStart"/>
      <w:r>
        <w:rPr>
          <w:rFonts w:ascii="Book Antiqua" w:hAnsi="Book Antiqua" w:cs="Arial"/>
        </w:rPr>
        <w:t>Foxley</w:t>
      </w:r>
      <w:proofErr w:type="spellEnd"/>
      <w:r>
        <w:rPr>
          <w:rFonts w:ascii="Book Antiqua" w:hAnsi="Book Antiqua" w:cs="Arial"/>
        </w:rPr>
        <w:t xml:space="preserve"> dated 18</w:t>
      </w:r>
      <w:r w:rsidRPr="009B0677">
        <w:rPr>
          <w:rFonts w:ascii="Book Antiqua" w:hAnsi="Book Antiqua" w:cs="Arial"/>
          <w:vertAlign w:val="superscript"/>
        </w:rPr>
        <w:t>th</w:t>
      </w:r>
      <w:r>
        <w:rPr>
          <w:rFonts w:ascii="Book Antiqua" w:hAnsi="Book Antiqua" w:cs="Arial"/>
        </w:rPr>
        <w:t xml:space="preserve"> April 2018.</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Niazi</w:t>
      </w:r>
      <w:proofErr w:type="spellEnd"/>
      <w:r>
        <w:rPr>
          <w:rFonts w:ascii="Book Antiqua" w:hAnsi="Book Antiqua" w:cs="Arial"/>
        </w:rPr>
        <w:t xml:space="preserve"> gave his evidence in English.  He said that he had not gone to school in Afghanistan, and had simply attended the mosque where he was taught to read but not to write.  He regarded himself as a Muslim and did attend mosque sometimes, but not regularly, just three or four times last year.  He thought that it would be hard for him to go back to Kabul because he had forgotten many things and had adopted UK ways.  He had no contacts there.  For most of his time here he had been living in a hostel and then was given a flat. He sometimes met his fellow Afghanis in mosques, the park and the shops.  Some were girls but he did not have a girlfriend. They told him that his use of </w:t>
      </w:r>
      <w:proofErr w:type="spellStart"/>
      <w:r>
        <w:rPr>
          <w:rFonts w:ascii="Book Antiqua" w:hAnsi="Book Antiqua" w:cs="Arial"/>
        </w:rPr>
        <w:t>Pushtu</w:t>
      </w:r>
      <w:proofErr w:type="spellEnd"/>
      <w:r>
        <w:rPr>
          <w:rFonts w:ascii="Book Antiqua" w:hAnsi="Book Antiqua" w:cs="Arial"/>
        </w:rPr>
        <w:t xml:space="preserve"> was unlike most Afghanis and he had forgotten some </w:t>
      </w:r>
      <w:proofErr w:type="spellStart"/>
      <w:r>
        <w:rPr>
          <w:rFonts w:ascii="Book Antiqua" w:hAnsi="Book Antiqua" w:cs="Arial"/>
        </w:rPr>
        <w:t>Pushtu</w:t>
      </w:r>
      <w:proofErr w:type="spellEnd"/>
      <w:r>
        <w:rPr>
          <w:rFonts w:ascii="Book Antiqua" w:hAnsi="Book Antiqua" w:cs="Arial"/>
        </w:rPr>
        <w:t xml:space="preserve"> words.</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In his statement he said that he had previously attempted to find out about his family by seeking the help of the Red Cross but had not been able to trace them.  He came to the UK when he was very young and he considers the UK his home.  He will be treated as an outsider if he returned.  He was anxious about how he could survive financially because he had no contacts there.  He feared becoming destitute and that he might become a target for the Taliban.  He has no skills because he has not been given permission to work in the UK.  He is currently on medication because he feels low and depressed.</w:t>
      </w:r>
    </w:p>
    <w:p w:rsidR="00EA4B23" w:rsidRPr="004C4B9D" w:rsidRDefault="00EA4B23" w:rsidP="00EA4B23">
      <w:pPr>
        <w:spacing w:before="240"/>
        <w:jc w:val="both"/>
        <w:rPr>
          <w:rFonts w:ascii="Book Antiqua" w:hAnsi="Book Antiqua" w:cs="Arial"/>
          <w:b/>
          <w:u w:val="single"/>
        </w:rPr>
      </w:pPr>
      <w:r w:rsidRPr="004C4B9D">
        <w:rPr>
          <w:rFonts w:ascii="Book Antiqua" w:hAnsi="Book Antiqua" w:cs="Arial"/>
          <w:b/>
          <w:u w:val="single"/>
        </w:rPr>
        <w:t xml:space="preserve">Submissions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Miss Isherwood submitted that there was no reason why the appellant could not return to Kabul. He was a healthy young male, and it would not be unduly harsh for him to do so.  He was clearly in contact with other Afghanis in the UK.  There was absolutely no reason to distinguish him from the appellant in </w:t>
      </w:r>
      <w:r w:rsidRPr="000D227E">
        <w:rPr>
          <w:rFonts w:ascii="Book Antiqua" w:hAnsi="Book Antiqua" w:cs="Arial"/>
          <w:u w:val="single"/>
        </w:rPr>
        <w:t>AS</w:t>
      </w:r>
      <w:r>
        <w:rPr>
          <w:rFonts w:ascii="Book Antiqua" w:hAnsi="Book Antiqua" w:cs="Arial"/>
        </w:rPr>
        <w:t xml:space="preserve"> and the appeal ought to be dismissed.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Talacchi</w:t>
      </w:r>
      <w:proofErr w:type="spellEnd"/>
      <w:r>
        <w:rPr>
          <w:rFonts w:ascii="Book Antiqua" w:hAnsi="Book Antiqua" w:cs="Arial"/>
        </w:rPr>
        <w:t xml:space="preserve"> submitted that there were a number of factors in the appellant’s case which rendered his removal unduly harsh.  He had left Afghanistan in 2009 when he was 14 years old and had spent his formative years in the UK.  He had absolutely no contact with anyone there, no support network and would find difficulties in finding work.  There was evidence that he would be ostracised given that he had forgotten some of his native language and mixed English with Pashtu.  Having spent a third of his life in the UK he was not familiar with Kabul and would not be able to take advantage of any employment opportunities there.</w:t>
      </w:r>
    </w:p>
    <w:p w:rsidR="00EA4B23" w:rsidRPr="00F97346" w:rsidRDefault="00EA4B23" w:rsidP="00EA4B23">
      <w:pPr>
        <w:spacing w:before="240"/>
        <w:jc w:val="both"/>
        <w:rPr>
          <w:rFonts w:ascii="Book Antiqua" w:hAnsi="Book Antiqua" w:cs="Arial"/>
          <w:b/>
          <w:u w:val="single"/>
        </w:rPr>
      </w:pPr>
      <w:r w:rsidRPr="00F97346">
        <w:rPr>
          <w:rFonts w:ascii="Book Antiqua" w:hAnsi="Book Antiqua" w:cs="Arial"/>
          <w:b/>
          <w:u w:val="single"/>
        </w:rPr>
        <w:t xml:space="preserve">Findings and Conclusions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appellant comes to the Tribunal with a finding that he has satisfied a previous Immigration Judge that his account was a credible one and that his paternal uncles did try to recruit him to the Taliban against his will.  It was also accepted that he had lost contact with his family and he will be without familial support on his return.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appellant gave evidence in fluent English.  There is no reason to reject his evidence that he is fully integrated into the UK and that, as he says, the </w:t>
      </w:r>
      <w:proofErr w:type="spellStart"/>
      <w:r>
        <w:rPr>
          <w:rFonts w:ascii="Book Antiqua" w:hAnsi="Book Antiqua" w:cs="Arial"/>
        </w:rPr>
        <w:t>Pushtu</w:t>
      </w:r>
      <w:proofErr w:type="spellEnd"/>
      <w:r>
        <w:rPr>
          <w:rFonts w:ascii="Book Antiqua" w:hAnsi="Book Antiqua" w:cs="Arial"/>
        </w:rPr>
        <w:t xml:space="preserve"> which he speaks may well be identify him to people in Kabul as a person who has spent a significant amount of time in the west.  On the other hand, it was clear that he and the interpreter could speak to each other with ease and that he has Afghan friends in the UK whom he meets with regularly.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appellant is not putting forward his case on the basis of having mental health issues, although it would be unsurprising if he did not find his presence a situation stressful so as to require some medication.  </w:t>
      </w:r>
    </w:p>
    <w:p w:rsidR="00EA4B23" w:rsidRDefault="00EA4B23" w:rsidP="00EA4B23">
      <w:pPr>
        <w:numPr>
          <w:ilvl w:val="0"/>
          <w:numId w:val="3"/>
        </w:numPr>
        <w:spacing w:before="240"/>
        <w:jc w:val="both"/>
        <w:rPr>
          <w:rFonts w:ascii="Book Antiqua" w:hAnsi="Book Antiqua" w:cs="Arial"/>
        </w:rPr>
      </w:pPr>
      <w:r>
        <w:rPr>
          <w:rFonts w:ascii="Book Antiqua" w:hAnsi="Book Antiqua" w:cs="Arial"/>
          <w:u w:val="single"/>
        </w:rPr>
        <w:t>AS</w:t>
      </w:r>
      <w:r>
        <w:rPr>
          <w:rFonts w:ascii="Book Antiqua" w:hAnsi="Book Antiqua" w:cs="Arial"/>
        </w:rPr>
        <w:t xml:space="preserve"> is the definitive assessment of whether it would be unduly harsh for appellants to return to Kabul and I therefore base my conclusions in line with those in </w:t>
      </w:r>
      <w:r>
        <w:rPr>
          <w:rFonts w:ascii="Book Antiqua" w:hAnsi="Book Antiqua" w:cs="Arial"/>
          <w:u w:val="single"/>
        </w:rPr>
        <w:t>AS</w:t>
      </w:r>
      <w:r>
        <w:rPr>
          <w:rFonts w:ascii="Book Antiqua" w:hAnsi="Book Antiqua" w:cs="Arial"/>
        </w:rPr>
        <w:t xml:space="preserve">.  Indeed, Mr </w:t>
      </w:r>
      <w:proofErr w:type="spellStart"/>
      <w:r>
        <w:rPr>
          <w:rFonts w:ascii="Book Antiqua" w:hAnsi="Book Antiqua" w:cs="Arial"/>
        </w:rPr>
        <w:t>Talacchi</w:t>
      </w:r>
      <w:proofErr w:type="spellEnd"/>
      <w:r>
        <w:rPr>
          <w:rFonts w:ascii="Book Antiqua" w:hAnsi="Book Antiqua" w:cs="Arial"/>
        </w:rPr>
        <w:t xml:space="preserve"> accepted that his client could only succeed if it was possible to distinguish the facts from those of the appellant in </w:t>
      </w:r>
      <w:r w:rsidRPr="00DB1EE9">
        <w:rPr>
          <w:rFonts w:ascii="Book Antiqua" w:hAnsi="Book Antiqua" w:cs="Arial"/>
        </w:rPr>
        <w:t>that case</w:t>
      </w:r>
      <w:r>
        <w:rPr>
          <w:rFonts w:ascii="Book Antiqua" w:hAnsi="Book Antiqua" w:cs="Arial"/>
        </w:rPr>
        <w:t xml:space="preserve">.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head note in </w:t>
      </w:r>
      <w:r w:rsidRPr="00DB1EE9">
        <w:rPr>
          <w:rFonts w:ascii="Book Antiqua" w:hAnsi="Book Antiqua" w:cs="Arial"/>
          <w:u w:val="single"/>
        </w:rPr>
        <w:t>AS</w:t>
      </w:r>
      <w:r>
        <w:rPr>
          <w:rFonts w:ascii="Book Antiqua" w:hAnsi="Book Antiqua" w:cs="Arial"/>
        </w:rPr>
        <w:t xml:space="preserve"> reads as </w:t>
      </w:r>
      <w:proofErr w:type="gramStart"/>
      <w:r>
        <w:rPr>
          <w:rFonts w:ascii="Book Antiqua" w:hAnsi="Book Antiqua" w:cs="Arial"/>
        </w:rPr>
        <w:t>follows:-</w:t>
      </w:r>
      <w:proofErr w:type="gramEnd"/>
    </w:p>
    <w:p w:rsidR="00EA4B23" w:rsidRPr="000C25F3" w:rsidRDefault="00EA4B23" w:rsidP="000C25F3">
      <w:pPr>
        <w:spacing w:before="120"/>
        <w:ind w:left="1134" w:right="567"/>
        <w:jc w:val="both"/>
        <w:rPr>
          <w:rFonts w:ascii="Book Antiqua" w:hAnsi="Book Antiqua" w:cs="Arial"/>
          <w:i/>
          <w:sz w:val="22"/>
        </w:rPr>
      </w:pPr>
      <w:r w:rsidRPr="000C25F3">
        <w:rPr>
          <w:rFonts w:ascii="Book Antiqua" w:hAnsi="Book Antiqua" w:cs="Arial"/>
          <w:sz w:val="22"/>
        </w:rPr>
        <w:t>“</w:t>
      </w:r>
      <w:r w:rsidRPr="000C25F3">
        <w:rPr>
          <w:rFonts w:ascii="Book Antiqua" w:hAnsi="Book Antiqua" w:cs="Arial"/>
          <w:i/>
          <w:sz w:val="22"/>
        </w:rPr>
        <w:t>Risk on return to Kabul from the Taliban</w:t>
      </w:r>
    </w:p>
    <w:p w:rsidR="00EA4B23" w:rsidRPr="000C25F3" w:rsidRDefault="00EA4B23" w:rsidP="000C25F3">
      <w:pPr>
        <w:spacing w:before="120"/>
        <w:ind w:left="1701" w:right="567" w:hanging="567"/>
        <w:jc w:val="both"/>
        <w:rPr>
          <w:rFonts w:ascii="Book Antiqua" w:hAnsi="Book Antiqua" w:cs="Arial"/>
          <w:i/>
          <w:sz w:val="22"/>
        </w:rPr>
      </w:pPr>
      <w:r w:rsidRPr="000C25F3">
        <w:rPr>
          <w:rFonts w:ascii="Book Antiqua" w:hAnsi="Book Antiqua" w:cs="Arial"/>
          <w:i/>
          <w:sz w:val="22"/>
        </w:rPr>
        <w:t>(</w:t>
      </w:r>
      <w:proofErr w:type="spellStart"/>
      <w:r w:rsidRPr="000C25F3">
        <w:rPr>
          <w:rFonts w:ascii="Book Antiqua" w:hAnsi="Book Antiqua" w:cs="Arial"/>
          <w:i/>
          <w:sz w:val="22"/>
        </w:rPr>
        <w:t>i</w:t>
      </w:r>
      <w:proofErr w:type="spellEnd"/>
      <w:r w:rsidRPr="000C25F3">
        <w:rPr>
          <w:rFonts w:ascii="Book Antiqua" w:hAnsi="Book Antiqua" w:cs="Arial"/>
          <w:i/>
          <w:sz w:val="22"/>
        </w:rPr>
        <w:t>)</w:t>
      </w:r>
      <w:r w:rsidRPr="000C25F3">
        <w:rPr>
          <w:rFonts w:ascii="Book Antiqua" w:hAnsi="Book Antiqua" w:cs="Arial"/>
          <w:i/>
          <w:sz w:val="22"/>
        </w:rPr>
        <w:tab/>
        <w:t>A person who is of lower-level interest for the Taliban (i.e. not a senior government or security services official, or a spy) is not at real risk of persecution from the Taliban in Kabul.</w:t>
      </w:r>
    </w:p>
    <w:p w:rsidR="00EA4B23" w:rsidRPr="000C25F3" w:rsidRDefault="00EA4B23" w:rsidP="000C25F3">
      <w:pPr>
        <w:spacing w:before="120"/>
        <w:ind w:left="1701" w:right="567" w:hanging="567"/>
        <w:jc w:val="both"/>
        <w:rPr>
          <w:rFonts w:ascii="Book Antiqua" w:hAnsi="Book Antiqua" w:cs="Arial"/>
          <w:i/>
          <w:sz w:val="22"/>
        </w:rPr>
      </w:pPr>
      <w:r w:rsidRPr="000C25F3">
        <w:rPr>
          <w:rFonts w:ascii="Book Antiqua" w:hAnsi="Book Antiqua" w:cs="Arial"/>
          <w:i/>
          <w:sz w:val="22"/>
        </w:rPr>
        <w:t>Internal relocation to Kabul</w:t>
      </w:r>
    </w:p>
    <w:p w:rsidR="00EA4B23" w:rsidRPr="000C25F3" w:rsidRDefault="00EA4B23" w:rsidP="000C25F3">
      <w:pPr>
        <w:spacing w:before="120"/>
        <w:ind w:left="1701" w:right="567" w:hanging="567"/>
        <w:jc w:val="both"/>
        <w:rPr>
          <w:rFonts w:ascii="Book Antiqua" w:hAnsi="Book Antiqua" w:cs="Arial"/>
          <w:i/>
          <w:sz w:val="22"/>
        </w:rPr>
      </w:pPr>
      <w:r w:rsidRPr="000C25F3">
        <w:rPr>
          <w:rFonts w:ascii="Book Antiqua" w:hAnsi="Book Antiqua" w:cs="Arial"/>
          <w:i/>
          <w:sz w:val="22"/>
        </w:rPr>
        <w:t>(ii)</w:t>
      </w:r>
      <w:r w:rsidRPr="000C25F3">
        <w:rPr>
          <w:rFonts w:ascii="Book Antiqua" w:hAnsi="Book Antiqua" w:cs="Arial"/>
          <w:i/>
          <w:sz w:val="22"/>
        </w:rPr>
        <w:tab/>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EA4B23" w:rsidRPr="000C25F3" w:rsidRDefault="00EA4B23" w:rsidP="000C25F3">
      <w:pPr>
        <w:spacing w:before="120"/>
        <w:ind w:left="1701" w:right="567" w:hanging="567"/>
        <w:jc w:val="both"/>
        <w:rPr>
          <w:rFonts w:ascii="Book Antiqua" w:hAnsi="Book Antiqua" w:cs="Arial"/>
          <w:i/>
          <w:sz w:val="22"/>
        </w:rPr>
      </w:pPr>
      <w:r w:rsidRPr="000C25F3">
        <w:rPr>
          <w:rFonts w:ascii="Book Antiqua" w:hAnsi="Book Antiqua" w:cs="Arial"/>
          <w:i/>
          <w:sz w:val="22"/>
        </w:rPr>
        <w:t>(iii)</w:t>
      </w:r>
      <w:r w:rsidRPr="000C25F3">
        <w:rPr>
          <w:rFonts w:ascii="Book Antiqua" w:hAnsi="Book Antiqua" w:cs="Arial"/>
          <w:i/>
          <w:sz w:val="22"/>
        </w:rPr>
        <w:tab/>
        <w:t xml:space="preserve">However, the particular circumstances of an individual applicant must be taken into account in the context of conditions in the place of relocation, including a person’s age, nature and quality of support network/connections with Kabul/Afghanistan, </w:t>
      </w:r>
      <w:r w:rsidRPr="000C25F3">
        <w:rPr>
          <w:rFonts w:ascii="Book Antiqua" w:hAnsi="Book Antiqua" w:cs="Arial"/>
          <w:i/>
          <w:sz w:val="22"/>
        </w:rPr>
        <w:lastRenderedPageBreak/>
        <w:t>their physical and mental health, and their language, education and vocational skills when determining whether a person falls within the general position set out above.</w:t>
      </w:r>
    </w:p>
    <w:p w:rsidR="00EA4B23" w:rsidRPr="000C25F3" w:rsidRDefault="00EA4B23" w:rsidP="000C25F3">
      <w:pPr>
        <w:spacing w:before="120"/>
        <w:ind w:left="1701" w:right="567" w:hanging="567"/>
        <w:jc w:val="both"/>
        <w:rPr>
          <w:rFonts w:ascii="Book Antiqua" w:hAnsi="Book Antiqua" w:cs="Arial"/>
          <w:i/>
          <w:sz w:val="22"/>
        </w:rPr>
      </w:pPr>
      <w:r w:rsidRPr="000C25F3">
        <w:rPr>
          <w:rFonts w:ascii="Book Antiqua" w:hAnsi="Book Antiqua" w:cs="Arial"/>
          <w:i/>
          <w:sz w:val="22"/>
        </w:rPr>
        <w:t>(iv)</w:t>
      </w:r>
      <w:r w:rsidRPr="000C25F3">
        <w:rPr>
          <w:rFonts w:ascii="Book Antiqua" w:hAnsi="Book Antiqua" w:cs="Arial"/>
          <w:i/>
          <w:sz w:val="22"/>
        </w:rPr>
        <w:tab/>
        <w:t>A person with a support network or specific connections in Kabul is likely to be in a more advantageous position on return, which may counter a particular vulnerability of an individual on return.</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cs="Arial"/>
          <w:i/>
          <w:sz w:val="22"/>
        </w:rPr>
        <w:t>(v)</w:t>
      </w:r>
      <w:r w:rsidRPr="000C25F3">
        <w:rPr>
          <w:rFonts w:ascii="Book Antiqua" w:hAnsi="Book Antiqua" w:cs="Arial"/>
          <w:i/>
          <w:sz w:val="22"/>
        </w:rPr>
        <w:tab/>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r w:rsidRPr="000C25F3">
        <w:rPr>
          <w:rFonts w:ascii="Book Antiqua" w:hAnsi="Book Antiqua" w:cs="Arial"/>
          <w:sz w:val="22"/>
        </w:rPr>
        <w:t>”</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Broadly speaking </w:t>
      </w:r>
      <w:proofErr w:type="gramStart"/>
      <w:r>
        <w:rPr>
          <w:rFonts w:ascii="Book Antiqua" w:hAnsi="Book Antiqua" w:cs="Arial"/>
        </w:rPr>
        <w:t>this appellant falls</w:t>
      </w:r>
      <w:proofErr w:type="gramEnd"/>
      <w:r>
        <w:rPr>
          <w:rFonts w:ascii="Book Antiqua" w:hAnsi="Book Antiqua" w:cs="Arial"/>
        </w:rPr>
        <w:t xml:space="preserve"> within the ambit of appellants considered in </w:t>
      </w:r>
      <w:r w:rsidRPr="0062589C">
        <w:rPr>
          <w:rFonts w:ascii="Book Antiqua" w:hAnsi="Book Antiqua" w:cs="Arial"/>
          <w:u w:val="single"/>
        </w:rPr>
        <w:t>AS</w:t>
      </w:r>
      <w:r>
        <w:rPr>
          <w:rFonts w:ascii="Book Antiqua" w:hAnsi="Book Antiqua" w:cs="Arial"/>
        </w:rPr>
        <w:t xml:space="preserve">, namely that he is a single adult male in good health.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question is whether his individual circumstances could bring him outside the general proposition that he would not be at risk, and that it would be unduly harsh for him to return to Kabul.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At paragraphs 90 to 94 of </w:t>
      </w:r>
      <w:r w:rsidRPr="0062589C">
        <w:rPr>
          <w:rFonts w:ascii="Book Antiqua" w:hAnsi="Book Antiqua" w:cs="Arial"/>
          <w:u w:val="single"/>
        </w:rPr>
        <w:t>AS</w:t>
      </w:r>
      <w:r>
        <w:rPr>
          <w:rFonts w:ascii="Book Antiqua" w:hAnsi="Book Antiqua" w:cs="Arial"/>
        </w:rPr>
        <w:t xml:space="preserve"> the Tribunal </w:t>
      </w:r>
      <w:proofErr w:type="gramStart"/>
      <w:r>
        <w:rPr>
          <w:rFonts w:ascii="Book Antiqua" w:hAnsi="Book Antiqua" w:cs="Arial"/>
        </w:rPr>
        <w:t>said:-</w:t>
      </w:r>
      <w:proofErr w:type="gramEnd"/>
    </w:p>
    <w:p w:rsidR="00EA4B23" w:rsidRPr="000C25F3" w:rsidRDefault="00EA4B23" w:rsidP="000C25F3">
      <w:pPr>
        <w:spacing w:before="120"/>
        <w:ind w:left="1701" w:right="567" w:hanging="567"/>
        <w:jc w:val="both"/>
        <w:rPr>
          <w:rFonts w:ascii="Book Antiqua" w:hAnsi="Book Antiqua"/>
          <w:b/>
          <w:sz w:val="22"/>
        </w:rPr>
      </w:pPr>
      <w:r w:rsidRPr="000C25F3">
        <w:rPr>
          <w:rFonts w:ascii="Book Antiqua" w:hAnsi="Book Antiqua" w:cs="Arial"/>
          <w:sz w:val="22"/>
        </w:rPr>
        <w:t>“90.</w:t>
      </w:r>
      <w:r w:rsidRPr="000C25F3">
        <w:rPr>
          <w:rFonts w:ascii="Book Antiqua" w:hAnsi="Book Antiqua" w:cs="Arial"/>
          <w:sz w:val="22"/>
        </w:rPr>
        <w:tab/>
      </w:r>
      <w:r w:rsidRPr="000C25F3">
        <w:rPr>
          <w:rFonts w:ascii="Book Antiqua" w:hAnsi="Book Antiqua"/>
          <w:sz w:val="22"/>
        </w:rPr>
        <w:t xml:space="preserve">The </w:t>
      </w:r>
      <w:bookmarkStart w:id="1" w:name="_Hlk503969170"/>
      <w:r w:rsidRPr="000C25F3">
        <w:rPr>
          <w:rFonts w:ascii="Book Antiqua" w:hAnsi="Book Antiqua"/>
          <w:sz w:val="22"/>
        </w:rPr>
        <w:t>EASO Country of Origin Information Report ‘Afghanistan – Individuals targeted under societal and legal norms’ (December 2017)</w:t>
      </w:r>
      <w:bookmarkEnd w:id="1"/>
      <w:r w:rsidRPr="000C25F3">
        <w:rPr>
          <w:rFonts w:ascii="Book Antiqua" w:hAnsi="Book Antiqua"/>
          <w:sz w:val="22"/>
        </w:rPr>
        <w:t xml:space="preserve"> includes a specific section on targeting of Afghan returnees on the basis of ‘Westernisation’ following time spent in Europe or Western countries.  Their broad conclusion on this is as follows:</w:t>
      </w:r>
    </w:p>
    <w:p w:rsidR="00EA4B23" w:rsidRPr="000C25F3" w:rsidRDefault="00EA4B23" w:rsidP="000C25F3">
      <w:pPr>
        <w:spacing w:before="120"/>
        <w:ind w:left="2268" w:right="567"/>
        <w:jc w:val="both"/>
        <w:rPr>
          <w:rFonts w:ascii="Book Antiqua" w:hAnsi="Book Antiqua"/>
          <w:sz w:val="22"/>
        </w:rPr>
      </w:pPr>
      <w:r w:rsidRPr="000C25F3">
        <w:rPr>
          <w:rFonts w:ascii="Book Antiqua" w:hAnsi="Book Antiqua"/>
          <w:i/>
          <w:sz w:val="22"/>
        </w:rPr>
        <w:t>‘Documented instances of individual targeting of returning Afghans on the basis of ‘Westernisation’ due to having travelled in or lived in Europe, holding Western ID documents, or adopting ideas that seem to be ‘un-Afghan’, ‘Western’ or ‘European’ following time spent outside Afghanistan were scarce.  Varying descriptions by sources indicated that there were ‘occasional reports’ of alleged kidnapping and targeting, or, that not everyone is at risk, but it ‘does happen,’ though the scale and prevalence is ‘difficult to quantify’, or, that targeting does not specifically occur because of having sought asylum or having travelled to Western countries.’</w:t>
      </w:r>
      <w:r w:rsidRPr="000C25F3">
        <w:rPr>
          <w:rFonts w:ascii="Book Antiqua" w:hAnsi="Book Antiqua"/>
          <w:sz w:val="22"/>
        </w:rPr>
        <w:t>”</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cs="Arial"/>
          <w:sz w:val="22"/>
        </w:rPr>
        <w:t>91.</w:t>
      </w:r>
      <w:r w:rsidRPr="000C25F3">
        <w:rPr>
          <w:rFonts w:ascii="Book Antiqua" w:hAnsi="Book Antiqua" w:cs="Arial"/>
          <w:sz w:val="22"/>
        </w:rPr>
        <w:tab/>
        <w:t xml:space="preserve">Dr Schuster, in oral evidence, stated that after a person has been out of Afghanistan it would be relatively easy for them on return to change their physical appearance so as not to stand out. However, it would be more difficult to change values and attitudes that have been learnt and developed whilst away from Afghanistan.  A person would have to monitor and self-censor their behaviour on return.  An individual’s capacity to self-censor would depend upon their maturity, their mental health and their ability to be astute about the social surroundings in Afghanistan, being able to pick up on what it is inappropriate to say and to do. </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cs="Arial"/>
          <w:sz w:val="22"/>
        </w:rPr>
        <w:t>92.</w:t>
      </w:r>
      <w:r w:rsidRPr="000C25F3">
        <w:rPr>
          <w:rFonts w:ascii="Book Antiqua" w:hAnsi="Book Antiqua" w:cs="Arial"/>
          <w:sz w:val="22"/>
        </w:rPr>
        <w:tab/>
        <w:t xml:space="preserve">Dr Schuster also referred to the assumptions that people make about those who have been away from Afghanistan about their lifestyle, and question whether they have retained their Islamic faith, drink alcohol, or have relationships with women for example.  The EASO report ‘Afghanistan – Individuals targeted under societal and legal norms’ also refers to perceptions of those on return, including concern that returnees fear being labelled by insurgents as spies and a perception by others that an individual </w:t>
      </w:r>
      <w:r w:rsidRPr="000C25F3">
        <w:rPr>
          <w:rFonts w:ascii="Book Antiqua" w:hAnsi="Book Antiqua" w:cs="Arial"/>
          <w:sz w:val="22"/>
        </w:rPr>
        <w:lastRenderedPageBreak/>
        <w:t>would be wealthy having accumulated funds abroad with the consequent fear of kidnapping for ransom for this reason.  There is however very limited evidence of kidnapping other than isolated cases.</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cs="Arial"/>
          <w:sz w:val="22"/>
        </w:rPr>
        <w:t>93.</w:t>
      </w:r>
      <w:r w:rsidRPr="000C25F3">
        <w:rPr>
          <w:rFonts w:ascii="Book Antiqua" w:hAnsi="Book Antiqua" w:cs="Arial"/>
          <w:sz w:val="22"/>
        </w:rPr>
        <w:tab/>
        <w:t>The EASO report ‘Afghanistan – Individuals targeted under societal and legal norms’ does not find any agreement from its sources of a collective or consistent attitude toward ‘Westernisation’ in Afghan society.  There are references to broader Western influence on Afghan society in recent decades due to the international military presence and the increasing popularity, particularly amongst young Afghans, towards Western trends and influences (such as fashion, entertainment and tattoos).  There are however strong conservative views held amongst individuals, family groups and wider communities.</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cs="Arial"/>
          <w:sz w:val="22"/>
        </w:rPr>
        <w:t>94.</w:t>
      </w:r>
      <w:r w:rsidRPr="000C25F3">
        <w:rPr>
          <w:rFonts w:ascii="Book Antiqua" w:hAnsi="Book Antiqua" w:cs="Arial"/>
          <w:sz w:val="22"/>
        </w:rPr>
        <w:tab/>
        <w:t>Both Dr Schuster and the EASO report ‘Afghanistan – Individuals targeted under societal and legal norms’ refer to the risk of someone saying the wrong thing at the wrong time, even in Kabul (which generally has a higher tolerance for westernisation than rural areas) which would not necessarily, but may, cause difficulties and because a person has returned from the West could be used against them with accusations made.  Further, the sources both refer to the need for guidance on Afghan cultural norms to those who have been absent from the country and the importance of family, friends or connections to support their understanding of the limits and boundaries of societal norms and behavioural expectations.”</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At paragraph 187 of </w:t>
      </w:r>
      <w:r w:rsidRPr="00676E17">
        <w:rPr>
          <w:rFonts w:ascii="Book Antiqua" w:hAnsi="Book Antiqua" w:cs="Arial"/>
          <w:u w:val="single"/>
        </w:rPr>
        <w:t>AS</w:t>
      </w:r>
      <w:r>
        <w:rPr>
          <w:rFonts w:ascii="Book Antiqua" w:hAnsi="Book Antiqua" w:cs="Arial"/>
        </w:rPr>
        <w:t xml:space="preserve"> the Tribunal concluded as </w:t>
      </w:r>
      <w:proofErr w:type="gramStart"/>
      <w:r>
        <w:rPr>
          <w:rFonts w:ascii="Book Antiqua" w:hAnsi="Book Antiqua" w:cs="Arial"/>
        </w:rPr>
        <w:t>follows:-</w:t>
      </w:r>
      <w:proofErr w:type="gramEnd"/>
    </w:p>
    <w:p w:rsidR="00EA4B23" w:rsidRPr="000C25F3" w:rsidRDefault="00EA4B23" w:rsidP="000C25F3">
      <w:pPr>
        <w:spacing w:before="120"/>
        <w:ind w:left="1134" w:right="567"/>
        <w:jc w:val="both"/>
        <w:rPr>
          <w:rFonts w:ascii="Book Antiqua" w:hAnsi="Book Antiqua" w:cs="Arial"/>
          <w:sz w:val="22"/>
        </w:rPr>
      </w:pPr>
      <w:r w:rsidRPr="000C25F3">
        <w:rPr>
          <w:rFonts w:ascii="Book Antiqua" w:hAnsi="Book Antiqua" w:cs="Arial"/>
          <w:sz w:val="22"/>
        </w:rPr>
        <w:t>“</w:t>
      </w:r>
      <w:r w:rsidRPr="000C25F3">
        <w:rPr>
          <w:rFonts w:ascii="Book Antiqua" w:hAnsi="Book Antiqua"/>
          <w:sz w:val="22"/>
        </w:rPr>
        <w:t>We do not find a person on return to Kabul, or more widely to Afghanistan, to be at risk on the basis of ‘Westernisation’.  There is simply a lack of any cogent or consistent evidence of incidents of such harm on which it could be concluded that there was a real risk to a person who has spent time in the west being targeted for that reason, either because of appearance, perceived or actual attitudes of such a person.  At most, there is some evidence of a possible adverse social impact or suspicion affecting social and family interactions, and evidence from a very small number of fear based on ‘Westernisation’, but we find that the evidence before us falls far short of establishing and (sic) objective fear of persecution on this basis for the purposes of the Refugee Convention.”</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Accordingly, the appellant cannot succeed on the basis that he is westernised.</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Tribunal, at paragraph 202 said that their starting point was the views of the UNHCR which considers that internal relocation is only reasonable where an individual has access to shelter, essential services and livelihood opportunities.  The UNHCR considered that it is only reasonable where a person has access to a traditional support network of members of his or her extended family or the larger ethnic community in the area of proposed relocation who have been assessed as willing and able to provide genuine support to a person.  A possible exception to this last requirement may be for single able-bodied men without specific vulnerabilities who may in certain circumstances be able to subsist without family and community support in urban and semi-urban areas that have the necessary infrastructure and livelihood opportunities to meet the basic necessities of life and that are under effective Government control.  A case-by-case analysis will therefore be necessary.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lastRenderedPageBreak/>
        <w:t xml:space="preserve">The Tribunal recognised that a single person living alone outside the social norms in Afghanistan is relatively uncommon.  </w:t>
      </w:r>
      <w:proofErr w:type="gramStart"/>
      <w:r>
        <w:rPr>
          <w:rFonts w:ascii="Book Antiqua" w:hAnsi="Book Antiqua" w:cs="Arial"/>
        </w:rPr>
        <w:t>However</w:t>
      </w:r>
      <w:proofErr w:type="gramEnd"/>
      <w:r>
        <w:rPr>
          <w:rFonts w:ascii="Book Antiqua" w:hAnsi="Book Antiqua" w:cs="Arial"/>
        </w:rPr>
        <w:t xml:space="preserve"> it relied on the evidence of Dr </w:t>
      </w:r>
      <w:proofErr w:type="spellStart"/>
      <w:r>
        <w:rPr>
          <w:rFonts w:ascii="Book Antiqua" w:hAnsi="Book Antiqua" w:cs="Arial"/>
        </w:rPr>
        <w:t>Giustozzi</w:t>
      </w:r>
      <w:proofErr w:type="spellEnd"/>
      <w:r>
        <w:rPr>
          <w:rFonts w:ascii="Book Antiqua" w:hAnsi="Book Antiqua" w:cs="Arial"/>
        </w:rPr>
        <w:t xml:space="preserve"> that such support networks were not essential for a person to obtain basic accommodation and employment in Kabul.  The Tribunal noted that networks could be reactivated and established and single men and returnees could form their own support network and it was inevitable that a person would make contact with someone from such a group on return to Kabul.  </w:t>
      </w:r>
    </w:p>
    <w:p w:rsidR="00EA4B23" w:rsidRDefault="00EA4B23" w:rsidP="00EA4B23">
      <w:pPr>
        <w:numPr>
          <w:ilvl w:val="0"/>
          <w:numId w:val="3"/>
        </w:numPr>
        <w:spacing w:before="240"/>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the Tribunal concluded that it was not an essential requirement for a person to have an existing support network in Kabul for them to be able to access housing or employment there.  Kabul therefore was generally a reasonable place for internal relocation for a single male in due good health even if he did not have a support network because it was not essential for him to have one in order to access one of the variety of types of shelter for use in Kabul City.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At paragraph 219 the Tribunal </w:t>
      </w:r>
      <w:proofErr w:type="gramStart"/>
      <w:r>
        <w:rPr>
          <w:rFonts w:ascii="Book Antiqua" w:hAnsi="Book Antiqua" w:cs="Arial"/>
        </w:rPr>
        <w:t>said:-</w:t>
      </w:r>
      <w:proofErr w:type="gramEnd"/>
    </w:p>
    <w:p w:rsidR="00EA4B23" w:rsidRPr="000C25F3" w:rsidRDefault="00EA4B23" w:rsidP="000C25F3">
      <w:pPr>
        <w:spacing w:before="120"/>
        <w:ind w:left="1134" w:right="567"/>
        <w:jc w:val="both"/>
        <w:rPr>
          <w:rFonts w:ascii="Book Antiqua" w:hAnsi="Book Antiqua" w:cs="Arial"/>
          <w:sz w:val="22"/>
        </w:rPr>
      </w:pPr>
      <w:r w:rsidRPr="000C25F3">
        <w:rPr>
          <w:rFonts w:ascii="Book Antiqua" w:hAnsi="Book Antiqua" w:cs="Arial"/>
          <w:sz w:val="22"/>
        </w:rPr>
        <w:t>“</w:t>
      </w:r>
      <w:r w:rsidRPr="000C25F3">
        <w:rPr>
          <w:rFonts w:ascii="Book Antiqua" w:hAnsi="Book Antiqua"/>
          <w:sz w:val="22"/>
        </w:rPr>
        <w:t>In conclusion, we do not find that a single male returning to Kabul would be unable to find some sort of accommodation which is comparable to that available for the majority of the population in Kabul, even without support from a network in the city, (sic)”.</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In reaching their conclusions the Tribunal took into account the evidence about possible assistance on return to Kabul and were satisfied that there was a package of support which includes the offer of temporary accommodation, travel expenses and either cash on return or support in kind for those with a plan to establish themselves in Kabul.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So far as employment opportunities were concerned, whilst the job market was very competitive day labouring work was available although extremely precarious.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appellant is now 24 years old.  It is not being argued that there are any medical factors which would render his removal to be unreasonable.  </w:t>
      </w:r>
      <w:proofErr w:type="gramStart"/>
      <w:r>
        <w:rPr>
          <w:rFonts w:ascii="Book Antiqua" w:hAnsi="Book Antiqua" w:cs="Arial"/>
        </w:rPr>
        <w:t>Certainly</w:t>
      </w:r>
      <w:proofErr w:type="gramEnd"/>
      <w:r>
        <w:rPr>
          <w:rFonts w:ascii="Book Antiqua" w:hAnsi="Book Antiqua" w:cs="Arial"/>
        </w:rPr>
        <w:t xml:space="preserve"> no medical evidence was produced.  Neither was it argued that he is at any enhanced risk from the Taliban.  The basis of his claim is that he left Kabul when he was 14 years old in 2009, has no support network there, and, having spent his formative years in the UK is a westernised individual who would find it more difficult than many others to be able to reasonably relocate there.  </w:t>
      </w:r>
    </w:p>
    <w:p w:rsidR="00EA4B23" w:rsidRPr="0040758F" w:rsidRDefault="00EA4B23" w:rsidP="00EA4B23">
      <w:pPr>
        <w:numPr>
          <w:ilvl w:val="0"/>
          <w:numId w:val="3"/>
        </w:numPr>
        <w:spacing w:before="240"/>
        <w:jc w:val="both"/>
        <w:rPr>
          <w:rFonts w:ascii="Book Antiqua" w:hAnsi="Book Antiqua" w:cs="Arial"/>
        </w:rPr>
      </w:pPr>
      <w:r>
        <w:rPr>
          <w:rFonts w:ascii="Book Antiqua" w:hAnsi="Book Antiqua" w:cs="Arial"/>
        </w:rPr>
        <w:t xml:space="preserve">I take into account the report from Mr </w:t>
      </w:r>
      <w:proofErr w:type="spellStart"/>
      <w:r>
        <w:rPr>
          <w:rFonts w:ascii="Book Antiqua" w:hAnsi="Book Antiqua" w:cs="Arial"/>
        </w:rPr>
        <w:t>Foxley</w:t>
      </w:r>
      <w:proofErr w:type="spellEnd"/>
      <w:r>
        <w:rPr>
          <w:rFonts w:ascii="Book Antiqua" w:hAnsi="Book Antiqua" w:cs="Arial"/>
        </w:rPr>
        <w:t>, but the difficulty with it is that it is dated 18</w:t>
      </w:r>
      <w:r w:rsidRPr="00F97346">
        <w:rPr>
          <w:rFonts w:ascii="Book Antiqua" w:hAnsi="Book Antiqua" w:cs="Arial"/>
          <w:vertAlign w:val="superscript"/>
        </w:rPr>
        <w:t>th</w:t>
      </w:r>
      <w:r>
        <w:rPr>
          <w:rFonts w:ascii="Book Antiqua" w:hAnsi="Book Antiqua" w:cs="Arial"/>
        </w:rPr>
        <w:t xml:space="preserve"> April 2018 and therefore relies upon much of the same evidence as was considered in the case of </w:t>
      </w:r>
      <w:r w:rsidRPr="00F97346">
        <w:rPr>
          <w:rFonts w:ascii="Book Antiqua" w:hAnsi="Book Antiqua" w:cs="Arial"/>
          <w:u w:val="single"/>
        </w:rPr>
        <w:t>AS</w:t>
      </w:r>
      <w:r>
        <w:rPr>
          <w:rFonts w:ascii="Book Antiqua" w:hAnsi="Book Antiqua" w:cs="Arial"/>
        </w:rPr>
        <w:t xml:space="preserve">.  </w:t>
      </w:r>
      <w:proofErr w:type="gramStart"/>
      <w:r>
        <w:rPr>
          <w:rFonts w:ascii="Book Antiqua" w:hAnsi="Book Antiqua" w:cs="Arial"/>
        </w:rPr>
        <w:t>Indeed</w:t>
      </w:r>
      <w:proofErr w:type="gramEnd"/>
      <w:r>
        <w:rPr>
          <w:rFonts w:ascii="Book Antiqua" w:hAnsi="Book Antiqua" w:cs="Arial"/>
        </w:rPr>
        <w:t xml:space="preserve"> Mr </w:t>
      </w:r>
      <w:proofErr w:type="spellStart"/>
      <w:r>
        <w:rPr>
          <w:rFonts w:ascii="Book Antiqua" w:hAnsi="Book Antiqua" w:cs="Arial"/>
        </w:rPr>
        <w:t>Talacchi</w:t>
      </w:r>
      <w:proofErr w:type="spellEnd"/>
      <w:r>
        <w:rPr>
          <w:rFonts w:ascii="Book Antiqua" w:hAnsi="Book Antiqua" w:cs="Arial"/>
        </w:rPr>
        <w:t xml:space="preserve"> did not identify any sources of evidence which postdate</w:t>
      </w:r>
      <w:r w:rsidRPr="00A81580">
        <w:rPr>
          <w:rFonts w:ascii="Book Antiqua" w:hAnsi="Book Antiqua" w:cs="Arial"/>
        </w:rPr>
        <w:t xml:space="preserve"> it.</w:t>
      </w:r>
      <w:r>
        <w:rPr>
          <w:rFonts w:ascii="Book Antiqua" w:hAnsi="Book Antiqua" w:cs="Arial"/>
        </w:rPr>
        <w:t xml:space="preserve"> </w:t>
      </w:r>
      <w:proofErr w:type="gramStart"/>
      <w:r>
        <w:rPr>
          <w:rFonts w:ascii="Book Antiqua" w:hAnsi="Book Antiqua" w:cs="Arial"/>
        </w:rPr>
        <w:t>Moreover</w:t>
      </w:r>
      <w:proofErr w:type="gramEnd"/>
      <w:r w:rsidRPr="009076D3">
        <w:rPr>
          <w:rFonts w:ascii="Book Antiqua" w:hAnsi="Book Antiqua" w:cs="Arial"/>
        </w:rPr>
        <w:t xml:space="preserve"> </w:t>
      </w:r>
      <w:r>
        <w:rPr>
          <w:rFonts w:ascii="Book Antiqua" w:hAnsi="Book Antiqua" w:cs="Arial"/>
          <w:u w:val="single"/>
        </w:rPr>
        <w:t>AS</w:t>
      </w:r>
      <w:r>
        <w:rPr>
          <w:rFonts w:ascii="Book Antiqua" w:hAnsi="Book Antiqua" w:cs="Arial"/>
        </w:rPr>
        <w:t xml:space="preserve"> was promulgated in March 2018 and Mr </w:t>
      </w:r>
      <w:proofErr w:type="spellStart"/>
      <w:r>
        <w:rPr>
          <w:rFonts w:ascii="Book Antiqua" w:hAnsi="Book Antiqua" w:cs="Arial"/>
        </w:rPr>
        <w:t>Foxley’s</w:t>
      </w:r>
      <w:proofErr w:type="spellEnd"/>
      <w:r>
        <w:rPr>
          <w:rFonts w:ascii="Book Antiqua" w:hAnsi="Book Antiqua" w:cs="Arial"/>
        </w:rPr>
        <w:t xml:space="preserve"> report is dated 18</w:t>
      </w:r>
      <w:r w:rsidRPr="00F97346">
        <w:rPr>
          <w:rFonts w:ascii="Book Antiqua" w:hAnsi="Book Antiqua" w:cs="Arial"/>
          <w:vertAlign w:val="superscript"/>
        </w:rPr>
        <w:t>th</w:t>
      </w:r>
      <w:r>
        <w:rPr>
          <w:rFonts w:ascii="Book Antiqua" w:hAnsi="Book Antiqua" w:cs="Arial"/>
        </w:rPr>
        <w:t xml:space="preserve"> April 2018.  It is therefore very surprising that Mr </w:t>
      </w:r>
      <w:proofErr w:type="spellStart"/>
      <w:r>
        <w:rPr>
          <w:rFonts w:ascii="Book Antiqua" w:hAnsi="Book Antiqua" w:cs="Arial"/>
        </w:rPr>
        <w:t>Foxley</w:t>
      </w:r>
      <w:proofErr w:type="spellEnd"/>
      <w:r>
        <w:rPr>
          <w:rFonts w:ascii="Book Antiqua" w:hAnsi="Book Antiqua" w:cs="Arial"/>
        </w:rPr>
        <w:t xml:space="preserve"> did not reference it. For those reasons I place little weight on it.</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In spite of the submissions from Mr </w:t>
      </w:r>
      <w:proofErr w:type="spellStart"/>
      <w:r>
        <w:rPr>
          <w:rFonts w:ascii="Book Antiqua" w:hAnsi="Book Antiqua" w:cs="Arial"/>
        </w:rPr>
        <w:t>Talacchi</w:t>
      </w:r>
      <w:proofErr w:type="spellEnd"/>
      <w:r>
        <w:rPr>
          <w:rFonts w:ascii="Book Antiqua" w:hAnsi="Book Antiqua" w:cs="Arial"/>
        </w:rPr>
        <w:t xml:space="preserve"> I find it difficult to distinguish the appellant’s case from those considered in </w:t>
      </w:r>
      <w:r w:rsidRPr="00557323">
        <w:rPr>
          <w:rFonts w:ascii="Book Antiqua" w:hAnsi="Book Antiqua" w:cs="Arial"/>
          <w:u w:val="single"/>
        </w:rPr>
        <w:t>AS</w:t>
      </w:r>
      <w:r>
        <w:rPr>
          <w:rFonts w:ascii="Book Antiqua" w:hAnsi="Book Antiqua" w:cs="Arial"/>
        </w:rPr>
        <w:t xml:space="preserve">.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I apply the test set out in paragraph 230 which is as </w:t>
      </w:r>
      <w:proofErr w:type="gramStart"/>
      <w:r>
        <w:rPr>
          <w:rFonts w:ascii="Book Antiqua" w:hAnsi="Book Antiqua" w:cs="Arial"/>
        </w:rPr>
        <w:t>follows:-</w:t>
      </w:r>
      <w:proofErr w:type="gramEnd"/>
    </w:p>
    <w:p w:rsidR="00EA4B23" w:rsidRPr="000C25F3" w:rsidRDefault="00EA4B23" w:rsidP="000C25F3">
      <w:pPr>
        <w:spacing w:before="120"/>
        <w:ind w:left="1134" w:right="567"/>
        <w:jc w:val="both"/>
        <w:rPr>
          <w:rFonts w:ascii="Book Antiqua" w:hAnsi="Book Antiqua"/>
          <w:sz w:val="22"/>
        </w:rPr>
      </w:pPr>
      <w:r w:rsidRPr="000C25F3">
        <w:rPr>
          <w:rFonts w:ascii="Book Antiqua" w:hAnsi="Book Antiqua" w:cs="Arial"/>
          <w:sz w:val="22"/>
        </w:rPr>
        <w:lastRenderedPageBreak/>
        <w:t>“</w:t>
      </w:r>
      <w:r w:rsidRPr="000C25F3">
        <w:rPr>
          <w:rFonts w:ascii="Book Antiqua" w:hAnsi="Book Antiqua"/>
          <w:sz w:val="22"/>
        </w:rPr>
        <w:t xml:space="preserve">Our findings above show that it is not generally unsafe or unreasonable for a single healthy man to internally relocate to Kabul.  However, we emphasise that a case-by-case consideration of whether internal relocation is reasonable for a particular person is required by Article 8 of the Qualification Directive and domestic authorities including </w:t>
      </w:r>
      <w:proofErr w:type="spellStart"/>
      <w:r w:rsidRPr="000C25F3">
        <w:rPr>
          <w:rFonts w:ascii="Book Antiqua" w:hAnsi="Book Antiqua"/>
          <w:sz w:val="22"/>
          <w:u w:val="single"/>
        </w:rPr>
        <w:t>Januzi</w:t>
      </w:r>
      <w:proofErr w:type="spellEnd"/>
      <w:r w:rsidRPr="000C25F3">
        <w:rPr>
          <w:rFonts w:ascii="Book Antiqua" w:hAnsi="Book Antiqua"/>
          <w:sz w:val="22"/>
        </w:rPr>
        <w:t xml:space="preserve"> and </w:t>
      </w:r>
      <w:r w:rsidRPr="000C25F3">
        <w:rPr>
          <w:rFonts w:ascii="Book Antiqua" w:hAnsi="Book Antiqua"/>
          <w:sz w:val="22"/>
          <w:u w:val="single"/>
        </w:rPr>
        <w:t>AH (Sudan)</w:t>
      </w:r>
      <w:r w:rsidRPr="000C25F3">
        <w:rPr>
          <w:rFonts w:ascii="Book Antiqua" w:hAnsi="Book Antiqua"/>
          <w:sz w:val="22"/>
        </w:rPr>
        <w:t>.  When doing so, we consider that there are a number of specific factors which may be relevant to bear in mind.  These include, individually as well as cumulatively (including consideration that the strength of one factor may counteract and balance the weakness of another factor):</w:t>
      </w:r>
    </w:p>
    <w:p w:rsidR="00EA4B23" w:rsidRPr="000C25F3" w:rsidRDefault="00EA4B23" w:rsidP="000C25F3">
      <w:pPr>
        <w:spacing w:before="120"/>
        <w:ind w:left="1701" w:right="567" w:hanging="567"/>
        <w:jc w:val="both"/>
        <w:rPr>
          <w:rFonts w:ascii="Book Antiqua" w:hAnsi="Book Antiqua"/>
          <w:sz w:val="22"/>
        </w:rPr>
      </w:pPr>
      <w:r w:rsidRPr="000C25F3">
        <w:rPr>
          <w:rFonts w:ascii="Book Antiqua" w:hAnsi="Book Antiqua"/>
          <w:sz w:val="22"/>
        </w:rPr>
        <w:t>(</w:t>
      </w:r>
      <w:proofErr w:type="spellStart"/>
      <w:r w:rsidRPr="000C25F3">
        <w:rPr>
          <w:rFonts w:ascii="Book Antiqua" w:hAnsi="Book Antiqua"/>
          <w:sz w:val="22"/>
        </w:rPr>
        <w:t>i</w:t>
      </w:r>
      <w:proofErr w:type="spellEnd"/>
      <w:r w:rsidRPr="000C25F3">
        <w:rPr>
          <w:rFonts w:ascii="Book Antiqua" w:hAnsi="Book Antiqua"/>
          <w:sz w:val="22"/>
        </w:rPr>
        <w:t>)</w:t>
      </w:r>
      <w:r w:rsidRPr="000C25F3">
        <w:rPr>
          <w:rFonts w:ascii="Book Antiqua" w:hAnsi="Book Antiqua"/>
          <w:sz w:val="22"/>
        </w:rPr>
        <w:tab/>
        <w:t xml:space="preserve">Age, including the age at which a person left Afghanistan.  </w:t>
      </w:r>
    </w:p>
    <w:p w:rsidR="00EA4B23" w:rsidRPr="000C25F3" w:rsidRDefault="00EA4B23" w:rsidP="000C25F3">
      <w:pPr>
        <w:spacing w:before="120"/>
        <w:ind w:left="1701" w:right="567" w:hanging="567"/>
        <w:jc w:val="both"/>
        <w:rPr>
          <w:rFonts w:ascii="Book Antiqua" w:hAnsi="Book Antiqua"/>
          <w:sz w:val="22"/>
        </w:rPr>
      </w:pPr>
      <w:r w:rsidRPr="000C25F3">
        <w:rPr>
          <w:rFonts w:ascii="Book Antiqua" w:hAnsi="Book Antiqua"/>
          <w:sz w:val="22"/>
        </w:rPr>
        <w:t>(ii)</w:t>
      </w:r>
      <w:r w:rsidRPr="000C25F3">
        <w:rPr>
          <w:rFonts w:ascii="Book Antiqua" w:hAnsi="Book Antiqua"/>
          <w:sz w:val="22"/>
        </w:rPr>
        <w:tab/>
        <w:t xml:space="preserve">Nature and quality of connections to Kabul and/or Afghanistan.  </w:t>
      </w:r>
    </w:p>
    <w:p w:rsidR="00EA4B23" w:rsidRPr="000C25F3" w:rsidRDefault="00EA4B23" w:rsidP="000C25F3">
      <w:pPr>
        <w:spacing w:before="120"/>
        <w:ind w:left="1701" w:right="567" w:hanging="567"/>
        <w:jc w:val="both"/>
        <w:rPr>
          <w:rFonts w:ascii="Book Antiqua" w:hAnsi="Book Antiqua"/>
          <w:sz w:val="22"/>
        </w:rPr>
      </w:pPr>
      <w:r w:rsidRPr="000C25F3">
        <w:rPr>
          <w:rFonts w:ascii="Book Antiqua" w:hAnsi="Book Antiqua"/>
          <w:sz w:val="22"/>
        </w:rPr>
        <w:t>(iii)</w:t>
      </w:r>
      <w:r w:rsidRPr="000C25F3">
        <w:rPr>
          <w:rFonts w:ascii="Book Antiqua" w:hAnsi="Book Antiqua"/>
          <w:sz w:val="22"/>
        </w:rPr>
        <w:tab/>
        <w:t xml:space="preserve">Physical and mental health.  </w:t>
      </w:r>
    </w:p>
    <w:p w:rsidR="00EA4B23" w:rsidRPr="000C25F3" w:rsidRDefault="00EA4B23" w:rsidP="000C25F3">
      <w:pPr>
        <w:spacing w:before="120"/>
        <w:ind w:left="1701" w:right="567" w:hanging="567"/>
        <w:jc w:val="both"/>
        <w:rPr>
          <w:rFonts w:ascii="Book Antiqua" w:hAnsi="Book Antiqua" w:cs="Arial"/>
          <w:sz w:val="22"/>
        </w:rPr>
      </w:pPr>
      <w:r w:rsidRPr="000C25F3">
        <w:rPr>
          <w:rFonts w:ascii="Book Antiqua" w:hAnsi="Book Antiqua"/>
          <w:sz w:val="22"/>
        </w:rPr>
        <w:t>(iv)</w:t>
      </w:r>
      <w:r w:rsidRPr="000C25F3">
        <w:rPr>
          <w:rFonts w:ascii="Book Antiqua" w:hAnsi="Book Antiqua"/>
          <w:sz w:val="22"/>
        </w:rPr>
        <w:tab/>
        <w:t>Language, education and vocational and skills.”</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appellant left Afghanistan at a relatively young age, of 14.  He has no connections to Kabul or to Afghanistan. There is no basis for doubting his word that he does not possess any particular skills.   On the other </w:t>
      </w:r>
      <w:proofErr w:type="gramStart"/>
      <w:r>
        <w:rPr>
          <w:rFonts w:ascii="Book Antiqua" w:hAnsi="Book Antiqua" w:cs="Arial"/>
        </w:rPr>
        <w:t>hand</w:t>
      </w:r>
      <w:proofErr w:type="gramEnd"/>
      <w:r>
        <w:rPr>
          <w:rFonts w:ascii="Book Antiqua" w:hAnsi="Book Antiqua" w:cs="Arial"/>
        </w:rPr>
        <w:t xml:space="preserve"> there is no evidence that he is not in good physical or indeed mental health and he does speak </w:t>
      </w:r>
      <w:proofErr w:type="spellStart"/>
      <w:r>
        <w:rPr>
          <w:rFonts w:ascii="Book Antiqua" w:hAnsi="Book Antiqua" w:cs="Arial"/>
        </w:rPr>
        <w:t>Pushtu</w:t>
      </w:r>
      <w:proofErr w:type="spellEnd"/>
      <w:r>
        <w:rPr>
          <w:rFonts w:ascii="Book Antiqua" w:hAnsi="Book Antiqua" w:cs="Arial"/>
        </w:rPr>
        <w:t xml:space="preserve">. </w:t>
      </w:r>
    </w:p>
    <w:p w:rsidR="00EA4B23" w:rsidRPr="006A668E" w:rsidRDefault="00EA4B23" w:rsidP="00EA4B23">
      <w:pPr>
        <w:numPr>
          <w:ilvl w:val="0"/>
          <w:numId w:val="3"/>
        </w:numPr>
        <w:spacing w:before="240"/>
        <w:jc w:val="both"/>
        <w:rPr>
          <w:rFonts w:ascii="Book Antiqua" w:hAnsi="Book Antiqua" w:cs="Arial"/>
        </w:rPr>
      </w:pPr>
      <w:r>
        <w:rPr>
          <w:rFonts w:ascii="Book Antiqua" w:hAnsi="Book Antiqua" w:cs="Arial"/>
        </w:rPr>
        <w:t xml:space="preserve">I do not doubt the difficulties which the appellant will face.  The problem that I </w:t>
      </w:r>
      <w:proofErr w:type="gramStart"/>
      <w:r>
        <w:rPr>
          <w:rFonts w:ascii="Book Antiqua" w:hAnsi="Book Antiqua" w:cs="Arial"/>
        </w:rPr>
        <w:t>have  is</w:t>
      </w:r>
      <w:proofErr w:type="gramEnd"/>
      <w:r>
        <w:rPr>
          <w:rFonts w:ascii="Book Antiqua" w:hAnsi="Book Antiqua" w:cs="Arial"/>
        </w:rPr>
        <w:t xml:space="preserve"> that it is difficult to distinguish his case from the broad proposition set out in </w:t>
      </w:r>
      <w:r w:rsidRPr="009817E8">
        <w:rPr>
          <w:rFonts w:ascii="Book Antiqua" w:hAnsi="Book Antiqua" w:cs="Arial"/>
          <w:u w:val="single"/>
        </w:rPr>
        <w:t>AS</w:t>
      </w:r>
      <w:r>
        <w:rPr>
          <w:rFonts w:ascii="Book Antiqua" w:hAnsi="Book Antiqua" w:cs="Arial"/>
        </w:rPr>
        <w:t xml:space="preserve">, </w:t>
      </w:r>
      <w:proofErr w:type="spellStart"/>
      <w:r>
        <w:rPr>
          <w:rFonts w:ascii="Book Antiqua" w:hAnsi="Book Antiqua" w:cs="Arial"/>
        </w:rPr>
        <w:t>i.e</w:t>
      </w:r>
      <w:proofErr w:type="spellEnd"/>
      <w:r>
        <w:rPr>
          <w:rFonts w:ascii="Book Antiqua" w:hAnsi="Book Antiqua" w:cs="Arial"/>
        </w:rPr>
        <w:t xml:space="preserve"> for someone such as him, it is reasonable to internally relocate to Kabul.  He did come to the UK when he was relatively young but clearly has maintained friendships with the Afghan community here. There is no enhanced risk for someone who might be identifiable as </w:t>
      </w:r>
      <w:proofErr w:type="gramStart"/>
      <w:r>
        <w:rPr>
          <w:rFonts w:ascii="Book Antiqua" w:hAnsi="Book Antiqua" w:cs="Arial"/>
        </w:rPr>
        <w:t>a  person</w:t>
      </w:r>
      <w:proofErr w:type="gramEnd"/>
      <w:r>
        <w:rPr>
          <w:rFonts w:ascii="Book Antiqua" w:hAnsi="Book Antiqua" w:cs="Arial"/>
        </w:rPr>
        <w:t xml:space="preserve"> who has spent time in the west, either because of his use of </w:t>
      </w:r>
      <w:proofErr w:type="spellStart"/>
      <w:r>
        <w:rPr>
          <w:rFonts w:ascii="Book Antiqua" w:hAnsi="Book Antiqua" w:cs="Arial"/>
        </w:rPr>
        <w:t>Pushtu</w:t>
      </w:r>
      <w:proofErr w:type="spellEnd"/>
      <w:r>
        <w:rPr>
          <w:rFonts w:ascii="Book Antiqua" w:hAnsi="Book Antiqua" w:cs="Arial"/>
        </w:rPr>
        <w:t xml:space="preserve"> or his knowledge of Islam. He has accepted that he still attends the mosque, albeit not as regularly as would be expected of him in Afghanistan.  I cannot conclude that any difficulties he might face</w:t>
      </w:r>
      <w:r w:rsidRPr="006A668E">
        <w:rPr>
          <w:rFonts w:ascii="Book Antiqua" w:hAnsi="Book Antiqua" w:cs="Arial"/>
        </w:rPr>
        <w:t xml:space="preserve"> are such so as to bring him outside the scope of the country guidance case</w:t>
      </w:r>
      <w:r>
        <w:rPr>
          <w:rFonts w:ascii="Book Antiqua" w:hAnsi="Book Antiqua" w:cs="Arial"/>
        </w:rPr>
        <w:t>.</w:t>
      </w:r>
    </w:p>
    <w:p w:rsidR="00EA4B23" w:rsidRPr="00B562BA" w:rsidRDefault="00EA4B23" w:rsidP="00EA4B23">
      <w:pPr>
        <w:spacing w:before="240"/>
        <w:jc w:val="both"/>
        <w:rPr>
          <w:rFonts w:ascii="Book Antiqua" w:hAnsi="Book Antiqua" w:cs="Arial"/>
          <w:b/>
          <w:u w:val="single"/>
        </w:rPr>
      </w:pPr>
      <w:r w:rsidRPr="00B562BA">
        <w:rPr>
          <w:rFonts w:ascii="Book Antiqua" w:hAnsi="Book Antiqua" w:cs="Arial"/>
          <w:b/>
          <w:u w:val="single"/>
        </w:rPr>
        <w:t xml:space="preserve">Notice of Decision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 xml:space="preserve">The original judge erred in law.  The decision has been set aside.  It is remade as follows.  </w:t>
      </w:r>
    </w:p>
    <w:p w:rsidR="00EA4B23" w:rsidRDefault="00EA4B23" w:rsidP="00EA4B23">
      <w:pPr>
        <w:numPr>
          <w:ilvl w:val="0"/>
          <w:numId w:val="3"/>
        </w:numPr>
        <w:spacing w:before="240"/>
        <w:jc w:val="both"/>
        <w:rPr>
          <w:rFonts w:ascii="Book Antiqua" w:hAnsi="Book Antiqua" w:cs="Arial"/>
        </w:rPr>
      </w:pPr>
      <w:r>
        <w:rPr>
          <w:rFonts w:ascii="Book Antiqua" w:hAnsi="Book Antiqua" w:cs="Arial"/>
        </w:rPr>
        <w:t>The appellant’s appeal is dismissed.</w:t>
      </w:r>
    </w:p>
    <w:p w:rsidR="00EA4B23" w:rsidRPr="00BF3B8C" w:rsidRDefault="00EA4B23" w:rsidP="00EA4B23">
      <w:pPr>
        <w:numPr>
          <w:ilvl w:val="0"/>
          <w:numId w:val="3"/>
        </w:numPr>
        <w:spacing w:before="240"/>
        <w:jc w:val="both"/>
        <w:rPr>
          <w:rFonts w:ascii="Book Antiqua" w:hAnsi="Book Antiqua" w:cs="Arial"/>
        </w:rPr>
      </w:pPr>
      <w:r>
        <w:rPr>
          <w:rFonts w:ascii="Book Antiqua" w:hAnsi="Book Antiqua" w:cs="Arial"/>
        </w:rPr>
        <w:t xml:space="preserve">No </w:t>
      </w:r>
      <w:r w:rsidRPr="00BF3B8C">
        <w:rPr>
          <w:rFonts w:ascii="Book Antiqua" w:hAnsi="Book Antiqua" w:cs="Arial"/>
        </w:rPr>
        <w:t>anonymity direction is made.</w:t>
      </w:r>
    </w:p>
    <w:p w:rsidR="00EA4B23" w:rsidRPr="00BF3B8C" w:rsidRDefault="00EA4B23" w:rsidP="00EA4B23">
      <w:pPr>
        <w:jc w:val="both"/>
        <w:rPr>
          <w:rFonts w:ascii="Book Antiqua" w:hAnsi="Book Antiqua" w:cs="Arial"/>
        </w:rPr>
      </w:pPr>
    </w:p>
    <w:p w:rsidR="00EA4B23" w:rsidRPr="00CE6902" w:rsidRDefault="00EA4B23" w:rsidP="00EA4B23">
      <w:pPr>
        <w:tabs>
          <w:tab w:val="left" w:pos="2520"/>
        </w:tabs>
        <w:jc w:val="both"/>
        <w:rPr>
          <w:rFonts w:ascii="Book Antiqua" w:hAnsi="Book Antiqua" w:cs="Arial"/>
        </w:rPr>
      </w:pPr>
    </w:p>
    <w:p w:rsidR="00EA4B23" w:rsidRPr="00CE6902" w:rsidRDefault="00926CB5" w:rsidP="00EA4B23">
      <w:pPr>
        <w:tabs>
          <w:tab w:val="left" w:pos="2520"/>
        </w:tabs>
        <w:jc w:val="both"/>
        <w:rPr>
          <w:rFonts w:ascii="Book Antiqua" w:hAnsi="Book Antiqua" w:cs="Arial"/>
        </w:rPr>
      </w:pPr>
      <w:r w:rsidRPr="00B064E0">
        <w:rPr>
          <w:noProof/>
          <w:lang w:val="en-US" w:eastAsia="en-US"/>
        </w:rPr>
        <w:drawing>
          <wp:inline distT="0" distB="0" distL="0" distR="0">
            <wp:extent cx="14224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0" cy="609600"/>
                    </a:xfrm>
                    <a:prstGeom prst="rect">
                      <a:avLst/>
                    </a:prstGeom>
                    <a:noFill/>
                    <a:ln>
                      <a:noFill/>
                    </a:ln>
                  </pic:spPr>
                </pic:pic>
              </a:graphicData>
            </a:graphic>
          </wp:inline>
        </w:drawing>
      </w:r>
    </w:p>
    <w:p w:rsidR="00EA4B23" w:rsidRPr="00CE6902" w:rsidRDefault="00EA4B23" w:rsidP="00EA4B23">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t>Date</w:t>
      </w:r>
      <w:r>
        <w:rPr>
          <w:rFonts w:ascii="Book Antiqua" w:hAnsi="Book Antiqua" w:cs="Arial"/>
        </w:rPr>
        <w:t xml:space="preserve"> 27 July 2018</w:t>
      </w:r>
    </w:p>
    <w:p w:rsidR="00EA4B23" w:rsidRPr="00CE6902" w:rsidRDefault="00EA4B23" w:rsidP="00EA4B23">
      <w:pPr>
        <w:tabs>
          <w:tab w:val="left" w:pos="2520"/>
        </w:tabs>
        <w:jc w:val="both"/>
        <w:rPr>
          <w:rFonts w:ascii="Book Antiqua" w:hAnsi="Book Antiqua" w:cs="Arial"/>
        </w:rPr>
      </w:pPr>
    </w:p>
    <w:p w:rsidR="005B7789" w:rsidRPr="00CE6902" w:rsidRDefault="00EA4B23" w:rsidP="0057210B">
      <w:pPr>
        <w:tabs>
          <w:tab w:val="left" w:pos="2520"/>
        </w:tabs>
        <w:jc w:val="both"/>
        <w:rPr>
          <w:rFonts w:ascii="Book Antiqua" w:hAnsi="Book Antiqua" w:cs="Arial"/>
        </w:rPr>
      </w:pPr>
      <w:r>
        <w:rPr>
          <w:rFonts w:ascii="Book Antiqua" w:hAnsi="Book Antiqua" w:cs="Arial"/>
        </w:rPr>
        <w:t>Deputy Upper Tribunal</w:t>
      </w:r>
      <w:r w:rsidRPr="00CE6902">
        <w:rPr>
          <w:rFonts w:ascii="Book Antiqua" w:hAnsi="Book Antiqua" w:cs="Arial"/>
        </w:rPr>
        <w:t xml:space="preserve"> Judge Taylor </w:t>
      </w:r>
    </w:p>
    <w:sectPr w:rsidR="005B7789" w:rsidRPr="00CE6902" w:rsidSect="00652200">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B4F" w:rsidRDefault="00112B4F">
      <w:r>
        <w:separator/>
      </w:r>
    </w:p>
  </w:endnote>
  <w:endnote w:type="continuationSeparator" w:id="0">
    <w:p w:rsidR="00112B4F" w:rsidRDefault="0011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B23" w:rsidRPr="00652200" w:rsidRDefault="00EA4B23" w:rsidP="00593795">
    <w:pPr>
      <w:pStyle w:val="Footer"/>
      <w:jc w:val="center"/>
      <w:rPr>
        <w:rFonts w:ascii="Book Antiqua" w:hAnsi="Book Antiqua" w:cs="Arial"/>
      </w:rPr>
    </w:pPr>
    <w:r w:rsidRPr="00652200">
      <w:rPr>
        <w:rStyle w:val="PageNumber"/>
        <w:rFonts w:ascii="Book Antiqua" w:hAnsi="Book Antiqua" w:cs="Arial"/>
      </w:rPr>
      <w:fldChar w:fldCharType="begin"/>
    </w:r>
    <w:r w:rsidRPr="00652200">
      <w:rPr>
        <w:rStyle w:val="PageNumber"/>
        <w:rFonts w:ascii="Book Antiqua" w:hAnsi="Book Antiqua" w:cs="Arial"/>
      </w:rPr>
      <w:instrText xml:space="preserve"> PAGE </w:instrText>
    </w:r>
    <w:r w:rsidRPr="00652200">
      <w:rPr>
        <w:rStyle w:val="PageNumber"/>
        <w:rFonts w:ascii="Book Antiqua" w:hAnsi="Book Antiqua" w:cs="Arial"/>
      </w:rPr>
      <w:fldChar w:fldCharType="separate"/>
    </w:r>
    <w:r w:rsidR="00C51B44">
      <w:rPr>
        <w:rStyle w:val="PageNumber"/>
        <w:rFonts w:ascii="Book Antiqua" w:hAnsi="Book Antiqua" w:cs="Arial"/>
        <w:noProof/>
      </w:rPr>
      <w:t>10</w:t>
    </w:r>
    <w:r w:rsidRPr="0065220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B23" w:rsidRPr="00CE6902" w:rsidRDefault="00EA4B23"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B4F" w:rsidRDefault="00112B4F">
      <w:r>
        <w:separator/>
      </w:r>
    </w:p>
  </w:footnote>
  <w:footnote w:type="continuationSeparator" w:id="0">
    <w:p w:rsidR="00112B4F" w:rsidRDefault="0011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B23" w:rsidRDefault="00EA4B23"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401416">
      <w:rPr>
        <w:rFonts w:ascii="Book Antiqua" w:hAnsi="Book Antiqua" w:cs="Arial"/>
        <w:sz w:val="16"/>
        <w:szCs w:val="16"/>
      </w:rPr>
      <w:t>AA/12261/2015</w:t>
    </w:r>
  </w:p>
  <w:p w:rsidR="00652200" w:rsidRPr="00401416" w:rsidRDefault="0065220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B23" w:rsidRPr="00CE6902" w:rsidRDefault="00EA4B23">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4F"/>
    <w:rsid w:val="00000621"/>
    <w:rsid w:val="000036C2"/>
    <w:rsid w:val="00033D3D"/>
    <w:rsid w:val="000369F5"/>
    <w:rsid w:val="00065568"/>
    <w:rsid w:val="00071A7E"/>
    <w:rsid w:val="000746C0"/>
    <w:rsid w:val="00074D1D"/>
    <w:rsid w:val="00075C94"/>
    <w:rsid w:val="00092580"/>
    <w:rsid w:val="000C25F3"/>
    <w:rsid w:val="000C5C20"/>
    <w:rsid w:val="000D5D94"/>
    <w:rsid w:val="000E06B7"/>
    <w:rsid w:val="000F38CB"/>
    <w:rsid w:val="00110F6F"/>
    <w:rsid w:val="00112B4F"/>
    <w:rsid w:val="00114924"/>
    <w:rsid w:val="001165A7"/>
    <w:rsid w:val="001313D7"/>
    <w:rsid w:val="001377E1"/>
    <w:rsid w:val="00151BB7"/>
    <w:rsid w:val="00152152"/>
    <w:rsid w:val="00163090"/>
    <w:rsid w:val="00167D3A"/>
    <w:rsid w:val="001A24E4"/>
    <w:rsid w:val="001A57F6"/>
    <w:rsid w:val="001E6D96"/>
    <w:rsid w:val="001F2716"/>
    <w:rsid w:val="0020133A"/>
    <w:rsid w:val="00207617"/>
    <w:rsid w:val="00244A9E"/>
    <w:rsid w:val="00275F12"/>
    <w:rsid w:val="00283659"/>
    <w:rsid w:val="00283EB8"/>
    <w:rsid w:val="00297A75"/>
    <w:rsid w:val="002C4E73"/>
    <w:rsid w:val="002D68BF"/>
    <w:rsid w:val="00316625"/>
    <w:rsid w:val="00336CBF"/>
    <w:rsid w:val="00337A21"/>
    <w:rsid w:val="003546C8"/>
    <w:rsid w:val="00356A4B"/>
    <w:rsid w:val="0039351C"/>
    <w:rsid w:val="003A7CF2"/>
    <w:rsid w:val="003C5CE5"/>
    <w:rsid w:val="003D40F6"/>
    <w:rsid w:val="003E267B"/>
    <w:rsid w:val="003E7CD1"/>
    <w:rsid w:val="003F3944"/>
    <w:rsid w:val="00402B9E"/>
    <w:rsid w:val="004076C2"/>
    <w:rsid w:val="004229B4"/>
    <w:rsid w:val="00423932"/>
    <w:rsid w:val="004249CB"/>
    <w:rsid w:val="00436C72"/>
    <w:rsid w:val="0044127D"/>
    <w:rsid w:val="004448DB"/>
    <w:rsid w:val="00446C9A"/>
    <w:rsid w:val="004606D8"/>
    <w:rsid w:val="00477193"/>
    <w:rsid w:val="004A1848"/>
    <w:rsid w:val="004C1E34"/>
    <w:rsid w:val="00503969"/>
    <w:rsid w:val="00507FEC"/>
    <w:rsid w:val="00510F0E"/>
    <w:rsid w:val="00522434"/>
    <w:rsid w:val="005479E1"/>
    <w:rsid w:val="00556477"/>
    <w:rsid w:val="005570FD"/>
    <w:rsid w:val="005575EA"/>
    <w:rsid w:val="00561B4E"/>
    <w:rsid w:val="0057210B"/>
    <w:rsid w:val="0057790C"/>
    <w:rsid w:val="00590CB7"/>
    <w:rsid w:val="00593795"/>
    <w:rsid w:val="005A75FF"/>
    <w:rsid w:val="005B51C3"/>
    <w:rsid w:val="005B7789"/>
    <w:rsid w:val="005C1F10"/>
    <w:rsid w:val="005E57FF"/>
    <w:rsid w:val="00652200"/>
    <w:rsid w:val="0065791C"/>
    <w:rsid w:val="00680D26"/>
    <w:rsid w:val="00690B8A"/>
    <w:rsid w:val="006D1DFA"/>
    <w:rsid w:val="006D24EE"/>
    <w:rsid w:val="006D506B"/>
    <w:rsid w:val="006E3C90"/>
    <w:rsid w:val="00704B61"/>
    <w:rsid w:val="00717DBE"/>
    <w:rsid w:val="007404B2"/>
    <w:rsid w:val="00742A8D"/>
    <w:rsid w:val="007552A9"/>
    <w:rsid w:val="0076043D"/>
    <w:rsid w:val="00761858"/>
    <w:rsid w:val="00762B96"/>
    <w:rsid w:val="00767D59"/>
    <w:rsid w:val="00776E97"/>
    <w:rsid w:val="00780FD7"/>
    <w:rsid w:val="007912AD"/>
    <w:rsid w:val="007939C0"/>
    <w:rsid w:val="007B0824"/>
    <w:rsid w:val="00807563"/>
    <w:rsid w:val="00812092"/>
    <w:rsid w:val="008303B8"/>
    <w:rsid w:val="00833DCE"/>
    <w:rsid w:val="00871D34"/>
    <w:rsid w:val="008749A9"/>
    <w:rsid w:val="0089423C"/>
    <w:rsid w:val="008A0C3B"/>
    <w:rsid w:val="008B270C"/>
    <w:rsid w:val="008C3D3D"/>
    <w:rsid w:val="008D4131"/>
    <w:rsid w:val="008F1932"/>
    <w:rsid w:val="008F294D"/>
    <w:rsid w:val="00921062"/>
    <w:rsid w:val="00926CB5"/>
    <w:rsid w:val="00931A3F"/>
    <w:rsid w:val="00961E1E"/>
    <w:rsid w:val="00966ECF"/>
    <w:rsid w:val="009727A3"/>
    <w:rsid w:val="00987774"/>
    <w:rsid w:val="009A11E8"/>
    <w:rsid w:val="009F5220"/>
    <w:rsid w:val="009F7C4D"/>
    <w:rsid w:val="00A15234"/>
    <w:rsid w:val="00A201AB"/>
    <w:rsid w:val="00A31C8B"/>
    <w:rsid w:val="00A34C0B"/>
    <w:rsid w:val="00A41F38"/>
    <w:rsid w:val="00A42BCC"/>
    <w:rsid w:val="00A845DC"/>
    <w:rsid w:val="00A957E0"/>
    <w:rsid w:val="00A97AEE"/>
    <w:rsid w:val="00AC5CF6"/>
    <w:rsid w:val="00AE6BB7"/>
    <w:rsid w:val="00AF3421"/>
    <w:rsid w:val="00B03FBE"/>
    <w:rsid w:val="00B144FA"/>
    <w:rsid w:val="00B20406"/>
    <w:rsid w:val="00B25B10"/>
    <w:rsid w:val="00B30648"/>
    <w:rsid w:val="00B3524D"/>
    <w:rsid w:val="00B37240"/>
    <w:rsid w:val="00B40F69"/>
    <w:rsid w:val="00B46616"/>
    <w:rsid w:val="00B61205"/>
    <w:rsid w:val="00B617C4"/>
    <w:rsid w:val="00B626FA"/>
    <w:rsid w:val="00B7040A"/>
    <w:rsid w:val="00BD4196"/>
    <w:rsid w:val="00BF22CA"/>
    <w:rsid w:val="00BF3B8C"/>
    <w:rsid w:val="00C26032"/>
    <w:rsid w:val="00C265B0"/>
    <w:rsid w:val="00C32BB1"/>
    <w:rsid w:val="00C345E1"/>
    <w:rsid w:val="00C51B44"/>
    <w:rsid w:val="00C665DF"/>
    <w:rsid w:val="00C90C15"/>
    <w:rsid w:val="00C94A8F"/>
    <w:rsid w:val="00CB6E35"/>
    <w:rsid w:val="00CB7FD7"/>
    <w:rsid w:val="00CE1A46"/>
    <w:rsid w:val="00CE2079"/>
    <w:rsid w:val="00CE6902"/>
    <w:rsid w:val="00CF253F"/>
    <w:rsid w:val="00CF56B4"/>
    <w:rsid w:val="00D1314F"/>
    <w:rsid w:val="00D20F09"/>
    <w:rsid w:val="00D22636"/>
    <w:rsid w:val="00D34D9C"/>
    <w:rsid w:val="00D40FD9"/>
    <w:rsid w:val="00D53769"/>
    <w:rsid w:val="00D53893"/>
    <w:rsid w:val="00D56161"/>
    <w:rsid w:val="00D85C13"/>
    <w:rsid w:val="00D91BE3"/>
    <w:rsid w:val="00D94AFC"/>
    <w:rsid w:val="00DB70AE"/>
    <w:rsid w:val="00DB7231"/>
    <w:rsid w:val="00DD5071"/>
    <w:rsid w:val="00DD5C39"/>
    <w:rsid w:val="00DE26AF"/>
    <w:rsid w:val="00DE7DB7"/>
    <w:rsid w:val="00E00A0A"/>
    <w:rsid w:val="00E04C9F"/>
    <w:rsid w:val="00E07F57"/>
    <w:rsid w:val="00E33145"/>
    <w:rsid w:val="00E50BCE"/>
    <w:rsid w:val="00E61292"/>
    <w:rsid w:val="00E76309"/>
    <w:rsid w:val="00E77C4D"/>
    <w:rsid w:val="00E81D01"/>
    <w:rsid w:val="00EA4B23"/>
    <w:rsid w:val="00EB707E"/>
    <w:rsid w:val="00EC0D26"/>
    <w:rsid w:val="00EC42E5"/>
    <w:rsid w:val="00ED1BAF"/>
    <w:rsid w:val="00ED49AF"/>
    <w:rsid w:val="00EE3E65"/>
    <w:rsid w:val="00EE45D8"/>
    <w:rsid w:val="00EF1230"/>
    <w:rsid w:val="00F004CD"/>
    <w:rsid w:val="00F22EDA"/>
    <w:rsid w:val="00F33E0E"/>
    <w:rsid w:val="00F42F77"/>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3F8616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4690</Words>
  <Characters>22905</Characters>
  <Application>Microsoft Office Word</Application>
  <DocSecurity>0</DocSecurity>
  <Lines>190</Lines>
  <Paragraphs>55</Paragraphs>
  <ScaleCrop>false</ScaleCrop>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2018-08-20T10:15:00Z</dcterms:created>
  <dcterms:modified xsi:type="dcterms:W3CDTF">2018-08-20T10:15:00Z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