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C42ADC" w:rsidRDefault="0070728A" w:rsidP="0010335F">
      <w:pPr>
        <w:jc w:val="center"/>
        <w:rPr>
          <w:rFonts w:ascii="Book Antiqua" w:hAnsi="Book Antiqua" w:cs="Arial"/>
          <w:caps/>
          <w:color w:val="000000"/>
          <w:sz w:val="16"/>
          <w:szCs w:val="16"/>
        </w:rPr>
      </w:pPr>
      <w:r w:rsidRPr="00C42ADC">
        <w:rPr>
          <w:noProof/>
          <w:sz w:val="16"/>
          <w:szCs w:val="16"/>
        </w:rPr>
        <w:drawing>
          <wp:inline distT="0" distB="0" distL="0" distR="0" wp14:anchorId="705BB175" wp14:editId="08B3B62A">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rsidR="00D94AFC" w:rsidRPr="00C42ADC" w:rsidRDefault="00D94AFC">
      <w:pPr>
        <w:rPr>
          <w:rFonts w:ascii="Book Antiqua" w:hAnsi="Book Antiqua" w:cs="Arial"/>
          <w:color w:val="000000"/>
          <w:sz w:val="16"/>
          <w:szCs w:val="16"/>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Hlk522794090"/>
      <w:bookmarkStart w:id="1" w:name="_GoBack"/>
      <w:r w:rsidR="00B011C3">
        <w:rPr>
          <w:rFonts w:ascii="Book Antiqua" w:hAnsi="Book Antiqua"/>
          <w:caps/>
          <w:color w:val="000000"/>
        </w:rPr>
        <w:t>DA/00041/2016</w:t>
      </w:r>
      <w:bookmarkEnd w:id="0"/>
      <w:bookmarkEnd w:id="1"/>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rsidTr="00207D73">
        <w:tc>
          <w:tcPr>
            <w:tcW w:w="604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70728A">
              <w:rPr>
                <w:rFonts w:ascii="Book Antiqua" w:hAnsi="Book Antiqua" w:cs="Arial"/>
                <w:b/>
              </w:rPr>
              <w:t xml:space="preserve">Glasgow </w:t>
            </w:r>
          </w:p>
        </w:tc>
        <w:tc>
          <w:tcPr>
            <w:tcW w:w="3960" w:type="dxa"/>
          </w:tcPr>
          <w:p w:rsidR="00D22636" w:rsidRPr="001C5703" w:rsidRDefault="00207D73"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rsidTr="00207D73">
        <w:tc>
          <w:tcPr>
            <w:tcW w:w="604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70728A">
              <w:rPr>
                <w:rFonts w:ascii="Book Antiqua" w:hAnsi="Book Antiqua" w:cs="Arial"/>
                <w:b/>
              </w:rPr>
              <w:t xml:space="preserve">10 August 2018 </w:t>
            </w:r>
          </w:p>
        </w:tc>
        <w:tc>
          <w:tcPr>
            <w:tcW w:w="3960" w:type="dxa"/>
          </w:tcPr>
          <w:p w:rsidR="00D22636" w:rsidRPr="001C5703" w:rsidRDefault="0097563E" w:rsidP="004A1848">
            <w:pPr>
              <w:jc w:val="both"/>
              <w:rPr>
                <w:rFonts w:ascii="Book Antiqua" w:hAnsi="Book Antiqua" w:cs="Arial"/>
                <w:b/>
              </w:rPr>
            </w:pPr>
            <w:r>
              <w:rPr>
                <w:rFonts w:ascii="Book Antiqua" w:hAnsi="Book Antiqua" w:cs="Arial"/>
                <w:b/>
              </w:rPr>
              <w:t>On 23 August 2018</w:t>
            </w:r>
          </w:p>
        </w:tc>
      </w:tr>
      <w:tr w:rsidR="00D22636" w:rsidRPr="001C5703" w:rsidTr="00207D73">
        <w:tc>
          <w:tcPr>
            <w:tcW w:w="6048" w:type="dxa"/>
          </w:tcPr>
          <w:p w:rsidR="00D22636" w:rsidRPr="001C5703" w:rsidRDefault="00D22636" w:rsidP="004A1848">
            <w:pPr>
              <w:jc w:val="both"/>
              <w:rPr>
                <w:rFonts w:ascii="Book Antiqua" w:hAnsi="Book Antiqua" w:cs="Arial"/>
                <w:b/>
              </w:rPr>
            </w:pPr>
          </w:p>
        </w:tc>
        <w:tc>
          <w:tcPr>
            <w:tcW w:w="3960" w:type="dxa"/>
          </w:tcPr>
          <w:p w:rsidR="00D22636" w:rsidRPr="001C5703" w:rsidRDefault="00D22636" w:rsidP="004A1848">
            <w:pPr>
              <w:jc w:val="both"/>
              <w:rPr>
                <w:rFonts w:ascii="Book Antiqua" w:hAnsi="Book Antiqua" w:cs="Arial"/>
                <w:b/>
              </w:rPr>
            </w:pPr>
          </w:p>
        </w:tc>
      </w:tr>
    </w:tbl>
    <w:p w:rsidR="00A15234" w:rsidRPr="001C5703" w:rsidRDefault="00A15234" w:rsidP="00F5794B">
      <w:pP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273559">
        <w:rPr>
          <w:rFonts w:ascii="Book Antiqua" w:hAnsi="Book Antiqua" w:cs="Arial"/>
          <w:b/>
          <w:color w:val="000000"/>
        </w:rPr>
        <w:t xml:space="preserve"> JUDGE DAWSON</w:t>
      </w:r>
    </w:p>
    <w:p w:rsidR="001B186A" w:rsidRPr="001C5703" w:rsidRDefault="001B186A" w:rsidP="00A15234">
      <w:pPr>
        <w:jc w:val="center"/>
        <w:rPr>
          <w:rFonts w:ascii="Book Antiqua" w:hAnsi="Book Antiqua" w:cs="Arial"/>
          <w:b/>
          <w:color w:val="000000"/>
        </w:rPr>
      </w:pPr>
    </w:p>
    <w:p w:rsidR="00A845DC" w:rsidRPr="001C5703" w:rsidRDefault="00A845D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Default="00A845DC" w:rsidP="00A15234">
      <w:pPr>
        <w:jc w:val="center"/>
        <w:rPr>
          <w:rFonts w:ascii="Book Antiqua" w:hAnsi="Book Antiqua" w:cs="Arial"/>
          <w:b/>
        </w:rPr>
      </w:pPr>
    </w:p>
    <w:p w:rsidR="0070728A" w:rsidRPr="001C5703" w:rsidRDefault="0070728A" w:rsidP="00A15234">
      <w:pPr>
        <w:jc w:val="center"/>
        <w:rPr>
          <w:rFonts w:ascii="Book Antiqua" w:hAnsi="Book Antiqua" w:cs="Arial"/>
          <w:b/>
        </w:rPr>
      </w:pPr>
    </w:p>
    <w:p w:rsidR="00704B61" w:rsidRPr="001C5703" w:rsidRDefault="0070728A" w:rsidP="00A15234">
      <w:pPr>
        <w:jc w:val="center"/>
        <w:rPr>
          <w:rFonts w:ascii="Book Antiqua" w:hAnsi="Book Antiqua" w:cs="Arial"/>
          <w:b/>
        </w:rPr>
      </w:pPr>
      <w:r>
        <w:rPr>
          <w:rFonts w:ascii="Book Antiqua" w:hAnsi="Book Antiqua" w:cs="Arial"/>
          <w:b/>
        </w:rPr>
        <w:t xml:space="preserve">THE SECRETARY OF STATE FOR THE HOME DEPARTMENT </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70728A" w:rsidRDefault="0070728A" w:rsidP="0070728A">
      <w:pPr>
        <w:jc w:val="center"/>
        <w:rPr>
          <w:rFonts w:ascii="Book Antiqua" w:hAnsi="Book Antiqua" w:cs="Arial"/>
          <w:b/>
          <w:caps/>
        </w:rPr>
      </w:pPr>
      <w:r>
        <w:rPr>
          <w:rFonts w:ascii="Book Antiqua" w:hAnsi="Book Antiqua"/>
          <w:b/>
          <w:bCs/>
          <w:caps/>
          <w:lang w:val="es-ES_tradnl"/>
        </w:rPr>
        <w:t>MR RICARDO FERREIRA SOBRAL MESQUITA</w:t>
      </w:r>
    </w:p>
    <w:p w:rsidR="0070728A" w:rsidRPr="00C42ADC" w:rsidRDefault="0070728A" w:rsidP="0070728A">
      <w:pPr>
        <w:jc w:val="center"/>
        <w:rPr>
          <w:rFonts w:ascii="Book Antiqua" w:hAnsi="Book Antiqua" w:cs="Arial"/>
          <w:b/>
          <w:caps/>
          <w:sz w:val="22"/>
        </w:rPr>
      </w:pPr>
      <w:r w:rsidRPr="00C42ADC">
        <w:rPr>
          <w:rFonts w:ascii="Book Antiqua" w:hAnsi="Book Antiqua" w:cs="Arial"/>
          <w:b/>
          <w:caps/>
          <w:sz w:val="22"/>
        </w:rPr>
        <w:t>(ANONYMITY DIRECTION not made)</w:t>
      </w:r>
    </w:p>
    <w:p w:rsidR="00DD5071" w:rsidRPr="001C5703" w:rsidRDefault="00DD5071" w:rsidP="0082731B">
      <w:pPr>
        <w:jc w:val="right"/>
        <w:rPr>
          <w:rFonts w:ascii="Book Antiqua" w:hAnsi="Book Antiqua" w:cs="Arial"/>
          <w:u w:val="single"/>
        </w:rPr>
      </w:pPr>
      <w:r w:rsidRPr="001C5703">
        <w:rPr>
          <w:rFonts w:ascii="Book Antiqua" w:hAnsi="Book Antiqua" w:cs="Arial"/>
          <w:u w:val="single"/>
        </w:rPr>
        <w:t>Respondent</w:t>
      </w:r>
    </w:p>
    <w:p w:rsidR="00C42ADC" w:rsidRDefault="00C42ADC" w:rsidP="00DD5071">
      <w:pPr>
        <w:rPr>
          <w:rFonts w:ascii="Book Antiqua" w:hAnsi="Book Antiqua" w:cs="Arial"/>
          <w:b/>
          <w:u w:val="single"/>
        </w:rPr>
      </w:pPr>
    </w:p>
    <w:p w:rsidR="00C42ADC" w:rsidRDefault="00C42ADC" w:rsidP="00DD5071">
      <w:pPr>
        <w:rPr>
          <w:rFonts w:ascii="Book Antiqua" w:hAnsi="Book Antiqua" w:cs="Arial"/>
          <w:b/>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3B34A3">
        <w:rPr>
          <w:rFonts w:ascii="Book Antiqua" w:hAnsi="Book Antiqua" w:cs="Arial"/>
        </w:rPr>
        <w:t xml:space="preserve">Mr A Govan, Senior Presenting Officer </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3B34A3">
        <w:rPr>
          <w:rFonts w:ascii="Book Antiqua" w:hAnsi="Book Antiqua" w:cs="Arial"/>
        </w:rPr>
        <w:t xml:space="preserve">Mr S Winter instructed by Bruce Short Solicitors </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402B9E" w:rsidRPr="001C5703" w:rsidRDefault="00207D73" w:rsidP="007E3B27">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535603" w:rsidRPr="0070728A" w:rsidRDefault="0070728A" w:rsidP="00C42ADC">
      <w:pPr>
        <w:numPr>
          <w:ilvl w:val="0"/>
          <w:numId w:val="1"/>
        </w:numPr>
        <w:tabs>
          <w:tab w:val="clear" w:pos="567"/>
        </w:tabs>
        <w:spacing w:before="160"/>
        <w:jc w:val="both"/>
        <w:rPr>
          <w:rFonts w:ascii="Book Antiqua" w:hAnsi="Book Antiqua" w:cs="Arial"/>
        </w:rPr>
      </w:pPr>
      <w:r>
        <w:rPr>
          <w:rFonts w:ascii="Book Antiqua" w:hAnsi="Book Antiqua"/>
        </w:rPr>
        <w:t>Th</w:t>
      </w:r>
      <w:r w:rsidR="0082731B">
        <w:rPr>
          <w:rFonts w:ascii="Book Antiqua" w:hAnsi="Book Antiqua"/>
        </w:rPr>
        <w:t>is is the</w:t>
      </w:r>
      <w:r>
        <w:rPr>
          <w:rFonts w:ascii="Book Antiqua" w:hAnsi="Book Antiqua"/>
        </w:rPr>
        <w:t xml:space="preserve"> Secretary of State</w:t>
      </w:r>
      <w:r w:rsidR="003570F2">
        <w:rPr>
          <w:rFonts w:ascii="Book Antiqua" w:hAnsi="Book Antiqua"/>
        </w:rPr>
        <w:t>’</w:t>
      </w:r>
      <w:r w:rsidR="0082731B">
        <w:rPr>
          <w:rFonts w:ascii="Book Antiqua" w:hAnsi="Book Antiqua"/>
        </w:rPr>
        <w:t xml:space="preserve">s </w:t>
      </w:r>
      <w:r>
        <w:rPr>
          <w:rFonts w:ascii="Book Antiqua" w:hAnsi="Book Antiqua"/>
        </w:rPr>
        <w:t>appeal against the decision of Designated Judge of the First-tier Tribunal J G Macdonald who allowed the appeal by Mr Mesquita (the claimant) against the decision dated 13 January 2016 to deport him pursuant to the Immigration (European Economic Area) Regulations 2006</w:t>
      </w:r>
      <w:r w:rsidR="00A40BD3">
        <w:rPr>
          <w:rFonts w:ascii="Book Antiqua" w:hAnsi="Book Antiqua"/>
        </w:rPr>
        <w:t xml:space="preserve"> (the 2006 Regulations)</w:t>
      </w:r>
      <w:r>
        <w:rPr>
          <w:rFonts w:ascii="Book Antiqua" w:hAnsi="Book Antiqua"/>
        </w:rPr>
        <w:t>.  The claimant is a national of Portugal where he was born on 24 October 1979.</w:t>
      </w:r>
    </w:p>
    <w:p w:rsidR="0070728A" w:rsidRPr="0070728A" w:rsidRDefault="0070728A" w:rsidP="00C42ADC">
      <w:pPr>
        <w:numPr>
          <w:ilvl w:val="0"/>
          <w:numId w:val="1"/>
        </w:numPr>
        <w:tabs>
          <w:tab w:val="clear" w:pos="567"/>
        </w:tabs>
        <w:spacing w:before="160"/>
        <w:jc w:val="both"/>
        <w:rPr>
          <w:rFonts w:ascii="Book Antiqua" w:hAnsi="Book Antiqua" w:cs="Arial"/>
        </w:rPr>
      </w:pPr>
      <w:r>
        <w:rPr>
          <w:rFonts w:ascii="Book Antiqua" w:hAnsi="Book Antiqua"/>
        </w:rPr>
        <w:t xml:space="preserve">The First-tier Tribunal (FtT) concluded that the claimant was entitled to permanent right of residence which was established between 2006 and 2011.  The decision to </w:t>
      </w:r>
      <w:r>
        <w:rPr>
          <w:rFonts w:ascii="Book Antiqua" w:hAnsi="Book Antiqua"/>
        </w:rPr>
        <w:lastRenderedPageBreak/>
        <w:t>deport the appellant arose out of some thirteen convictions over 21 offences together with a final conviction dated November 2015.  The FtT considered that the offences fell well below the guidance given in chapter 69 of the Secretary of State’s Operation Enforcement Manual and that there was no evidence to suggest that the claimant would commit the type of offences set out in the manual.  The evidence was that the claimant did not have the propensity to commit serious crimes in the future nor had he in the past.  The Tribunal concluded that the Secretary of State had failed to discharge the burden of proof to show that the appellant was a genuine, present and serious threat to society.</w:t>
      </w:r>
    </w:p>
    <w:p w:rsidR="0070728A" w:rsidRPr="0070728A" w:rsidRDefault="0070728A" w:rsidP="00C42ADC">
      <w:pPr>
        <w:numPr>
          <w:ilvl w:val="0"/>
          <w:numId w:val="1"/>
        </w:numPr>
        <w:tabs>
          <w:tab w:val="clear" w:pos="567"/>
        </w:tabs>
        <w:spacing w:before="160"/>
        <w:jc w:val="both"/>
        <w:rPr>
          <w:rFonts w:ascii="Book Antiqua" w:hAnsi="Book Antiqua" w:cs="Arial"/>
        </w:rPr>
      </w:pPr>
      <w:r>
        <w:rPr>
          <w:rFonts w:ascii="Book Antiqua" w:hAnsi="Book Antiqua"/>
        </w:rPr>
        <w:t>The grounds of challenge argue error by the FtT in failing to given proper consideration to the re</w:t>
      </w:r>
      <w:r w:rsidR="00A81F56">
        <w:rPr>
          <w:rFonts w:ascii="Book Antiqua" w:hAnsi="Book Antiqua"/>
        </w:rPr>
        <w:t xml:space="preserve">quirements of reg. </w:t>
      </w:r>
      <w:r>
        <w:rPr>
          <w:rFonts w:ascii="Book Antiqua" w:hAnsi="Book Antiqua"/>
        </w:rPr>
        <w:t xml:space="preserve">6 of the 2016 Regulations.  For the periods during which the claimant was a jobseeker, it was necessary to be actively seeking employment and to have a genuine chance of being engaged.  There did not appear to be any documentation to demonstrate this.  </w:t>
      </w:r>
      <w:r w:rsidR="00D862CA">
        <w:rPr>
          <w:rFonts w:ascii="Book Antiqua" w:hAnsi="Book Antiqua"/>
        </w:rPr>
        <w:t>There</w:t>
      </w:r>
      <w:r>
        <w:rPr>
          <w:rFonts w:ascii="Book Antiqua" w:hAnsi="Book Antiqua"/>
        </w:rPr>
        <w:t xml:space="preserve"> was a period between 2008 and 2010 when the claimant did not work at all and that simply claiming jobseeker’s allowance was not sufficient to demonstrate that he was a </w:t>
      </w:r>
      <w:r w:rsidR="00C914BD">
        <w:rPr>
          <w:rFonts w:ascii="Book Antiqua" w:hAnsi="Book Antiqua"/>
        </w:rPr>
        <w:t>qualified</w:t>
      </w:r>
      <w:r>
        <w:rPr>
          <w:rFonts w:ascii="Book Antiqua" w:hAnsi="Book Antiqua"/>
        </w:rPr>
        <w:t xml:space="preserve"> person. Thus</w:t>
      </w:r>
      <w:r w:rsidR="00D862CA">
        <w:rPr>
          <w:rFonts w:ascii="Book Antiqua" w:hAnsi="Book Antiqua"/>
        </w:rPr>
        <w:t>,</w:t>
      </w:r>
      <w:r>
        <w:rPr>
          <w:rFonts w:ascii="Book Antiqua" w:hAnsi="Book Antiqua"/>
        </w:rPr>
        <w:t xml:space="preserve"> the finding that the claimant had acquired a permanent right of residence was inadequately reasoned and accordingly the claimant could not benefit from the heightened protection available to him under the EEA Regulations.</w:t>
      </w:r>
    </w:p>
    <w:p w:rsidR="0070728A" w:rsidRDefault="003B34A3" w:rsidP="00C42ADC">
      <w:pPr>
        <w:numPr>
          <w:ilvl w:val="0"/>
          <w:numId w:val="1"/>
        </w:numPr>
        <w:tabs>
          <w:tab w:val="clear" w:pos="567"/>
        </w:tabs>
        <w:spacing w:before="160"/>
        <w:jc w:val="both"/>
        <w:rPr>
          <w:rFonts w:ascii="Book Antiqua" w:hAnsi="Book Antiqua" w:cs="Arial"/>
        </w:rPr>
      </w:pPr>
      <w:r>
        <w:rPr>
          <w:rFonts w:ascii="Book Antiqua" w:hAnsi="Book Antiqua" w:cs="Arial"/>
        </w:rPr>
        <w:t xml:space="preserve">Mr Govan clarified that in the event that no error of law was found in the FtT decision, the heightened protection available to the claimant as a permanent resident under the </w:t>
      </w:r>
      <w:r w:rsidR="0063159D">
        <w:rPr>
          <w:rFonts w:ascii="Book Antiqua" w:hAnsi="Book Antiqua" w:cs="Arial"/>
        </w:rPr>
        <w:t>2006</w:t>
      </w:r>
      <w:r>
        <w:rPr>
          <w:rFonts w:ascii="Book Antiqua" w:hAnsi="Book Antiqua" w:cs="Arial"/>
        </w:rPr>
        <w:t xml:space="preserve"> Regulations 20</w:t>
      </w:r>
      <w:r w:rsidR="00CD7863">
        <w:rPr>
          <w:rFonts w:ascii="Book Antiqua" w:hAnsi="Book Antiqua" w:cs="Arial"/>
        </w:rPr>
        <w:t xml:space="preserve">06 would </w:t>
      </w:r>
      <w:r w:rsidR="00BD7B59">
        <w:rPr>
          <w:rFonts w:ascii="Book Antiqua" w:hAnsi="Book Antiqua" w:cs="Arial"/>
        </w:rPr>
        <w:t xml:space="preserve">mean exclusion would </w:t>
      </w:r>
      <w:r w:rsidR="00CD7863">
        <w:rPr>
          <w:rFonts w:ascii="Book Antiqua" w:hAnsi="Book Antiqua" w:cs="Arial"/>
        </w:rPr>
        <w:t>not be justified.  He further confirmed that the Secretary of State was not making a rationality challenge but instead it was based on inadequate reasoning.</w:t>
      </w:r>
    </w:p>
    <w:p w:rsidR="00CD7863" w:rsidRDefault="00CD7863" w:rsidP="00C42ADC">
      <w:pPr>
        <w:numPr>
          <w:ilvl w:val="0"/>
          <w:numId w:val="1"/>
        </w:numPr>
        <w:tabs>
          <w:tab w:val="clear" w:pos="567"/>
        </w:tabs>
        <w:spacing w:before="160"/>
        <w:jc w:val="both"/>
        <w:rPr>
          <w:rFonts w:ascii="Book Antiqua" w:hAnsi="Book Antiqua" w:cs="Arial"/>
        </w:rPr>
      </w:pPr>
      <w:r>
        <w:rPr>
          <w:rFonts w:ascii="Book Antiqua" w:hAnsi="Book Antiqua" w:cs="Arial"/>
        </w:rPr>
        <w:t xml:space="preserve">The </w:t>
      </w:r>
      <w:r w:rsidR="00C914BD">
        <w:rPr>
          <w:rFonts w:ascii="Book Antiqua" w:hAnsi="Book Antiqua" w:cs="Arial"/>
        </w:rPr>
        <w:t>background</w:t>
      </w:r>
      <w:r>
        <w:rPr>
          <w:rFonts w:ascii="Book Antiqua" w:hAnsi="Book Antiqua" w:cs="Arial"/>
        </w:rPr>
        <w:t xml:space="preserve"> to this case is that the claimant has been in the United Kingdom since 1999 and has been here since then, but the range of </w:t>
      </w:r>
      <w:r w:rsidR="00C914BD">
        <w:rPr>
          <w:rFonts w:ascii="Book Antiqua" w:hAnsi="Book Antiqua" w:cs="Arial"/>
        </w:rPr>
        <w:t>activity</w:t>
      </w:r>
      <w:r>
        <w:rPr>
          <w:rFonts w:ascii="Book Antiqua" w:hAnsi="Book Antiqua" w:cs="Arial"/>
        </w:rPr>
        <w:t xml:space="preserve"> including employment, periods of ill-</w:t>
      </w:r>
      <w:r w:rsidR="00C914BD">
        <w:rPr>
          <w:rFonts w:ascii="Book Antiqua" w:hAnsi="Book Antiqua" w:cs="Arial"/>
        </w:rPr>
        <w:t>health</w:t>
      </w:r>
      <w:r>
        <w:rPr>
          <w:rFonts w:ascii="Book Antiqua" w:hAnsi="Book Antiqua" w:cs="Arial"/>
        </w:rPr>
        <w:t>, periods of study and a history of criminal offending</w:t>
      </w:r>
      <w:r w:rsidR="00D73F78">
        <w:rPr>
          <w:rFonts w:ascii="Book Antiqua" w:hAnsi="Book Antiqua" w:cs="Arial"/>
        </w:rPr>
        <w:t xml:space="preserve"> including </w:t>
      </w:r>
      <w:r>
        <w:rPr>
          <w:rFonts w:ascii="Book Antiqua" w:hAnsi="Book Antiqua" w:cs="Arial"/>
        </w:rPr>
        <w:t xml:space="preserve">such a history from Portugal.  He also has a history of relationships in the United Kingdom, the most recent being with </w:t>
      </w:r>
      <w:r w:rsidR="00C42ADC">
        <w:rPr>
          <w:rFonts w:ascii="Book Antiqua" w:hAnsi="Book Antiqua" w:cs="Arial"/>
        </w:rPr>
        <w:t>[AN]</w:t>
      </w:r>
      <w:r>
        <w:rPr>
          <w:rFonts w:ascii="Book Antiqua" w:hAnsi="Book Antiqua" w:cs="Arial"/>
        </w:rPr>
        <w:t xml:space="preserve">, however by the time the matter </w:t>
      </w:r>
      <w:r w:rsidR="00C914BD">
        <w:rPr>
          <w:rFonts w:ascii="Book Antiqua" w:hAnsi="Book Antiqua" w:cs="Arial"/>
        </w:rPr>
        <w:t>came</w:t>
      </w:r>
      <w:r>
        <w:rPr>
          <w:rFonts w:ascii="Book Antiqua" w:hAnsi="Book Antiqua" w:cs="Arial"/>
        </w:rPr>
        <w:t xml:space="preserve"> before the First-tier Tribunal Judge</w:t>
      </w:r>
      <w:r w:rsidR="00D73F78">
        <w:rPr>
          <w:rFonts w:ascii="Book Antiqua" w:hAnsi="Book Antiqua" w:cs="Arial"/>
        </w:rPr>
        <w:t>,</w:t>
      </w:r>
      <w:r>
        <w:rPr>
          <w:rFonts w:ascii="Book Antiqua" w:hAnsi="Book Antiqua" w:cs="Arial"/>
        </w:rPr>
        <w:t xml:space="preserve"> they were “just close friends”, although he was spending time looking after </w:t>
      </w:r>
      <w:r w:rsidR="00C42ADC">
        <w:rPr>
          <w:rFonts w:ascii="Book Antiqua" w:hAnsi="Book Antiqua" w:cs="Arial"/>
        </w:rPr>
        <w:t>[AN</w:t>
      </w:r>
      <w:r w:rsidR="00C42ADC">
        <w:rPr>
          <w:rFonts w:ascii="Book Antiqua" w:hAnsi="Book Antiqua" w:cs="Arial"/>
        </w:rPr>
        <w:t>]</w:t>
      </w:r>
      <w:r w:rsidR="00C914BD">
        <w:rPr>
          <w:rFonts w:ascii="Book Antiqua" w:hAnsi="Book Antiqua" w:cs="Arial"/>
        </w:rPr>
        <w:t>’s</w:t>
      </w:r>
      <w:r>
        <w:rPr>
          <w:rFonts w:ascii="Book Antiqua" w:hAnsi="Book Antiqua" w:cs="Arial"/>
        </w:rPr>
        <w:t xml:space="preserve"> children, of whom he is not the biological father.  He currently lives with that family.</w:t>
      </w:r>
    </w:p>
    <w:p w:rsidR="00CD7863" w:rsidRDefault="00CD7863" w:rsidP="00C42ADC">
      <w:pPr>
        <w:numPr>
          <w:ilvl w:val="0"/>
          <w:numId w:val="1"/>
        </w:numPr>
        <w:tabs>
          <w:tab w:val="clear" w:pos="567"/>
        </w:tabs>
        <w:spacing w:before="160"/>
        <w:jc w:val="both"/>
        <w:rPr>
          <w:rFonts w:ascii="Book Antiqua" w:hAnsi="Book Antiqua" w:cs="Arial"/>
        </w:rPr>
      </w:pPr>
      <w:r>
        <w:rPr>
          <w:rFonts w:ascii="Book Antiqua" w:hAnsi="Book Antiqua" w:cs="Arial"/>
        </w:rPr>
        <w:t>The judge noted two preliminary matters at [14] and [15] of his decision:</w:t>
      </w:r>
    </w:p>
    <w:p w:rsidR="00CD7863" w:rsidRPr="00CD7863" w:rsidRDefault="00CD7863" w:rsidP="00CD7863">
      <w:pPr>
        <w:spacing w:before="240"/>
        <w:ind w:left="1701" w:hanging="567"/>
        <w:jc w:val="both"/>
        <w:rPr>
          <w:rFonts w:ascii="Book Antiqua" w:hAnsi="Book Antiqua" w:cs="Arial"/>
          <w:sz w:val="22"/>
          <w:szCs w:val="22"/>
        </w:rPr>
      </w:pPr>
      <w:r>
        <w:rPr>
          <w:rFonts w:ascii="Book Antiqua" w:hAnsi="Book Antiqua" w:cs="Arial"/>
        </w:rPr>
        <w:t>“</w:t>
      </w:r>
      <w:r w:rsidRPr="00CD7863">
        <w:rPr>
          <w:rFonts w:ascii="Book Antiqua" w:hAnsi="Book Antiqua" w:cs="Arial"/>
          <w:sz w:val="22"/>
          <w:szCs w:val="22"/>
        </w:rPr>
        <w:t>14.</w:t>
      </w:r>
      <w:r w:rsidRPr="00CD7863">
        <w:rPr>
          <w:rFonts w:ascii="Book Antiqua" w:hAnsi="Book Antiqua" w:cs="Arial"/>
          <w:sz w:val="22"/>
          <w:szCs w:val="22"/>
        </w:rPr>
        <w:tab/>
      </w:r>
      <w:r>
        <w:rPr>
          <w:rFonts w:ascii="Book Antiqua" w:hAnsi="Book Antiqua" w:cs="Arial"/>
          <w:sz w:val="22"/>
          <w:szCs w:val="22"/>
        </w:rPr>
        <w:t xml:space="preserve">It was accepted by </w:t>
      </w:r>
      <w:r w:rsidR="00B96F77">
        <w:rPr>
          <w:rFonts w:ascii="Book Antiqua" w:hAnsi="Book Antiqua" w:cs="Arial"/>
          <w:sz w:val="22"/>
          <w:szCs w:val="22"/>
        </w:rPr>
        <w:t xml:space="preserve">Mr Winter, Counsel for the appellant, that the convictions against the appellant were </w:t>
      </w:r>
      <w:r w:rsidR="00C914BD">
        <w:rPr>
          <w:rFonts w:ascii="Book Antiqua" w:hAnsi="Book Antiqua" w:cs="Arial"/>
          <w:sz w:val="22"/>
          <w:szCs w:val="22"/>
        </w:rPr>
        <w:t>accurately</w:t>
      </w:r>
      <w:r w:rsidR="00B96F77">
        <w:rPr>
          <w:rFonts w:ascii="Book Antiqua" w:hAnsi="Book Antiqua" w:cs="Arial"/>
          <w:sz w:val="22"/>
          <w:szCs w:val="22"/>
        </w:rPr>
        <w:t xml:space="preserve"> recorded in the refusal letter – it is not necessary to record them here.  Mr McCallum lodged a printout of convictions which disclosed 13 convictions over 21 offences but that did not include the final conviction dated November 2015.</w:t>
      </w:r>
    </w:p>
    <w:p w:rsidR="00CD7863" w:rsidRDefault="00CD7863" w:rsidP="00CD7863">
      <w:pPr>
        <w:spacing w:before="240"/>
        <w:ind w:left="1701" w:hanging="567"/>
        <w:jc w:val="both"/>
        <w:rPr>
          <w:rFonts w:ascii="Book Antiqua" w:hAnsi="Book Antiqua" w:cs="Arial"/>
        </w:rPr>
      </w:pPr>
      <w:r w:rsidRPr="00CD7863">
        <w:rPr>
          <w:rFonts w:ascii="Book Antiqua" w:hAnsi="Book Antiqua" w:cs="Arial"/>
          <w:sz w:val="22"/>
          <w:szCs w:val="22"/>
        </w:rPr>
        <w:t>15.</w:t>
      </w:r>
      <w:r w:rsidRPr="00CD7863">
        <w:rPr>
          <w:rFonts w:ascii="Book Antiqua" w:hAnsi="Book Antiqua" w:cs="Arial"/>
          <w:sz w:val="22"/>
          <w:szCs w:val="22"/>
        </w:rPr>
        <w:tab/>
      </w:r>
      <w:r w:rsidR="00B96F77">
        <w:rPr>
          <w:rFonts w:ascii="Book Antiqua" w:hAnsi="Book Antiqua" w:cs="Arial"/>
          <w:sz w:val="22"/>
          <w:szCs w:val="22"/>
        </w:rPr>
        <w:t>To conform to directions issued by Upper Tribunal Judge Macleman, Mr Winter had produced a chronology in respect of employment and unemployment taken from Annex P of the appellant’s first bundle.  For the Home Office it was accepted that the details given there were accurate but it was also said that the information given was so incomplete it had little value</w:t>
      </w:r>
      <w:r w:rsidRPr="00CD7863">
        <w:rPr>
          <w:rFonts w:ascii="Book Antiqua" w:hAnsi="Book Antiqua" w:cs="Arial"/>
          <w:sz w:val="22"/>
          <w:szCs w:val="22"/>
        </w:rPr>
        <w:t>.</w:t>
      </w:r>
      <w:r>
        <w:rPr>
          <w:rFonts w:ascii="Book Antiqua" w:hAnsi="Book Antiqua" w:cs="Arial"/>
        </w:rPr>
        <w:t>”</w:t>
      </w:r>
    </w:p>
    <w:p w:rsidR="00CD7863" w:rsidRDefault="00B96F77" w:rsidP="00C42ADC">
      <w:pPr>
        <w:numPr>
          <w:ilvl w:val="0"/>
          <w:numId w:val="1"/>
        </w:numPr>
        <w:tabs>
          <w:tab w:val="clear" w:pos="567"/>
        </w:tabs>
        <w:spacing w:before="160"/>
        <w:jc w:val="both"/>
        <w:rPr>
          <w:rFonts w:ascii="Book Antiqua" w:hAnsi="Book Antiqua" w:cs="Arial"/>
        </w:rPr>
      </w:pPr>
      <w:r>
        <w:rPr>
          <w:rFonts w:ascii="Book Antiqua" w:hAnsi="Book Antiqua" w:cs="Arial"/>
        </w:rPr>
        <w:lastRenderedPageBreak/>
        <w:t>The oral evidence noted by the judge at [16] and [17] is as follows:</w:t>
      </w:r>
    </w:p>
    <w:p w:rsidR="00B96F77" w:rsidRPr="00C42ADC" w:rsidRDefault="00B96F77" w:rsidP="00C42ADC">
      <w:pPr>
        <w:spacing w:before="120"/>
        <w:ind w:left="1701" w:right="567" w:hanging="567"/>
        <w:jc w:val="both"/>
        <w:rPr>
          <w:rFonts w:ascii="Book Antiqua" w:hAnsi="Book Antiqua" w:cs="Arial"/>
          <w:sz w:val="22"/>
          <w:szCs w:val="22"/>
        </w:rPr>
      </w:pPr>
      <w:r w:rsidRPr="00C42ADC">
        <w:rPr>
          <w:rFonts w:ascii="Book Antiqua" w:hAnsi="Book Antiqua" w:cs="Arial"/>
          <w:sz w:val="22"/>
          <w:szCs w:val="22"/>
        </w:rPr>
        <w:t>“16.</w:t>
      </w:r>
      <w:r w:rsidRPr="00C42ADC">
        <w:rPr>
          <w:rFonts w:ascii="Book Antiqua" w:hAnsi="Book Antiqua" w:cs="Arial"/>
          <w:sz w:val="22"/>
          <w:szCs w:val="22"/>
        </w:rPr>
        <w:tab/>
        <w:t>The appellant gave evidence as noted in my Record of Proceedings.  He adopted his witness statements as par</w:t>
      </w:r>
      <w:r w:rsidR="00D05777" w:rsidRPr="00C42ADC">
        <w:rPr>
          <w:rFonts w:ascii="Book Antiqua" w:hAnsi="Book Antiqua" w:cs="Arial"/>
          <w:sz w:val="22"/>
          <w:szCs w:val="22"/>
        </w:rPr>
        <w:t xml:space="preserve">t </w:t>
      </w:r>
      <w:r w:rsidRPr="00C42ADC">
        <w:rPr>
          <w:rFonts w:ascii="Book Antiqua" w:hAnsi="Book Antiqua" w:cs="Arial"/>
          <w:sz w:val="22"/>
          <w:szCs w:val="22"/>
        </w:rPr>
        <w:t xml:space="preserve">of his evidence.  In cross-examination he gave details of his employment from his arrival here on 16 December 1999.  He was paid in cash for four years and in 2004/2005 went to Aberdeen College to study nursing.  He did an English language course first.  After that he worked in numerous bars.  He gave details of when he met his wife and </w:t>
      </w:r>
      <w:r w:rsidR="00C42ADC" w:rsidRPr="00C42ADC">
        <w:rPr>
          <w:rFonts w:ascii="Book Antiqua" w:hAnsi="Book Antiqua" w:cs="Arial"/>
          <w:sz w:val="22"/>
          <w:szCs w:val="22"/>
        </w:rPr>
        <w:t>[AN]</w:t>
      </w:r>
      <w:r w:rsidRPr="00C42ADC">
        <w:rPr>
          <w:rFonts w:ascii="Book Antiqua" w:hAnsi="Book Antiqua" w:cs="Arial"/>
          <w:sz w:val="22"/>
          <w:szCs w:val="22"/>
        </w:rPr>
        <w:t xml:space="preserve">.  He explained that he came out of immigration detention in January 2017.  As to how </w:t>
      </w:r>
      <w:r w:rsidR="00C42ADC" w:rsidRPr="00C42ADC">
        <w:rPr>
          <w:rFonts w:ascii="Book Antiqua" w:hAnsi="Book Antiqua" w:cs="Arial"/>
          <w:sz w:val="22"/>
          <w:szCs w:val="22"/>
        </w:rPr>
        <w:t>[AN]</w:t>
      </w:r>
      <w:r w:rsidRPr="00C42ADC">
        <w:rPr>
          <w:rFonts w:ascii="Book Antiqua" w:hAnsi="Book Antiqua" w:cs="Arial"/>
          <w:sz w:val="22"/>
          <w:szCs w:val="22"/>
        </w:rPr>
        <w:t xml:space="preserve"> had coped without him he said it was very hard for her.  He was very glad that he had come back.  She had no help from her family.  He had no one (sic) in Portugal; his siblings had moved to Spain and </w:t>
      </w:r>
      <w:r w:rsidR="009C69EB" w:rsidRPr="00C42ADC">
        <w:rPr>
          <w:rFonts w:ascii="Book Antiqua" w:hAnsi="Book Antiqua" w:cs="Arial"/>
          <w:sz w:val="22"/>
          <w:szCs w:val="22"/>
        </w:rPr>
        <w:t>Sierra Leone</w:t>
      </w:r>
      <w:r w:rsidRPr="00C42ADC">
        <w:rPr>
          <w:rFonts w:ascii="Book Antiqua" w:hAnsi="Book Antiqua" w:cs="Arial"/>
          <w:sz w:val="22"/>
          <w:szCs w:val="22"/>
        </w:rPr>
        <w:t xml:space="preserve"> and his mother was in </w:t>
      </w:r>
      <w:r w:rsidR="009C69EB" w:rsidRPr="00C42ADC">
        <w:rPr>
          <w:rFonts w:ascii="Book Antiqua" w:hAnsi="Book Antiqua" w:cs="Arial"/>
          <w:sz w:val="22"/>
          <w:szCs w:val="22"/>
        </w:rPr>
        <w:t>Angola</w:t>
      </w:r>
      <w:r w:rsidRPr="00C42ADC">
        <w:rPr>
          <w:rFonts w:ascii="Book Antiqua" w:hAnsi="Book Antiqua" w:cs="Arial"/>
          <w:sz w:val="22"/>
          <w:szCs w:val="22"/>
        </w:rPr>
        <w:t>.</w:t>
      </w:r>
      <w:r w:rsidR="009C69EB" w:rsidRPr="00C42ADC">
        <w:rPr>
          <w:rFonts w:ascii="Book Antiqua" w:hAnsi="Book Antiqua" w:cs="Arial"/>
          <w:sz w:val="22"/>
          <w:szCs w:val="22"/>
        </w:rPr>
        <w:t xml:space="preserve">  He had visited her there.  While he was away he had kept in touch with </w:t>
      </w:r>
      <w:r w:rsidR="00C42ADC" w:rsidRPr="00C42ADC">
        <w:rPr>
          <w:rFonts w:ascii="Book Antiqua" w:hAnsi="Book Antiqua" w:cs="Arial"/>
          <w:sz w:val="22"/>
          <w:szCs w:val="22"/>
        </w:rPr>
        <w:t>[AN]</w:t>
      </w:r>
      <w:r w:rsidR="009C69EB" w:rsidRPr="00C42ADC">
        <w:rPr>
          <w:rFonts w:ascii="Book Antiqua" w:hAnsi="Book Antiqua" w:cs="Arial"/>
          <w:sz w:val="22"/>
          <w:szCs w:val="22"/>
        </w:rPr>
        <w:t xml:space="preserve"> and the children through FaceTime.  If he was in the house he </w:t>
      </w:r>
      <w:r w:rsidR="00D05777" w:rsidRPr="00C42ADC">
        <w:rPr>
          <w:rFonts w:ascii="Book Antiqua" w:hAnsi="Book Antiqua" w:cs="Arial"/>
          <w:sz w:val="22"/>
          <w:szCs w:val="22"/>
        </w:rPr>
        <w:t>could</w:t>
      </w:r>
      <w:r w:rsidR="009C69EB" w:rsidRPr="00C42ADC">
        <w:rPr>
          <w:rFonts w:ascii="Book Antiqua" w:hAnsi="Book Antiqua" w:cs="Arial"/>
          <w:sz w:val="22"/>
          <w:szCs w:val="22"/>
        </w:rPr>
        <w:t xml:space="preserve"> get the children to do things.  </w:t>
      </w:r>
      <w:r w:rsidR="00C42ADC" w:rsidRPr="00C42ADC">
        <w:rPr>
          <w:rFonts w:ascii="Book Antiqua" w:hAnsi="Book Antiqua" w:cs="Arial"/>
          <w:sz w:val="22"/>
          <w:szCs w:val="22"/>
        </w:rPr>
        <w:t>[AN]</w:t>
      </w:r>
      <w:r w:rsidR="009C69EB" w:rsidRPr="00C42ADC">
        <w:rPr>
          <w:rFonts w:ascii="Book Antiqua" w:hAnsi="Book Antiqua" w:cs="Arial"/>
          <w:sz w:val="22"/>
          <w:szCs w:val="22"/>
        </w:rPr>
        <w:t xml:space="preserve"> needed help.  There was no re-examination of the witness.</w:t>
      </w:r>
    </w:p>
    <w:p w:rsidR="00B96F77" w:rsidRPr="00C42ADC" w:rsidRDefault="00B96F77" w:rsidP="00C42ADC">
      <w:pPr>
        <w:spacing w:before="120"/>
        <w:ind w:left="1701" w:right="567" w:hanging="567"/>
        <w:jc w:val="both"/>
        <w:rPr>
          <w:rFonts w:ascii="Book Antiqua" w:hAnsi="Book Antiqua" w:cs="Arial"/>
          <w:sz w:val="22"/>
          <w:szCs w:val="22"/>
        </w:rPr>
      </w:pPr>
      <w:r w:rsidRPr="00C42ADC">
        <w:rPr>
          <w:rFonts w:ascii="Book Antiqua" w:hAnsi="Book Antiqua" w:cs="Arial"/>
          <w:sz w:val="22"/>
          <w:szCs w:val="22"/>
        </w:rPr>
        <w:t>17.</w:t>
      </w:r>
      <w:r w:rsidRPr="00C42ADC">
        <w:rPr>
          <w:rFonts w:ascii="Book Antiqua" w:hAnsi="Book Antiqua" w:cs="Arial"/>
          <w:sz w:val="22"/>
          <w:szCs w:val="22"/>
        </w:rPr>
        <w:tab/>
        <w:t xml:space="preserve">The remaining witness was </w:t>
      </w:r>
      <w:r w:rsidR="00C42ADC" w:rsidRPr="00C42ADC">
        <w:rPr>
          <w:rFonts w:ascii="Book Antiqua" w:hAnsi="Book Antiqua" w:cs="Arial"/>
          <w:sz w:val="22"/>
          <w:szCs w:val="22"/>
        </w:rPr>
        <w:t>[AN]</w:t>
      </w:r>
      <w:r w:rsidR="00C42ADC" w:rsidRPr="00C42ADC">
        <w:rPr>
          <w:rFonts w:ascii="Book Antiqua" w:hAnsi="Book Antiqua" w:cs="Arial"/>
          <w:sz w:val="22"/>
          <w:szCs w:val="22"/>
        </w:rPr>
        <w:t xml:space="preserve"> </w:t>
      </w:r>
      <w:r w:rsidRPr="00C42ADC">
        <w:rPr>
          <w:rFonts w:ascii="Book Antiqua" w:hAnsi="Book Antiqua" w:cs="Arial"/>
          <w:sz w:val="22"/>
          <w:szCs w:val="22"/>
        </w:rPr>
        <w:t>who adopted her three statements as part of her evidence.  The children viewed him as their father.  In cross examination she said that they were a strong unit together.  She received no help from her family.  She had cut all ties with them.  She had tried to get support but it was very difficult.  She had been to the social work people.  She had help at school but outside the school she had to do everything herself.  In re-examination she said that she had been self-</w:t>
      </w:r>
      <w:r w:rsidR="00D05777" w:rsidRPr="00C42ADC">
        <w:rPr>
          <w:rFonts w:ascii="Book Antiqua" w:hAnsi="Book Antiqua" w:cs="Arial"/>
          <w:sz w:val="22"/>
          <w:szCs w:val="22"/>
        </w:rPr>
        <w:t>negligent</w:t>
      </w:r>
      <w:r w:rsidRPr="00C42ADC">
        <w:rPr>
          <w:rFonts w:ascii="Book Antiqua" w:hAnsi="Book Antiqua" w:cs="Arial"/>
          <w:sz w:val="22"/>
          <w:szCs w:val="22"/>
        </w:rPr>
        <w:t xml:space="preserve"> in not doing (sic) back to see her GP for her difficulties.  She had so much else going on.”</w:t>
      </w:r>
    </w:p>
    <w:p w:rsidR="00B96F77" w:rsidRDefault="009C69EB" w:rsidP="00C42ADC">
      <w:pPr>
        <w:numPr>
          <w:ilvl w:val="0"/>
          <w:numId w:val="1"/>
        </w:numPr>
        <w:tabs>
          <w:tab w:val="clear" w:pos="567"/>
        </w:tabs>
        <w:spacing w:before="160"/>
        <w:jc w:val="both"/>
        <w:rPr>
          <w:rFonts w:ascii="Book Antiqua" w:hAnsi="Book Antiqua" w:cs="Arial"/>
        </w:rPr>
      </w:pPr>
      <w:r>
        <w:rPr>
          <w:rFonts w:ascii="Book Antiqua" w:hAnsi="Book Antiqua" w:cs="Arial"/>
        </w:rPr>
        <w:t>By way of submissions, the judge records the Presenting Officer’s points that the chronology was not good or clear enough to give the claimant the benefit of five years’ permanent residence in the light of incomplete periods of employment.  As a student</w:t>
      </w:r>
      <w:r w:rsidR="007A58BF">
        <w:rPr>
          <w:rFonts w:ascii="Book Antiqua" w:hAnsi="Book Antiqua" w:cs="Arial"/>
        </w:rPr>
        <w:t>,</w:t>
      </w:r>
      <w:r>
        <w:rPr>
          <w:rFonts w:ascii="Book Antiqua" w:hAnsi="Book Antiqua" w:cs="Arial"/>
        </w:rPr>
        <w:t xml:space="preserve"> he was required to have and did not have comprehensive sickness </w:t>
      </w:r>
      <w:r w:rsidR="00D05777">
        <w:rPr>
          <w:rFonts w:ascii="Book Antiqua" w:hAnsi="Book Antiqua" w:cs="Arial"/>
        </w:rPr>
        <w:t>insurance</w:t>
      </w:r>
      <w:r>
        <w:rPr>
          <w:rFonts w:ascii="Book Antiqua" w:hAnsi="Book Antiqua" w:cs="Arial"/>
        </w:rPr>
        <w:t xml:space="preserve">.  The case should be looked at at the lowest level of protection in the light of the claimant being a persistent offender.  He was no more than a close friend of </w:t>
      </w:r>
      <w:r w:rsidR="00C42ADC">
        <w:rPr>
          <w:rFonts w:ascii="Book Antiqua" w:hAnsi="Book Antiqua" w:cs="Arial"/>
        </w:rPr>
        <w:t>[AN]</w:t>
      </w:r>
      <w:r w:rsidR="00C42ADC">
        <w:rPr>
          <w:rFonts w:ascii="Book Antiqua" w:hAnsi="Book Antiqua" w:cs="Arial"/>
        </w:rPr>
        <w:t xml:space="preserve"> </w:t>
      </w:r>
      <w:r>
        <w:rPr>
          <w:rFonts w:ascii="Book Antiqua" w:hAnsi="Book Antiqua" w:cs="Arial"/>
        </w:rPr>
        <w:t xml:space="preserve">who helped her out with the children.  </w:t>
      </w:r>
    </w:p>
    <w:p w:rsidR="009C69EB" w:rsidRDefault="009C69EB" w:rsidP="00C42ADC">
      <w:pPr>
        <w:numPr>
          <w:ilvl w:val="0"/>
          <w:numId w:val="1"/>
        </w:numPr>
        <w:tabs>
          <w:tab w:val="clear" w:pos="567"/>
        </w:tabs>
        <w:spacing w:before="160"/>
        <w:jc w:val="both"/>
        <w:rPr>
          <w:rFonts w:ascii="Book Antiqua" w:hAnsi="Book Antiqua" w:cs="Arial"/>
        </w:rPr>
      </w:pPr>
      <w:r>
        <w:rPr>
          <w:rFonts w:ascii="Book Antiqua" w:hAnsi="Book Antiqua" w:cs="Arial"/>
        </w:rPr>
        <w:t xml:space="preserve">By way of response, </w:t>
      </w:r>
      <w:r w:rsidR="00A04B0B">
        <w:rPr>
          <w:rFonts w:ascii="Book Antiqua" w:hAnsi="Book Antiqua" w:cs="Arial"/>
        </w:rPr>
        <w:t>c</w:t>
      </w:r>
      <w:r>
        <w:rPr>
          <w:rFonts w:ascii="Book Antiqua" w:hAnsi="Book Antiqua" w:cs="Arial"/>
        </w:rPr>
        <w:t xml:space="preserve">ounsel for the claimant argued the case on a </w:t>
      </w:r>
      <w:proofErr w:type="gramStart"/>
      <w:r>
        <w:rPr>
          <w:rFonts w:ascii="Book Antiqua" w:hAnsi="Book Antiqua" w:cs="Arial"/>
        </w:rPr>
        <w:t>ten year</w:t>
      </w:r>
      <w:proofErr w:type="gramEnd"/>
      <w:r>
        <w:rPr>
          <w:rFonts w:ascii="Book Antiqua" w:hAnsi="Book Antiqua" w:cs="Arial"/>
        </w:rPr>
        <w:t xml:space="preserve"> residence base and said in the </w:t>
      </w:r>
      <w:r w:rsidR="00D05777">
        <w:rPr>
          <w:rFonts w:ascii="Book Antiqua" w:hAnsi="Book Antiqua" w:cs="Arial"/>
        </w:rPr>
        <w:t>alternative</w:t>
      </w:r>
      <w:r>
        <w:rPr>
          <w:rFonts w:ascii="Book Antiqua" w:hAnsi="Book Antiqua" w:cs="Arial"/>
        </w:rPr>
        <w:t xml:space="preserve"> that the evidence established the claimant had acquired five years of lawful residence and thus permanent residency.  Specifically</w:t>
      </w:r>
      <w:r w:rsidR="00A04B0B">
        <w:rPr>
          <w:rFonts w:ascii="Book Antiqua" w:hAnsi="Book Antiqua" w:cs="Arial"/>
        </w:rPr>
        <w:t>,</w:t>
      </w:r>
      <w:r>
        <w:rPr>
          <w:rFonts w:ascii="Book Antiqua" w:hAnsi="Book Antiqua" w:cs="Arial"/>
        </w:rPr>
        <w:t xml:space="preserve"> Mr Winter is recorded as arguing at [26]:</w:t>
      </w:r>
    </w:p>
    <w:p w:rsidR="009C69EB" w:rsidRPr="00C42ADC" w:rsidRDefault="009C69EB" w:rsidP="00C42ADC">
      <w:pPr>
        <w:spacing w:before="120"/>
        <w:ind w:left="1134" w:right="567"/>
        <w:jc w:val="both"/>
        <w:rPr>
          <w:rFonts w:ascii="Book Antiqua" w:hAnsi="Book Antiqua" w:cs="Arial"/>
          <w:sz w:val="22"/>
          <w:szCs w:val="22"/>
        </w:rPr>
      </w:pPr>
      <w:r w:rsidRPr="00C42ADC">
        <w:rPr>
          <w:rFonts w:ascii="Book Antiqua" w:hAnsi="Book Antiqua" w:cs="Arial"/>
          <w:sz w:val="22"/>
          <w:szCs w:val="22"/>
        </w:rPr>
        <w:t xml:space="preserve">“In his oral submissions Mr Winter said that the appellant might not succeed in the </w:t>
      </w:r>
      <w:proofErr w:type="gramStart"/>
      <w:r w:rsidRPr="00C42ADC">
        <w:rPr>
          <w:rFonts w:ascii="Book Antiqua" w:hAnsi="Book Antiqua" w:cs="Arial"/>
          <w:sz w:val="22"/>
          <w:szCs w:val="22"/>
        </w:rPr>
        <w:t>five year</w:t>
      </w:r>
      <w:proofErr w:type="gramEnd"/>
      <w:r w:rsidRPr="00C42ADC">
        <w:rPr>
          <w:rFonts w:ascii="Book Antiqua" w:hAnsi="Book Antiqua" w:cs="Arial"/>
          <w:sz w:val="22"/>
          <w:szCs w:val="22"/>
        </w:rPr>
        <w:t xml:space="preserve"> lawful residence from the period of 1999 to 2004 because he had not shown he had comprehensive sickness cover.  However, he should qualify in the period from 2006 to 2011 as the first period of imprisonment was not </w:t>
      </w:r>
      <w:r w:rsidR="00D05777" w:rsidRPr="00C42ADC">
        <w:rPr>
          <w:rFonts w:ascii="Book Antiqua" w:hAnsi="Book Antiqua" w:cs="Arial"/>
          <w:sz w:val="22"/>
          <w:szCs w:val="22"/>
        </w:rPr>
        <w:t>until</w:t>
      </w:r>
      <w:r w:rsidRPr="00C42ADC">
        <w:rPr>
          <w:rFonts w:ascii="Book Antiqua" w:hAnsi="Book Antiqua" w:cs="Arial"/>
          <w:sz w:val="22"/>
          <w:szCs w:val="22"/>
        </w:rPr>
        <w:t xml:space="preserve"> April 2011.  In terms of ‘serious’ grounds the Secretary of State had not discharged the burden on her to show that serious grounds existed.”</w:t>
      </w:r>
    </w:p>
    <w:p w:rsidR="009C69EB" w:rsidRDefault="003556DF" w:rsidP="00C42ADC">
      <w:pPr>
        <w:numPr>
          <w:ilvl w:val="0"/>
          <w:numId w:val="1"/>
        </w:numPr>
        <w:tabs>
          <w:tab w:val="clear" w:pos="567"/>
        </w:tabs>
        <w:spacing w:before="160"/>
        <w:jc w:val="both"/>
        <w:rPr>
          <w:rFonts w:ascii="Book Antiqua" w:hAnsi="Book Antiqua" w:cs="Arial"/>
        </w:rPr>
      </w:pPr>
      <w:r>
        <w:rPr>
          <w:rFonts w:ascii="Book Antiqua" w:hAnsi="Book Antiqua" w:cs="Arial"/>
        </w:rPr>
        <w:t xml:space="preserve">The judge’s </w:t>
      </w:r>
      <w:r w:rsidR="009C69EB">
        <w:rPr>
          <w:rFonts w:ascii="Book Antiqua" w:hAnsi="Book Antiqua" w:cs="Arial"/>
        </w:rPr>
        <w:t>conclusions on the issue of residence are set out between [28] and [30]:</w:t>
      </w:r>
    </w:p>
    <w:p w:rsidR="009C69EB" w:rsidRPr="00C42ADC" w:rsidRDefault="004D19A5" w:rsidP="00C42ADC">
      <w:pPr>
        <w:spacing w:before="120"/>
        <w:ind w:left="1701" w:right="567" w:hanging="567"/>
        <w:jc w:val="both"/>
        <w:rPr>
          <w:rFonts w:ascii="Book Antiqua" w:hAnsi="Book Antiqua" w:cs="Arial"/>
          <w:sz w:val="22"/>
          <w:szCs w:val="22"/>
        </w:rPr>
      </w:pPr>
      <w:r w:rsidRPr="00C42ADC">
        <w:rPr>
          <w:rFonts w:ascii="Book Antiqua" w:hAnsi="Book Antiqua" w:cs="Arial"/>
          <w:sz w:val="22"/>
          <w:szCs w:val="22"/>
        </w:rPr>
        <w:t>“28.</w:t>
      </w:r>
      <w:r w:rsidRPr="00C42ADC">
        <w:rPr>
          <w:rFonts w:ascii="Book Antiqua" w:hAnsi="Book Antiqua" w:cs="Arial"/>
          <w:sz w:val="22"/>
          <w:szCs w:val="22"/>
        </w:rPr>
        <w:tab/>
      </w:r>
      <w:r w:rsidR="001131E5" w:rsidRPr="00C42ADC">
        <w:rPr>
          <w:rFonts w:ascii="Book Antiqua" w:hAnsi="Book Antiqua" w:cs="Arial"/>
          <w:sz w:val="22"/>
          <w:szCs w:val="22"/>
        </w:rPr>
        <w:t xml:space="preserve">It is important to establish which level of protection the appellant enjoys under the 2006 Regulations as amended.  In terms of paragraph 21(4)(a) on whether the appellant has resided here for a continuous period of at least 10 </w:t>
      </w:r>
      <w:r w:rsidR="001131E5" w:rsidRPr="00C42ADC">
        <w:rPr>
          <w:rFonts w:ascii="Book Antiqua" w:hAnsi="Book Antiqua" w:cs="Arial"/>
          <w:sz w:val="22"/>
          <w:szCs w:val="22"/>
        </w:rPr>
        <w:lastRenderedPageBreak/>
        <w:t xml:space="preserve">years </w:t>
      </w:r>
      <w:r w:rsidR="00D05777" w:rsidRPr="00C42ADC">
        <w:rPr>
          <w:rFonts w:ascii="Book Antiqua" w:hAnsi="Book Antiqua" w:cs="Arial"/>
          <w:sz w:val="22"/>
          <w:szCs w:val="22"/>
        </w:rPr>
        <w:t>the matter</w:t>
      </w:r>
      <w:r w:rsidR="001131E5" w:rsidRPr="00C42ADC">
        <w:rPr>
          <w:rFonts w:ascii="Book Antiqua" w:hAnsi="Book Antiqua" w:cs="Arial"/>
          <w:sz w:val="22"/>
          <w:szCs w:val="22"/>
        </w:rPr>
        <w:t xml:space="preserve"> is not straightforward – to clarify exactly what that means the Supreme Court has referred the issue to the European Court of Justice and a ruling is awaited.  I have concluded that I do not need to </w:t>
      </w:r>
      <w:r w:rsidR="00D05777" w:rsidRPr="00C42ADC">
        <w:rPr>
          <w:rFonts w:ascii="Book Antiqua" w:hAnsi="Book Antiqua" w:cs="Arial"/>
          <w:sz w:val="22"/>
          <w:szCs w:val="22"/>
        </w:rPr>
        <w:t>answer</w:t>
      </w:r>
      <w:r w:rsidR="001131E5" w:rsidRPr="00C42ADC">
        <w:rPr>
          <w:rFonts w:ascii="Book Antiqua" w:hAnsi="Book Antiqua" w:cs="Arial"/>
          <w:sz w:val="22"/>
          <w:szCs w:val="22"/>
        </w:rPr>
        <w:t xml:space="preserve"> that question.</w:t>
      </w:r>
    </w:p>
    <w:p w:rsidR="004D19A5" w:rsidRPr="00C42ADC" w:rsidRDefault="004D19A5" w:rsidP="00C42ADC">
      <w:pPr>
        <w:spacing w:before="120"/>
        <w:ind w:left="1701" w:right="567" w:hanging="567"/>
        <w:jc w:val="both"/>
        <w:rPr>
          <w:rFonts w:ascii="Book Antiqua" w:hAnsi="Book Antiqua" w:cs="Arial"/>
          <w:sz w:val="22"/>
          <w:szCs w:val="22"/>
        </w:rPr>
      </w:pPr>
      <w:r w:rsidRPr="00C42ADC">
        <w:rPr>
          <w:rFonts w:ascii="Book Antiqua" w:hAnsi="Book Antiqua" w:cs="Arial"/>
          <w:sz w:val="22"/>
          <w:szCs w:val="22"/>
        </w:rPr>
        <w:t>29.</w:t>
      </w:r>
      <w:r w:rsidRPr="00C42ADC">
        <w:rPr>
          <w:rFonts w:ascii="Book Antiqua" w:hAnsi="Book Antiqua" w:cs="Arial"/>
          <w:sz w:val="22"/>
          <w:szCs w:val="22"/>
        </w:rPr>
        <w:tab/>
      </w:r>
      <w:r w:rsidR="001131E5" w:rsidRPr="00C42ADC">
        <w:rPr>
          <w:rFonts w:ascii="Book Antiqua" w:hAnsi="Book Antiqua" w:cs="Arial"/>
          <w:sz w:val="22"/>
          <w:szCs w:val="22"/>
        </w:rPr>
        <w:t>The appellant is entitled to permanent right of residence if he has been here in accordance with the Regulations</w:t>
      </w:r>
      <w:r w:rsidR="00D05777" w:rsidRPr="00C42ADC">
        <w:rPr>
          <w:rFonts w:ascii="Book Antiqua" w:hAnsi="Book Antiqua" w:cs="Arial"/>
          <w:sz w:val="22"/>
          <w:szCs w:val="22"/>
        </w:rPr>
        <w:t xml:space="preserve"> for a continuous</w:t>
      </w:r>
      <w:r w:rsidR="001131E5" w:rsidRPr="00C42ADC">
        <w:rPr>
          <w:rFonts w:ascii="Book Antiqua" w:hAnsi="Book Antiqua" w:cs="Arial"/>
          <w:sz w:val="22"/>
          <w:szCs w:val="22"/>
        </w:rPr>
        <w:t xml:space="preserve"> period of five years.  As acknowledged by Mr Winter the first period from which he might claim, namely late 1999 to 2004, probably fails because in 2004 he became a student before expiry of the </w:t>
      </w:r>
      <w:proofErr w:type="gramStart"/>
      <w:r w:rsidR="001131E5" w:rsidRPr="00C42ADC">
        <w:rPr>
          <w:rFonts w:ascii="Book Antiqua" w:hAnsi="Book Antiqua" w:cs="Arial"/>
          <w:sz w:val="22"/>
          <w:szCs w:val="22"/>
        </w:rPr>
        <w:t>five year</w:t>
      </w:r>
      <w:proofErr w:type="gramEnd"/>
      <w:r w:rsidR="001131E5" w:rsidRPr="00C42ADC">
        <w:rPr>
          <w:rFonts w:ascii="Book Antiqua" w:hAnsi="Book Antiqua" w:cs="Arial"/>
          <w:sz w:val="22"/>
          <w:szCs w:val="22"/>
        </w:rPr>
        <w:t xml:space="preserve"> period and he d</w:t>
      </w:r>
      <w:r w:rsidR="00D05777" w:rsidRPr="00C42ADC">
        <w:rPr>
          <w:rFonts w:ascii="Book Antiqua" w:hAnsi="Book Antiqua" w:cs="Arial"/>
          <w:sz w:val="22"/>
          <w:szCs w:val="22"/>
        </w:rPr>
        <w:t xml:space="preserve">id </w:t>
      </w:r>
      <w:r w:rsidR="001131E5" w:rsidRPr="00C42ADC">
        <w:rPr>
          <w:rFonts w:ascii="Book Antiqua" w:hAnsi="Book Antiqua" w:cs="Arial"/>
          <w:sz w:val="22"/>
          <w:szCs w:val="22"/>
        </w:rPr>
        <w:t>not have comprehensive sickness cover.  He therefore cannot say that he has been residing here in accordance with the Regulations for a continuous period of five years in that period of time.</w:t>
      </w:r>
    </w:p>
    <w:p w:rsidR="004D19A5" w:rsidRPr="00C42ADC" w:rsidRDefault="004D19A5" w:rsidP="00C42ADC">
      <w:pPr>
        <w:spacing w:before="120"/>
        <w:ind w:left="1701" w:right="567" w:hanging="567"/>
        <w:jc w:val="both"/>
        <w:rPr>
          <w:rFonts w:ascii="Book Antiqua" w:hAnsi="Book Antiqua" w:cs="Arial"/>
          <w:sz w:val="22"/>
          <w:szCs w:val="22"/>
        </w:rPr>
      </w:pPr>
      <w:r w:rsidRPr="00C42ADC">
        <w:rPr>
          <w:rFonts w:ascii="Book Antiqua" w:hAnsi="Book Antiqua" w:cs="Arial"/>
          <w:sz w:val="22"/>
          <w:szCs w:val="22"/>
        </w:rPr>
        <w:t>30.</w:t>
      </w:r>
      <w:r w:rsidRPr="00C42ADC">
        <w:rPr>
          <w:rFonts w:ascii="Book Antiqua" w:hAnsi="Book Antiqua" w:cs="Arial"/>
          <w:sz w:val="22"/>
          <w:szCs w:val="22"/>
        </w:rPr>
        <w:tab/>
      </w:r>
      <w:r w:rsidR="001131E5" w:rsidRPr="00C42ADC">
        <w:rPr>
          <w:rFonts w:ascii="Book Antiqua" w:hAnsi="Book Antiqua" w:cs="Arial"/>
          <w:sz w:val="22"/>
          <w:szCs w:val="22"/>
        </w:rPr>
        <w:t xml:space="preserve">However, he does say he has established permanent residence in the period from 2006 to 2011 and, on balance, I conclude that he has established that through the chronology produced and agreed by the Home Office and also his oral evidence that he was working and receiving Jobseekers Allowance throughout the stated period.  While the evidence referred to in the chronology is not as precise as it might be I consider that this is understandable due to the passage of time.  I conclude that it is a reasonable inference to draw that, on a balance of probabilities, the appellant has established that he has been here in accordance with the rules.  The whole </w:t>
      </w:r>
      <w:r w:rsidR="00D05777" w:rsidRPr="00C42ADC">
        <w:rPr>
          <w:rFonts w:ascii="Book Antiqua" w:hAnsi="Book Antiqua" w:cs="Arial"/>
          <w:sz w:val="22"/>
          <w:szCs w:val="22"/>
        </w:rPr>
        <w:t>thrust</w:t>
      </w:r>
      <w:r w:rsidR="001131E5" w:rsidRPr="00C42ADC">
        <w:rPr>
          <w:rFonts w:ascii="Book Antiqua" w:hAnsi="Book Antiqua" w:cs="Arial"/>
          <w:sz w:val="22"/>
          <w:szCs w:val="22"/>
        </w:rPr>
        <w:t xml:space="preserve"> of the evidence offered by the appellant is that he came to the United Kingdom to work, has had numerous jobs since then and when he does not find another job quickly or </w:t>
      </w:r>
      <w:r w:rsidR="00D05777" w:rsidRPr="00C42ADC">
        <w:rPr>
          <w:rFonts w:ascii="Book Antiqua" w:hAnsi="Book Antiqua" w:cs="Arial"/>
          <w:sz w:val="22"/>
          <w:szCs w:val="22"/>
        </w:rPr>
        <w:t>immediately</w:t>
      </w:r>
      <w:r w:rsidR="001131E5" w:rsidRPr="00C42ADC">
        <w:rPr>
          <w:rFonts w:ascii="Book Antiqua" w:hAnsi="Book Antiqua" w:cs="Arial"/>
          <w:sz w:val="22"/>
          <w:szCs w:val="22"/>
        </w:rPr>
        <w:t xml:space="preserve"> then he is in </w:t>
      </w:r>
      <w:r w:rsidR="00D05777" w:rsidRPr="00C42ADC">
        <w:rPr>
          <w:rFonts w:ascii="Book Antiqua" w:hAnsi="Book Antiqua" w:cs="Arial"/>
          <w:sz w:val="22"/>
          <w:szCs w:val="22"/>
        </w:rPr>
        <w:t>receipt</w:t>
      </w:r>
      <w:r w:rsidR="001131E5" w:rsidRPr="00C42ADC">
        <w:rPr>
          <w:rFonts w:ascii="Book Antiqua" w:hAnsi="Book Antiqua" w:cs="Arial"/>
          <w:sz w:val="22"/>
          <w:szCs w:val="22"/>
        </w:rPr>
        <w:t xml:space="preserve"> of Jobseekers Allowance</w:t>
      </w:r>
      <w:r w:rsidRPr="00C42ADC">
        <w:rPr>
          <w:rFonts w:ascii="Book Antiqua" w:hAnsi="Book Antiqua" w:cs="Arial"/>
          <w:sz w:val="22"/>
          <w:szCs w:val="22"/>
        </w:rPr>
        <w:t>.”</w:t>
      </w:r>
    </w:p>
    <w:p w:rsidR="009C69EB" w:rsidRDefault="00617CD2" w:rsidP="00C42ADC">
      <w:pPr>
        <w:numPr>
          <w:ilvl w:val="0"/>
          <w:numId w:val="1"/>
        </w:numPr>
        <w:tabs>
          <w:tab w:val="clear" w:pos="567"/>
        </w:tabs>
        <w:spacing w:before="160"/>
        <w:jc w:val="both"/>
        <w:rPr>
          <w:rFonts w:ascii="Book Antiqua" w:hAnsi="Book Antiqua" w:cs="Arial"/>
        </w:rPr>
      </w:pPr>
      <w:r>
        <w:rPr>
          <w:rFonts w:ascii="Book Antiqua" w:hAnsi="Book Antiqua" w:cs="Arial"/>
        </w:rPr>
        <w:t>There is a wealth of documentary evidence in this case and</w:t>
      </w:r>
      <w:r w:rsidR="008C0A23">
        <w:rPr>
          <w:rFonts w:ascii="Book Antiqua" w:hAnsi="Book Antiqua" w:cs="Arial"/>
        </w:rPr>
        <w:t>,</w:t>
      </w:r>
      <w:r>
        <w:rPr>
          <w:rFonts w:ascii="Book Antiqua" w:hAnsi="Book Antiqua" w:cs="Arial"/>
        </w:rPr>
        <w:t xml:space="preserve"> as indicated by the judge, he also heard oral evidence from the claimant.</w:t>
      </w:r>
    </w:p>
    <w:p w:rsidR="00617CD2" w:rsidRDefault="00617CD2" w:rsidP="00C42ADC">
      <w:pPr>
        <w:numPr>
          <w:ilvl w:val="0"/>
          <w:numId w:val="1"/>
        </w:numPr>
        <w:tabs>
          <w:tab w:val="clear" w:pos="567"/>
        </w:tabs>
        <w:spacing w:before="160"/>
        <w:jc w:val="both"/>
        <w:rPr>
          <w:rFonts w:ascii="Book Antiqua" w:hAnsi="Book Antiqua" w:cs="Arial"/>
        </w:rPr>
      </w:pPr>
      <w:r>
        <w:rPr>
          <w:rFonts w:ascii="Book Antiqua" w:hAnsi="Book Antiqua" w:cs="Arial"/>
        </w:rPr>
        <w:t>In his submissions</w:t>
      </w:r>
      <w:r w:rsidR="008C0A23">
        <w:rPr>
          <w:rFonts w:ascii="Book Antiqua" w:hAnsi="Book Antiqua" w:cs="Arial"/>
        </w:rPr>
        <w:t>,</w:t>
      </w:r>
      <w:r>
        <w:rPr>
          <w:rFonts w:ascii="Book Antiqua" w:hAnsi="Book Antiqua" w:cs="Arial"/>
        </w:rPr>
        <w:t xml:space="preserve"> Mr Govan invited focus insofar as the five years referred to by the judge for the establishment of a right of permanent residence on the period between 6 November 2008 and 12 May 2010 by reference to the </w:t>
      </w:r>
      <w:r w:rsidR="008C0A23">
        <w:rPr>
          <w:rFonts w:ascii="Book Antiqua" w:hAnsi="Book Antiqua" w:cs="Arial"/>
        </w:rPr>
        <w:t xml:space="preserve">agreed </w:t>
      </w:r>
      <w:r>
        <w:rPr>
          <w:rFonts w:ascii="Book Antiqua" w:hAnsi="Book Antiqua" w:cs="Arial"/>
        </w:rPr>
        <w:t>chronology</w:t>
      </w:r>
      <w:r w:rsidR="00366F71">
        <w:rPr>
          <w:rFonts w:ascii="Book Antiqua" w:hAnsi="Book Antiqua" w:cs="Arial"/>
        </w:rPr>
        <w:t xml:space="preserve"> </w:t>
      </w:r>
      <w:r>
        <w:rPr>
          <w:rFonts w:ascii="Book Antiqua" w:hAnsi="Book Antiqua" w:cs="Arial"/>
        </w:rPr>
        <w:t xml:space="preserve">before the </w:t>
      </w:r>
      <w:proofErr w:type="spellStart"/>
      <w:r>
        <w:rPr>
          <w:rFonts w:ascii="Book Antiqua" w:hAnsi="Book Antiqua" w:cs="Arial"/>
        </w:rPr>
        <w:t>FtT</w:t>
      </w:r>
      <w:proofErr w:type="spellEnd"/>
      <w:r>
        <w:rPr>
          <w:rFonts w:ascii="Book Antiqua" w:hAnsi="Book Antiqua" w:cs="Arial"/>
        </w:rPr>
        <w:t xml:space="preserve">.  He acknowledged the evidence established </w:t>
      </w:r>
      <w:r w:rsidR="00D05777">
        <w:rPr>
          <w:rFonts w:ascii="Book Antiqua" w:hAnsi="Book Antiqua" w:cs="Arial"/>
        </w:rPr>
        <w:t>there</w:t>
      </w:r>
      <w:r>
        <w:rPr>
          <w:rFonts w:ascii="Book Antiqua" w:hAnsi="Book Antiqua" w:cs="Arial"/>
        </w:rPr>
        <w:t xml:space="preserve"> had been a history of sporadic employment </w:t>
      </w:r>
      <w:r w:rsidR="00366F71">
        <w:rPr>
          <w:rFonts w:ascii="Book Antiqua" w:hAnsi="Book Antiqua" w:cs="Arial"/>
        </w:rPr>
        <w:t>but</w:t>
      </w:r>
      <w:r>
        <w:rPr>
          <w:rFonts w:ascii="Book Antiqua" w:hAnsi="Book Antiqua" w:cs="Arial"/>
        </w:rPr>
        <w:t xml:space="preserve"> argued it was questionable whether the judge had undertaken a proper analysis of the evidence.  He referred to the chronology indicating that </w:t>
      </w:r>
      <w:r w:rsidR="00C233D7">
        <w:rPr>
          <w:rFonts w:ascii="Book Antiqua" w:hAnsi="Book Antiqua" w:cs="Arial"/>
        </w:rPr>
        <w:t xml:space="preserve">there had been a period of over a year during which the claimant received </w:t>
      </w:r>
      <w:r w:rsidR="00D05777">
        <w:rPr>
          <w:rFonts w:ascii="Book Antiqua" w:hAnsi="Book Antiqua" w:cs="Arial"/>
        </w:rPr>
        <w:t>Jobseekers</w:t>
      </w:r>
      <w:r w:rsidR="00C233D7">
        <w:rPr>
          <w:rFonts w:ascii="Book Antiqua" w:hAnsi="Book Antiqua" w:cs="Arial"/>
        </w:rPr>
        <w:t xml:space="preserve"> Allowance and no evidence that he was </w:t>
      </w:r>
      <w:r w:rsidR="00D05777">
        <w:rPr>
          <w:rFonts w:ascii="Book Antiqua" w:hAnsi="Book Antiqua" w:cs="Arial"/>
        </w:rPr>
        <w:t>seeking</w:t>
      </w:r>
      <w:r w:rsidR="00C233D7">
        <w:rPr>
          <w:rFonts w:ascii="Book Antiqua" w:hAnsi="Book Antiqua" w:cs="Arial"/>
        </w:rPr>
        <w:t xml:space="preserve"> </w:t>
      </w:r>
      <w:r w:rsidR="00D05777">
        <w:rPr>
          <w:rFonts w:ascii="Book Antiqua" w:hAnsi="Book Antiqua" w:cs="Arial"/>
        </w:rPr>
        <w:t>work</w:t>
      </w:r>
      <w:r w:rsidR="00C233D7">
        <w:rPr>
          <w:rFonts w:ascii="Book Antiqua" w:hAnsi="Book Antiqua" w:cs="Arial"/>
        </w:rPr>
        <w:t xml:space="preserve">.  </w:t>
      </w:r>
    </w:p>
    <w:p w:rsidR="00C233D7" w:rsidRDefault="00C233D7" w:rsidP="00C42ADC">
      <w:pPr>
        <w:numPr>
          <w:ilvl w:val="0"/>
          <w:numId w:val="1"/>
        </w:numPr>
        <w:tabs>
          <w:tab w:val="clear" w:pos="567"/>
        </w:tabs>
        <w:spacing w:before="160"/>
        <w:jc w:val="both"/>
        <w:rPr>
          <w:rFonts w:ascii="Book Antiqua" w:hAnsi="Book Antiqua" w:cs="Arial"/>
        </w:rPr>
      </w:pPr>
      <w:r>
        <w:rPr>
          <w:rFonts w:ascii="Book Antiqua" w:hAnsi="Book Antiqua" w:cs="Arial"/>
        </w:rPr>
        <w:t xml:space="preserve">In the course of his clarification of </w:t>
      </w:r>
      <w:r w:rsidR="0045674C">
        <w:rPr>
          <w:rFonts w:ascii="Book Antiqua" w:hAnsi="Book Antiqua" w:cs="Arial"/>
        </w:rPr>
        <w:t xml:space="preserve">the </w:t>
      </w:r>
      <w:r>
        <w:rPr>
          <w:rFonts w:ascii="Book Antiqua" w:hAnsi="Book Antiqua" w:cs="Arial"/>
        </w:rPr>
        <w:t xml:space="preserve">evidence for that period, Mr Winter </w:t>
      </w:r>
      <w:r w:rsidR="00D05777">
        <w:rPr>
          <w:rFonts w:ascii="Book Antiqua" w:hAnsi="Book Antiqua" w:cs="Arial"/>
        </w:rPr>
        <w:t>explained</w:t>
      </w:r>
      <w:r>
        <w:rPr>
          <w:rFonts w:ascii="Book Antiqua" w:hAnsi="Book Antiqua" w:cs="Arial"/>
        </w:rPr>
        <w:t xml:space="preserve"> that there had been no cross-examination of the claimant on the issue of his employment and other </w:t>
      </w:r>
      <w:r w:rsidR="00D05777">
        <w:rPr>
          <w:rFonts w:ascii="Book Antiqua" w:hAnsi="Book Antiqua" w:cs="Arial"/>
        </w:rPr>
        <w:t>activity</w:t>
      </w:r>
      <w:r>
        <w:rPr>
          <w:rFonts w:ascii="Book Antiqua" w:hAnsi="Book Antiqua" w:cs="Arial"/>
        </w:rPr>
        <w:t xml:space="preserve"> between 2008 and 2010.  </w:t>
      </w:r>
      <w:r w:rsidR="0045674C">
        <w:rPr>
          <w:rFonts w:ascii="Book Antiqua" w:hAnsi="Book Antiqua" w:cs="Arial"/>
        </w:rPr>
        <w:t>His</w:t>
      </w:r>
      <w:r>
        <w:rPr>
          <w:rFonts w:ascii="Book Antiqua" w:hAnsi="Book Antiqua" w:cs="Arial"/>
        </w:rPr>
        <w:t xml:space="preserve"> note indicated that cross-examination had begun with questions </w:t>
      </w:r>
      <w:r w:rsidR="00D05777">
        <w:rPr>
          <w:rFonts w:ascii="Book Antiqua" w:hAnsi="Book Antiqua" w:cs="Arial"/>
        </w:rPr>
        <w:t>relating</w:t>
      </w:r>
      <w:r>
        <w:rPr>
          <w:rFonts w:ascii="Book Antiqua" w:hAnsi="Book Antiqua" w:cs="Arial"/>
        </w:rPr>
        <w:t xml:space="preserve"> to the claimant’s arrival in the United Kingdom, his </w:t>
      </w:r>
      <w:r w:rsidR="00D05777">
        <w:rPr>
          <w:rFonts w:ascii="Book Antiqua" w:hAnsi="Book Antiqua" w:cs="Arial"/>
        </w:rPr>
        <w:t>obtaining</w:t>
      </w:r>
      <w:r>
        <w:rPr>
          <w:rFonts w:ascii="Book Antiqua" w:hAnsi="Book Antiqua" w:cs="Arial"/>
        </w:rPr>
        <w:t xml:space="preserve"> </w:t>
      </w:r>
      <w:r w:rsidR="00D05777">
        <w:rPr>
          <w:rFonts w:ascii="Book Antiqua" w:hAnsi="Book Antiqua" w:cs="Arial"/>
        </w:rPr>
        <w:t xml:space="preserve">a </w:t>
      </w:r>
      <w:r>
        <w:rPr>
          <w:rFonts w:ascii="Book Antiqua" w:hAnsi="Book Antiqua" w:cs="Arial"/>
        </w:rPr>
        <w:t xml:space="preserve">national </w:t>
      </w:r>
      <w:r w:rsidR="00D05777">
        <w:rPr>
          <w:rFonts w:ascii="Book Antiqua" w:hAnsi="Book Antiqua" w:cs="Arial"/>
        </w:rPr>
        <w:t>insurance</w:t>
      </w:r>
      <w:r>
        <w:rPr>
          <w:rFonts w:ascii="Book Antiqua" w:hAnsi="Book Antiqua" w:cs="Arial"/>
        </w:rPr>
        <w:t xml:space="preserve"> number, the periods of study and the payment of tax during his employment as well as his relationship.  Questioning then switched to 2011.  </w:t>
      </w:r>
      <w:r w:rsidR="004B6387">
        <w:rPr>
          <w:rFonts w:ascii="Book Antiqua" w:hAnsi="Book Antiqua" w:cs="Arial"/>
        </w:rPr>
        <w:t>Mr Winter</w:t>
      </w:r>
      <w:r>
        <w:rPr>
          <w:rFonts w:ascii="Book Antiqua" w:hAnsi="Book Antiqua" w:cs="Arial"/>
        </w:rPr>
        <w:t xml:space="preserve"> relied on a </w:t>
      </w:r>
      <w:r w:rsidR="0045674C">
        <w:rPr>
          <w:rFonts w:ascii="Book Antiqua" w:hAnsi="Book Antiqua" w:cs="Arial"/>
        </w:rPr>
        <w:t>r</w:t>
      </w:r>
      <w:r>
        <w:rPr>
          <w:rFonts w:ascii="Book Antiqua" w:hAnsi="Book Antiqua" w:cs="Arial"/>
        </w:rPr>
        <w:t xml:space="preserve">ule 24 </w:t>
      </w:r>
      <w:r w:rsidR="00D05777">
        <w:rPr>
          <w:rFonts w:ascii="Book Antiqua" w:hAnsi="Book Antiqua" w:cs="Arial"/>
        </w:rPr>
        <w:t>response</w:t>
      </w:r>
      <w:r>
        <w:rPr>
          <w:rFonts w:ascii="Book Antiqua" w:hAnsi="Book Antiqua" w:cs="Arial"/>
        </w:rPr>
        <w:t xml:space="preserve"> and argued that the decision of the FtT needed to be read as a whole and invited me to note </w:t>
      </w:r>
      <w:r w:rsidR="00E77A81">
        <w:rPr>
          <w:rFonts w:ascii="Book Antiqua" w:hAnsi="Book Antiqua" w:cs="Arial"/>
        </w:rPr>
        <w:t xml:space="preserve">that the judge had acknowledged the evidence was not as precise as it could </w:t>
      </w:r>
      <w:r w:rsidR="0079067A">
        <w:rPr>
          <w:rFonts w:ascii="Book Antiqua" w:hAnsi="Book Antiqua" w:cs="Arial"/>
        </w:rPr>
        <w:t xml:space="preserve">have </w:t>
      </w:r>
      <w:r w:rsidR="00E77A81">
        <w:rPr>
          <w:rFonts w:ascii="Book Antiqua" w:hAnsi="Book Antiqua" w:cs="Arial"/>
        </w:rPr>
        <w:t>be</w:t>
      </w:r>
      <w:r w:rsidR="0079067A">
        <w:rPr>
          <w:rFonts w:ascii="Book Antiqua" w:hAnsi="Book Antiqua" w:cs="Arial"/>
        </w:rPr>
        <w:t>en</w:t>
      </w:r>
      <w:r w:rsidR="00E77A81">
        <w:rPr>
          <w:rFonts w:ascii="Book Antiqua" w:hAnsi="Book Antiqua" w:cs="Arial"/>
        </w:rPr>
        <w:t xml:space="preserve"> but </w:t>
      </w:r>
      <w:r w:rsidR="001A1CDA">
        <w:rPr>
          <w:rFonts w:ascii="Book Antiqua" w:hAnsi="Book Antiqua" w:cs="Arial"/>
        </w:rPr>
        <w:t>he</w:t>
      </w:r>
      <w:r w:rsidR="00E77A81">
        <w:rPr>
          <w:rFonts w:ascii="Book Antiqua" w:hAnsi="Book Antiqua" w:cs="Arial"/>
        </w:rPr>
        <w:t xml:space="preserve"> had </w:t>
      </w:r>
      <w:r w:rsidR="00D05777">
        <w:rPr>
          <w:rFonts w:ascii="Book Antiqua" w:hAnsi="Book Antiqua" w:cs="Arial"/>
        </w:rPr>
        <w:t>given</w:t>
      </w:r>
      <w:r w:rsidR="00E77A81">
        <w:rPr>
          <w:rFonts w:ascii="Book Antiqua" w:hAnsi="Book Antiqua" w:cs="Arial"/>
        </w:rPr>
        <w:t xml:space="preserve"> </w:t>
      </w:r>
      <w:r w:rsidR="00E77A81">
        <w:rPr>
          <w:rFonts w:ascii="Book Antiqua" w:hAnsi="Book Antiqua" w:cs="Arial"/>
        </w:rPr>
        <w:lastRenderedPageBreak/>
        <w:t xml:space="preserve">adequate reasons.  Even during long periods of </w:t>
      </w:r>
      <w:r w:rsidR="00D05777">
        <w:rPr>
          <w:rFonts w:ascii="Book Antiqua" w:hAnsi="Book Antiqua" w:cs="Arial"/>
        </w:rPr>
        <w:t>unemployment</w:t>
      </w:r>
      <w:r w:rsidR="001A1CDA">
        <w:rPr>
          <w:rFonts w:ascii="Book Antiqua" w:hAnsi="Book Antiqua" w:cs="Arial"/>
        </w:rPr>
        <w:t>,</w:t>
      </w:r>
      <w:r w:rsidR="00E77A81">
        <w:rPr>
          <w:rFonts w:ascii="Book Antiqua" w:hAnsi="Book Antiqua" w:cs="Arial"/>
        </w:rPr>
        <w:t xml:space="preserve"> it was possible for the claimant to have retained qualified status.  </w:t>
      </w:r>
    </w:p>
    <w:p w:rsidR="00A81F56" w:rsidRDefault="00A81F56" w:rsidP="00C42ADC">
      <w:pPr>
        <w:numPr>
          <w:ilvl w:val="0"/>
          <w:numId w:val="1"/>
        </w:numPr>
        <w:tabs>
          <w:tab w:val="clear" w:pos="567"/>
        </w:tabs>
        <w:spacing w:before="160"/>
        <w:jc w:val="both"/>
        <w:rPr>
          <w:rFonts w:ascii="Book Antiqua" w:hAnsi="Book Antiqua" w:cs="Arial"/>
        </w:rPr>
      </w:pPr>
      <w:r>
        <w:rPr>
          <w:rFonts w:ascii="Book Antiqua" w:hAnsi="Book Antiqua" w:cs="Arial"/>
        </w:rPr>
        <w:t xml:space="preserve">As will be seen from the above extracts from the judge’s decision, he clearly had the Regulations in mind when </w:t>
      </w:r>
      <w:r w:rsidR="00D05777">
        <w:rPr>
          <w:rFonts w:ascii="Book Antiqua" w:hAnsi="Book Antiqua" w:cs="Arial"/>
        </w:rPr>
        <w:t>determining</w:t>
      </w:r>
      <w:r>
        <w:rPr>
          <w:rFonts w:ascii="Book Antiqua" w:hAnsi="Book Antiqua" w:cs="Arial"/>
        </w:rPr>
        <w:t xml:space="preserve"> whether the claimant had established a right of permanent residence.  The </w:t>
      </w:r>
      <w:r w:rsidR="00D05777">
        <w:rPr>
          <w:rFonts w:ascii="Book Antiqua" w:hAnsi="Book Antiqua" w:cs="Arial"/>
        </w:rPr>
        <w:t>version</w:t>
      </w:r>
      <w:r>
        <w:rPr>
          <w:rFonts w:ascii="Book Antiqua" w:hAnsi="Book Antiqua" w:cs="Arial"/>
        </w:rPr>
        <w:t xml:space="preserve"> of the Regulations in force in respect of the period at issue between 2008 and 2011 provides at reg. 6(2)</w:t>
      </w:r>
      <w:r w:rsidR="001A0D9F">
        <w:rPr>
          <w:rFonts w:ascii="Book Antiqua" w:hAnsi="Book Antiqua" w:cs="Arial"/>
        </w:rPr>
        <w:t>:</w:t>
      </w:r>
    </w:p>
    <w:p w:rsidR="001A0D9F" w:rsidRPr="00C42ADC" w:rsidRDefault="001A0D9F" w:rsidP="00C42ADC">
      <w:pPr>
        <w:spacing w:before="120"/>
        <w:ind w:left="1701" w:hanging="567"/>
        <w:jc w:val="both"/>
        <w:rPr>
          <w:rFonts w:ascii="Book Antiqua" w:hAnsi="Book Antiqua" w:cs="Arial"/>
        </w:rPr>
      </w:pPr>
      <w:r w:rsidRPr="00C42ADC">
        <w:rPr>
          <w:rFonts w:ascii="Book Antiqua" w:hAnsi="Book Antiqua" w:cs="Arial"/>
        </w:rPr>
        <w:t>“6.</w:t>
      </w:r>
      <w:r w:rsidRPr="00C42ADC">
        <w:rPr>
          <w:rFonts w:ascii="Book Antiqua" w:hAnsi="Book Antiqua" w:cs="Arial"/>
        </w:rPr>
        <w:tab/>
        <w:t>…</w:t>
      </w:r>
    </w:p>
    <w:p w:rsidR="001A0D9F" w:rsidRPr="00C42ADC" w:rsidRDefault="001A0D9F" w:rsidP="00C42ADC">
      <w:pPr>
        <w:spacing w:before="120"/>
        <w:ind w:left="2268" w:hanging="567"/>
        <w:jc w:val="both"/>
        <w:rPr>
          <w:rFonts w:ascii="Book Antiqua" w:hAnsi="Book Antiqua" w:cs="Arial"/>
        </w:rPr>
      </w:pPr>
      <w:r w:rsidRPr="00C42ADC">
        <w:rPr>
          <w:rFonts w:ascii="Book Antiqua" w:hAnsi="Book Antiqua" w:cs="Arial"/>
        </w:rPr>
        <w:t>(2)</w:t>
      </w:r>
      <w:r w:rsidRPr="00C42ADC">
        <w:rPr>
          <w:rFonts w:ascii="Book Antiqua" w:hAnsi="Book Antiqua" w:cs="Arial"/>
        </w:rPr>
        <w:tab/>
        <w:t xml:space="preserve">a person who is no longer working shall not cease to be treated as a worker for the purpose of paragraph (1)(b) if – </w:t>
      </w:r>
    </w:p>
    <w:p w:rsidR="001A0D9F" w:rsidRPr="00C42ADC" w:rsidRDefault="001A0D9F" w:rsidP="00C42ADC">
      <w:pPr>
        <w:spacing w:before="120"/>
        <w:ind w:left="2835" w:hanging="567"/>
        <w:jc w:val="both"/>
        <w:rPr>
          <w:rFonts w:ascii="Book Antiqua" w:hAnsi="Book Antiqua" w:cs="Arial"/>
        </w:rPr>
      </w:pPr>
      <w:r w:rsidRPr="00C42ADC">
        <w:rPr>
          <w:rFonts w:ascii="Book Antiqua" w:hAnsi="Book Antiqua" w:cs="Arial"/>
        </w:rPr>
        <w:t>(a)</w:t>
      </w:r>
      <w:r w:rsidRPr="00C42ADC">
        <w:rPr>
          <w:rFonts w:ascii="Book Antiqua" w:hAnsi="Book Antiqua" w:cs="Arial"/>
        </w:rPr>
        <w:tab/>
        <w:t xml:space="preserve">he is temporarily unable to work as the </w:t>
      </w:r>
      <w:r w:rsidR="00D05777" w:rsidRPr="00C42ADC">
        <w:rPr>
          <w:rFonts w:ascii="Book Antiqua" w:hAnsi="Book Antiqua" w:cs="Arial"/>
        </w:rPr>
        <w:t>result</w:t>
      </w:r>
      <w:r w:rsidRPr="00C42ADC">
        <w:rPr>
          <w:rFonts w:ascii="Book Antiqua" w:hAnsi="Book Antiqua" w:cs="Arial"/>
        </w:rPr>
        <w:t xml:space="preserve"> of an illness or accident; </w:t>
      </w:r>
    </w:p>
    <w:p w:rsidR="001A0D9F" w:rsidRPr="00C42ADC" w:rsidRDefault="001A0D9F" w:rsidP="00C42ADC">
      <w:pPr>
        <w:spacing w:before="120"/>
        <w:ind w:left="2835" w:hanging="567"/>
        <w:jc w:val="both"/>
        <w:rPr>
          <w:rFonts w:ascii="Book Antiqua" w:hAnsi="Book Antiqua" w:cs="Arial"/>
        </w:rPr>
      </w:pPr>
      <w:r w:rsidRPr="00C42ADC">
        <w:rPr>
          <w:rFonts w:ascii="Book Antiqua" w:hAnsi="Book Antiqua" w:cs="Arial"/>
        </w:rPr>
        <w:t>(b)</w:t>
      </w:r>
      <w:r w:rsidRPr="00C42ADC">
        <w:rPr>
          <w:rFonts w:ascii="Book Antiqua" w:hAnsi="Book Antiqua" w:cs="Arial"/>
        </w:rPr>
        <w:tab/>
        <w:t xml:space="preserve">he is in duly recorded involuntary </w:t>
      </w:r>
      <w:r w:rsidR="00D05777" w:rsidRPr="00C42ADC">
        <w:rPr>
          <w:rFonts w:ascii="Book Antiqua" w:hAnsi="Book Antiqua" w:cs="Arial"/>
        </w:rPr>
        <w:t>unemployment</w:t>
      </w:r>
      <w:r w:rsidRPr="00C42ADC">
        <w:rPr>
          <w:rFonts w:ascii="Book Antiqua" w:hAnsi="Book Antiqua" w:cs="Arial"/>
        </w:rPr>
        <w:t xml:space="preserve"> after having been employed in the United Kingdom, provided that he has registered as a jobseeker with the relevant employment office and –</w:t>
      </w:r>
    </w:p>
    <w:p w:rsidR="001A0D9F" w:rsidRPr="00C42ADC" w:rsidRDefault="001A0D9F" w:rsidP="00C42ADC">
      <w:pPr>
        <w:spacing w:before="120"/>
        <w:ind w:left="3402" w:hanging="567"/>
        <w:jc w:val="both"/>
        <w:rPr>
          <w:rFonts w:ascii="Book Antiqua" w:hAnsi="Book Antiqua" w:cs="Arial"/>
        </w:rPr>
      </w:pPr>
      <w:r w:rsidRPr="00C42ADC">
        <w:rPr>
          <w:rFonts w:ascii="Book Antiqua" w:hAnsi="Book Antiqua" w:cs="Arial"/>
        </w:rPr>
        <w:t>(i)</w:t>
      </w:r>
      <w:r w:rsidRPr="00C42ADC">
        <w:rPr>
          <w:rFonts w:ascii="Book Antiqua" w:hAnsi="Book Antiqua" w:cs="Arial"/>
        </w:rPr>
        <w:tab/>
        <w:t>he was employed for one year or more before becoming unemployed;</w:t>
      </w:r>
    </w:p>
    <w:p w:rsidR="001A0D9F" w:rsidRPr="00C42ADC" w:rsidRDefault="001A0D9F" w:rsidP="00C42ADC">
      <w:pPr>
        <w:spacing w:before="120"/>
        <w:ind w:left="3402" w:hanging="567"/>
        <w:jc w:val="both"/>
        <w:rPr>
          <w:rFonts w:ascii="Book Antiqua" w:hAnsi="Book Antiqua" w:cs="Arial"/>
        </w:rPr>
      </w:pPr>
      <w:r w:rsidRPr="00C42ADC">
        <w:rPr>
          <w:rFonts w:ascii="Book Antiqua" w:hAnsi="Book Antiqua" w:cs="Arial"/>
        </w:rPr>
        <w:t>(ii)</w:t>
      </w:r>
      <w:r w:rsidRPr="00C42ADC">
        <w:rPr>
          <w:rFonts w:ascii="Book Antiqua" w:hAnsi="Book Antiqua" w:cs="Arial"/>
        </w:rPr>
        <w:tab/>
        <w:t xml:space="preserve">he has been unemployed for no more than six months; or </w:t>
      </w:r>
    </w:p>
    <w:p w:rsidR="001A0D9F" w:rsidRPr="00C42ADC" w:rsidRDefault="001A0D9F" w:rsidP="00C42ADC">
      <w:pPr>
        <w:spacing w:before="120"/>
        <w:ind w:left="3402" w:hanging="567"/>
        <w:jc w:val="both"/>
        <w:rPr>
          <w:rFonts w:ascii="Book Antiqua" w:hAnsi="Book Antiqua" w:cs="Arial"/>
        </w:rPr>
      </w:pPr>
      <w:r w:rsidRPr="00C42ADC">
        <w:rPr>
          <w:rFonts w:ascii="Book Antiqua" w:hAnsi="Book Antiqua" w:cs="Arial"/>
        </w:rPr>
        <w:t>(iii)</w:t>
      </w:r>
      <w:r w:rsidRPr="00C42ADC">
        <w:rPr>
          <w:rFonts w:ascii="Book Antiqua" w:hAnsi="Book Antiqua" w:cs="Arial"/>
        </w:rPr>
        <w:tab/>
        <w:t xml:space="preserve">he can provide evidence that </w:t>
      </w:r>
      <w:r w:rsidR="00D05777" w:rsidRPr="00C42ADC">
        <w:rPr>
          <w:rFonts w:ascii="Book Antiqua" w:hAnsi="Book Antiqua" w:cs="Arial"/>
        </w:rPr>
        <w:t>he</w:t>
      </w:r>
      <w:r w:rsidRPr="00C42ADC">
        <w:rPr>
          <w:rFonts w:ascii="Book Antiqua" w:hAnsi="Book Antiqua" w:cs="Arial"/>
        </w:rPr>
        <w:t xml:space="preserve"> is seeking employment in the United Kingdom and has a genuine chance of being engaged ...”.</w:t>
      </w:r>
    </w:p>
    <w:p w:rsidR="001A0D9F" w:rsidRPr="00275238" w:rsidRDefault="001A0D9F" w:rsidP="00C42ADC">
      <w:pPr>
        <w:numPr>
          <w:ilvl w:val="0"/>
          <w:numId w:val="1"/>
        </w:numPr>
        <w:tabs>
          <w:tab w:val="clear" w:pos="567"/>
        </w:tabs>
        <w:spacing w:before="160"/>
        <w:jc w:val="both"/>
        <w:rPr>
          <w:rFonts w:ascii="Book Antiqua" w:hAnsi="Book Antiqua" w:cs="Arial"/>
        </w:rPr>
      </w:pPr>
      <w:r>
        <w:rPr>
          <w:rFonts w:ascii="Book Antiqua" w:hAnsi="Book Antiqua" w:cs="Arial"/>
        </w:rPr>
        <w:t>It is clear from the judge’s findings at [30] quoted above that</w:t>
      </w:r>
      <w:r w:rsidR="00F25735">
        <w:rPr>
          <w:rFonts w:ascii="Book Antiqua" w:hAnsi="Book Antiqua" w:cs="Arial"/>
        </w:rPr>
        <w:t>,</w:t>
      </w:r>
      <w:r>
        <w:rPr>
          <w:rFonts w:ascii="Book Antiqua" w:hAnsi="Book Antiqua" w:cs="Arial"/>
        </w:rPr>
        <w:t xml:space="preserve"> based on the chronology but also the oral testimony of the appellant on which he was not cross-</w:t>
      </w:r>
      <w:r w:rsidR="00D05777">
        <w:rPr>
          <w:rFonts w:ascii="Book Antiqua" w:hAnsi="Book Antiqua" w:cs="Arial"/>
        </w:rPr>
        <w:t>examined</w:t>
      </w:r>
      <w:r w:rsidR="00F25735">
        <w:rPr>
          <w:rFonts w:ascii="Book Antiqua" w:hAnsi="Book Antiqua" w:cs="Arial"/>
        </w:rPr>
        <w:t>,</w:t>
      </w:r>
      <w:r>
        <w:rPr>
          <w:rFonts w:ascii="Book Antiqua" w:hAnsi="Book Antiqua" w:cs="Arial"/>
        </w:rPr>
        <w:t xml:space="preserve"> he was satisfied that the claimant was a qualified person during the period in question between 2006 and 2011.  Perhaps more detail might have been </w:t>
      </w:r>
      <w:r w:rsidR="006C0AC2">
        <w:rPr>
          <w:rFonts w:ascii="Book Antiqua" w:hAnsi="Book Antiqua" w:cs="Arial"/>
        </w:rPr>
        <w:t>given</w:t>
      </w:r>
      <w:r>
        <w:rPr>
          <w:rFonts w:ascii="Book Antiqua" w:hAnsi="Book Antiqua" w:cs="Arial"/>
        </w:rPr>
        <w:t xml:space="preserve">, however I do not consider the reasoning given by the judge </w:t>
      </w:r>
      <w:r w:rsidR="00AD3ED1">
        <w:rPr>
          <w:rFonts w:ascii="Book Antiqua" w:hAnsi="Book Antiqua" w:cs="Arial"/>
        </w:rPr>
        <w:t xml:space="preserve">is </w:t>
      </w:r>
      <w:r>
        <w:rPr>
          <w:rFonts w:ascii="Book Antiqua" w:hAnsi="Book Antiqua" w:cs="Arial"/>
        </w:rPr>
        <w:t xml:space="preserve">so inadequate as to amount to an error; the Secretary of State is aware from the </w:t>
      </w:r>
      <w:r w:rsidR="00481A0F">
        <w:rPr>
          <w:rFonts w:ascii="Book Antiqua" w:hAnsi="Book Antiqua" w:cs="Arial"/>
        </w:rPr>
        <w:t xml:space="preserve">judge’s </w:t>
      </w:r>
      <w:r>
        <w:rPr>
          <w:rFonts w:ascii="Book Antiqua" w:hAnsi="Book Antiqua" w:cs="Arial"/>
        </w:rPr>
        <w:t xml:space="preserve">decision </w:t>
      </w:r>
      <w:r w:rsidR="00F25735">
        <w:rPr>
          <w:rFonts w:ascii="Book Antiqua" w:hAnsi="Book Antiqua" w:cs="Arial"/>
        </w:rPr>
        <w:t xml:space="preserve">how the conclusion </w:t>
      </w:r>
      <w:r w:rsidR="00997FF6">
        <w:rPr>
          <w:rFonts w:ascii="Book Antiqua" w:hAnsi="Book Antiqua" w:cs="Arial"/>
        </w:rPr>
        <w:t xml:space="preserve">that the claimant had been </w:t>
      </w:r>
      <w:r w:rsidR="00636F09">
        <w:rPr>
          <w:rFonts w:ascii="Book Antiqua" w:hAnsi="Book Antiqua" w:cs="Arial"/>
        </w:rPr>
        <w:t xml:space="preserve">a </w:t>
      </w:r>
      <w:r w:rsidR="00F70B07">
        <w:rPr>
          <w:rFonts w:ascii="Book Antiqua" w:hAnsi="Book Antiqua" w:cs="Arial"/>
        </w:rPr>
        <w:t xml:space="preserve">qualified person during the period under examination </w:t>
      </w:r>
      <w:r w:rsidR="00F25735">
        <w:rPr>
          <w:rFonts w:ascii="Book Antiqua" w:hAnsi="Book Antiqua" w:cs="Arial"/>
        </w:rPr>
        <w:t>had been reached</w:t>
      </w:r>
      <w:r>
        <w:rPr>
          <w:rFonts w:ascii="Book Antiqua" w:hAnsi="Book Antiqua" w:cs="Arial"/>
        </w:rPr>
        <w:t xml:space="preserve">. </w:t>
      </w:r>
      <w:r w:rsidR="00FD02E5">
        <w:rPr>
          <w:rFonts w:ascii="Book Antiqua" w:hAnsi="Book Antiqua" w:cs="Arial"/>
        </w:rPr>
        <w:t>It is significant that there was no cross examination of the claimant o</w:t>
      </w:r>
      <w:r w:rsidR="00091E3F">
        <w:rPr>
          <w:rFonts w:ascii="Book Antiqua" w:hAnsi="Book Antiqua" w:cs="Arial"/>
        </w:rPr>
        <w:t xml:space="preserve">n the </w:t>
      </w:r>
      <w:r w:rsidR="00FD02E5">
        <w:rPr>
          <w:rFonts w:ascii="Book Antiqua" w:hAnsi="Book Antiqua" w:cs="Arial"/>
        </w:rPr>
        <w:t>evidence regarding th</w:t>
      </w:r>
      <w:r w:rsidR="00091E3F">
        <w:rPr>
          <w:rFonts w:ascii="Book Antiqua" w:hAnsi="Book Antiqua" w:cs="Arial"/>
        </w:rPr>
        <w:t>at</w:t>
      </w:r>
      <w:r w:rsidR="00FD02E5">
        <w:rPr>
          <w:rFonts w:ascii="Book Antiqua" w:hAnsi="Book Antiqua" w:cs="Arial"/>
        </w:rPr>
        <w:t xml:space="preserve"> period</w:t>
      </w:r>
      <w:r w:rsidR="00091E3F">
        <w:rPr>
          <w:rFonts w:ascii="Book Antiqua" w:hAnsi="Book Antiqua" w:cs="Arial"/>
        </w:rPr>
        <w:t>.</w:t>
      </w:r>
      <w:r w:rsidR="00763F0D">
        <w:rPr>
          <w:rFonts w:ascii="Book Antiqua" w:hAnsi="Book Antiqua" w:cs="Arial"/>
        </w:rPr>
        <w:t xml:space="preserve"> </w:t>
      </w:r>
      <w:r w:rsidR="00E54C16">
        <w:rPr>
          <w:rFonts w:ascii="Book Antiqua" w:hAnsi="Book Antiqua" w:cs="Arial"/>
        </w:rPr>
        <w:t xml:space="preserve">The Secretary of State has not challenged the rationality of the judge’s findings and it follows that </w:t>
      </w:r>
      <w:r w:rsidR="00D05874">
        <w:rPr>
          <w:rFonts w:ascii="Book Antiqua" w:hAnsi="Book Antiqua" w:cs="Arial"/>
        </w:rPr>
        <w:t xml:space="preserve">it would be only </w:t>
      </w:r>
      <w:r w:rsidR="00D31CF8">
        <w:rPr>
          <w:rFonts w:ascii="Book Antiqua" w:hAnsi="Book Antiqua" w:cs="Arial"/>
        </w:rPr>
        <w:t xml:space="preserve">because </w:t>
      </w:r>
      <w:r w:rsidR="00D05874">
        <w:rPr>
          <w:rFonts w:ascii="Book Antiqua" w:hAnsi="Book Antiqua" w:cs="Arial"/>
        </w:rPr>
        <w:t>an absence of reasons</w:t>
      </w:r>
      <w:r w:rsidR="00C06922">
        <w:rPr>
          <w:rFonts w:ascii="Book Antiqua" w:hAnsi="Book Antiqua" w:cs="Arial"/>
        </w:rPr>
        <w:t>,</w:t>
      </w:r>
      <w:r w:rsidR="00D05874">
        <w:rPr>
          <w:rFonts w:ascii="Book Antiqua" w:hAnsi="Book Antiqua" w:cs="Arial"/>
        </w:rPr>
        <w:t xml:space="preserve"> </w:t>
      </w:r>
      <w:r w:rsidR="00C06922">
        <w:rPr>
          <w:rFonts w:ascii="Book Antiqua" w:hAnsi="Book Antiqua" w:cs="Arial"/>
        </w:rPr>
        <w:t xml:space="preserve">a </w:t>
      </w:r>
      <w:r w:rsidR="00D05874">
        <w:rPr>
          <w:rFonts w:ascii="Book Antiqua" w:hAnsi="Book Antiqua" w:cs="Arial"/>
        </w:rPr>
        <w:t xml:space="preserve">misdirection </w:t>
      </w:r>
      <w:r w:rsidR="00541CB5">
        <w:rPr>
          <w:rFonts w:ascii="Book Antiqua" w:hAnsi="Book Antiqua" w:cs="Arial"/>
        </w:rPr>
        <w:t>on the law or a misunderstanding</w:t>
      </w:r>
      <w:r w:rsidR="00984D89">
        <w:rPr>
          <w:rFonts w:ascii="Book Antiqua" w:hAnsi="Book Antiqua" w:cs="Arial"/>
        </w:rPr>
        <w:t xml:space="preserve"> of </w:t>
      </w:r>
      <w:r w:rsidR="00D05874">
        <w:rPr>
          <w:rFonts w:ascii="Book Antiqua" w:hAnsi="Book Antiqua" w:cs="Arial"/>
        </w:rPr>
        <w:t xml:space="preserve">the evidence that error could be established. </w:t>
      </w:r>
    </w:p>
    <w:p w:rsidR="009F5220" w:rsidRPr="00270598" w:rsidRDefault="001A0D9F" w:rsidP="00C42ADC">
      <w:pPr>
        <w:numPr>
          <w:ilvl w:val="0"/>
          <w:numId w:val="1"/>
        </w:numPr>
        <w:tabs>
          <w:tab w:val="clear" w:pos="567"/>
        </w:tabs>
        <w:spacing w:before="160"/>
        <w:jc w:val="both"/>
        <w:rPr>
          <w:rFonts w:ascii="Book Antiqua" w:hAnsi="Book Antiqua" w:cs="Arial"/>
        </w:rPr>
      </w:pPr>
      <w:r>
        <w:rPr>
          <w:rFonts w:ascii="Book Antiqua" w:hAnsi="Book Antiqua" w:cs="Arial"/>
        </w:rPr>
        <w:t xml:space="preserve">Accordingly, I am not persuaded that the judge erred as alleged.  I have </w:t>
      </w:r>
      <w:r w:rsidR="00636F09">
        <w:rPr>
          <w:rFonts w:ascii="Book Antiqua" w:hAnsi="Book Antiqua" w:cs="Arial"/>
        </w:rPr>
        <w:t>noted</w:t>
      </w:r>
      <w:r>
        <w:rPr>
          <w:rFonts w:ascii="Book Antiqua" w:hAnsi="Book Antiqua" w:cs="Arial"/>
        </w:rPr>
        <w:t xml:space="preserve"> Mr Govan’s concession that</w:t>
      </w:r>
      <w:r w:rsidR="00136A36">
        <w:rPr>
          <w:rFonts w:ascii="Book Antiqua" w:hAnsi="Book Antiqua" w:cs="Arial"/>
        </w:rPr>
        <w:t>,</w:t>
      </w:r>
      <w:r>
        <w:rPr>
          <w:rFonts w:ascii="Book Antiqua" w:hAnsi="Book Antiqua" w:cs="Arial"/>
        </w:rPr>
        <w:t xml:space="preserve"> in the event that </w:t>
      </w:r>
      <w:r w:rsidR="00D05777">
        <w:rPr>
          <w:rFonts w:ascii="Book Antiqua" w:hAnsi="Book Antiqua" w:cs="Arial"/>
        </w:rPr>
        <w:t>error</w:t>
      </w:r>
      <w:r>
        <w:rPr>
          <w:rFonts w:ascii="Book Antiqua" w:hAnsi="Book Antiqua" w:cs="Arial"/>
        </w:rPr>
        <w:t xml:space="preserve"> was not found on t</w:t>
      </w:r>
      <w:r w:rsidR="00136A36">
        <w:rPr>
          <w:rFonts w:ascii="Book Antiqua" w:hAnsi="Book Antiqua" w:cs="Arial"/>
        </w:rPr>
        <w:t xml:space="preserve">he </w:t>
      </w:r>
      <w:r w:rsidR="00987FD1">
        <w:rPr>
          <w:rFonts w:ascii="Book Antiqua" w:hAnsi="Book Antiqua" w:cs="Arial"/>
        </w:rPr>
        <w:t xml:space="preserve">finding that the claimant had established a right to permanent residence, his deportation </w:t>
      </w:r>
      <w:r>
        <w:rPr>
          <w:rFonts w:ascii="Book Antiqua" w:hAnsi="Book Antiqua" w:cs="Arial"/>
        </w:rPr>
        <w:t xml:space="preserve">was not </w:t>
      </w:r>
      <w:r w:rsidR="00D05777">
        <w:rPr>
          <w:rFonts w:ascii="Book Antiqua" w:hAnsi="Book Antiqua" w:cs="Arial"/>
        </w:rPr>
        <w:t>justified</w:t>
      </w:r>
      <w:r>
        <w:rPr>
          <w:rFonts w:ascii="Book Antiqua" w:hAnsi="Book Antiqua" w:cs="Arial"/>
        </w:rPr>
        <w:t xml:space="preserve">.  Accordingly, this appeal is dismissed. </w:t>
      </w:r>
    </w:p>
    <w:p w:rsidR="009F5220" w:rsidRDefault="009F5220" w:rsidP="00780F86">
      <w:pPr>
        <w:ind w:left="540" w:hanging="540"/>
        <w:jc w:val="both"/>
        <w:rPr>
          <w:rFonts w:ascii="Book Antiqua" w:hAnsi="Book Antiqua" w:cs="Arial"/>
        </w:rPr>
      </w:pPr>
    </w:p>
    <w:p w:rsidR="00C42ADC" w:rsidRPr="001C5703" w:rsidRDefault="00C42ADC" w:rsidP="00780F86">
      <w:pPr>
        <w:ind w:left="540" w:hanging="540"/>
        <w:jc w:val="both"/>
        <w:rPr>
          <w:rFonts w:ascii="Book Antiqua" w:hAnsi="Book Antiqua" w:cs="Arial"/>
        </w:rPr>
      </w:pPr>
    </w:p>
    <w:p w:rsidR="00270598" w:rsidRDefault="00780F86" w:rsidP="00270598">
      <w:pPr>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p>
    <w:p w:rsidR="00270598" w:rsidRDefault="00780F86" w:rsidP="00270598">
      <w:pPr>
        <w:jc w:val="both"/>
        <w:rPr>
          <w:rFonts w:ascii="Book Antiqua" w:hAnsi="Book Antiqua" w:cs="Arial"/>
        </w:rPr>
      </w:pPr>
      <w:r w:rsidRPr="001C5703">
        <w:rPr>
          <w:rFonts w:ascii="Book Antiqua" w:hAnsi="Book Antiqua" w:cs="Arial"/>
        </w:rPr>
        <w:tab/>
      </w:r>
      <w:r w:rsidRPr="001C5703">
        <w:rPr>
          <w:rFonts w:ascii="Book Antiqua" w:hAnsi="Book Antiqua" w:cs="Arial"/>
        </w:rPr>
        <w:tab/>
      </w:r>
    </w:p>
    <w:p w:rsidR="00270598" w:rsidRPr="00270598" w:rsidRDefault="00270598" w:rsidP="00270598">
      <w:pPr>
        <w:jc w:val="both"/>
        <w:rPr>
          <w:rFonts w:ascii="Lucida Handwriting" w:hAnsi="Lucida Handwriting" w:cs="Arial"/>
        </w:rPr>
      </w:pPr>
      <w:r>
        <w:rPr>
          <w:rFonts w:ascii="Lucida Handwriting" w:hAnsi="Lucida Handwriting" w:cs="Arial"/>
        </w:rPr>
        <w:t xml:space="preserve">UTJ Dawson                                           </w:t>
      </w:r>
      <w:r w:rsidR="001F2716" w:rsidRPr="001C5703">
        <w:rPr>
          <w:rFonts w:ascii="Book Antiqua" w:hAnsi="Book Antiqua" w:cs="Arial"/>
        </w:rPr>
        <w:t>Date</w:t>
      </w:r>
      <w:r>
        <w:rPr>
          <w:rFonts w:ascii="Book Antiqua" w:hAnsi="Book Antiqua" w:cs="Arial"/>
        </w:rPr>
        <w:t xml:space="preserve"> 16 August 2018</w:t>
      </w:r>
    </w:p>
    <w:p w:rsidR="00B95326" w:rsidRPr="00270598" w:rsidRDefault="003543A1" w:rsidP="00270598">
      <w:pPr>
        <w:jc w:val="both"/>
        <w:rPr>
          <w:rFonts w:ascii="Book Antiqua" w:hAnsi="Book Antiqua" w:cs="Arial"/>
        </w:rPr>
      </w:pPr>
      <w:r>
        <w:rPr>
          <w:rFonts w:ascii="Book Antiqua" w:hAnsi="Book Antiqua" w:cs="Arial"/>
          <w:color w:val="000000"/>
        </w:rPr>
        <w:lastRenderedPageBreak/>
        <w:t>Upper Tribunal</w:t>
      </w:r>
      <w:r w:rsidR="00D9111A" w:rsidRPr="001C5703">
        <w:rPr>
          <w:rFonts w:ascii="Book Antiqua" w:hAnsi="Book Antiqua" w:cs="Arial"/>
          <w:color w:val="000000"/>
        </w:rPr>
        <w:t xml:space="preserve"> Judge</w:t>
      </w:r>
      <w:r w:rsidR="00273559">
        <w:rPr>
          <w:rFonts w:ascii="Book Antiqua" w:hAnsi="Book Antiqua" w:cs="Arial"/>
          <w:color w:val="000000"/>
        </w:rPr>
        <w:t xml:space="preserve"> Dawson</w:t>
      </w:r>
    </w:p>
    <w:sectPr w:rsidR="00B95326" w:rsidRPr="00270598"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226" w:rsidRDefault="001E3226">
      <w:r>
        <w:separator/>
      </w:r>
    </w:p>
  </w:endnote>
  <w:endnote w:type="continuationSeparator" w:id="0">
    <w:p w:rsidR="001E3226" w:rsidRDefault="001E3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906315"/>
      <w:docPartObj>
        <w:docPartGallery w:val="Page Numbers (Bottom of Page)"/>
        <w:docPartUnique/>
      </w:docPartObj>
    </w:sdtPr>
    <w:sdtEndPr>
      <w:rPr>
        <w:noProof/>
      </w:rPr>
    </w:sdtEndPr>
    <w:sdtContent>
      <w:p w:rsidR="0097563E" w:rsidRDefault="0097563E">
        <w:pPr>
          <w:pStyle w:val="Footer"/>
          <w:jc w:val="center"/>
        </w:pPr>
        <w:r>
          <w:fldChar w:fldCharType="begin"/>
        </w:r>
        <w:r>
          <w:instrText xml:space="preserve"> PAGE   \* MERGEFORMAT </w:instrText>
        </w:r>
        <w:r>
          <w:fldChar w:fldCharType="separate"/>
        </w:r>
        <w:r w:rsidR="009A1144">
          <w:rPr>
            <w:noProof/>
          </w:rPr>
          <w:t>5</w:t>
        </w:r>
        <w:r>
          <w:rPr>
            <w:noProof/>
          </w:rPr>
          <w:fldChar w:fldCharType="end"/>
        </w:r>
      </w:p>
    </w:sdtContent>
  </w:sdt>
  <w:p w:rsidR="0097563E" w:rsidRDefault="00975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63E" w:rsidRPr="0097563E" w:rsidRDefault="0097563E" w:rsidP="0097563E">
    <w:pPr>
      <w:pStyle w:val="Footer"/>
      <w:jc w:val="center"/>
      <w:rPr>
        <w:sz w:val="20"/>
        <w:szCs w:val="20"/>
      </w:rPr>
    </w:pPr>
    <w:r w:rsidRPr="0097563E">
      <w:rPr>
        <w:sz w:val="20"/>
        <w:szCs w:val="20"/>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226" w:rsidRDefault="001E3226">
      <w:r>
        <w:separator/>
      </w:r>
    </w:p>
  </w:footnote>
  <w:footnote w:type="continuationSeparator" w:id="0">
    <w:p w:rsidR="001E3226" w:rsidRDefault="001E3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63E" w:rsidRPr="0097563E" w:rsidRDefault="0097563E" w:rsidP="0097563E">
    <w:pPr>
      <w:pStyle w:val="Header"/>
      <w:jc w:val="right"/>
      <w:rPr>
        <w:sz w:val="20"/>
        <w:szCs w:val="20"/>
      </w:rPr>
    </w:pPr>
    <w:r w:rsidRPr="0097563E">
      <w:rPr>
        <w:sz w:val="20"/>
        <w:szCs w:val="20"/>
      </w:rPr>
      <w:t>DA/00041/2016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0462A57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1C3"/>
    <w:rsid w:val="00000621"/>
    <w:rsid w:val="000036C2"/>
    <w:rsid w:val="000259DC"/>
    <w:rsid w:val="00033CA3"/>
    <w:rsid w:val="00033D3D"/>
    <w:rsid w:val="00062F02"/>
    <w:rsid w:val="000678FB"/>
    <w:rsid w:val="00071A7E"/>
    <w:rsid w:val="000746C0"/>
    <w:rsid w:val="00074D1D"/>
    <w:rsid w:val="00091E3F"/>
    <w:rsid w:val="00092580"/>
    <w:rsid w:val="00093D4D"/>
    <w:rsid w:val="000D5D94"/>
    <w:rsid w:val="000F1A0E"/>
    <w:rsid w:val="000F2591"/>
    <w:rsid w:val="000F30BD"/>
    <w:rsid w:val="0010335F"/>
    <w:rsid w:val="001131E5"/>
    <w:rsid w:val="001165A7"/>
    <w:rsid w:val="00136A36"/>
    <w:rsid w:val="00141554"/>
    <w:rsid w:val="00167D3A"/>
    <w:rsid w:val="0017043C"/>
    <w:rsid w:val="00174A01"/>
    <w:rsid w:val="00197BF7"/>
    <w:rsid w:val="001A0D9F"/>
    <w:rsid w:val="001A1CDA"/>
    <w:rsid w:val="001A3082"/>
    <w:rsid w:val="001B186A"/>
    <w:rsid w:val="001B2F75"/>
    <w:rsid w:val="001C5703"/>
    <w:rsid w:val="001E3226"/>
    <w:rsid w:val="001F2716"/>
    <w:rsid w:val="00207617"/>
    <w:rsid w:val="00207D73"/>
    <w:rsid w:val="0023134B"/>
    <w:rsid w:val="0025681E"/>
    <w:rsid w:val="00270598"/>
    <w:rsid w:val="00273559"/>
    <w:rsid w:val="00275238"/>
    <w:rsid w:val="00283659"/>
    <w:rsid w:val="00284A9E"/>
    <w:rsid w:val="002C6BD4"/>
    <w:rsid w:val="002D68BF"/>
    <w:rsid w:val="002F6B98"/>
    <w:rsid w:val="00307DE2"/>
    <w:rsid w:val="00336CBF"/>
    <w:rsid w:val="00343FE3"/>
    <w:rsid w:val="003543A1"/>
    <w:rsid w:val="003546C8"/>
    <w:rsid w:val="003556DF"/>
    <w:rsid w:val="003570F2"/>
    <w:rsid w:val="00366F71"/>
    <w:rsid w:val="0036763A"/>
    <w:rsid w:val="003916AA"/>
    <w:rsid w:val="003A0539"/>
    <w:rsid w:val="003A7CF2"/>
    <w:rsid w:val="003B34A3"/>
    <w:rsid w:val="003C5CE5"/>
    <w:rsid w:val="003E267B"/>
    <w:rsid w:val="003E7CD1"/>
    <w:rsid w:val="00402B9E"/>
    <w:rsid w:val="00406084"/>
    <w:rsid w:val="004249CB"/>
    <w:rsid w:val="0044127D"/>
    <w:rsid w:val="004448DB"/>
    <w:rsid w:val="00446C9A"/>
    <w:rsid w:val="00452F2B"/>
    <w:rsid w:val="0045674C"/>
    <w:rsid w:val="00477193"/>
    <w:rsid w:val="00481A0F"/>
    <w:rsid w:val="00497161"/>
    <w:rsid w:val="004A1848"/>
    <w:rsid w:val="004A6F4A"/>
    <w:rsid w:val="004B6387"/>
    <w:rsid w:val="004D19A5"/>
    <w:rsid w:val="004E4717"/>
    <w:rsid w:val="00507FEC"/>
    <w:rsid w:val="00510F0E"/>
    <w:rsid w:val="00520345"/>
    <w:rsid w:val="0052070D"/>
    <w:rsid w:val="00535603"/>
    <w:rsid w:val="00541CB5"/>
    <w:rsid w:val="005479E1"/>
    <w:rsid w:val="00553E0A"/>
    <w:rsid w:val="005570FD"/>
    <w:rsid w:val="005575EA"/>
    <w:rsid w:val="0057790C"/>
    <w:rsid w:val="00593795"/>
    <w:rsid w:val="00595976"/>
    <w:rsid w:val="005A75FF"/>
    <w:rsid w:val="005B1C60"/>
    <w:rsid w:val="005D10AB"/>
    <w:rsid w:val="00601D8F"/>
    <w:rsid w:val="00617CD2"/>
    <w:rsid w:val="0063159D"/>
    <w:rsid w:val="00636F09"/>
    <w:rsid w:val="00641653"/>
    <w:rsid w:val="00653E97"/>
    <w:rsid w:val="00664B4E"/>
    <w:rsid w:val="00684A74"/>
    <w:rsid w:val="00690B8A"/>
    <w:rsid w:val="00693A5E"/>
    <w:rsid w:val="006B7E21"/>
    <w:rsid w:val="006C0AC2"/>
    <w:rsid w:val="006F2CF1"/>
    <w:rsid w:val="007038ED"/>
    <w:rsid w:val="00703BC3"/>
    <w:rsid w:val="00704B61"/>
    <w:rsid w:val="0070728A"/>
    <w:rsid w:val="00753A31"/>
    <w:rsid w:val="007552A9"/>
    <w:rsid w:val="00761858"/>
    <w:rsid w:val="00763F0D"/>
    <w:rsid w:val="00767D59"/>
    <w:rsid w:val="0077345C"/>
    <w:rsid w:val="00776E97"/>
    <w:rsid w:val="00780F86"/>
    <w:rsid w:val="00787A39"/>
    <w:rsid w:val="0079067A"/>
    <w:rsid w:val="007912AD"/>
    <w:rsid w:val="007A58BF"/>
    <w:rsid w:val="007B0824"/>
    <w:rsid w:val="007B2876"/>
    <w:rsid w:val="007B5D3C"/>
    <w:rsid w:val="007E3B27"/>
    <w:rsid w:val="00821B72"/>
    <w:rsid w:val="00823EF2"/>
    <w:rsid w:val="00825DDF"/>
    <w:rsid w:val="0082731B"/>
    <w:rsid w:val="008303B8"/>
    <w:rsid w:val="00833DCE"/>
    <w:rsid w:val="008365BF"/>
    <w:rsid w:val="00871D34"/>
    <w:rsid w:val="00882B0E"/>
    <w:rsid w:val="008A2D0E"/>
    <w:rsid w:val="008B270C"/>
    <w:rsid w:val="008B5078"/>
    <w:rsid w:val="008C0A23"/>
    <w:rsid w:val="008C3D3D"/>
    <w:rsid w:val="008D4131"/>
    <w:rsid w:val="008F1932"/>
    <w:rsid w:val="0090060C"/>
    <w:rsid w:val="00904924"/>
    <w:rsid w:val="00921062"/>
    <w:rsid w:val="00921B94"/>
    <w:rsid w:val="009405A9"/>
    <w:rsid w:val="009722BC"/>
    <w:rsid w:val="009727A3"/>
    <w:rsid w:val="0097563E"/>
    <w:rsid w:val="00984D89"/>
    <w:rsid w:val="00987774"/>
    <w:rsid w:val="00987FD1"/>
    <w:rsid w:val="00997FF6"/>
    <w:rsid w:val="009A0C11"/>
    <w:rsid w:val="009A1144"/>
    <w:rsid w:val="009A11E8"/>
    <w:rsid w:val="009B2FD1"/>
    <w:rsid w:val="009C6469"/>
    <w:rsid w:val="009C69EB"/>
    <w:rsid w:val="009F5220"/>
    <w:rsid w:val="00A04B0B"/>
    <w:rsid w:val="00A15234"/>
    <w:rsid w:val="00A201AB"/>
    <w:rsid w:val="00A31C8B"/>
    <w:rsid w:val="00A40BD3"/>
    <w:rsid w:val="00A509FA"/>
    <w:rsid w:val="00A5564C"/>
    <w:rsid w:val="00A57B3D"/>
    <w:rsid w:val="00A772D1"/>
    <w:rsid w:val="00A81F56"/>
    <w:rsid w:val="00A845DC"/>
    <w:rsid w:val="00AD3ED1"/>
    <w:rsid w:val="00AE7219"/>
    <w:rsid w:val="00B011C3"/>
    <w:rsid w:val="00B26AA2"/>
    <w:rsid w:val="00B3524D"/>
    <w:rsid w:val="00B372AF"/>
    <w:rsid w:val="00B40F69"/>
    <w:rsid w:val="00B46616"/>
    <w:rsid w:val="00B56B2E"/>
    <w:rsid w:val="00B7040A"/>
    <w:rsid w:val="00B7567A"/>
    <w:rsid w:val="00B83391"/>
    <w:rsid w:val="00B95326"/>
    <w:rsid w:val="00B96F77"/>
    <w:rsid w:val="00BA1EB6"/>
    <w:rsid w:val="00BA3A97"/>
    <w:rsid w:val="00BD4196"/>
    <w:rsid w:val="00BD7B59"/>
    <w:rsid w:val="00BF22CA"/>
    <w:rsid w:val="00BF23BB"/>
    <w:rsid w:val="00BF4A96"/>
    <w:rsid w:val="00BF5F1C"/>
    <w:rsid w:val="00C06922"/>
    <w:rsid w:val="00C233D7"/>
    <w:rsid w:val="00C26032"/>
    <w:rsid w:val="00C345E1"/>
    <w:rsid w:val="00C42ADC"/>
    <w:rsid w:val="00C43BFD"/>
    <w:rsid w:val="00C5682F"/>
    <w:rsid w:val="00C75A8B"/>
    <w:rsid w:val="00C914BD"/>
    <w:rsid w:val="00CB6E35"/>
    <w:rsid w:val="00CD7863"/>
    <w:rsid w:val="00CE1A46"/>
    <w:rsid w:val="00D05777"/>
    <w:rsid w:val="00D05874"/>
    <w:rsid w:val="00D12F11"/>
    <w:rsid w:val="00D20757"/>
    <w:rsid w:val="00D22636"/>
    <w:rsid w:val="00D269C8"/>
    <w:rsid w:val="00D31CF8"/>
    <w:rsid w:val="00D40FD9"/>
    <w:rsid w:val="00D53769"/>
    <w:rsid w:val="00D57905"/>
    <w:rsid w:val="00D64505"/>
    <w:rsid w:val="00D658F7"/>
    <w:rsid w:val="00D73A2A"/>
    <w:rsid w:val="00D73F78"/>
    <w:rsid w:val="00D833B6"/>
    <w:rsid w:val="00D858D9"/>
    <w:rsid w:val="00D85C13"/>
    <w:rsid w:val="00D862CA"/>
    <w:rsid w:val="00D9111A"/>
    <w:rsid w:val="00D91BE3"/>
    <w:rsid w:val="00D94AFC"/>
    <w:rsid w:val="00DB70AE"/>
    <w:rsid w:val="00DD5071"/>
    <w:rsid w:val="00DD5C39"/>
    <w:rsid w:val="00DE7DB7"/>
    <w:rsid w:val="00E00A0A"/>
    <w:rsid w:val="00E066DE"/>
    <w:rsid w:val="00E07F57"/>
    <w:rsid w:val="00E30683"/>
    <w:rsid w:val="00E310CB"/>
    <w:rsid w:val="00E41668"/>
    <w:rsid w:val="00E453D8"/>
    <w:rsid w:val="00E50BCE"/>
    <w:rsid w:val="00E54C16"/>
    <w:rsid w:val="00E559AA"/>
    <w:rsid w:val="00E574BF"/>
    <w:rsid w:val="00E61292"/>
    <w:rsid w:val="00E70660"/>
    <w:rsid w:val="00E77A81"/>
    <w:rsid w:val="00E77C4D"/>
    <w:rsid w:val="00E81D01"/>
    <w:rsid w:val="00E92CCD"/>
    <w:rsid w:val="00ED5CBA"/>
    <w:rsid w:val="00ED7BAE"/>
    <w:rsid w:val="00EE45D8"/>
    <w:rsid w:val="00F100EA"/>
    <w:rsid w:val="00F22EDA"/>
    <w:rsid w:val="00F25735"/>
    <w:rsid w:val="00F5794B"/>
    <w:rsid w:val="00F70B07"/>
    <w:rsid w:val="00FD02E5"/>
    <w:rsid w:val="00FE1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449C7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character" w:customStyle="1" w:styleId="FooterChar">
    <w:name w:val="Footer Char"/>
    <w:basedOn w:val="DefaultParagraphFont"/>
    <w:link w:val="Footer"/>
    <w:uiPriority w:val="99"/>
    <w:rsid w:val="0097563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2296</Words>
  <Characters>11117</Characters>
  <Application>Microsoft Office Word</Application>
  <DocSecurity>0</DocSecurity>
  <Lines>92</Lines>
  <Paragraphs>26</Paragraphs>
  <ScaleCrop>false</ScaleCrop>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2018-09-06T11:58:00Z</dcterms:created>
  <dcterms:modified xsi:type="dcterms:W3CDTF">2018-09-06T11:58:00Z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