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B3D" w:rsidRPr="00DF378A" w:rsidRDefault="00ED7080" w:rsidP="0010335F">
      <w:pPr>
        <w:jc w:val="center"/>
        <w:rPr>
          <w:rFonts w:ascii="Book Antiqua" w:hAnsi="Book Antiqua" w:cs="Arial"/>
          <w:caps/>
          <w:color w:val="000000"/>
          <w:sz w:val="16"/>
          <w:szCs w:val="16"/>
        </w:rPr>
      </w:pPr>
      <w:r w:rsidRPr="00DF378A">
        <w:rPr>
          <w:noProof/>
        </w:rPr>
        <w:drawing>
          <wp:inline distT="0" distB="0" distL="0" distR="0" wp14:anchorId="08E1EA71" wp14:editId="5DEBAF8A">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772506" w:rsidRPr="00DF378A" w:rsidRDefault="00772506" w:rsidP="00772506">
      <w:pPr>
        <w:pStyle w:val="Body"/>
        <w:rPr>
          <w:rFonts w:ascii="Book Antiqua" w:eastAsia="Book Antiqua" w:hAnsi="Book Antiqua" w:cs="Book Antiqua"/>
          <w:sz w:val="16"/>
          <w:szCs w:val="16"/>
        </w:rPr>
      </w:pPr>
    </w:p>
    <w:p w:rsidR="0010335F" w:rsidRPr="00DF378A" w:rsidRDefault="0010335F" w:rsidP="00780F86">
      <w:pPr>
        <w:tabs>
          <w:tab w:val="right" w:pos="9720"/>
        </w:tabs>
        <w:ind w:right="-82"/>
        <w:rPr>
          <w:rFonts w:ascii="Book Antiqua" w:hAnsi="Book Antiqua" w:cs="Arial"/>
          <w:color w:val="000000"/>
        </w:rPr>
      </w:pPr>
      <w:r w:rsidRPr="00DF378A">
        <w:rPr>
          <w:rFonts w:ascii="Book Antiqua" w:hAnsi="Book Antiqua" w:cs="Arial"/>
          <w:color w:val="000000"/>
        </w:rPr>
        <w:t>Upper Tribunal</w:t>
      </w:r>
    </w:p>
    <w:p w:rsidR="007B0824" w:rsidRPr="00DF378A" w:rsidRDefault="0010335F" w:rsidP="00780F86">
      <w:pPr>
        <w:tabs>
          <w:tab w:val="right" w:pos="9720"/>
        </w:tabs>
        <w:ind w:right="-82"/>
        <w:rPr>
          <w:rFonts w:ascii="Book Antiqua" w:hAnsi="Book Antiqua" w:cs="Arial"/>
          <w:color w:val="000000"/>
        </w:rPr>
      </w:pPr>
      <w:r w:rsidRPr="00DF378A">
        <w:rPr>
          <w:rFonts w:ascii="Book Antiqua" w:hAnsi="Book Antiqua" w:cs="Arial"/>
          <w:color w:val="000000"/>
        </w:rPr>
        <w:t>(Immigration and Asylum Chamber)</w:t>
      </w:r>
      <w:r w:rsidR="00DB70AE" w:rsidRPr="00DF378A">
        <w:rPr>
          <w:rFonts w:ascii="Book Antiqua" w:hAnsi="Book Antiqua" w:cs="Arial"/>
          <w:color w:val="000000"/>
        </w:rPr>
        <w:tab/>
      </w:r>
      <w:r w:rsidR="00B3524D" w:rsidRPr="00DF378A">
        <w:rPr>
          <w:rFonts w:ascii="Book Antiqua" w:hAnsi="Book Antiqua" w:cs="Arial"/>
          <w:color w:val="000000"/>
        </w:rPr>
        <w:t>Appeal Number</w:t>
      </w:r>
      <w:r w:rsidR="00D53769" w:rsidRPr="00DF378A">
        <w:rPr>
          <w:rFonts w:ascii="Book Antiqua" w:hAnsi="Book Antiqua" w:cs="Arial"/>
          <w:color w:val="000000"/>
        </w:rPr>
        <w:t>:</w:t>
      </w:r>
      <w:r w:rsidR="00B3524D" w:rsidRPr="00DF378A">
        <w:rPr>
          <w:rFonts w:ascii="Book Antiqua" w:hAnsi="Book Antiqua" w:cs="Arial"/>
          <w:color w:val="000000"/>
        </w:rPr>
        <w:t xml:space="preserve"> </w:t>
      </w:r>
      <w:bookmarkStart w:id="0" w:name="_GoBack"/>
      <w:r w:rsidR="00772506" w:rsidRPr="00DF378A">
        <w:rPr>
          <w:rFonts w:ascii="Book Antiqua" w:hAnsi="Book Antiqua" w:cs="Arial"/>
          <w:caps/>
          <w:color w:val="000000"/>
        </w:rPr>
        <w:t>DA/00068/2018</w:t>
      </w:r>
      <w:bookmarkEnd w:id="0"/>
    </w:p>
    <w:p w:rsidR="00C345E1" w:rsidRPr="00DF378A" w:rsidRDefault="00C345E1" w:rsidP="00C345E1">
      <w:pPr>
        <w:jc w:val="center"/>
        <w:rPr>
          <w:rFonts w:ascii="Book Antiqua" w:hAnsi="Book Antiqua" w:cs="Arial"/>
          <w:color w:val="000000"/>
        </w:rPr>
      </w:pPr>
    </w:p>
    <w:p w:rsidR="00C345E1" w:rsidRPr="00DF378A" w:rsidRDefault="00C345E1" w:rsidP="00C345E1">
      <w:pPr>
        <w:jc w:val="center"/>
        <w:rPr>
          <w:rFonts w:ascii="Book Antiqua" w:hAnsi="Book Antiqua" w:cs="Arial"/>
          <w:color w:val="000000"/>
        </w:rPr>
      </w:pPr>
    </w:p>
    <w:p w:rsidR="00C345E1" w:rsidRPr="00DF378A" w:rsidRDefault="00C345E1" w:rsidP="00C345E1">
      <w:pPr>
        <w:jc w:val="center"/>
        <w:rPr>
          <w:rFonts w:ascii="Book Antiqua" w:hAnsi="Book Antiqua" w:cs="Arial"/>
          <w:color w:val="000000"/>
          <w:u w:val="single"/>
        </w:rPr>
      </w:pPr>
      <w:r w:rsidRPr="00DF378A">
        <w:rPr>
          <w:rFonts w:ascii="Book Antiqua" w:hAnsi="Book Antiqua" w:cs="Arial"/>
          <w:color w:val="000000"/>
          <w:u w:val="single"/>
        </w:rPr>
        <w:t>THE IMMIGRATION ACTS</w:t>
      </w:r>
    </w:p>
    <w:p w:rsidR="00C345E1" w:rsidRPr="00DF378A" w:rsidRDefault="00C345E1" w:rsidP="00C345E1">
      <w:pPr>
        <w:jc w:val="center"/>
        <w:rPr>
          <w:rFonts w:ascii="Book Antiqua" w:hAnsi="Book Antiqua" w:cs="Arial"/>
          <w:u w:val="single"/>
        </w:rPr>
      </w:pPr>
    </w:p>
    <w:p w:rsidR="00C345E1" w:rsidRPr="00DF378A" w:rsidRDefault="00C345E1" w:rsidP="00C345E1">
      <w:pPr>
        <w:jc w:val="center"/>
        <w:rPr>
          <w:rFonts w:ascii="Book Antiqua" w:hAnsi="Book Antiqua" w:cs="Arial"/>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DF378A" w:rsidTr="00207D73">
        <w:tc>
          <w:tcPr>
            <w:tcW w:w="6048" w:type="dxa"/>
          </w:tcPr>
          <w:p w:rsidR="00D22636" w:rsidRPr="00DF378A" w:rsidRDefault="00D22636" w:rsidP="004A1848">
            <w:pPr>
              <w:jc w:val="both"/>
              <w:rPr>
                <w:rFonts w:ascii="Book Antiqua" w:hAnsi="Book Antiqua" w:cs="Arial"/>
              </w:rPr>
            </w:pPr>
            <w:r w:rsidRPr="00DF378A">
              <w:rPr>
                <w:rFonts w:ascii="Book Antiqua" w:hAnsi="Book Antiqua" w:cs="Arial"/>
              </w:rPr>
              <w:t xml:space="preserve">Heard at </w:t>
            </w:r>
            <w:r w:rsidR="00081373">
              <w:rPr>
                <w:rFonts w:ascii="Book Antiqua" w:hAnsi="Book Antiqua" w:cs="Arial"/>
              </w:rPr>
              <w:t>Glasgow</w:t>
            </w:r>
          </w:p>
        </w:tc>
        <w:tc>
          <w:tcPr>
            <w:tcW w:w="3960" w:type="dxa"/>
          </w:tcPr>
          <w:p w:rsidR="00D22636" w:rsidRPr="00DF378A" w:rsidRDefault="00207D73" w:rsidP="00093D4D">
            <w:pPr>
              <w:jc w:val="both"/>
              <w:rPr>
                <w:rFonts w:ascii="Book Antiqua" w:hAnsi="Book Antiqua" w:cs="Arial"/>
                <w:color w:val="000000"/>
              </w:rPr>
            </w:pPr>
            <w:r w:rsidRPr="00DF378A">
              <w:rPr>
                <w:rFonts w:ascii="Book Antiqua" w:hAnsi="Book Antiqua" w:cs="Arial"/>
                <w:color w:val="000000"/>
              </w:rPr>
              <w:t>Decision &amp; Reasons</w:t>
            </w:r>
            <w:r w:rsidR="00283659" w:rsidRPr="00DF378A">
              <w:rPr>
                <w:rFonts w:ascii="Book Antiqua" w:hAnsi="Book Antiqua" w:cs="Arial"/>
                <w:color w:val="000000"/>
              </w:rPr>
              <w:t xml:space="preserve"> Promulgated</w:t>
            </w:r>
          </w:p>
        </w:tc>
      </w:tr>
      <w:tr w:rsidR="00D22636" w:rsidRPr="00DF378A" w:rsidTr="00207D73">
        <w:tc>
          <w:tcPr>
            <w:tcW w:w="6048" w:type="dxa"/>
          </w:tcPr>
          <w:p w:rsidR="00D22636" w:rsidRPr="00DF378A" w:rsidRDefault="00D22636" w:rsidP="004A1848">
            <w:pPr>
              <w:jc w:val="both"/>
              <w:rPr>
                <w:rFonts w:ascii="Book Antiqua" w:hAnsi="Book Antiqua" w:cs="Arial"/>
              </w:rPr>
            </w:pPr>
            <w:r w:rsidRPr="00DF378A">
              <w:rPr>
                <w:rFonts w:ascii="Book Antiqua" w:hAnsi="Book Antiqua" w:cs="Arial"/>
              </w:rPr>
              <w:t xml:space="preserve">On </w:t>
            </w:r>
            <w:r w:rsidR="00772506" w:rsidRPr="00DF378A">
              <w:rPr>
                <w:rFonts w:ascii="Book Antiqua" w:eastAsia="Book Antiqua" w:hAnsi="Book Antiqua" w:cs="Book Antiqua"/>
                <w:bCs/>
              </w:rPr>
              <w:t>9 August 2018</w:t>
            </w:r>
          </w:p>
        </w:tc>
        <w:tc>
          <w:tcPr>
            <w:tcW w:w="3960" w:type="dxa"/>
          </w:tcPr>
          <w:p w:rsidR="00D22636" w:rsidRPr="00DF378A" w:rsidRDefault="00574BCA" w:rsidP="004A1848">
            <w:pPr>
              <w:jc w:val="both"/>
              <w:rPr>
                <w:rFonts w:ascii="Book Antiqua" w:hAnsi="Book Antiqua" w:cs="Arial"/>
              </w:rPr>
            </w:pPr>
            <w:r>
              <w:rPr>
                <w:rFonts w:ascii="Book Antiqua" w:hAnsi="Book Antiqua" w:cs="Arial"/>
              </w:rPr>
              <w:t>On 6 September 2018</w:t>
            </w:r>
          </w:p>
        </w:tc>
      </w:tr>
      <w:tr w:rsidR="00D22636" w:rsidRPr="00DF378A" w:rsidTr="00207D73">
        <w:tc>
          <w:tcPr>
            <w:tcW w:w="6048" w:type="dxa"/>
          </w:tcPr>
          <w:p w:rsidR="00D22636" w:rsidRPr="00DF378A" w:rsidRDefault="00D22636" w:rsidP="004A1848">
            <w:pPr>
              <w:jc w:val="both"/>
              <w:rPr>
                <w:rFonts w:ascii="Book Antiqua" w:hAnsi="Book Antiqua" w:cs="Arial"/>
              </w:rPr>
            </w:pPr>
          </w:p>
        </w:tc>
        <w:tc>
          <w:tcPr>
            <w:tcW w:w="3960" w:type="dxa"/>
          </w:tcPr>
          <w:p w:rsidR="00D22636" w:rsidRPr="00DF378A" w:rsidRDefault="00D22636" w:rsidP="004A1848">
            <w:pPr>
              <w:jc w:val="both"/>
              <w:rPr>
                <w:rFonts w:ascii="Book Antiqua" w:hAnsi="Book Antiqua" w:cs="Arial"/>
              </w:rPr>
            </w:pPr>
          </w:p>
        </w:tc>
      </w:tr>
    </w:tbl>
    <w:p w:rsidR="00A15234" w:rsidRPr="00DF378A" w:rsidRDefault="00A15234" w:rsidP="00A15234">
      <w:pPr>
        <w:jc w:val="center"/>
        <w:rPr>
          <w:rFonts w:ascii="Book Antiqua" w:hAnsi="Book Antiqua" w:cs="Arial"/>
        </w:rPr>
      </w:pPr>
    </w:p>
    <w:p w:rsidR="00A15234" w:rsidRPr="00DF378A" w:rsidRDefault="00207617" w:rsidP="00A15234">
      <w:pPr>
        <w:jc w:val="center"/>
        <w:rPr>
          <w:rFonts w:ascii="Book Antiqua" w:hAnsi="Book Antiqua" w:cs="Arial"/>
        </w:rPr>
      </w:pPr>
      <w:r w:rsidRPr="00DF378A">
        <w:rPr>
          <w:rFonts w:ascii="Book Antiqua" w:hAnsi="Book Antiqua" w:cs="Arial"/>
        </w:rPr>
        <w:t>Befo</w:t>
      </w:r>
      <w:r w:rsidR="00A15234" w:rsidRPr="00DF378A">
        <w:rPr>
          <w:rFonts w:ascii="Book Antiqua" w:hAnsi="Book Antiqua" w:cs="Arial"/>
        </w:rPr>
        <w:t>re</w:t>
      </w:r>
    </w:p>
    <w:p w:rsidR="00A15234" w:rsidRPr="00DF378A" w:rsidRDefault="00A15234" w:rsidP="00A15234">
      <w:pPr>
        <w:jc w:val="center"/>
        <w:rPr>
          <w:rFonts w:ascii="Book Antiqua" w:hAnsi="Book Antiqua" w:cs="Arial"/>
        </w:rPr>
      </w:pPr>
    </w:p>
    <w:p w:rsidR="00D20757" w:rsidRPr="00DF378A" w:rsidRDefault="003543A1" w:rsidP="00A15234">
      <w:pPr>
        <w:jc w:val="center"/>
        <w:rPr>
          <w:rFonts w:ascii="Book Antiqua" w:hAnsi="Book Antiqua" w:cs="Arial"/>
          <w:color w:val="000000"/>
        </w:rPr>
      </w:pPr>
      <w:r w:rsidRPr="00DF378A">
        <w:rPr>
          <w:rFonts w:ascii="Book Antiqua" w:hAnsi="Book Antiqua" w:cs="Arial"/>
          <w:color w:val="000000"/>
        </w:rPr>
        <w:t>UPPER TRIBUNAL</w:t>
      </w:r>
      <w:r w:rsidR="00273559" w:rsidRPr="00DF378A">
        <w:rPr>
          <w:rFonts w:ascii="Book Antiqua" w:hAnsi="Book Antiqua" w:cs="Arial"/>
          <w:color w:val="000000"/>
        </w:rPr>
        <w:t xml:space="preserve"> JUDGE DAWSON</w:t>
      </w:r>
    </w:p>
    <w:p w:rsidR="00A845DC" w:rsidRPr="00DF378A" w:rsidRDefault="00A845DC" w:rsidP="00A15234">
      <w:pPr>
        <w:jc w:val="center"/>
        <w:rPr>
          <w:rFonts w:ascii="Book Antiqua" w:hAnsi="Book Antiqua" w:cs="Arial"/>
        </w:rPr>
      </w:pPr>
    </w:p>
    <w:p w:rsidR="006D0153" w:rsidRDefault="006D0153" w:rsidP="00A15234">
      <w:pPr>
        <w:jc w:val="center"/>
        <w:rPr>
          <w:rFonts w:ascii="Book Antiqua" w:hAnsi="Book Antiqua" w:cs="Arial"/>
        </w:rPr>
      </w:pPr>
    </w:p>
    <w:p w:rsidR="00A845DC" w:rsidRPr="00DF378A" w:rsidRDefault="00A845DC" w:rsidP="00A15234">
      <w:pPr>
        <w:jc w:val="center"/>
        <w:rPr>
          <w:rFonts w:ascii="Book Antiqua" w:hAnsi="Book Antiqua" w:cs="Arial"/>
        </w:rPr>
      </w:pPr>
      <w:r w:rsidRPr="00DF378A">
        <w:rPr>
          <w:rFonts w:ascii="Book Antiqua" w:hAnsi="Book Antiqua" w:cs="Arial"/>
        </w:rPr>
        <w:t>Between</w:t>
      </w:r>
    </w:p>
    <w:p w:rsidR="00A845DC" w:rsidRPr="00DF378A" w:rsidRDefault="00A845DC" w:rsidP="00A15234">
      <w:pPr>
        <w:jc w:val="center"/>
        <w:rPr>
          <w:rFonts w:ascii="Book Antiqua" w:hAnsi="Book Antiqua" w:cs="Arial"/>
        </w:rPr>
      </w:pPr>
    </w:p>
    <w:p w:rsidR="00704B61" w:rsidRPr="00DF378A" w:rsidRDefault="00772506" w:rsidP="00766393">
      <w:pPr>
        <w:jc w:val="center"/>
        <w:rPr>
          <w:rFonts w:ascii="Book Antiqua" w:hAnsi="Book Antiqua" w:cs="Arial"/>
          <w:caps/>
        </w:rPr>
      </w:pPr>
      <w:r w:rsidRPr="00DF378A">
        <w:rPr>
          <w:rFonts w:ascii="Book Antiqua" w:hAnsi="Book Antiqua" w:cs="Arial"/>
          <w:caps/>
        </w:rPr>
        <w:t>Constantin Tudora</w:t>
      </w:r>
    </w:p>
    <w:p w:rsidR="00704B61" w:rsidRPr="00DF378A" w:rsidRDefault="00704B61" w:rsidP="00704B61">
      <w:pPr>
        <w:jc w:val="right"/>
        <w:rPr>
          <w:rFonts w:ascii="Book Antiqua" w:hAnsi="Book Antiqua" w:cs="Arial"/>
          <w:u w:val="single"/>
        </w:rPr>
      </w:pPr>
      <w:r w:rsidRPr="00DF378A">
        <w:rPr>
          <w:rFonts w:ascii="Book Antiqua" w:hAnsi="Book Antiqua" w:cs="Arial"/>
          <w:u w:val="single"/>
        </w:rPr>
        <w:t>Appellant</w:t>
      </w:r>
    </w:p>
    <w:p w:rsidR="00704B61" w:rsidRPr="00DF378A" w:rsidRDefault="00DD5071" w:rsidP="00704B61">
      <w:pPr>
        <w:jc w:val="center"/>
        <w:rPr>
          <w:rFonts w:ascii="Book Antiqua" w:hAnsi="Book Antiqua" w:cs="Arial"/>
        </w:rPr>
      </w:pPr>
      <w:r w:rsidRPr="00DF378A">
        <w:rPr>
          <w:rFonts w:ascii="Book Antiqua" w:hAnsi="Book Antiqua" w:cs="Arial"/>
        </w:rPr>
        <w:t>and</w:t>
      </w:r>
    </w:p>
    <w:p w:rsidR="00DD5071" w:rsidRPr="00DF378A" w:rsidRDefault="00DD5071" w:rsidP="00704B61">
      <w:pPr>
        <w:jc w:val="center"/>
        <w:rPr>
          <w:rFonts w:ascii="Book Antiqua" w:hAnsi="Book Antiqua" w:cs="Arial"/>
        </w:rPr>
      </w:pPr>
    </w:p>
    <w:p w:rsidR="00DD5071" w:rsidRPr="00DF378A" w:rsidRDefault="00DD5071" w:rsidP="00704B61">
      <w:pPr>
        <w:jc w:val="center"/>
        <w:rPr>
          <w:rFonts w:ascii="Book Antiqua" w:hAnsi="Book Antiqua" w:cs="Arial"/>
        </w:rPr>
      </w:pPr>
      <w:r w:rsidRPr="00DF378A">
        <w:rPr>
          <w:rFonts w:ascii="Book Antiqua" w:hAnsi="Book Antiqua" w:cs="Arial"/>
        </w:rPr>
        <w:fldChar w:fldCharType="begin">
          <w:ffData>
            <w:name w:val="Text7"/>
            <w:enabled/>
            <w:calcOnExit w:val="0"/>
            <w:textInput>
              <w:default w:val="THE SECRETARY OF STATE FOR THE HOME DEPARTMENT"/>
              <w:format w:val="UPPERCASE"/>
            </w:textInput>
          </w:ffData>
        </w:fldChar>
      </w:r>
      <w:bookmarkStart w:id="1" w:name="Text7"/>
      <w:r w:rsidRPr="00DF378A">
        <w:rPr>
          <w:rFonts w:ascii="Book Antiqua" w:hAnsi="Book Antiqua" w:cs="Arial"/>
        </w:rPr>
        <w:instrText xml:space="preserve"> FORMTEXT </w:instrText>
      </w:r>
      <w:r w:rsidRPr="00DF378A">
        <w:rPr>
          <w:rFonts w:ascii="Book Antiqua" w:hAnsi="Book Antiqua" w:cs="Arial"/>
        </w:rPr>
      </w:r>
      <w:r w:rsidRPr="00DF378A">
        <w:rPr>
          <w:rFonts w:ascii="Book Antiqua" w:hAnsi="Book Antiqua" w:cs="Arial"/>
        </w:rPr>
        <w:fldChar w:fldCharType="separate"/>
      </w:r>
      <w:r w:rsidRPr="00DF378A">
        <w:rPr>
          <w:rFonts w:ascii="Book Antiqua" w:hAnsi="Book Antiqua" w:cs="Arial"/>
          <w:noProof/>
        </w:rPr>
        <w:t>THE SECRETARY OF STATE FOR THE HOME DEPARTMENT</w:t>
      </w:r>
      <w:r w:rsidRPr="00DF378A">
        <w:rPr>
          <w:rFonts w:ascii="Book Antiqua" w:hAnsi="Book Antiqua" w:cs="Arial"/>
        </w:rPr>
        <w:fldChar w:fldCharType="end"/>
      </w:r>
      <w:bookmarkEnd w:id="1"/>
    </w:p>
    <w:p w:rsidR="00DD5071" w:rsidRPr="00DF378A" w:rsidRDefault="00DD5071" w:rsidP="00DD5071">
      <w:pPr>
        <w:jc w:val="right"/>
        <w:rPr>
          <w:rFonts w:ascii="Book Antiqua" w:hAnsi="Book Antiqua" w:cs="Arial"/>
          <w:u w:val="single"/>
        </w:rPr>
      </w:pPr>
      <w:r w:rsidRPr="00DF378A">
        <w:rPr>
          <w:rFonts w:ascii="Book Antiqua" w:hAnsi="Book Antiqua" w:cs="Arial"/>
          <w:u w:val="single"/>
        </w:rPr>
        <w:t>Respondent</w:t>
      </w:r>
    </w:p>
    <w:p w:rsidR="00DD5071" w:rsidRDefault="00DD5071" w:rsidP="00DD5071">
      <w:pPr>
        <w:rPr>
          <w:rFonts w:ascii="Book Antiqua" w:hAnsi="Book Antiqua" w:cs="Arial"/>
          <w:u w:val="single"/>
        </w:rPr>
      </w:pPr>
    </w:p>
    <w:p w:rsidR="006D0153" w:rsidRPr="00DF378A" w:rsidRDefault="006D0153" w:rsidP="00DD5071">
      <w:pPr>
        <w:rPr>
          <w:rFonts w:ascii="Book Antiqua" w:hAnsi="Book Antiqua" w:cs="Arial"/>
          <w:u w:val="single"/>
        </w:rPr>
      </w:pPr>
    </w:p>
    <w:p w:rsidR="00DE7DB7" w:rsidRPr="00DF378A" w:rsidRDefault="00DE7DB7" w:rsidP="00DD5071">
      <w:pPr>
        <w:rPr>
          <w:rFonts w:ascii="Book Antiqua" w:hAnsi="Book Antiqua" w:cs="Arial"/>
        </w:rPr>
      </w:pPr>
      <w:r w:rsidRPr="00DF378A">
        <w:rPr>
          <w:rFonts w:ascii="Book Antiqua" w:hAnsi="Book Antiqua" w:cs="Arial"/>
          <w:u w:val="single"/>
        </w:rPr>
        <w:t>Representation</w:t>
      </w:r>
      <w:r w:rsidRPr="00DF378A">
        <w:rPr>
          <w:rFonts w:ascii="Book Antiqua" w:hAnsi="Book Antiqua" w:cs="Arial"/>
        </w:rPr>
        <w:t>:</w:t>
      </w:r>
    </w:p>
    <w:p w:rsidR="00DE7DB7" w:rsidRPr="00DF378A" w:rsidRDefault="00DE7DB7" w:rsidP="00DE7DB7">
      <w:pPr>
        <w:tabs>
          <w:tab w:val="left" w:pos="2520"/>
        </w:tabs>
        <w:rPr>
          <w:rFonts w:ascii="Book Antiqua" w:hAnsi="Book Antiqua" w:cs="Arial"/>
        </w:rPr>
      </w:pPr>
      <w:r w:rsidRPr="00DF378A">
        <w:rPr>
          <w:rFonts w:ascii="Book Antiqua" w:hAnsi="Book Antiqua" w:cs="Arial"/>
        </w:rPr>
        <w:t>For the Appellant:</w:t>
      </w:r>
      <w:r w:rsidRPr="00DF378A">
        <w:rPr>
          <w:rFonts w:ascii="Book Antiqua" w:hAnsi="Book Antiqua" w:cs="Arial"/>
        </w:rPr>
        <w:tab/>
      </w:r>
      <w:r w:rsidR="00772506" w:rsidRPr="00DF378A">
        <w:rPr>
          <w:rFonts w:ascii="Book Antiqua" w:hAnsi="Book Antiqua"/>
        </w:rPr>
        <w:t xml:space="preserve">Mr P Bradley, instructed by </w:t>
      </w:r>
      <w:r w:rsidR="00772506" w:rsidRPr="00DF378A">
        <w:rPr>
          <w:rFonts w:ascii="Book Antiqua" w:hAnsi="Book Antiqua" w:cs="Arial"/>
        </w:rPr>
        <w:t>Peter G Farrell Solicitors</w:t>
      </w:r>
    </w:p>
    <w:p w:rsidR="00DE7DB7" w:rsidRPr="00DF378A" w:rsidRDefault="00DE7DB7" w:rsidP="00766393">
      <w:pPr>
        <w:tabs>
          <w:tab w:val="left" w:pos="2520"/>
        </w:tabs>
        <w:rPr>
          <w:rFonts w:ascii="Book Antiqua" w:hAnsi="Book Antiqua" w:cs="Arial"/>
        </w:rPr>
      </w:pPr>
      <w:r w:rsidRPr="00DF378A">
        <w:rPr>
          <w:rFonts w:ascii="Book Antiqua" w:hAnsi="Book Antiqua" w:cs="Arial"/>
        </w:rPr>
        <w:t>For the Respondent:</w:t>
      </w:r>
      <w:r w:rsidRPr="00DF378A">
        <w:rPr>
          <w:rFonts w:ascii="Book Antiqua" w:hAnsi="Book Antiqua" w:cs="Arial"/>
        </w:rPr>
        <w:tab/>
      </w:r>
      <w:r w:rsidR="00772506" w:rsidRPr="00DF378A">
        <w:rPr>
          <w:rFonts w:ascii="Book Antiqua" w:hAnsi="Book Antiqua"/>
        </w:rPr>
        <w:t>Mr M Matthews, Senior Presenting Officer</w:t>
      </w:r>
    </w:p>
    <w:p w:rsidR="00DE7DB7" w:rsidRDefault="00DE7DB7" w:rsidP="00402B9E">
      <w:pPr>
        <w:tabs>
          <w:tab w:val="left" w:pos="2520"/>
        </w:tabs>
        <w:jc w:val="center"/>
        <w:rPr>
          <w:rFonts w:ascii="Book Antiqua" w:hAnsi="Book Antiqua" w:cs="Arial"/>
        </w:rPr>
      </w:pPr>
    </w:p>
    <w:p w:rsidR="006D0153" w:rsidRPr="00DF378A" w:rsidRDefault="006D0153" w:rsidP="00402B9E">
      <w:pPr>
        <w:tabs>
          <w:tab w:val="left" w:pos="2520"/>
        </w:tabs>
        <w:jc w:val="center"/>
        <w:rPr>
          <w:rFonts w:ascii="Book Antiqua" w:hAnsi="Book Antiqua" w:cs="Arial"/>
        </w:rPr>
      </w:pPr>
    </w:p>
    <w:p w:rsidR="00402B9E" w:rsidRPr="00DF378A" w:rsidRDefault="00207D73" w:rsidP="007E3B27">
      <w:pPr>
        <w:tabs>
          <w:tab w:val="left" w:pos="2520"/>
        </w:tabs>
        <w:jc w:val="center"/>
        <w:rPr>
          <w:rFonts w:ascii="Book Antiqua" w:hAnsi="Book Antiqua" w:cs="Arial"/>
        </w:rPr>
      </w:pPr>
      <w:r w:rsidRPr="00DF378A">
        <w:rPr>
          <w:rFonts w:ascii="Book Antiqua" w:hAnsi="Book Antiqua" w:cs="Arial"/>
          <w:u w:val="single"/>
        </w:rPr>
        <w:t xml:space="preserve">DECISION </w:t>
      </w:r>
      <w:r w:rsidR="00402B9E" w:rsidRPr="00DF378A">
        <w:rPr>
          <w:rFonts w:ascii="Book Antiqua" w:hAnsi="Book Antiqua" w:cs="Arial"/>
          <w:u w:val="single"/>
        </w:rPr>
        <w:t>AND REASONS</w:t>
      </w:r>
    </w:p>
    <w:p w:rsidR="00E472ED" w:rsidRPr="00DF378A" w:rsidRDefault="00E472ED" w:rsidP="00E472ED">
      <w:pPr>
        <w:pStyle w:val="p"/>
        <w:numPr>
          <w:ilvl w:val="0"/>
          <w:numId w:val="0"/>
        </w:numPr>
        <w:ind w:left="567" w:hanging="567"/>
      </w:pPr>
      <w:r w:rsidRPr="00DF378A">
        <w:t>INTRODUCTION</w:t>
      </w:r>
    </w:p>
    <w:p w:rsidR="00772506" w:rsidRPr="00DF378A" w:rsidRDefault="00772506" w:rsidP="00772506">
      <w:pPr>
        <w:pStyle w:val="p"/>
      </w:pPr>
      <w:r w:rsidRPr="00DF378A">
        <w:t>This an appeal against the decision of First-tier Tribunal Judge D C Clapham who, for reasons given in his decision dated 23 March 2018, dismissed the appeal against the decision to deport the appellant, a national of Romania pursuant to Regulation 23(6)(b) of the Immigration (European Economic Area) Regulations 2016 (the regulations) on grounds of public policy/public security.</w:t>
      </w:r>
    </w:p>
    <w:p w:rsidR="00772506" w:rsidRPr="00DF378A" w:rsidRDefault="00772506" w:rsidP="00772506">
      <w:pPr>
        <w:pStyle w:val="p"/>
      </w:pPr>
      <w:r w:rsidRPr="00DF378A">
        <w:lastRenderedPageBreak/>
        <w:t>The appellant was born on 22 October 1995.  He claims to have been in the United Kingdom since November 2014.</w:t>
      </w:r>
    </w:p>
    <w:p w:rsidR="00772506" w:rsidRPr="00DF378A" w:rsidRDefault="00772506" w:rsidP="00772506">
      <w:pPr>
        <w:pStyle w:val="p"/>
      </w:pPr>
      <w:r w:rsidRPr="00DF378A">
        <w:t xml:space="preserve">The appellant has been convicted on two occasions.  The first was on 9 May 2016 of theft for which he was admonished.  The second was on 14 November 2017 when he was convicted in relation to the possession an offensive weapon, culpable and reckless conduct and failing to attend proceedings for which he was sentenced to twelve months’ imprisonment.  The appellant </w:t>
      </w:r>
      <w:r w:rsidR="004618FC" w:rsidRPr="00DF378A">
        <w:t xml:space="preserve">has </w:t>
      </w:r>
      <w:r w:rsidRPr="00DF378A">
        <w:t>accepted</w:t>
      </w:r>
      <w:r w:rsidR="004618FC" w:rsidRPr="00DF378A">
        <w:t xml:space="preserve"> </w:t>
      </w:r>
      <w:r w:rsidR="00220A24" w:rsidRPr="00DF378A">
        <w:t xml:space="preserve">before the </w:t>
      </w:r>
      <w:proofErr w:type="spellStart"/>
      <w:r w:rsidR="00220A24" w:rsidRPr="00DF378A">
        <w:t>FtT</w:t>
      </w:r>
      <w:proofErr w:type="spellEnd"/>
      <w:r w:rsidR="00220A24" w:rsidRPr="00DF378A">
        <w:t xml:space="preserve"> </w:t>
      </w:r>
      <w:r w:rsidRPr="00DF378A">
        <w:t>that he ha</w:t>
      </w:r>
      <w:r w:rsidR="004618FC" w:rsidRPr="00DF378A">
        <w:t>s</w:t>
      </w:r>
      <w:r w:rsidRPr="00DF378A">
        <w:t xml:space="preserve"> not acquired a permanent right of residence in the United Kingdom.  </w:t>
      </w:r>
      <w:r w:rsidR="006748A7" w:rsidRPr="00DF378A">
        <w:t xml:space="preserve">He gave evidence and </w:t>
      </w:r>
      <w:r w:rsidRPr="00DF378A">
        <w:t>relied on a relationship with</w:t>
      </w:r>
      <w:r w:rsidR="00154898" w:rsidRPr="00DF378A">
        <w:t xml:space="preserve"> a British national, </w:t>
      </w:r>
      <w:r w:rsidR="006D0153">
        <w:t>[</w:t>
      </w:r>
      <w:r w:rsidRPr="00DF378A">
        <w:t>SH</w:t>
      </w:r>
      <w:r w:rsidR="006D0153">
        <w:t xml:space="preserve">] </w:t>
      </w:r>
      <w:r w:rsidR="003D42D6" w:rsidRPr="00DF378A">
        <w:t>who provided a statement in support.</w:t>
      </w:r>
      <w:r w:rsidRPr="00DF378A">
        <w:t xml:space="preserve"> On the appellant’s </w:t>
      </w:r>
      <w:r w:rsidR="002E3A54" w:rsidRPr="00DF378A">
        <w:t>behalf</w:t>
      </w:r>
      <w:r w:rsidRPr="00DF378A">
        <w:t xml:space="preserve"> it was argued that the Secretary of State had not made out his case as only a list of previous convictions had been provided.  </w:t>
      </w:r>
    </w:p>
    <w:p w:rsidR="00772506" w:rsidRPr="00DF378A" w:rsidRDefault="00772506" w:rsidP="00772506">
      <w:pPr>
        <w:pStyle w:val="p"/>
      </w:pPr>
      <w:r w:rsidRPr="00DF378A">
        <w:t>The First-tier Tribunal agreed with the Presenting Officer’s submissions that the appellant had never exercised treaty rights in the United Kingdom. No documentation had been provided in respect of his claimed employment at a factory.  The judge formed the view that the sentence of twelve months’ imprisonment reflected the fact that the appellant was convicted of very serious offences and observed:</w:t>
      </w:r>
    </w:p>
    <w:p w:rsidR="00772506" w:rsidRPr="00DF378A" w:rsidRDefault="00772506" w:rsidP="006D0153">
      <w:pPr>
        <w:pStyle w:val="qn"/>
        <w:spacing w:before="120"/>
        <w:rPr>
          <w:rFonts w:eastAsia="Book Antiqua" w:cs="Book Antiqua"/>
        </w:rPr>
      </w:pPr>
      <w:r w:rsidRPr="00DF378A">
        <w:t>“28.</w:t>
      </w:r>
      <w:r w:rsidRPr="00DF378A">
        <w:tab/>
        <w:t>In my view, the sentence of 12 months’ imprisonment reflects the fact that the Appellant was convicted of very serious offences and I do consider that the offences of which the Appellant was convicted, namely possession of a knife, culpable and reckless conduct and failing to attend solemn proceedings were sufficient to allow the Home Office to conclude that this Appellant did represent a genuine, present and sufficiently serious threat to the public to justify his deportation.  It is of course possible that the Criminal Justice Social Work Report indicated a low risk of future offending.  I simply cannot comment on that because I have not seen the Criminal Justice Social Report.  If the Appellant were represented in the criminal proceedings by a solicitor then that solicitor would presumably have a copy of the Criminal Justice Social Work Report in his file but I cannot enter the realm of speculation as to what any such report might or might not have said.</w:t>
      </w:r>
    </w:p>
    <w:p w:rsidR="00772506" w:rsidRPr="00DF378A" w:rsidRDefault="00772506" w:rsidP="006D0153">
      <w:pPr>
        <w:pStyle w:val="qn"/>
        <w:spacing w:before="120"/>
        <w:rPr>
          <w:rFonts w:eastAsia="Book Antiqua" w:cs="Book Antiqua"/>
        </w:rPr>
      </w:pPr>
      <w:r w:rsidRPr="00DF378A">
        <w:t>29.</w:t>
      </w:r>
      <w:r w:rsidRPr="00DF378A">
        <w:tab/>
        <w:t xml:space="preserve">No doubt the Appellant’s position could have been significantly different if the Appellant had been exercising Treaty Rights in this country for a period of five years but the plain fact of the matter is that he has not.  I do not place any weight on the matter of the Appellant’s claimed relationship with </w:t>
      </w:r>
      <w:r w:rsidR="006D0153">
        <w:t>[</w:t>
      </w:r>
      <w:r w:rsidRPr="00DF378A">
        <w:t>SH</w:t>
      </w:r>
      <w:r w:rsidR="006D0153">
        <w:t xml:space="preserve">] </w:t>
      </w:r>
      <w:r w:rsidRPr="00DF378A">
        <w:t xml:space="preserve">from whom there is no statement.  She did not attend at the hearing to give evidence.  The information about the appellant’s claimed relationship does not suggest that it is of a durable nature and if the relationship were of significance I would have expected that a statement from </w:t>
      </w:r>
      <w:r w:rsidR="006D0153">
        <w:t>[</w:t>
      </w:r>
      <w:r w:rsidR="006D0153" w:rsidRPr="00DF378A">
        <w:t>SH</w:t>
      </w:r>
      <w:r w:rsidR="006D0153">
        <w:t>]</w:t>
      </w:r>
      <w:r w:rsidR="006D0153">
        <w:t xml:space="preserve"> </w:t>
      </w:r>
      <w:r w:rsidRPr="00DF378A">
        <w:t>would have been provided and that she would have attended at the hearing.</w:t>
      </w:r>
    </w:p>
    <w:p w:rsidR="00772506" w:rsidRPr="00DF378A" w:rsidRDefault="00772506" w:rsidP="006D0153">
      <w:pPr>
        <w:pStyle w:val="qn"/>
        <w:spacing w:before="120"/>
        <w:rPr>
          <w:rFonts w:eastAsia="Book Antiqua" w:cs="Book Antiqua"/>
        </w:rPr>
      </w:pPr>
      <w:r w:rsidRPr="00DF378A">
        <w:t>30.</w:t>
      </w:r>
      <w:r w:rsidRPr="00DF378A">
        <w:tab/>
        <w:t xml:space="preserve">In light of the nature of the Appellant’s criminal conviction and consequent sentence of imprisonment, I consider that the Home Office were entitled to reach the decision that they did and that the Appellant’s deportation is proportionate.  The carrying of a knife is a very serious matter and there is a strong public interest in deterring such behaviour.  I shall therefore disallow the </w:t>
      </w:r>
      <w:proofErr w:type="gramStart"/>
      <w:r w:rsidRPr="00DF378A">
        <w:t>appeal.“</w:t>
      </w:r>
      <w:proofErr w:type="gramEnd"/>
    </w:p>
    <w:p w:rsidR="00772506" w:rsidRPr="00DF378A" w:rsidRDefault="00772506" w:rsidP="00772506">
      <w:pPr>
        <w:pStyle w:val="p"/>
      </w:pPr>
      <w:r w:rsidRPr="00DF378A">
        <w:t xml:space="preserve">The grounds of challenge argued a failure by the judge to take into account the appellant’s future offending.  The Criminal Justice Social Work Report now to hand </w:t>
      </w:r>
      <w:r w:rsidRPr="00DF378A">
        <w:lastRenderedPageBreak/>
        <w:t>discloses the appellant as having been assessed “as having a minimum level of risk and needs using the LS/CMI risk assessment tool”.  Had this information been before the First-tier Tribunal</w:t>
      </w:r>
      <w:r w:rsidR="00A319C3" w:rsidRPr="00DF378A">
        <w:t>,</w:t>
      </w:r>
      <w:r w:rsidRPr="00DF378A">
        <w:t xml:space="preserve"> the judge might have well come to a different assessment on whether the Secretary of State was entitled to seek the appellant’s deportation.</w:t>
      </w:r>
    </w:p>
    <w:p w:rsidR="00772506" w:rsidRPr="00DF378A" w:rsidRDefault="00772506" w:rsidP="00772506">
      <w:pPr>
        <w:pStyle w:val="p"/>
        <w:rPr>
          <w:rFonts w:eastAsia="Book Antiqua"/>
        </w:rPr>
      </w:pPr>
      <w:r w:rsidRPr="00DF378A">
        <w:rPr>
          <w:rFonts w:eastAsia="Book Antiqua"/>
        </w:rPr>
        <w:t>In granting permission to appeal First-tier Tribunal Judge Blundell explaining his reasoning at [2] of the grant of permission as follows:</w:t>
      </w:r>
    </w:p>
    <w:p w:rsidR="00772506" w:rsidRPr="00DF378A" w:rsidRDefault="00772506" w:rsidP="006D0153">
      <w:pPr>
        <w:pStyle w:val="q"/>
        <w:spacing w:before="120"/>
        <w:rPr>
          <w:rFonts w:eastAsia="Book Antiqua"/>
        </w:rPr>
      </w:pPr>
      <w:r w:rsidRPr="00DF378A">
        <w:rPr>
          <w:rFonts w:eastAsia="Book Antiqua"/>
        </w:rPr>
        <w:t xml:space="preserve">“I consider it arguable that the judge erred, at [28], in concluding that the appellant represented a genuine, present and sufficiently serious threat to the fundamental interests of the United Kingdom.  It is arguable that the judge did not appreciate that it was for the respondent to establish such a threat: </w:t>
      </w:r>
      <w:proofErr w:type="spellStart"/>
      <w:r w:rsidRPr="00DF378A">
        <w:rPr>
          <w:rFonts w:eastAsia="Book Antiqua"/>
          <w:u w:val="single"/>
        </w:rPr>
        <w:t>Arranz</w:t>
      </w:r>
      <w:proofErr w:type="spellEnd"/>
      <w:r w:rsidRPr="00DF378A">
        <w:rPr>
          <w:rFonts w:eastAsia="Book Antiqua"/>
          <w:u w:val="single"/>
        </w:rPr>
        <w:t xml:space="preserve"> {2017] UKUT 294 (IAC)</w:t>
      </w:r>
      <w:r w:rsidRPr="00DF378A">
        <w:rPr>
          <w:rFonts w:eastAsia="Book Antiqua"/>
        </w:rPr>
        <w:t xml:space="preserve">.  It is also arguable that he looked to the past rather than the future, contrary to [17] of </w:t>
      </w:r>
      <w:proofErr w:type="spellStart"/>
      <w:r w:rsidRPr="00DF378A">
        <w:rPr>
          <w:rFonts w:eastAsia="Book Antiqua"/>
          <w:u w:val="single"/>
        </w:rPr>
        <w:t>Straszewski</w:t>
      </w:r>
      <w:proofErr w:type="spellEnd"/>
      <w:r w:rsidRPr="00DF378A">
        <w:rPr>
          <w:rFonts w:eastAsia="Book Antiqua"/>
          <w:u w:val="single"/>
        </w:rPr>
        <w:t xml:space="preserve"> [2015] EWCA </w:t>
      </w:r>
      <w:proofErr w:type="spellStart"/>
      <w:r w:rsidRPr="00DF378A">
        <w:rPr>
          <w:rFonts w:eastAsia="Book Antiqua"/>
          <w:u w:val="single"/>
        </w:rPr>
        <w:t>Civ</w:t>
      </w:r>
      <w:proofErr w:type="spellEnd"/>
      <w:r w:rsidRPr="00DF378A">
        <w:rPr>
          <w:rFonts w:eastAsia="Book Antiqua"/>
          <w:u w:val="single"/>
        </w:rPr>
        <w:t xml:space="preserve"> 1245; [2016] 1 WLR 1173</w:t>
      </w:r>
      <w:r w:rsidRPr="00DF378A">
        <w:rPr>
          <w:rFonts w:eastAsia="Book Antiqua"/>
        </w:rPr>
        <w:t xml:space="preserve">.  It is further arguable that the judge failed to assess that question for himself, rather than considering whether the respondent was entitled to conclude as she did.  And, finally, it is arguable that the judge allowed the public interest in deterring knife crime to play a part in his decision – [30] refers – despite the guidance given at [11] – [20] of </w:t>
      </w:r>
      <w:proofErr w:type="spellStart"/>
      <w:r w:rsidRPr="00DF378A">
        <w:rPr>
          <w:rFonts w:eastAsia="Book Antiqua"/>
          <w:u w:val="single"/>
        </w:rPr>
        <w:t>Straszewski</w:t>
      </w:r>
      <w:proofErr w:type="spellEnd"/>
      <w:r w:rsidRPr="00DF378A">
        <w:rPr>
          <w:rFonts w:eastAsia="Book Antiqua"/>
          <w:u w:val="single"/>
        </w:rPr>
        <w:t>.</w:t>
      </w:r>
      <w:r w:rsidRPr="00DF378A">
        <w:rPr>
          <w:rFonts w:eastAsia="Book Antiqua"/>
        </w:rPr>
        <w:t>”</w:t>
      </w:r>
    </w:p>
    <w:p w:rsidR="00772506" w:rsidRPr="00DF378A" w:rsidRDefault="00772506" w:rsidP="00772506">
      <w:pPr>
        <w:pStyle w:val="p"/>
        <w:rPr>
          <w:rFonts w:eastAsia="Book Antiqua"/>
        </w:rPr>
      </w:pPr>
      <w:r w:rsidRPr="00DF378A">
        <w:rPr>
          <w:rFonts w:eastAsia="Book Antiqua"/>
        </w:rPr>
        <w:t xml:space="preserve">Mr Bradley explained that the appellant was not at the hearing because he had been removed on 14 April 2018 following the hearing in the First-tier Tribunal.  </w:t>
      </w:r>
      <w:r w:rsidR="00EA7489" w:rsidRPr="00DF378A">
        <w:rPr>
          <w:rFonts w:eastAsia="Book Antiqua"/>
        </w:rPr>
        <w:t>He</w:t>
      </w:r>
      <w:r w:rsidRPr="00DF378A">
        <w:rPr>
          <w:rFonts w:eastAsia="Book Antiqua"/>
        </w:rPr>
        <w:t xml:space="preserve"> sought to amend the grounds based on the points raised in the grant of permission </w:t>
      </w:r>
      <w:proofErr w:type="gramStart"/>
      <w:r w:rsidRPr="00DF378A">
        <w:rPr>
          <w:rFonts w:eastAsia="Book Antiqua"/>
        </w:rPr>
        <w:t>and  I</w:t>
      </w:r>
      <w:proofErr w:type="gramEnd"/>
      <w:r w:rsidRPr="00DF378A">
        <w:rPr>
          <w:rFonts w:eastAsia="Book Antiqua"/>
        </w:rPr>
        <w:t xml:space="preserve"> gave permission in the light of the need to give effect to European law in respect of the Member States</w:t>
      </w:r>
      <w:r w:rsidR="009D051D" w:rsidRPr="00DF378A">
        <w:rPr>
          <w:rFonts w:eastAsia="Book Antiqua"/>
        </w:rPr>
        <w:t xml:space="preserve"> national</w:t>
      </w:r>
      <w:r w:rsidRPr="00DF378A">
        <w:rPr>
          <w:rFonts w:eastAsia="Book Antiqua"/>
        </w:rPr>
        <w:t>’</w:t>
      </w:r>
      <w:r w:rsidR="009D051D" w:rsidRPr="00DF378A">
        <w:rPr>
          <w:rFonts w:eastAsia="Book Antiqua"/>
        </w:rPr>
        <w:t>s</w:t>
      </w:r>
      <w:r w:rsidRPr="00DF378A">
        <w:rPr>
          <w:rFonts w:eastAsia="Book Antiqua"/>
        </w:rPr>
        <w:t xml:space="preserve"> rights </w:t>
      </w:r>
      <w:r w:rsidR="009D051D" w:rsidRPr="00DF378A">
        <w:rPr>
          <w:rFonts w:eastAsia="Book Antiqua"/>
        </w:rPr>
        <w:t xml:space="preserve">in </w:t>
      </w:r>
      <w:r w:rsidRPr="00DF378A">
        <w:rPr>
          <w:rFonts w:eastAsia="Book Antiqua"/>
        </w:rPr>
        <w:t>play in this case.</w:t>
      </w:r>
    </w:p>
    <w:p w:rsidR="00772506" w:rsidRPr="00DF378A" w:rsidRDefault="00772506" w:rsidP="00772506">
      <w:pPr>
        <w:pStyle w:val="p"/>
        <w:rPr>
          <w:rFonts w:eastAsia="Book Antiqua" w:cs="Book Antiqua"/>
        </w:rPr>
      </w:pPr>
      <w:r w:rsidRPr="00DF378A">
        <w:t>Dealing first with the issue whether the First-tier Tribunal had erred in law</w:t>
      </w:r>
      <w:r w:rsidR="00570E5B" w:rsidRPr="00DF378A">
        <w:t>,</w:t>
      </w:r>
      <w:r w:rsidRPr="00DF378A">
        <w:t xml:space="preserve"> Mr Bradley argued that the judge had failed to understand that the burden of proof was on the Secretary of State.  Furthermore</w:t>
      </w:r>
      <w:r w:rsidR="00570E5B" w:rsidRPr="00DF378A">
        <w:t>,</w:t>
      </w:r>
      <w:r w:rsidRPr="00DF378A">
        <w:t xml:space="preserve"> </w:t>
      </w:r>
      <w:r w:rsidR="00570E5B" w:rsidRPr="00DF378A">
        <w:t>the judge</w:t>
      </w:r>
      <w:r w:rsidRPr="00DF378A">
        <w:t xml:space="preserve"> had misdirected himself with regard to the public interest.  In his submission there was insufficient evidence to justify the finding reached.</w:t>
      </w:r>
    </w:p>
    <w:p w:rsidR="00772506" w:rsidRPr="00DF378A" w:rsidRDefault="00772506" w:rsidP="00772506">
      <w:pPr>
        <w:pStyle w:val="p"/>
        <w:rPr>
          <w:rFonts w:eastAsia="Book Antiqua"/>
        </w:rPr>
      </w:pPr>
      <w:r w:rsidRPr="00DF378A">
        <w:rPr>
          <w:rFonts w:eastAsia="Book Antiqua"/>
        </w:rPr>
        <w:t xml:space="preserve">By way of response Mr Matthews considered the crux of the appeal lay in the judge’s analysis at [28] of his decision.  He accepted that the burden of proof was on the respondent.  He further accepted that the decision indicated that the judge was reviewing the </w:t>
      </w:r>
      <w:r w:rsidR="00B14CBD" w:rsidRPr="00DF378A">
        <w:rPr>
          <w:rFonts w:eastAsia="Book Antiqua"/>
        </w:rPr>
        <w:t xml:space="preserve">Secretary of State’s </w:t>
      </w:r>
      <w:r w:rsidRPr="00DF378A">
        <w:rPr>
          <w:rFonts w:eastAsia="Book Antiqua"/>
        </w:rPr>
        <w:t>decision rather than looking at all the evidence before him.</w:t>
      </w:r>
    </w:p>
    <w:p w:rsidR="00772506" w:rsidRPr="00DF378A" w:rsidRDefault="00772506" w:rsidP="00772506">
      <w:pPr>
        <w:pStyle w:val="p"/>
        <w:rPr>
          <w:rFonts w:eastAsia="Book Antiqua"/>
        </w:rPr>
      </w:pPr>
      <w:r w:rsidRPr="00DF378A">
        <w:rPr>
          <w:rFonts w:eastAsia="Book Antiqua"/>
        </w:rPr>
        <w:t xml:space="preserve">I gave my decision at the hearing that I was satisfied the judge had materially erred in law in that he had failed to undertake the task required which was to assess whether the appellant represented a genuine, present and sufficiently serious threat by reference to the provisions in regulation 27. </w:t>
      </w:r>
      <w:r w:rsidR="00423916" w:rsidRPr="00DF378A">
        <w:rPr>
          <w:rFonts w:eastAsia="Book Antiqua"/>
        </w:rPr>
        <w:t xml:space="preserve"> </w:t>
      </w:r>
      <w:r w:rsidRPr="00DF378A">
        <w:rPr>
          <w:rFonts w:eastAsia="Book Antiqua"/>
        </w:rPr>
        <w:t>He had looked back to the respondent’s decision and decided that it was one that the Secretary of State was entitled to make rather than undertaking a merits decision himself on the circumstances at the date of hearing.  This indicated to me that the judge had lost sight of the important point that the burden of proof lay on the Secretary of State to establish that the appellant came within regulation 27(5)(c) and Schedule 1 of the Regulations.  I therefore set aside the decision and sought submissions for its re-making.</w:t>
      </w:r>
    </w:p>
    <w:p w:rsidR="006D0153" w:rsidRDefault="006D0153" w:rsidP="003748C6">
      <w:pPr>
        <w:pStyle w:val="p"/>
        <w:numPr>
          <w:ilvl w:val="0"/>
          <w:numId w:val="0"/>
        </w:numPr>
        <w:rPr>
          <w:rFonts w:eastAsia="Book Antiqua"/>
        </w:rPr>
      </w:pPr>
    </w:p>
    <w:p w:rsidR="003748C6" w:rsidRPr="00DF378A" w:rsidRDefault="003748C6" w:rsidP="003748C6">
      <w:pPr>
        <w:pStyle w:val="p"/>
        <w:numPr>
          <w:ilvl w:val="0"/>
          <w:numId w:val="0"/>
        </w:numPr>
        <w:rPr>
          <w:rFonts w:eastAsia="Book Antiqua"/>
        </w:rPr>
      </w:pPr>
      <w:r w:rsidRPr="00DF378A">
        <w:rPr>
          <w:rFonts w:eastAsia="Book Antiqua"/>
        </w:rPr>
        <w:lastRenderedPageBreak/>
        <w:t>REMAKING THE DECISION</w:t>
      </w:r>
    </w:p>
    <w:p w:rsidR="00772506" w:rsidRPr="00DF378A" w:rsidRDefault="00772506" w:rsidP="00772506">
      <w:pPr>
        <w:pStyle w:val="p"/>
        <w:rPr>
          <w:rFonts w:eastAsia="Book Antiqua"/>
        </w:rPr>
      </w:pPr>
      <w:r w:rsidRPr="00DF378A">
        <w:rPr>
          <w:rFonts w:eastAsia="Book Antiqua"/>
        </w:rPr>
        <w:t>Mr Bradley asked for an adjournment in order for the appellant to give evidence.  Mr Matthews indicated that he was ready to go ahead.  Mr Bradley maintained his request.</w:t>
      </w:r>
    </w:p>
    <w:p w:rsidR="00772506" w:rsidRPr="00DF378A" w:rsidRDefault="00772506" w:rsidP="00772506">
      <w:pPr>
        <w:pStyle w:val="p"/>
        <w:rPr>
          <w:rFonts w:eastAsia="Book Antiqua"/>
        </w:rPr>
      </w:pPr>
      <w:r w:rsidRPr="00DF378A">
        <w:rPr>
          <w:rFonts w:eastAsia="Book Antiqua"/>
        </w:rPr>
        <w:t>I refused the application for an adjournment as no application had been made under regulation 41 to return to the United Kingdom in connection with his appeal.  No statement been provided by the appellant and there was therefore no indication of the evidence that he would be giving. There had been plenty of time for the request to be made.  Mr Bradley had earlier acknowledged that he had been in communication with the appellant.  I nevertheless granted permission for the Criminal Justice Social Work Report to be admitted into evidence.  The following matters were preserved in the decision of the First-tier Tribunal:</w:t>
      </w:r>
    </w:p>
    <w:p w:rsidR="00772506" w:rsidRPr="00DF378A" w:rsidRDefault="00772506" w:rsidP="006D0153">
      <w:pPr>
        <w:pStyle w:val="subRoman"/>
        <w:spacing w:before="120"/>
      </w:pPr>
      <w:r w:rsidRPr="00DF378A">
        <w:t>The appellant does not have a permanent right of residence.  I might add in this regard that he himself has acknowledged this to be the case as explained in his statement dated 6 March 2018.</w:t>
      </w:r>
    </w:p>
    <w:p w:rsidR="00772506" w:rsidRPr="00DF378A" w:rsidRDefault="00772506" w:rsidP="006D0153">
      <w:pPr>
        <w:pStyle w:val="subRoman"/>
        <w:spacing w:before="120"/>
        <w:rPr>
          <w:rFonts w:cs="Book Antiqua"/>
        </w:rPr>
      </w:pPr>
      <w:r w:rsidRPr="00DF378A">
        <w:rPr>
          <w:rFonts w:cs="Book Antiqua"/>
        </w:rPr>
        <w:tab/>
      </w:r>
      <w:r w:rsidRPr="00DF378A">
        <w:t>The</w:t>
      </w:r>
      <w:r w:rsidRPr="00DF378A">
        <w:rPr>
          <w:rFonts w:cs="Book Antiqua"/>
        </w:rPr>
        <w:t xml:space="preserve"> judge’s findings at [25] of the decision in relation to the exercise of treaty rights by the appellant are as follows:</w:t>
      </w:r>
    </w:p>
    <w:p w:rsidR="00772506" w:rsidRPr="00DF378A" w:rsidRDefault="00772506" w:rsidP="006D0153">
      <w:pPr>
        <w:pStyle w:val="subq"/>
        <w:spacing w:before="120"/>
      </w:pPr>
      <w:r w:rsidRPr="00DF378A">
        <w:t>“I agree with the submission of the Home Office Presenting Officer to the effect that there is no evidence that this Appellant has ever exercised Treaty Rights in the United Kingdom.  Although the Appellant said that he had been working in a factory neither wage slips nor any P60 had been produced.  No documentation was produced from HMRC to suggest that the Appellant had been working or paying Income Tax or National Insurance in the United Kingdom.  If the Appellant had been exercising Treaty Rights then I would have expected some documentation to support that to be forthcoming.”</w:t>
      </w:r>
    </w:p>
    <w:p w:rsidR="00772506" w:rsidRPr="00DF378A" w:rsidRDefault="00772506" w:rsidP="006D0153">
      <w:pPr>
        <w:pStyle w:val="p"/>
        <w:rPr>
          <w:rFonts w:eastAsia="Book Antiqua" w:cs="Book Antiqua"/>
        </w:rPr>
      </w:pPr>
      <w:r w:rsidRPr="00DF378A">
        <w:rPr>
          <w:rFonts w:eastAsia="Book Antiqua" w:cs="Book Antiqua"/>
        </w:rPr>
        <w:t xml:space="preserve">I initially indicated that the findings in relation to the appellant’s relationship with </w:t>
      </w:r>
      <w:r w:rsidR="006D0153">
        <w:t xml:space="preserve">[SH] </w:t>
      </w:r>
      <w:r w:rsidRPr="00DF378A">
        <w:t xml:space="preserve">were also preserved however Mr Bradley reminded me that the judge had erred and referred me to a statement by </w:t>
      </w:r>
      <w:r w:rsidR="006D0153" w:rsidRPr="006D0153">
        <w:t>[SH]</w:t>
      </w:r>
      <w:r w:rsidR="006D0153">
        <w:t xml:space="preserve"> </w:t>
      </w:r>
      <w:r w:rsidRPr="00DF378A">
        <w:t xml:space="preserve">dated 13 March 2018.  </w:t>
      </w:r>
    </w:p>
    <w:p w:rsidR="00772506" w:rsidRPr="00DF378A" w:rsidRDefault="00772506" w:rsidP="00772506">
      <w:pPr>
        <w:pStyle w:val="p"/>
        <w:rPr>
          <w:rFonts w:eastAsia="Book Antiqua"/>
        </w:rPr>
      </w:pPr>
      <w:r w:rsidRPr="00DF378A">
        <w:rPr>
          <w:rFonts w:eastAsia="Book Antiqua"/>
        </w:rPr>
        <w:t xml:space="preserve">This statement explains that she is 18 and a pupil at an academy.  She is now seeking work.  She had known the appellant for about five or six months before he was taken into detention and describes her affection for him.  She had been previously living with her mother who was an alcoholic.  She was happy to be with the appellant and each time she had visited in prison it was difficult to leave.  She explained their plans to live together and the kindness </w:t>
      </w:r>
      <w:r w:rsidR="002F1C00" w:rsidRPr="00DF378A">
        <w:rPr>
          <w:rFonts w:eastAsia="Book Antiqua"/>
        </w:rPr>
        <w:t>th</w:t>
      </w:r>
      <w:r w:rsidRPr="00DF378A">
        <w:rPr>
          <w:rFonts w:eastAsia="Book Antiqua"/>
        </w:rPr>
        <w:t xml:space="preserve">e </w:t>
      </w:r>
      <w:r w:rsidR="002F1C00" w:rsidRPr="00DF378A">
        <w:rPr>
          <w:rFonts w:eastAsia="Book Antiqua"/>
        </w:rPr>
        <w:t xml:space="preserve">appellant </w:t>
      </w:r>
      <w:r w:rsidRPr="00DF378A">
        <w:rPr>
          <w:rFonts w:eastAsia="Book Antiqua"/>
        </w:rPr>
        <w:t xml:space="preserve">has shown her.  The judge had indicated that there was no statement from her.  He was wrong to do so but it is unarguable that she was not present at the hearing on 15 March 2018.  </w:t>
      </w:r>
    </w:p>
    <w:p w:rsidR="00772506" w:rsidRPr="00DF378A" w:rsidRDefault="00772506" w:rsidP="00772506">
      <w:pPr>
        <w:pStyle w:val="p"/>
        <w:rPr>
          <w:rFonts w:eastAsia="Book Antiqua"/>
        </w:rPr>
      </w:pPr>
      <w:r w:rsidRPr="00DF378A">
        <w:rPr>
          <w:rFonts w:eastAsia="Book Antiqua"/>
        </w:rPr>
        <w:t>The</w:t>
      </w:r>
      <w:r w:rsidR="003A39B1" w:rsidRPr="00DF378A">
        <w:rPr>
          <w:rFonts w:eastAsia="Book Antiqua"/>
        </w:rPr>
        <w:t xml:space="preserve"> detail of the</w:t>
      </w:r>
      <w:r w:rsidRPr="00DF378A">
        <w:rPr>
          <w:rFonts w:eastAsia="Book Antiqua"/>
        </w:rPr>
        <w:t xml:space="preserve"> offending by the appellant who arrived in the United Kingdo</w:t>
      </w:r>
      <w:r w:rsidR="003A39B1" w:rsidRPr="00DF378A">
        <w:rPr>
          <w:rFonts w:eastAsia="Book Antiqua"/>
        </w:rPr>
        <w:t>m</w:t>
      </w:r>
      <w:r w:rsidRPr="00DF378A">
        <w:rPr>
          <w:rFonts w:eastAsia="Book Antiqua"/>
        </w:rPr>
        <w:t xml:space="preserve"> was as follows:</w:t>
      </w:r>
    </w:p>
    <w:p w:rsidR="00772506" w:rsidRPr="00DF378A" w:rsidRDefault="00772506" w:rsidP="006D0153">
      <w:pPr>
        <w:pStyle w:val="subRoman"/>
        <w:spacing w:before="120"/>
      </w:pPr>
      <w:r w:rsidRPr="00DF378A">
        <w:t>9 May 2016 – convicted of theft at common law for which the appellant was admonished.</w:t>
      </w:r>
    </w:p>
    <w:p w:rsidR="00772506" w:rsidRPr="00DF378A" w:rsidRDefault="00772506" w:rsidP="006D0153">
      <w:pPr>
        <w:pStyle w:val="subRoman"/>
        <w:spacing w:before="120"/>
      </w:pPr>
      <w:r w:rsidRPr="00DF378A">
        <w:lastRenderedPageBreak/>
        <w:t>Conviction on 14 November 2017 of an offensive weapon, for which the appellant was sentenced to 12 months’ imprisonment.</w:t>
      </w:r>
    </w:p>
    <w:p w:rsidR="00772506" w:rsidRPr="00DF378A" w:rsidRDefault="00772506" w:rsidP="006D0153">
      <w:pPr>
        <w:pStyle w:val="subRoman"/>
        <w:spacing w:before="120"/>
      </w:pPr>
      <w:r w:rsidRPr="00DF378A">
        <w:t>Conviction on 14 November 2017 of culpable and reckless conduct at common law for which his sentence was accumulated with (ii) above.</w:t>
      </w:r>
    </w:p>
    <w:p w:rsidR="00772506" w:rsidRPr="00DF378A" w:rsidRDefault="00772506" w:rsidP="006D0153">
      <w:pPr>
        <w:pStyle w:val="subRoman"/>
        <w:spacing w:before="120"/>
      </w:pPr>
      <w:r w:rsidRPr="00DF378A">
        <w:t>Conviction on 14 November 2017 on a failure to attend solemn proceedings in the Sheriff/High Court, with similar accumulation of the sentence.</w:t>
      </w:r>
    </w:p>
    <w:p w:rsidR="00772506" w:rsidRPr="00DF378A" w:rsidRDefault="00772506" w:rsidP="006D0153">
      <w:pPr>
        <w:pStyle w:val="p"/>
        <w:rPr>
          <w:rFonts w:eastAsia="Book Antiqua"/>
        </w:rPr>
      </w:pPr>
      <w:r w:rsidRPr="00DF378A">
        <w:rPr>
          <w:rFonts w:eastAsia="Book Antiqua"/>
        </w:rPr>
        <w:t xml:space="preserve">The appellant relied on a statement before the </w:t>
      </w:r>
      <w:proofErr w:type="spellStart"/>
      <w:r w:rsidRPr="00DF378A">
        <w:rPr>
          <w:rFonts w:eastAsia="Book Antiqua"/>
        </w:rPr>
        <w:t>FtT</w:t>
      </w:r>
      <w:proofErr w:type="spellEnd"/>
      <w:r w:rsidRPr="00DF378A">
        <w:rPr>
          <w:rFonts w:eastAsia="Book Antiqua"/>
        </w:rPr>
        <w:t xml:space="preserve">.  He explains that he had no criminal convictions in Romania and although accepting the crime for which he had been convicted in the United Kingdom </w:t>
      </w:r>
      <w:r w:rsidR="001B1BFA" w:rsidRPr="00DF378A">
        <w:rPr>
          <w:rFonts w:eastAsia="Book Antiqua"/>
        </w:rPr>
        <w:t>w</w:t>
      </w:r>
      <w:r w:rsidRPr="00DF378A">
        <w:rPr>
          <w:rFonts w:eastAsia="Book Antiqua"/>
        </w:rPr>
        <w:t xml:space="preserve">as serious, he did not agree that he represented a genuine present and sufficiently serious threat affecting one of the fundamental interests of society.  With reference to the refusal letter he explains that the conviction was not for a violent act upon another person with a knife and that he did not accept that in the circumstances of his case the chances of a harmful incident taking place had greatly increased.  He referred also to his private life in the United Kingdom having lived here for approximately three years and his relationship with </w:t>
      </w:r>
      <w:r w:rsidR="006D0153" w:rsidRPr="006D0153">
        <w:rPr>
          <w:rFonts w:eastAsia="Book Antiqua"/>
        </w:rPr>
        <w:t>[SH]</w:t>
      </w:r>
      <w:r w:rsidRPr="00DF378A">
        <w:rPr>
          <w:rFonts w:eastAsia="Book Antiqua"/>
        </w:rPr>
        <w:t xml:space="preserve">.  Removal would be in breach of his Article 8 rights.  </w:t>
      </w:r>
    </w:p>
    <w:p w:rsidR="00772506" w:rsidRPr="00DF378A" w:rsidRDefault="00772506" w:rsidP="00772506">
      <w:pPr>
        <w:pStyle w:val="p"/>
        <w:rPr>
          <w:rFonts w:eastAsia="Book Antiqua"/>
        </w:rPr>
      </w:pPr>
      <w:r w:rsidRPr="00DF378A">
        <w:rPr>
          <w:rFonts w:eastAsia="Book Antiqua"/>
        </w:rPr>
        <w:t>The Criminal Justice Social Work Report (the report) is dated 1 December 2017.  The author Ms M Brown had one interview with the appellant on 30 November 2017 together with assistance from an interpreter.  She also had access to the indictment, Social Work Department records and liaison with the Fines Enforcement Department at Glasgow Sheriff Court.  The report focusses on the convictions on 14 November 2017 and it is explained that the appellant pleaded guilty to those offences.  He attributed his actions to attempting to help his ex-partner after receiving a phone call from her friend advising that they were in danger from her husband.  He attended the victim’s home with a knife and proceeded to kick the front door of the property after being assaulted.  He denied that he had threatened to kill the victims or presented a knife at them.  In relation to the failure to attend solemn proceedings, the explanation given to Ms Brown was that the appellant had moved home but had not informed the court or his solicitor.  He did not therefore attend the court because he was unaware of the date.</w:t>
      </w:r>
    </w:p>
    <w:p w:rsidR="00772506" w:rsidRPr="00DF378A" w:rsidRDefault="00772506" w:rsidP="00772506">
      <w:pPr>
        <w:pStyle w:val="p"/>
        <w:rPr>
          <w:rFonts w:eastAsia="Book Antiqua"/>
        </w:rPr>
      </w:pPr>
      <w:r w:rsidRPr="00DF378A">
        <w:rPr>
          <w:rFonts w:eastAsia="Book Antiqua"/>
        </w:rPr>
        <w:t>As to the level of responsibility for the offence, Ms Brown records:</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w:t>
      </w: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accepted partial responsibility for his actions.  He </w:t>
      </w:r>
      <w:proofErr w:type="spellStart"/>
      <w:r w:rsidRPr="00DF378A">
        <w:rPr>
          <w:rFonts w:ascii="Book Antiqua" w:eastAsia="Book Antiqua" w:hAnsi="Book Antiqua" w:cs="Book Antiqua"/>
          <w:sz w:val="22"/>
          <w:szCs w:val="22"/>
        </w:rPr>
        <w:t>minimised</w:t>
      </w:r>
      <w:proofErr w:type="spellEnd"/>
      <w:r w:rsidRPr="00DF378A">
        <w:rPr>
          <w:rFonts w:ascii="Book Antiqua" w:eastAsia="Book Antiqua" w:hAnsi="Book Antiqua" w:cs="Book Antiqua"/>
          <w:sz w:val="22"/>
          <w:szCs w:val="22"/>
        </w:rPr>
        <w:t xml:space="preserve"> responsibility for his offending behavior by denying that he acted in a manner detailed in the indictment, stating that he did not utter death threats or present a knife at the victims.  </w:t>
      </w:r>
    </w:p>
    <w:p w:rsidR="00772506" w:rsidRPr="00DF378A" w:rsidRDefault="00772506" w:rsidP="006D0153">
      <w:pPr>
        <w:pStyle w:val="Body"/>
        <w:spacing w:before="120"/>
        <w:ind w:left="1134"/>
        <w:jc w:val="both"/>
        <w:rPr>
          <w:rFonts w:ascii="Book Antiqua" w:eastAsia="Book Antiqua" w:hAnsi="Book Antiqua" w:cs="Book Antiqua"/>
          <w:sz w:val="22"/>
          <w:szCs w:val="22"/>
        </w:rPr>
      </w:pP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also attempted to </w:t>
      </w:r>
      <w:proofErr w:type="spellStart"/>
      <w:r w:rsidRPr="00DF378A">
        <w:rPr>
          <w:rFonts w:ascii="Book Antiqua" w:eastAsia="Book Antiqua" w:hAnsi="Book Antiqua" w:cs="Book Antiqua"/>
          <w:sz w:val="22"/>
          <w:szCs w:val="22"/>
        </w:rPr>
        <w:t>minimise</w:t>
      </w:r>
      <w:proofErr w:type="spellEnd"/>
      <w:r w:rsidRPr="00DF378A">
        <w:rPr>
          <w:rFonts w:ascii="Book Antiqua" w:eastAsia="Book Antiqua" w:hAnsi="Book Antiqua" w:cs="Book Antiqua"/>
          <w:sz w:val="22"/>
          <w:szCs w:val="22"/>
        </w:rPr>
        <w:t xml:space="preserve"> responsibility for failing to attend court by stating that he was not aware of the hearing.  This is despite him failing to provide details of his current address to the court.  </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 xml:space="preserve">Furthermore, </w:t>
      </w: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attempted to apportion a level of blame onto the victim stating that he kicked the door after being assaulted by one of the victims.”</w:t>
      </w:r>
    </w:p>
    <w:p w:rsidR="00772506" w:rsidRPr="00DF378A" w:rsidRDefault="00772506" w:rsidP="00772506">
      <w:pPr>
        <w:pStyle w:val="p"/>
        <w:rPr>
          <w:rFonts w:eastAsia="Book Antiqua"/>
        </w:rPr>
      </w:pPr>
      <w:r w:rsidRPr="00DF378A">
        <w:rPr>
          <w:rFonts w:eastAsia="Book Antiqua"/>
        </w:rPr>
        <w:t xml:space="preserve">Ms Brown records </w:t>
      </w:r>
      <w:r w:rsidR="000F10F5" w:rsidRPr="00DF378A">
        <w:rPr>
          <w:rFonts w:eastAsia="Book Antiqua"/>
        </w:rPr>
        <w:t xml:space="preserve">that </w:t>
      </w:r>
      <w:r w:rsidRPr="00DF378A">
        <w:rPr>
          <w:rFonts w:eastAsia="Book Antiqua"/>
        </w:rPr>
        <w:t>the appellant’s offending behavio</w:t>
      </w:r>
      <w:r w:rsidR="00985622" w:rsidRPr="00DF378A">
        <w:rPr>
          <w:rFonts w:eastAsia="Book Antiqua"/>
        </w:rPr>
        <w:t>u</w:t>
      </w:r>
      <w:r w:rsidRPr="00DF378A">
        <w:rPr>
          <w:rFonts w:eastAsia="Book Antiqua"/>
        </w:rPr>
        <w:t xml:space="preserve">r was planned and that he had made a conscious decision to attend the home with a knife and acted in a reckless manner.  As to his insight and attitude she </w:t>
      </w:r>
      <w:r w:rsidR="000F10F5" w:rsidRPr="00DF378A">
        <w:rPr>
          <w:rFonts w:eastAsia="Book Antiqua"/>
        </w:rPr>
        <w:t>notes</w:t>
      </w:r>
      <w:r w:rsidRPr="00DF378A">
        <w:rPr>
          <w:rFonts w:eastAsia="Book Antiqua"/>
        </w:rPr>
        <w:t>:</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lastRenderedPageBreak/>
        <w:t>“</w:t>
      </w: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acknowledged that it was his intention to gain access to the home of one of the victims </w:t>
      </w:r>
      <w:proofErr w:type="gramStart"/>
      <w:r w:rsidRPr="00DF378A">
        <w:rPr>
          <w:rFonts w:ascii="Book Antiqua" w:eastAsia="Book Antiqua" w:hAnsi="Book Antiqua" w:cs="Book Antiqua"/>
          <w:sz w:val="22"/>
          <w:szCs w:val="22"/>
        </w:rPr>
        <w:t>in order to</w:t>
      </w:r>
      <w:proofErr w:type="gramEnd"/>
      <w:r w:rsidRPr="00DF378A">
        <w:rPr>
          <w:rFonts w:ascii="Book Antiqua" w:eastAsia="Book Antiqua" w:hAnsi="Book Antiqua" w:cs="Book Antiqua"/>
          <w:sz w:val="22"/>
          <w:szCs w:val="22"/>
        </w:rPr>
        <w:t xml:space="preserve"> assault the male victim.  Despite this, he was unable to </w:t>
      </w:r>
      <w:proofErr w:type="spellStart"/>
      <w:r w:rsidRPr="00DF378A">
        <w:rPr>
          <w:rFonts w:ascii="Book Antiqua" w:eastAsia="Book Antiqua" w:hAnsi="Book Antiqua" w:cs="Book Antiqua"/>
          <w:sz w:val="22"/>
          <w:szCs w:val="22"/>
        </w:rPr>
        <w:t>recognise</w:t>
      </w:r>
      <w:proofErr w:type="spellEnd"/>
      <w:r w:rsidRPr="00DF378A">
        <w:rPr>
          <w:rFonts w:ascii="Book Antiqua" w:eastAsia="Book Antiqua" w:hAnsi="Book Antiqua" w:cs="Book Antiqua"/>
          <w:sz w:val="22"/>
          <w:szCs w:val="22"/>
        </w:rPr>
        <w:t xml:space="preserve"> the potential consequences of his actions, maintaining that he would not have used the knife in his possession.  </w:t>
      </w:r>
    </w:p>
    <w:p w:rsidR="00772506" w:rsidRPr="00DF378A" w:rsidRDefault="00772506" w:rsidP="006D0153">
      <w:pPr>
        <w:pStyle w:val="Body"/>
        <w:spacing w:before="120"/>
        <w:ind w:left="1134"/>
        <w:jc w:val="both"/>
        <w:rPr>
          <w:rFonts w:ascii="Book Antiqua" w:eastAsia="Book Antiqua" w:hAnsi="Book Antiqua" w:cs="Book Antiqua"/>
          <w:sz w:val="22"/>
          <w:szCs w:val="22"/>
        </w:rPr>
      </w:pP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was able to </w:t>
      </w:r>
      <w:proofErr w:type="spellStart"/>
      <w:r w:rsidRPr="00DF378A">
        <w:rPr>
          <w:rFonts w:ascii="Book Antiqua" w:eastAsia="Book Antiqua" w:hAnsi="Book Antiqua" w:cs="Book Antiqua"/>
          <w:sz w:val="22"/>
          <w:szCs w:val="22"/>
        </w:rPr>
        <w:t>recognise</w:t>
      </w:r>
      <w:proofErr w:type="spellEnd"/>
      <w:r w:rsidRPr="00DF378A">
        <w:rPr>
          <w:rFonts w:ascii="Book Antiqua" w:eastAsia="Book Antiqua" w:hAnsi="Book Antiqua" w:cs="Book Antiqua"/>
          <w:sz w:val="22"/>
          <w:szCs w:val="22"/>
        </w:rPr>
        <w:t xml:space="preserve"> that his actions [sic] were unacceptable, however presented as lacking remorse for his offending behavior.  He did not recognize the gravity of his actions.”</w:t>
      </w:r>
    </w:p>
    <w:p w:rsidR="00772506" w:rsidRPr="00DF378A" w:rsidRDefault="00772506" w:rsidP="00772506">
      <w:pPr>
        <w:pStyle w:val="p"/>
        <w:rPr>
          <w:rFonts w:eastAsia="Book Antiqua"/>
        </w:rPr>
      </w:pPr>
      <w:r w:rsidRPr="00DF378A">
        <w:rPr>
          <w:rFonts w:eastAsia="Book Antiqua"/>
        </w:rPr>
        <w:t xml:space="preserve">The report refers to the appellant’s unemployment in Romania on completion of his education and also to employment at a carwash on relocating to Glasgow for some four months, followed by employment in a chicken production factory where he remained for a year before securing employment in an abattoir where he was then employed.  He reported </w:t>
      </w:r>
      <w:r w:rsidR="001F7EC0" w:rsidRPr="00DF378A">
        <w:rPr>
          <w:rFonts w:eastAsia="Book Antiqua"/>
        </w:rPr>
        <w:t>that he had</w:t>
      </w:r>
      <w:r w:rsidRPr="00DF378A">
        <w:rPr>
          <w:rFonts w:eastAsia="Book Antiqua"/>
        </w:rPr>
        <w:t xml:space="preserve"> no outstanding fines however Ms Brown indicates that liaison with the Fines Enforcement Department at Glasgow Sheriff Court indicated that he had four outstanding fines </w:t>
      </w:r>
      <w:proofErr w:type="spellStart"/>
      <w:r w:rsidRPr="00DF378A">
        <w:rPr>
          <w:rFonts w:eastAsia="Book Antiqua"/>
        </w:rPr>
        <w:t>totaling</w:t>
      </w:r>
      <w:proofErr w:type="spellEnd"/>
      <w:r w:rsidRPr="00DF378A">
        <w:rPr>
          <w:rFonts w:eastAsia="Book Antiqua"/>
        </w:rPr>
        <w:t xml:space="preserve"> £255 from 2015.  He had not made any payments towards those fines. </w:t>
      </w:r>
    </w:p>
    <w:p w:rsidR="009D5522" w:rsidRPr="00DF378A" w:rsidRDefault="00772506" w:rsidP="009D5522">
      <w:pPr>
        <w:pStyle w:val="p"/>
        <w:rPr>
          <w:rFonts w:eastAsia="Book Antiqua"/>
        </w:rPr>
      </w:pPr>
      <w:r w:rsidRPr="00DF378A">
        <w:rPr>
          <w:rFonts w:eastAsia="Book Antiqua"/>
        </w:rPr>
        <w:t>The risk factors identified by Ms Brown were:</w:t>
      </w:r>
      <w:r w:rsidR="00BD2084" w:rsidRPr="00DF378A">
        <w:t xml:space="preserve"> </w:t>
      </w:r>
    </w:p>
    <w:p w:rsidR="00BD2084" w:rsidRPr="00DF378A" w:rsidRDefault="00BD2084" w:rsidP="006D0153">
      <w:pPr>
        <w:pStyle w:val="subRoman"/>
        <w:spacing w:before="120"/>
      </w:pPr>
      <w:r w:rsidRPr="00DF378A">
        <w:t>Attitudes/orientation: supportive of crime.</w:t>
      </w:r>
    </w:p>
    <w:p w:rsidR="00BD2084" w:rsidRPr="00DF378A" w:rsidRDefault="00BD2084" w:rsidP="006D0153">
      <w:pPr>
        <w:pStyle w:val="subRoman"/>
        <w:spacing w:before="120"/>
      </w:pPr>
      <w:r w:rsidRPr="00DF378A">
        <w:t>Limited insight into offending.</w:t>
      </w:r>
    </w:p>
    <w:p w:rsidR="00772506" w:rsidRPr="00DF378A" w:rsidRDefault="00BD2084" w:rsidP="006D0153">
      <w:pPr>
        <w:pStyle w:val="subRoman"/>
        <w:spacing w:before="120"/>
      </w:pPr>
      <w:r w:rsidRPr="00DF378A">
        <w:t>Lack of victim empathy</w:t>
      </w:r>
    </w:p>
    <w:p w:rsidR="00772506" w:rsidRPr="00DF378A" w:rsidRDefault="00614F80" w:rsidP="009D5522">
      <w:pPr>
        <w:pStyle w:val="p"/>
        <w:rPr>
          <w:rFonts w:eastAsia="Book Antiqua"/>
        </w:rPr>
      </w:pPr>
      <w:r w:rsidRPr="00DF378A">
        <w:t>Her</w:t>
      </w:r>
      <w:r w:rsidR="00772506" w:rsidRPr="00DF378A">
        <w:t xml:space="preserve"> risk assessment undertake</w:t>
      </w:r>
      <w:r w:rsidRPr="00DF378A">
        <w:t>n</w:t>
      </w:r>
      <w:r w:rsidR="00772506" w:rsidRPr="00DF378A">
        <w:t xml:space="preserve"> records a failure by the appellant to recognise the seriousness of his action and that harm that could have been caused.  She refers to his actions being planned and that he had made the conscious decision to carry a weapon and committed the index offence with an intention to inflict violence on the victims.  In respect of likelihood, she records:</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w:t>
      </w: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w:t>
      </w:r>
      <w:proofErr w:type="spellEnd"/>
      <w:r w:rsidRPr="00DF378A">
        <w:rPr>
          <w:rFonts w:ascii="Book Antiqua" w:eastAsia="Book Antiqua" w:hAnsi="Book Antiqua" w:cs="Book Antiqua"/>
          <w:sz w:val="22"/>
          <w:szCs w:val="22"/>
        </w:rPr>
        <w:t xml:space="preserve"> has been assessed as having a minimum level of risk and needs using the LS/CMI risk assessment tool.  This is attributed to his limited prior involvement in offending behavior and his largely pro-social lifestyle.  Despite this, </w:t>
      </w:r>
      <w:proofErr w:type="spellStart"/>
      <w:r w:rsidRPr="00DF378A">
        <w:rPr>
          <w:rFonts w:ascii="Book Antiqua" w:eastAsia="Book Antiqua" w:hAnsi="Book Antiqua" w:cs="Book Antiqua"/>
          <w:sz w:val="22"/>
          <w:szCs w:val="22"/>
        </w:rPr>
        <w:t>Mr</w:t>
      </w:r>
      <w:proofErr w:type="spellEnd"/>
      <w:r w:rsidRPr="00DF378A">
        <w:rPr>
          <w:rFonts w:ascii="Book Antiqua" w:eastAsia="Book Antiqua" w:hAnsi="Book Antiqua" w:cs="Book Antiqua"/>
          <w:sz w:val="22"/>
          <w:szCs w:val="22"/>
        </w:rPr>
        <w:t xml:space="preserve"> </w:t>
      </w:r>
      <w:proofErr w:type="spellStart"/>
      <w:r w:rsidRPr="00DF378A">
        <w:rPr>
          <w:rFonts w:ascii="Book Antiqua" w:eastAsia="Book Antiqua" w:hAnsi="Book Antiqua" w:cs="Book Antiqua"/>
          <w:sz w:val="22"/>
          <w:szCs w:val="22"/>
        </w:rPr>
        <w:t>Tudora’s</w:t>
      </w:r>
      <w:proofErr w:type="spellEnd"/>
      <w:r w:rsidRPr="00DF378A">
        <w:rPr>
          <w:rFonts w:ascii="Book Antiqua" w:eastAsia="Book Antiqua" w:hAnsi="Book Antiqua" w:cs="Book Antiqua"/>
          <w:sz w:val="22"/>
          <w:szCs w:val="22"/>
        </w:rPr>
        <w:t xml:space="preserve"> offending behavior is of serious concern as it had the capacity to cause significant harm to others.”</w:t>
      </w:r>
    </w:p>
    <w:p w:rsidR="00772506" w:rsidRPr="00DF378A" w:rsidRDefault="00772506" w:rsidP="00FF1ADF">
      <w:pPr>
        <w:pStyle w:val="p"/>
        <w:rPr>
          <w:rFonts w:eastAsia="Book Antiqua"/>
        </w:rPr>
      </w:pPr>
      <w:r w:rsidRPr="00DF378A">
        <w:rPr>
          <w:rFonts w:eastAsia="Book Antiqua"/>
        </w:rPr>
        <w:t xml:space="preserve">In respect of serious harm/imminence, Ms Brown explains that despite the capacity to cause serious harm to others the appellant had no other convictions relating to violence and therefore there was no indication that he currently presents an imminent risk of harm to others.  By way of conclusion </w:t>
      </w:r>
      <w:r w:rsidR="00E472ED" w:rsidRPr="00DF378A">
        <w:rPr>
          <w:rFonts w:eastAsia="Book Antiqua"/>
        </w:rPr>
        <w:t>she</w:t>
      </w:r>
      <w:r w:rsidRPr="00DF378A">
        <w:rPr>
          <w:rFonts w:eastAsia="Book Antiqua"/>
        </w:rPr>
        <w:t xml:space="preserve"> reports:</w:t>
      </w:r>
    </w:p>
    <w:p w:rsidR="00772506" w:rsidRPr="00DF378A" w:rsidRDefault="00772506" w:rsidP="003F21E4">
      <w:pPr>
        <w:pStyle w:val="q"/>
        <w:spacing w:before="120"/>
        <w:rPr>
          <w:rFonts w:eastAsia="Book Antiqua"/>
        </w:rPr>
      </w:pPr>
      <w:r w:rsidRPr="00DF378A">
        <w:rPr>
          <w:rFonts w:eastAsia="Book Antiqua"/>
        </w:rPr>
        <w:t xml:space="preserve">“Mr </w:t>
      </w:r>
      <w:proofErr w:type="spellStart"/>
      <w:r w:rsidRPr="00DF378A">
        <w:rPr>
          <w:rFonts w:eastAsia="Book Antiqua"/>
        </w:rPr>
        <w:t>Tudora</w:t>
      </w:r>
      <w:proofErr w:type="spellEnd"/>
      <w:r w:rsidRPr="00DF378A">
        <w:rPr>
          <w:rFonts w:eastAsia="Book Antiqua"/>
        </w:rPr>
        <w:t xml:space="preserve"> appears before the court for the second time since his initial involvement in offending in 2016.  The index offences </w:t>
      </w:r>
      <w:proofErr w:type="gramStart"/>
      <w:r w:rsidRPr="00DF378A">
        <w:rPr>
          <w:rFonts w:eastAsia="Book Antiqua"/>
        </w:rPr>
        <w:t>reflects</w:t>
      </w:r>
      <w:proofErr w:type="gramEnd"/>
      <w:r w:rsidRPr="00DF378A">
        <w:rPr>
          <w:rFonts w:eastAsia="Book Antiqua"/>
        </w:rPr>
        <w:t xml:space="preserve"> a shift in the nature of his offending and relates to violence and a failure to appear in court.  Mr </w:t>
      </w:r>
      <w:proofErr w:type="spellStart"/>
      <w:r w:rsidRPr="00DF378A">
        <w:rPr>
          <w:rFonts w:eastAsia="Book Antiqua"/>
        </w:rPr>
        <w:t>Tudora</w:t>
      </w:r>
      <w:proofErr w:type="spellEnd"/>
      <w:r w:rsidRPr="00DF378A">
        <w:rPr>
          <w:rFonts w:eastAsia="Book Antiqua"/>
        </w:rPr>
        <w:t xml:space="preserve"> lacked insight into his offending </w:t>
      </w:r>
      <w:proofErr w:type="spellStart"/>
      <w:r w:rsidRPr="00DF378A">
        <w:rPr>
          <w:rFonts w:eastAsia="Book Antiqua"/>
        </w:rPr>
        <w:t>behavior</w:t>
      </w:r>
      <w:proofErr w:type="spellEnd"/>
      <w:r w:rsidRPr="00DF378A">
        <w:rPr>
          <w:rFonts w:eastAsia="Book Antiqua"/>
        </w:rPr>
        <w:t xml:space="preserve"> and was unable to recognise the potential consequences of his actions and the impact on victims.  </w:t>
      </w:r>
    </w:p>
    <w:p w:rsidR="00772506" w:rsidRPr="00DF378A" w:rsidRDefault="00772506" w:rsidP="003F21E4">
      <w:pPr>
        <w:pStyle w:val="q"/>
        <w:spacing w:before="120"/>
        <w:rPr>
          <w:rFonts w:eastAsia="Book Antiqua"/>
        </w:rPr>
      </w:pPr>
      <w:r w:rsidRPr="00DF378A">
        <w:rPr>
          <w:rFonts w:eastAsia="Book Antiqua"/>
        </w:rPr>
        <w:t xml:space="preserve">Mr </w:t>
      </w:r>
      <w:proofErr w:type="spellStart"/>
      <w:r w:rsidRPr="00DF378A">
        <w:rPr>
          <w:rFonts w:eastAsia="Book Antiqua"/>
        </w:rPr>
        <w:t>Tudora</w:t>
      </w:r>
      <w:proofErr w:type="spellEnd"/>
      <w:r w:rsidRPr="00DF378A">
        <w:rPr>
          <w:rFonts w:eastAsia="Book Antiqua"/>
        </w:rPr>
        <w:t xml:space="preserve"> has been assessed as having a minimum level of risk and needs using the LS/CMI risk assessment tools.  The primary factor associated with this offending </w:t>
      </w:r>
      <w:proofErr w:type="spellStart"/>
      <w:r w:rsidRPr="00DF378A">
        <w:rPr>
          <w:rFonts w:eastAsia="Book Antiqua"/>
        </w:rPr>
        <w:t>behavior</w:t>
      </w:r>
      <w:proofErr w:type="spellEnd"/>
      <w:r w:rsidRPr="00DF378A">
        <w:rPr>
          <w:rFonts w:eastAsia="Book Antiqua"/>
        </w:rPr>
        <w:t xml:space="preserve"> has been identified as attitude towards offending </w:t>
      </w:r>
      <w:proofErr w:type="spellStart"/>
      <w:r w:rsidRPr="00DF378A">
        <w:rPr>
          <w:rFonts w:eastAsia="Book Antiqua"/>
        </w:rPr>
        <w:t>behavior</w:t>
      </w:r>
      <w:proofErr w:type="spellEnd"/>
      <w:r w:rsidRPr="00DF378A">
        <w:rPr>
          <w:rFonts w:eastAsia="Book Antiqua"/>
        </w:rPr>
        <w:t xml:space="preserve">.  Despite this Mr </w:t>
      </w:r>
      <w:proofErr w:type="spellStart"/>
      <w:r w:rsidRPr="00DF378A">
        <w:rPr>
          <w:rFonts w:eastAsia="Book Antiqua"/>
        </w:rPr>
        <w:lastRenderedPageBreak/>
        <w:t>Tudora’s</w:t>
      </w:r>
      <w:proofErr w:type="spellEnd"/>
      <w:r w:rsidRPr="00DF378A">
        <w:rPr>
          <w:rFonts w:eastAsia="Book Antiqua"/>
        </w:rPr>
        <w:t xml:space="preserve"> offending </w:t>
      </w:r>
      <w:proofErr w:type="spellStart"/>
      <w:r w:rsidRPr="00DF378A">
        <w:rPr>
          <w:rFonts w:eastAsia="Book Antiqua"/>
        </w:rPr>
        <w:t>behavior</w:t>
      </w:r>
      <w:proofErr w:type="spellEnd"/>
      <w:r w:rsidRPr="00DF378A">
        <w:rPr>
          <w:rFonts w:eastAsia="Book Antiqua"/>
        </w:rPr>
        <w:t xml:space="preserve"> was of a serious nature and had the capacity to cause serious harm to the victims.”</w:t>
      </w:r>
    </w:p>
    <w:p w:rsidR="00772506" w:rsidRPr="00DF378A" w:rsidRDefault="00772506" w:rsidP="00772506">
      <w:pPr>
        <w:pStyle w:val="p"/>
        <w:rPr>
          <w:rFonts w:eastAsia="Book Antiqua"/>
        </w:rPr>
      </w:pPr>
      <w:r w:rsidRPr="00DF378A">
        <w:rPr>
          <w:rFonts w:eastAsia="Book Antiqua"/>
        </w:rPr>
        <w:t>The relevant provisions of reg. 27 are as follows:</w:t>
      </w:r>
    </w:p>
    <w:p w:rsidR="00772506" w:rsidRPr="00DF378A" w:rsidRDefault="00772506" w:rsidP="006D0153">
      <w:pPr>
        <w:pStyle w:val="Body"/>
        <w:tabs>
          <w:tab w:val="left" w:pos="1701"/>
        </w:tabs>
        <w:spacing w:before="120"/>
        <w:ind w:left="2268" w:hanging="1134"/>
        <w:jc w:val="both"/>
        <w:rPr>
          <w:rFonts w:ascii="Book Antiqua" w:eastAsia="Book Antiqua" w:hAnsi="Book Antiqua" w:cs="Book Antiqua"/>
          <w:sz w:val="22"/>
          <w:szCs w:val="22"/>
        </w:rPr>
      </w:pPr>
      <w:r w:rsidRPr="00DF378A">
        <w:rPr>
          <w:rFonts w:ascii="Book Antiqua" w:eastAsia="Book Antiqua" w:hAnsi="Book Antiqua" w:cs="Book Antiqua"/>
        </w:rPr>
        <w:t>“</w:t>
      </w:r>
      <w:r w:rsidRPr="00DF378A">
        <w:rPr>
          <w:rFonts w:ascii="Book Antiqua" w:eastAsia="Book Antiqua" w:hAnsi="Book Antiqua" w:cs="Book Antiqua"/>
          <w:sz w:val="22"/>
          <w:szCs w:val="22"/>
        </w:rPr>
        <w:t>27.</w:t>
      </w:r>
      <w:r w:rsidRPr="00DF378A">
        <w:rPr>
          <w:rFonts w:ascii="Book Antiqua" w:eastAsia="Book Antiqua" w:hAnsi="Book Antiqua" w:cs="Book Antiqua"/>
          <w:sz w:val="22"/>
          <w:szCs w:val="22"/>
        </w:rPr>
        <w:tab/>
        <w:t>(1)</w:t>
      </w:r>
      <w:r w:rsidRPr="00DF378A">
        <w:rPr>
          <w:rFonts w:ascii="Book Antiqua" w:eastAsia="Book Antiqua" w:hAnsi="Book Antiqua" w:cs="Book Antiqua"/>
          <w:sz w:val="22"/>
          <w:szCs w:val="22"/>
        </w:rPr>
        <w:tab/>
        <w:t>In this regulation a ‘relevant decision’ means an EEA decision taken on the grounds of public policy, public security or public health.</w:t>
      </w:r>
    </w:p>
    <w:p w:rsidR="00772506" w:rsidRPr="00DF378A" w:rsidRDefault="00772506" w:rsidP="006D0153">
      <w:pPr>
        <w:pStyle w:val="Body"/>
        <w:tabs>
          <w:tab w:val="left" w:pos="1701"/>
        </w:tabs>
        <w:spacing w:before="120"/>
        <w:ind w:left="2268" w:hanging="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ab/>
        <w:t>(2)</w:t>
      </w:r>
      <w:r w:rsidRPr="00DF378A">
        <w:rPr>
          <w:rFonts w:ascii="Book Antiqua" w:eastAsia="Book Antiqua" w:hAnsi="Book Antiqua" w:cs="Book Antiqua"/>
          <w:sz w:val="22"/>
          <w:szCs w:val="22"/>
        </w:rPr>
        <w:tab/>
        <w:t xml:space="preserve">A relevant decision may not be taken to serve economic ends.  </w:t>
      </w:r>
    </w:p>
    <w:p w:rsidR="00772506" w:rsidRPr="00DF378A" w:rsidRDefault="00772506" w:rsidP="006D0153">
      <w:pPr>
        <w:pStyle w:val="Body"/>
        <w:tabs>
          <w:tab w:val="left" w:pos="1701"/>
        </w:tabs>
        <w:spacing w:before="120"/>
        <w:ind w:left="2268" w:hanging="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ab/>
        <w:t>…</w:t>
      </w:r>
    </w:p>
    <w:p w:rsidR="00772506" w:rsidRPr="00DF378A" w:rsidRDefault="00772506" w:rsidP="006D0153">
      <w:pPr>
        <w:pStyle w:val="Body"/>
        <w:tabs>
          <w:tab w:val="left" w:pos="1701"/>
        </w:tabs>
        <w:spacing w:before="120"/>
        <w:ind w:left="2268" w:hanging="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ab/>
        <w:t>(5)</w:t>
      </w:r>
      <w:r w:rsidRPr="00DF378A">
        <w:rPr>
          <w:rFonts w:ascii="Book Antiqua" w:eastAsia="Book Antiqua" w:hAnsi="Book Antiqua" w:cs="Book Antiqua"/>
          <w:sz w:val="22"/>
          <w:szCs w:val="22"/>
        </w:rPr>
        <w:tab/>
        <w:t xml:space="preserve">The public policy and public security requirements of the United Kingdom include restricting rights otherwise conferred by these Regulations </w:t>
      </w:r>
      <w:proofErr w:type="gramStart"/>
      <w:r w:rsidRPr="00DF378A">
        <w:rPr>
          <w:rFonts w:ascii="Book Antiqua" w:eastAsia="Book Antiqua" w:hAnsi="Book Antiqua" w:cs="Book Antiqua"/>
          <w:sz w:val="22"/>
          <w:szCs w:val="22"/>
        </w:rPr>
        <w:t>in order to</w:t>
      </w:r>
      <w:proofErr w:type="gramEnd"/>
      <w:r w:rsidRPr="00DF378A">
        <w:rPr>
          <w:rFonts w:ascii="Book Antiqua" w:eastAsia="Book Antiqua" w:hAnsi="Book Antiqua" w:cs="Book Antiqua"/>
          <w:sz w:val="22"/>
          <w:szCs w:val="22"/>
        </w:rPr>
        <w:t xml:space="preserve"> protect the fundamental interests of society, and where a relevant decision is taken on grounds of public policy or public security it must be taken in accordance with the following principles –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(a)</w:t>
      </w:r>
      <w:r w:rsidRPr="00DF378A">
        <w:rPr>
          <w:rFonts w:ascii="Book Antiqua" w:eastAsia="Book Antiqua" w:hAnsi="Book Antiqua" w:cs="Book Antiqua"/>
          <w:sz w:val="22"/>
          <w:szCs w:val="22"/>
        </w:rPr>
        <w:tab/>
        <w:t xml:space="preserve">the decision must comply with the principle of proportionality;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(b)</w:t>
      </w:r>
      <w:r w:rsidRPr="00DF378A">
        <w:rPr>
          <w:rFonts w:ascii="Book Antiqua" w:eastAsia="Book Antiqua" w:hAnsi="Book Antiqua" w:cs="Book Antiqua"/>
          <w:sz w:val="22"/>
          <w:szCs w:val="22"/>
        </w:rPr>
        <w:tab/>
        <w:t xml:space="preserve">the decision must be based exclusively on the personal conduct of the person concerned;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(c)</w:t>
      </w:r>
      <w:r w:rsidRPr="00DF378A">
        <w:rPr>
          <w:rFonts w:ascii="Book Antiqua" w:eastAsia="Book Antiqua" w:hAnsi="Book Antiqua" w:cs="Book Antiqua"/>
          <w:sz w:val="22"/>
          <w:szCs w:val="22"/>
        </w:rPr>
        <w:tab/>
        <w:t xml:space="preserve">the personal conduct of the person must represent a genuine, present and sufficiently serious threat affecting one of the fundamental interests of society, </w:t>
      </w:r>
      <w:proofErr w:type="gramStart"/>
      <w:r w:rsidRPr="00DF378A">
        <w:rPr>
          <w:rFonts w:ascii="Book Antiqua" w:eastAsia="Book Antiqua" w:hAnsi="Book Antiqua" w:cs="Book Antiqua"/>
          <w:sz w:val="22"/>
          <w:szCs w:val="22"/>
        </w:rPr>
        <w:t>taking into account</w:t>
      </w:r>
      <w:proofErr w:type="gramEnd"/>
      <w:r w:rsidRPr="00DF378A">
        <w:rPr>
          <w:rFonts w:ascii="Book Antiqua" w:eastAsia="Book Antiqua" w:hAnsi="Book Antiqua" w:cs="Book Antiqua"/>
          <w:sz w:val="22"/>
          <w:szCs w:val="22"/>
        </w:rPr>
        <w:t xml:space="preserve"> past conduct of the person and that the threat does not need to be imminent;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(d)</w:t>
      </w:r>
      <w:r w:rsidRPr="00DF378A">
        <w:rPr>
          <w:rFonts w:ascii="Book Antiqua" w:eastAsia="Book Antiqua" w:hAnsi="Book Antiqua" w:cs="Book Antiqua"/>
          <w:sz w:val="22"/>
          <w:szCs w:val="22"/>
        </w:rPr>
        <w:tab/>
        <w:t xml:space="preserve">matters isolated from the </w:t>
      </w:r>
      <w:proofErr w:type="gramStart"/>
      <w:r w:rsidRPr="00DF378A">
        <w:rPr>
          <w:rFonts w:ascii="Book Antiqua" w:eastAsia="Book Antiqua" w:hAnsi="Book Antiqua" w:cs="Book Antiqua"/>
          <w:sz w:val="22"/>
          <w:szCs w:val="22"/>
        </w:rPr>
        <w:t>particulars of</w:t>
      </w:r>
      <w:proofErr w:type="gramEnd"/>
      <w:r w:rsidRPr="00DF378A">
        <w:rPr>
          <w:rFonts w:ascii="Book Antiqua" w:eastAsia="Book Antiqua" w:hAnsi="Book Antiqua" w:cs="Book Antiqua"/>
          <w:sz w:val="22"/>
          <w:szCs w:val="22"/>
        </w:rPr>
        <w:t xml:space="preserve"> the case or which relate to considerations of general prevention do not justify the decision;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(e)</w:t>
      </w:r>
      <w:r w:rsidRPr="00DF378A">
        <w:rPr>
          <w:rFonts w:ascii="Book Antiqua" w:eastAsia="Book Antiqua" w:hAnsi="Book Antiqua" w:cs="Book Antiqua"/>
          <w:sz w:val="22"/>
          <w:szCs w:val="22"/>
        </w:rPr>
        <w:tab/>
        <w:t xml:space="preserve">a person’s previous criminal convictions do not in themselves justify the decision; </w:t>
      </w:r>
    </w:p>
    <w:p w:rsidR="00772506" w:rsidRPr="00DF378A" w:rsidRDefault="00772506" w:rsidP="006D0153">
      <w:pPr>
        <w:pStyle w:val="Body"/>
        <w:tabs>
          <w:tab w:val="left" w:pos="1701"/>
        </w:tabs>
        <w:spacing w:before="120"/>
        <w:ind w:left="2835"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(f)</w:t>
      </w:r>
      <w:r w:rsidRPr="00DF378A">
        <w:rPr>
          <w:rFonts w:ascii="Book Antiqua" w:eastAsia="Book Antiqua" w:hAnsi="Book Antiqua" w:cs="Book Antiqua"/>
          <w:sz w:val="22"/>
          <w:szCs w:val="22"/>
        </w:rPr>
        <w:tab/>
        <w:t>the decision may be taken on preventative grounds, even in the absence of a previous criminal conviction provided the grounds are specific to the person.</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(6)</w:t>
      </w:r>
      <w:r w:rsidRPr="00DF378A">
        <w:rPr>
          <w:rFonts w:ascii="Book Antiqua" w:eastAsia="Book Antiqua" w:hAnsi="Book Antiqua" w:cs="Book Antiqua"/>
          <w:sz w:val="22"/>
          <w:szCs w:val="22"/>
        </w:rPr>
        <w:tab/>
        <w:t xml:space="preserve">Before taking a relevant decision on the grounds of public policy and public security in relation to a person (‘P’) who is a resident of the United Kingdom, the decision maker must take account of considerations such as the age, state of health, family and economic situation of P, P’s length of residence in the United Kingdom, P’s social and cultural integration in the United Kingdom and the extent of P’s links with P’s country of origin.  </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(8)</w:t>
      </w:r>
      <w:r w:rsidRPr="00DF378A">
        <w:rPr>
          <w:rFonts w:ascii="Book Antiqua" w:eastAsia="Book Antiqua" w:hAnsi="Book Antiqua" w:cs="Book Antiqua"/>
          <w:sz w:val="22"/>
          <w:szCs w:val="22"/>
        </w:rPr>
        <w:tab/>
        <w:t>A court or tribunal considering whether the requirements of this regulation are met must (in particular) have regard to the considerations contained in Schedule 1 (considerations of public policy, public security and fundamental interests of society).”</w:t>
      </w:r>
    </w:p>
    <w:p w:rsidR="00772506" w:rsidRPr="00DF378A" w:rsidRDefault="00772506" w:rsidP="00772506">
      <w:pPr>
        <w:pStyle w:val="p"/>
        <w:rPr>
          <w:rFonts w:eastAsia="Book Antiqua"/>
        </w:rPr>
      </w:pPr>
      <w:r w:rsidRPr="00DF378A">
        <w:rPr>
          <w:rFonts w:eastAsia="Book Antiqua"/>
        </w:rPr>
        <w:t>Schedule 1 is in the following terms:</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rPr>
        <w:t>“</w:t>
      </w:r>
      <w:r w:rsidRPr="00DF378A">
        <w:rPr>
          <w:rFonts w:ascii="Book Antiqua" w:eastAsia="Book Antiqua" w:hAnsi="Book Antiqua" w:cs="Book Antiqua"/>
          <w:sz w:val="22"/>
          <w:szCs w:val="22"/>
        </w:rPr>
        <w:t>SCHEDULE 1</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t>CONSIDERATIONS OF PUBLIC POLICY, PUBLIC SECURITY AND THE FUNDAMENTAL INTERESTS OF SOCIETY ETC.</w:t>
      </w:r>
    </w:p>
    <w:p w:rsidR="00772506" w:rsidRPr="00DF378A" w:rsidRDefault="00772506" w:rsidP="006D0153">
      <w:pPr>
        <w:pStyle w:val="Body"/>
        <w:spacing w:before="120"/>
        <w:ind w:left="1134"/>
        <w:jc w:val="both"/>
        <w:rPr>
          <w:rFonts w:ascii="Book Antiqua" w:eastAsia="Book Antiqua" w:hAnsi="Book Antiqua" w:cs="Book Antiqua"/>
          <w:sz w:val="22"/>
          <w:szCs w:val="22"/>
        </w:rPr>
      </w:pPr>
      <w:r w:rsidRPr="00DF378A">
        <w:rPr>
          <w:rFonts w:ascii="Book Antiqua" w:eastAsia="Book Antiqua" w:hAnsi="Book Antiqua" w:cs="Book Antiqua"/>
          <w:sz w:val="22"/>
          <w:szCs w:val="22"/>
        </w:rPr>
        <w:lastRenderedPageBreak/>
        <w:t>Considerations of public policy and public security</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1.</w:t>
      </w:r>
      <w:r w:rsidRPr="00DF378A">
        <w:rPr>
          <w:rFonts w:ascii="Book Antiqua" w:eastAsia="Book Antiqua" w:hAnsi="Book Antiqua" w:cs="Book Antiqua"/>
          <w:sz w:val="22"/>
          <w:szCs w:val="22"/>
        </w:rPr>
        <w:tab/>
        <w:t xml:space="preserve">The EU Treaties do not impose a uniform scale of public policy or public security values: member States enjoy considerable discretion, acting within the parameters set by the EU Treaties, applied where relevant by the EEA agreement, to define their own standards of public policy and public security, for purposes tailored to their individual contexts, from time to time. </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Application of paragraph 1 to the United Kingdom</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 xml:space="preserve">2.  </w:t>
      </w:r>
      <w:r w:rsidRPr="00DF378A">
        <w:rPr>
          <w:rFonts w:ascii="Book Antiqua" w:eastAsia="Book Antiqua" w:hAnsi="Book Antiqua" w:cs="Book Antiqua"/>
          <w:sz w:val="22"/>
          <w:szCs w:val="22"/>
        </w:rPr>
        <w:tab/>
        <w:t xml:space="preserve">An EEA national or the family member of an EEA national having extensive familial and societal links with persons of the same nationality or language does not amount to integration in the United Kingdom; a significant degree of wider cultural and societal integration must be present before a person may be regarded as integrated in the United Kingdom. </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3.</w:t>
      </w:r>
      <w:r w:rsidRPr="00DF378A">
        <w:rPr>
          <w:rFonts w:ascii="Book Antiqua" w:eastAsia="Book Antiqua" w:hAnsi="Book Antiqua" w:cs="Book Antiqua"/>
          <w:sz w:val="22"/>
          <w:szCs w:val="22"/>
        </w:rPr>
        <w:tab/>
        <w:t xml:space="preserve">Where an EEA national or the family member of an EEA national has received a custodial sentence, or is a persistent offender, the longer the sentence, or the more numerous the convictions, the greater the likelihood that the individual’s continued presence in the United Kingdom represents a genuine, present and sufficiently serious threat affecting of the fundamental interests of society. </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4.</w:t>
      </w:r>
      <w:r w:rsidRPr="00DF378A">
        <w:rPr>
          <w:rFonts w:ascii="Book Antiqua" w:eastAsia="Book Antiqua" w:hAnsi="Book Antiqua" w:cs="Book Antiqua"/>
          <w:sz w:val="22"/>
          <w:szCs w:val="22"/>
        </w:rPr>
        <w:tab/>
        <w:t xml:space="preserve">Little weight is to be attached to the integration of an EEA national or the family member of an EEA national within the United Kingdom if the alleged integrating links were formed at or around the same time as— </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(a)</w:t>
      </w:r>
      <w:r w:rsidRPr="00DF378A">
        <w:rPr>
          <w:rFonts w:ascii="Book Antiqua" w:eastAsia="Book Antiqua" w:hAnsi="Book Antiqua" w:cs="Book Antiqua"/>
          <w:sz w:val="22"/>
          <w:szCs w:val="22"/>
        </w:rPr>
        <w:tab/>
        <w:t>the commission of a criminal offence;</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(b)</w:t>
      </w:r>
      <w:r w:rsidRPr="00DF378A">
        <w:rPr>
          <w:rFonts w:ascii="Book Antiqua" w:eastAsia="Book Antiqua" w:hAnsi="Book Antiqua" w:cs="Book Antiqua"/>
          <w:sz w:val="22"/>
          <w:szCs w:val="22"/>
        </w:rPr>
        <w:tab/>
        <w:t>an act otherwise affecting the fundamental interests of society;</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(c)</w:t>
      </w:r>
      <w:r w:rsidRPr="00DF378A">
        <w:rPr>
          <w:rFonts w:ascii="Book Antiqua" w:eastAsia="Book Antiqua" w:hAnsi="Book Antiqua" w:cs="Book Antiqua"/>
          <w:sz w:val="22"/>
          <w:szCs w:val="22"/>
        </w:rPr>
        <w:tab/>
      </w:r>
      <w:r w:rsidRPr="00DF378A">
        <w:rPr>
          <w:rFonts w:ascii="Book Antiqua" w:eastAsia="Book Antiqua" w:hAnsi="Book Antiqua" w:cs="Book Antiqua"/>
          <w:sz w:val="22"/>
          <w:szCs w:val="22"/>
        </w:rPr>
        <w:tab/>
        <w:t>the EEA national or family member of an EEA national was in custody.</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5.</w:t>
      </w:r>
      <w:r w:rsidRPr="00DF378A">
        <w:rPr>
          <w:rFonts w:ascii="Book Antiqua" w:eastAsia="Book Antiqua" w:hAnsi="Book Antiqua" w:cs="Book Antiqua"/>
          <w:sz w:val="22"/>
          <w:szCs w:val="22"/>
        </w:rPr>
        <w:tab/>
        <w:t xml:space="preserve">The removal from the United Kingdom of an EEA national or the family member of an EEA national who </w:t>
      </w:r>
      <w:proofErr w:type="gramStart"/>
      <w:r w:rsidRPr="00DF378A">
        <w:rPr>
          <w:rFonts w:ascii="Book Antiqua" w:eastAsia="Book Antiqua" w:hAnsi="Book Antiqua" w:cs="Book Antiqua"/>
          <w:sz w:val="22"/>
          <w:szCs w:val="22"/>
        </w:rPr>
        <w:t>is able to</w:t>
      </w:r>
      <w:proofErr w:type="gramEnd"/>
      <w:r w:rsidRPr="00DF378A">
        <w:rPr>
          <w:rFonts w:ascii="Book Antiqua" w:eastAsia="Book Antiqua" w:hAnsi="Book Antiqua" w:cs="Book Antiqua"/>
          <w:sz w:val="22"/>
          <w:szCs w:val="22"/>
        </w:rPr>
        <w:t xml:space="preserve"> provide substantive evidence of not demonstrating a threat (for example, through demonstrating that the EEA national or the family member of an EEA national has successfully reformed or rehabilitated) is less likely to be proportionate. </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6.</w:t>
      </w:r>
      <w:r w:rsidRPr="00DF378A">
        <w:rPr>
          <w:rFonts w:ascii="Book Antiqua" w:eastAsia="Book Antiqua" w:hAnsi="Book Antiqua" w:cs="Book Antiqua"/>
          <w:sz w:val="22"/>
          <w:szCs w:val="22"/>
        </w:rPr>
        <w:tab/>
        <w:t xml:space="preserve">It is consistent with public policy and public security requirements in the United Kingdom that EEA decisions may be taken </w:t>
      </w:r>
      <w:proofErr w:type="gramStart"/>
      <w:r w:rsidRPr="00DF378A">
        <w:rPr>
          <w:rFonts w:ascii="Book Antiqua" w:eastAsia="Book Antiqua" w:hAnsi="Book Antiqua" w:cs="Book Antiqua"/>
          <w:sz w:val="22"/>
          <w:szCs w:val="22"/>
        </w:rPr>
        <w:t>in order to</w:t>
      </w:r>
      <w:proofErr w:type="gramEnd"/>
      <w:r w:rsidRPr="00DF378A">
        <w:rPr>
          <w:rFonts w:ascii="Book Antiqua" w:eastAsia="Book Antiqua" w:hAnsi="Book Antiqua" w:cs="Book Antiqua"/>
          <w:sz w:val="22"/>
          <w:szCs w:val="22"/>
        </w:rPr>
        <w:t xml:space="preserve"> refuse, terminate or withdraw any right otherwise conferred by these Regulations in the case of abuse of rights or fraud, including— </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(a)</w:t>
      </w:r>
      <w:r w:rsidRPr="00DF378A">
        <w:rPr>
          <w:rFonts w:ascii="Book Antiqua" w:eastAsia="Book Antiqua" w:hAnsi="Book Antiqua" w:cs="Book Antiqua"/>
          <w:sz w:val="22"/>
          <w:szCs w:val="22"/>
        </w:rPr>
        <w:tab/>
        <w:t>entering, attempting to enter or assisting another person to enter or to attempt to enter, a marriage, civil partnership or durable partnership of convenience; or</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(b)</w:t>
      </w:r>
      <w:r w:rsidRPr="00DF378A">
        <w:rPr>
          <w:rFonts w:ascii="Book Antiqua" w:eastAsia="Book Antiqua" w:hAnsi="Book Antiqua" w:cs="Book Antiqua"/>
          <w:sz w:val="22"/>
          <w:szCs w:val="22"/>
        </w:rPr>
        <w:tab/>
        <w:t>fraudulently obtaining or attempting to obtain, or assisting another to obtain or to attempt to obtain, a right to reside under these Regulations.</w:t>
      </w:r>
    </w:p>
    <w:p w:rsidR="00772506" w:rsidRPr="00DF378A" w:rsidRDefault="00772506" w:rsidP="006D0153">
      <w:pPr>
        <w:pStyle w:val="Body"/>
        <w:spacing w:before="120"/>
        <w:ind w:left="567" w:firstLine="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The fundamental interests of society</w:t>
      </w:r>
    </w:p>
    <w:p w:rsidR="00772506" w:rsidRPr="00DF378A" w:rsidRDefault="00772506" w:rsidP="006D0153">
      <w:pPr>
        <w:pStyle w:val="Body"/>
        <w:spacing w:before="120"/>
        <w:ind w:left="1701"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 xml:space="preserve">7.  </w:t>
      </w:r>
      <w:r w:rsidRPr="00DF378A">
        <w:rPr>
          <w:rFonts w:ascii="Book Antiqua" w:eastAsia="Book Antiqua" w:hAnsi="Book Antiqua" w:cs="Book Antiqua"/>
          <w:sz w:val="22"/>
          <w:szCs w:val="22"/>
        </w:rPr>
        <w:tab/>
        <w:t xml:space="preserve">For the purposes of these Regulations, the fundamental interests of society in the United Kingdom include— </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(a)</w:t>
      </w:r>
      <w:r w:rsidRPr="00DF378A">
        <w:rPr>
          <w:rFonts w:ascii="Book Antiqua" w:eastAsia="Book Antiqua" w:hAnsi="Book Antiqua" w:cs="Book Antiqua"/>
          <w:sz w:val="22"/>
          <w:szCs w:val="22"/>
        </w:rPr>
        <w:tab/>
        <w:t>preventing unlawful immigration and abuse of the immigration laws, and maintaining the integrity and effectiveness of the immigration control system (including under these Regulations) and of the Common Travel Area;</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(b)</w:t>
      </w:r>
      <w:r w:rsidRPr="00DF378A">
        <w:rPr>
          <w:rFonts w:ascii="Book Antiqua" w:eastAsia="Book Antiqua" w:hAnsi="Book Antiqua" w:cs="Book Antiqua"/>
          <w:sz w:val="22"/>
          <w:szCs w:val="22"/>
        </w:rPr>
        <w:tab/>
        <w:t>maintaining public order;</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lastRenderedPageBreak/>
        <w:t>(c)</w:t>
      </w:r>
      <w:r w:rsidRPr="00DF378A">
        <w:rPr>
          <w:rFonts w:ascii="Book Antiqua" w:eastAsia="Book Antiqua" w:hAnsi="Book Antiqua" w:cs="Book Antiqua"/>
          <w:sz w:val="22"/>
          <w:szCs w:val="22"/>
        </w:rPr>
        <w:tab/>
        <w:t>preventing social harm;</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(d)</w:t>
      </w:r>
      <w:r w:rsidRPr="00DF378A">
        <w:rPr>
          <w:rFonts w:ascii="Book Antiqua" w:eastAsia="Book Antiqua" w:hAnsi="Book Antiqua" w:cs="Book Antiqua"/>
          <w:sz w:val="22"/>
          <w:szCs w:val="22"/>
        </w:rPr>
        <w:tab/>
        <w:t>preventing the evasion of taxes and duties;</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(e)</w:t>
      </w:r>
      <w:r w:rsidRPr="00DF378A">
        <w:rPr>
          <w:rFonts w:ascii="Book Antiqua" w:eastAsia="Book Antiqua" w:hAnsi="Book Antiqua" w:cs="Book Antiqua"/>
          <w:sz w:val="22"/>
          <w:szCs w:val="22"/>
        </w:rPr>
        <w:tab/>
        <w:t>protecting public services;</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(f)</w:t>
      </w:r>
      <w:r w:rsidRPr="00DF378A">
        <w:rPr>
          <w:rFonts w:ascii="Book Antiqua" w:eastAsia="Book Antiqua" w:hAnsi="Book Antiqua" w:cs="Book Antiqua"/>
          <w:sz w:val="22"/>
          <w:szCs w:val="22"/>
        </w:rPr>
        <w:tab/>
        <w:t>excluding or removing an EEA national or family member of an EEA national with a conviction (including where the conduct of that person is likely to cause, or has in fact caused, public offence) and maintaining public confidence in the ability of the relevant authorities to take such action;</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(g)</w:t>
      </w:r>
      <w:r w:rsidRPr="00DF378A">
        <w:rPr>
          <w:rFonts w:ascii="Book Antiqua" w:eastAsia="Book Antiqua" w:hAnsi="Book Antiqua" w:cs="Book Antiqua"/>
          <w:sz w:val="22"/>
          <w:szCs w:val="22"/>
        </w:rPr>
        <w:tab/>
        <w:t>tackling offences likely to cause harm to society where an immediate or direct victim may be difficult to identify but where there is wider societal harm (such as offences related to the misuse of drugs or crime with a cross-border dimension as mentioned in Article 83(1) of the Treaty on the Functioning of the European Union);</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(h)</w:t>
      </w:r>
      <w:r w:rsidRPr="00DF378A">
        <w:rPr>
          <w:rFonts w:ascii="Book Antiqua" w:eastAsia="Book Antiqua" w:hAnsi="Book Antiqua" w:cs="Book Antiqua"/>
          <w:sz w:val="22"/>
          <w:szCs w:val="22"/>
        </w:rPr>
        <w:tab/>
        <w:t>combating the effects of persistent offending (particularly in relation to offences, which if taken in isolation, may otherwise be unlikely to meet the requirements of regulation 27);</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w:t>
      </w:r>
      <w:proofErr w:type="spellStart"/>
      <w:r w:rsidRPr="00DF378A">
        <w:rPr>
          <w:rFonts w:ascii="Book Antiqua" w:eastAsia="Book Antiqua" w:hAnsi="Book Antiqua" w:cs="Book Antiqua"/>
          <w:sz w:val="22"/>
          <w:szCs w:val="22"/>
        </w:rPr>
        <w:t>i</w:t>
      </w:r>
      <w:proofErr w:type="spellEnd"/>
      <w:r w:rsidRPr="00DF378A">
        <w:rPr>
          <w:rFonts w:ascii="Book Antiqua" w:eastAsia="Book Antiqua" w:hAnsi="Book Antiqua" w:cs="Book Antiqua"/>
          <w:sz w:val="22"/>
          <w:szCs w:val="22"/>
        </w:rPr>
        <w:t>)</w:t>
      </w:r>
      <w:r w:rsidRPr="00DF378A">
        <w:rPr>
          <w:rFonts w:ascii="Book Antiqua" w:eastAsia="Book Antiqua" w:hAnsi="Book Antiqua" w:cs="Book Antiqua"/>
          <w:sz w:val="22"/>
          <w:szCs w:val="22"/>
        </w:rPr>
        <w:tab/>
        <w:t>protecting the rights and freedoms of others, particularly from exploitation and trafficking;</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(j)</w:t>
      </w:r>
      <w:r w:rsidRPr="00DF378A">
        <w:rPr>
          <w:rFonts w:ascii="Book Antiqua" w:eastAsia="Book Antiqua" w:hAnsi="Book Antiqua" w:cs="Book Antiqua"/>
          <w:sz w:val="22"/>
          <w:szCs w:val="22"/>
        </w:rPr>
        <w:tab/>
        <w:t>protecting the public;</w:t>
      </w:r>
    </w:p>
    <w:p w:rsidR="00772506" w:rsidRPr="00DF378A" w:rsidRDefault="00772506" w:rsidP="006D0153">
      <w:pPr>
        <w:pStyle w:val="Body"/>
        <w:spacing w:before="120"/>
        <w:ind w:left="2268" w:hanging="567"/>
        <w:jc w:val="both"/>
        <w:rPr>
          <w:rFonts w:ascii="Book Antiqua" w:eastAsia="Book Antiqua" w:hAnsi="Book Antiqua" w:cs="Book Antiqua"/>
          <w:sz w:val="22"/>
          <w:szCs w:val="22"/>
        </w:rPr>
      </w:pPr>
      <w:r w:rsidRPr="00DF378A">
        <w:rPr>
          <w:rFonts w:ascii="Book Antiqua" w:eastAsia="Book Antiqua" w:hAnsi="Book Antiqua" w:cs="Book Antiqua"/>
          <w:sz w:val="22"/>
          <w:szCs w:val="22"/>
        </w:rPr>
        <w:t>(k)</w:t>
      </w:r>
      <w:r w:rsidRPr="00DF378A">
        <w:rPr>
          <w:rFonts w:ascii="Book Antiqua" w:eastAsia="Book Antiqua" w:hAnsi="Book Antiqua" w:cs="Book Antiqua"/>
          <w:sz w:val="22"/>
          <w:szCs w:val="22"/>
        </w:rPr>
        <w:tab/>
        <w:t>acting in the best interests of a child (including where doing so entails refusing a child admission to the United Kingdom, or otherwise taking an EEA decision against a child);</w:t>
      </w:r>
    </w:p>
    <w:p w:rsidR="00772506" w:rsidRPr="00DF378A" w:rsidRDefault="00772506" w:rsidP="006D0153">
      <w:pPr>
        <w:pStyle w:val="Body"/>
        <w:spacing w:before="120"/>
        <w:ind w:left="2268" w:hanging="567"/>
        <w:jc w:val="both"/>
        <w:rPr>
          <w:rFonts w:ascii="Book Antiqua" w:eastAsia="Book Antiqua" w:hAnsi="Book Antiqua" w:cs="Book Antiqua"/>
        </w:rPr>
      </w:pPr>
      <w:r w:rsidRPr="00DF378A">
        <w:rPr>
          <w:rFonts w:ascii="Book Antiqua" w:eastAsia="Book Antiqua" w:hAnsi="Book Antiqua" w:cs="Book Antiqua"/>
          <w:sz w:val="22"/>
          <w:szCs w:val="22"/>
        </w:rPr>
        <w:t>(l)</w:t>
      </w:r>
      <w:r w:rsidRPr="00DF378A">
        <w:rPr>
          <w:rFonts w:ascii="Book Antiqua" w:eastAsia="Book Antiqua" w:hAnsi="Book Antiqua" w:cs="Book Antiqua"/>
          <w:sz w:val="22"/>
          <w:szCs w:val="22"/>
        </w:rPr>
        <w:tab/>
        <w:t>countering terrorism and extremism and protecting shared values.</w:t>
      </w:r>
      <w:r w:rsidRPr="00DF378A">
        <w:rPr>
          <w:rFonts w:ascii="Book Antiqua" w:eastAsia="Book Antiqua" w:hAnsi="Book Antiqua" w:cs="Book Antiqua"/>
        </w:rPr>
        <w:t>”</w:t>
      </w:r>
    </w:p>
    <w:p w:rsidR="00772506" w:rsidRPr="00DF378A" w:rsidRDefault="00772506" w:rsidP="006D0153">
      <w:pPr>
        <w:pStyle w:val="p"/>
        <w:rPr>
          <w:rFonts w:eastAsia="Book Antiqua"/>
        </w:rPr>
      </w:pPr>
      <w:r w:rsidRPr="00DF378A">
        <w:rPr>
          <w:rFonts w:eastAsia="Book Antiqua"/>
        </w:rPr>
        <w:t xml:space="preserve">By way of submissions Mr Matthews referred to a failure by the appellant to have demonstrated that he was exercising a right of free movement and referred to the pattern of offending that arose after the appellant’s arrival in the UK.  The Civil Justice Report </w:t>
      </w:r>
      <w:r w:rsidR="00DF378A">
        <w:rPr>
          <w:rFonts w:eastAsia="Book Antiqua"/>
        </w:rPr>
        <w:t xml:space="preserve">was </w:t>
      </w:r>
      <w:r w:rsidRPr="00DF378A">
        <w:rPr>
          <w:rFonts w:eastAsia="Book Antiqua"/>
        </w:rPr>
        <w:t xml:space="preserve">required to be read as a whole </w:t>
      </w:r>
      <w:r w:rsidR="00E32E10">
        <w:rPr>
          <w:rFonts w:eastAsia="Book Antiqua"/>
        </w:rPr>
        <w:t xml:space="preserve">and it </w:t>
      </w:r>
      <w:r w:rsidRPr="00DF378A">
        <w:rPr>
          <w:rFonts w:eastAsia="Book Antiqua"/>
        </w:rPr>
        <w:t xml:space="preserve">referred to aspects of the report which indicated the appellant did not have insight.  </w:t>
      </w:r>
      <w:r w:rsidR="00E32E10">
        <w:rPr>
          <w:rFonts w:eastAsia="Book Antiqua"/>
        </w:rPr>
        <w:t>Of</w:t>
      </w:r>
      <w:r w:rsidRPr="00DF378A">
        <w:rPr>
          <w:rFonts w:eastAsia="Book Antiqua"/>
        </w:rPr>
        <w:t xml:space="preserve"> the factors to be taken into account with reference to reg. 27(5), the appellant’s age was not a feature, nor were there any health issues.  He argued that the appellant had not established family life with </w:t>
      </w:r>
      <w:r w:rsidR="006D0153" w:rsidRPr="006D0153">
        <w:rPr>
          <w:rFonts w:eastAsia="Book Antiqua"/>
        </w:rPr>
        <w:t>[SH]</w:t>
      </w:r>
      <w:r w:rsidRPr="00DF378A">
        <w:rPr>
          <w:rFonts w:eastAsia="Book Antiqua"/>
        </w:rPr>
        <w:t xml:space="preserve">.  The appellant’s residence was short and the economic situation of the appellant did not tell in his favour.  </w:t>
      </w:r>
    </w:p>
    <w:p w:rsidR="0054240C" w:rsidRPr="00B21C3C" w:rsidRDefault="00772506" w:rsidP="0054240C">
      <w:pPr>
        <w:pStyle w:val="p"/>
        <w:rPr>
          <w:rFonts w:eastAsia="Book Antiqua"/>
        </w:rPr>
      </w:pPr>
      <w:bookmarkStart w:id="2" w:name="STARTv2"/>
      <w:bookmarkEnd w:id="2"/>
      <w:r w:rsidRPr="00DF378A">
        <w:rPr>
          <w:rFonts w:eastAsia="Book Antiqua"/>
        </w:rPr>
        <w:t xml:space="preserve">Mr Bradley argued that with reference to Schedule 1, that it did not appear the </w:t>
      </w:r>
      <w:r w:rsidR="0054240C" w:rsidRPr="00DF378A">
        <w:rPr>
          <w:rFonts w:eastAsia="Book Antiqua"/>
        </w:rPr>
        <w:t>appellant</w:t>
      </w:r>
      <w:r w:rsidR="00FF1ADF" w:rsidRPr="00DF378A">
        <w:rPr>
          <w:rFonts w:eastAsia="Book Antiqua"/>
        </w:rPr>
        <w:t xml:space="preserve"> was a persistent offender and furthermore the prison sentence of twelve months was at the lower end of the scale.  The burden of proof was on the Secretary of State to prove the threat that the </w:t>
      </w:r>
      <w:r w:rsidR="0054240C" w:rsidRPr="00DF378A">
        <w:rPr>
          <w:rFonts w:eastAsia="Book Antiqua"/>
        </w:rPr>
        <w:t>appellant</w:t>
      </w:r>
      <w:r w:rsidR="00FF1ADF" w:rsidRPr="00DF378A">
        <w:rPr>
          <w:rFonts w:eastAsia="Book Antiqua"/>
        </w:rPr>
        <w:t xml:space="preserve"> posed.  The</w:t>
      </w:r>
      <w:r w:rsidR="00951276">
        <w:rPr>
          <w:rFonts w:eastAsia="Book Antiqua"/>
        </w:rPr>
        <w:t>re was an absence of anything to show in the</w:t>
      </w:r>
      <w:r w:rsidR="00FF1ADF" w:rsidRPr="00DF378A">
        <w:rPr>
          <w:rFonts w:eastAsia="Book Antiqua"/>
        </w:rPr>
        <w:t xml:space="preserve"> </w:t>
      </w:r>
      <w:r w:rsidR="0054240C" w:rsidRPr="00DF378A">
        <w:rPr>
          <w:rFonts w:eastAsia="Book Antiqua"/>
        </w:rPr>
        <w:t xml:space="preserve">Criminal Justice Social Work Report that the appellant posed a threat </w:t>
      </w:r>
      <w:r w:rsidR="008156B8">
        <w:rPr>
          <w:rFonts w:eastAsia="Book Antiqua"/>
        </w:rPr>
        <w:t>and there was a large</w:t>
      </w:r>
      <w:r w:rsidR="0054240C" w:rsidRPr="008156B8">
        <w:rPr>
          <w:rFonts w:eastAsia="Book Antiqua"/>
        </w:rPr>
        <w:t xml:space="preserve"> gap of some eighteen months between the appellant’s offending.  He directed me to aspects of the report in support of </w:t>
      </w:r>
      <w:r w:rsidR="00B21C3C">
        <w:rPr>
          <w:rFonts w:eastAsia="Book Antiqua"/>
        </w:rPr>
        <w:t>his</w:t>
      </w:r>
      <w:r w:rsidR="0054240C" w:rsidRPr="008156B8">
        <w:rPr>
          <w:rFonts w:eastAsia="Book Antiqua"/>
        </w:rPr>
        <w:t xml:space="preserve"> contention</w:t>
      </w:r>
      <w:r w:rsidR="00B21C3C">
        <w:rPr>
          <w:rFonts w:eastAsia="Book Antiqua"/>
        </w:rPr>
        <w:t xml:space="preserve"> that the appellant did not pose a threat</w:t>
      </w:r>
      <w:r w:rsidR="0054240C" w:rsidRPr="008156B8">
        <w:rPr>
          <w:rFonts w:eastAsia="Book Antiqua"/>
        </w:rPr>
        <w:t>, which I discuss in more detail below in my analysis.  He urged that the appeal should be allowed.</w:t>
      </w:r>
    </w:p>
    <w:p w:rsidR="00044972" w:rsidRDefault="0054240C" w:rsidP="002E3A54">
      <w:pPr>
        <w:pStyle w:val="p"/>
        <w:rPr>
          <w:rFonts w:eastAsia="Book Antiqua"/>
        </w:rPr>
      </w:pPr>
      <w:r w:rsidRPr="00DF378A">
        <w:rPr>
          <w:rFonts w:eastAsia="Book Antiqua"/>
        </w:rPr>
        <w:t xml:space="preserve">I have set out at some length detail from the report since I consider this critical to whether the respondent has discharged the burden to demonstrate that the appellant </w:t>
      </w:r>
      <w:r w:rsidRPr="00DF378A">
        <w:rPr>
          <w:rFonts w:eastAsia="Book Antiqua"/>
        </w:rPr>
        <w:lastRenderedPageBreak/>
        <w:t xml:space="preserve">represents a sufficiently serious threat other than the meaning of reg. 27.  Ms Brown makes clear that the appellant had been assessed as having a minimum level of risk and needs using the LS/CMI risk assessment tool.  The tool has not been provided.  Under the heading “Serious Harm/Imminence”, </w:t>
      </w:r>
      <w:r w:rsidR="00E60AB7">
        <w:rPr>
          <w:rFonts w:eastAsia="Book Antiqua"/>
        </w:rPr>
        <w:t>s</w:t>
      </w:r>
      <w:r w:rsidRPr="00DF378A">
        <w:rPr>
          <w:rFonts w:eastAsia="Book Antiqua"/>
        </w:rPr>
        <w:t xml:space="preserve">he concludes that there was no indication that the appellant currently presented an imminent risk of harm to others.  The latter indication appears </w:t>
      </w:r>
      <w:r w:rsidR="00E60AB7">
        <w:rPr>
          <w:rFonts w:eastAsia="Book Antiqua"/>
        </w:rPr>
        <w:t xml:space="preserve">however </w:t>
      </w:r>
      <w:r w:rsidRPr="00DF378A">
        <w:rPr>
          <w:rFonts w:eastAsia="Book Antiqua"/>
        </w:rPr>
        <w:t xml:space="preserve">to be informed by the absence of other convictions relating to violence.  Nevertheless, the report notes a shift in the nature of offending and that the appellant had made a conscious decision to carry a weapon with an intention to inflict violence on the victims.  </w:t>
      </w:r>
      <w:proofErr w:type="gramStart"/>
      <w:r w:rsidRPr="00DF378A">
        <w:rPr>
          <w:rFonts w:eastAsia="Book Antiqua"/>
        </w:rPr>
        <w:t xml:space="preserve">Furthermore, </w:t>
      </w:r>
      <w:r w:rsidR="00044972">
        <w:rPr>
          <w:rFonts w:eastAsia="Book Antiqua"/>
        </w:rPr>
        <w:t xml:space="preserve"> Ms</w:t>
      </w:r>
      <w:proofErr w:type="gramEnd"/>
      <w:r w:rsidR="00044972">
        <w:rPr>
          <w:rFonts w:eastAsia="Book Antiqua"/>
        </w:rPr>
        <w:t xml:space="preserve"> Brown</w:t>
      </w:r>
      <w:r w:rsidRPr="00DF378A">
        <w:rPr>
          <w:rFonts w:eastAsia="Book Antiqua"/>
        </w:rPr>
        <w:t xml:space="preserve"> observe</w:t>
      </w:r>
      <w:r w:rsidR="00044972">
        <w:rPr>
          <w:rFonts w:eastAsia="Book Antiqua"/>
        </w:rPr>
        <w:t>s</w:t>
      </w:r>
      <w:r w:rsidRPr="00DF378A">
        <w:rPr>
          <w:rFonts w:eastAsia="Book Antiqua"/>
        </w:rPr>
        <w:t xml:space="preserve"> that he was unable to recognise the potential consequences of his actions and although able to recognise they were not acceptable, </w:t>
      </w:r>
      <w:r w:rsidR="002E3A54" w:rsidRPr="00DF378A">
        <w:rPr>
          <w:rFonts w:eastAsia="Book Antiqua"/>
        </w:rPr>
        <w:t xml:space="preserve">he presented as lacking remorse for his offending behaviour.  He did not recognise the gravity of what he had done.  He had attempted to apportion a level of blame onto the victims, explaining that he had kicked the door after being assaulted by one of those victims.  </w:t>
      </w:r>
    </w:p>
    <w:p w:rsidR="002E3A54" w:rsidRPr="00DF378A" w:rsidRDefault="002E3A54" w:rsidP="002E3A54">
      <w:pPr>
        <w:pStyle w:val="p"/>
        <w:rPr>
          <w:rFonts w:eastAsia="Book Antiqua"/>
        </w:rPr>
      </w:pPr>
      <w:r w:rsidRPr="00DF378A">
        <w:rPr>
          <w:rFonts w:eastAsia="Book Antiqua"/>
        </w:rPr>
        <w:t>The report was prepared prior to sentencing.  The appellant’s witness statement will have been prepared after he had the opportunity of reflecting on matters during his sentence.  Nevertheless, I consider it significant that the statement before the First-tier Tribunal indicates that he has not understood the seriousness of what he did and no remorse is expressed.  He explains that the conviction was not for a violent act upon another person with a knife and he did not accept that in the circumstances the chances of a harmful incident taking place had greatly increased.  In my judgment, this evidence, read with the concerns expressed in the report, indicates that the appellant continues to reject the seriousness of what he did and this increases the risk that he might again resort to violence in order to resolve disputes that are best settled by other means.</w:t>
      </w:r>
    </w:p>
    <w:p w:rsidR="00772506" w:rsidRPr="00DF378A" w:rsidRDefault="002E3A54" w:rsidP="002E3A54">
      <w:pPr>
        <w:pStyle w:val="p"/>
        <w:rPr>
          <w:rFonts w:eastAsia="Book Antiqua"/>
        </w:rPr>
      </w:pPr>
      <w:r w:rsidRPr="00DF378A">
        <w:rPr>
          <w:rFonts w:eastAsia="Book Antiqua"/>
        </w:rPr>
        <w:t xml:space="preserve">As to previous offending, it is correct that the appellant was given the lowest form of punishment for theft but it is nevertheless indicative of offending.  </w:t>
      </w:r>
      <w:r w:rsidR="00772506" w:rsidRPr="00DF378A">
        <w:rPr>
          <w:rFonts w:eastAsia="Book Antiqua"/>
        </w:rPr>
        <w:t xml:space="preserve">Despite the appellant having denied to Ms Brown having no outstanding fines, her own enquiries indicated this was not the case.  I only give limited weight to this latter aspect since no detail has been provided of how the fines arose.  </w:t>
      </w:r>
    </w:p>
    <w:p w:rsidR="00772506" w:rsidRPr="00D5575E" w:rsidRDefault="00772506" w:rsidP="006D0153">
      <w:pPr>
        <w:pStyle w:val="p"/>
        <w:rPr>
          <w:rFonts w:eastAsia="Book Antiqua"/>
        </w:rPr>
      </w:pPr>
      <w:r w:rsidRPr="00DF378A">
        <w:rPr>
          <w:rFonts w:eastAsia="Book Antiqua"/>
        </w:rPr>
        <w:t>Taking all matters in the round I am satisfied that</w:t>
      </w:r>
      <w:r w:rsidR="00503743">
        <w:rPr>
          <w:rFonts w:eastAsia="Book Antiqua"/>
        </w:rPr>
        <w:t xml:space="preserve"> the appellant</w:t>
      </w:r>
      <w:r w:rsidR="00581F2A">
        <w:rPr>
          <w:rFonts w:eastAsia="Book Antiqua"/>
        </w:rPr>
        <w:t>,</w:t>
      </w:r>
      <w:r w:rsidRPr="00DF378A">
        <w:rPr>
          <w:rFonts w:eastAsia="Book Antiqua"/>
        </w:rPr>
        <w:t xml:space="preserve"> </w:t>
      </w:r>
      <w:r w:rsidR="00F54928">
        <w:rPr>
          <w:rFonts w:eastAsia="Book Antiqua"/>
        </w:rPr>
        <w:t>at the date of decision</w:t>
      </w:r>
      <w:r w:rsidRPr="00DF378A">
        <w:rPr>
          <w:rFonts w:eastAsia="Book Antiqua"/>
        </w:rPr>
        <w:t xml:space="preserve"> represent</w:t>
      </w:r>
      <w:r w:rsidR="00503743">
        <w:rPr>
          <w:rFonts w:eastAsia="Book Antiqua"/>
        </w:rPr>
        <w:t>ed</w:t>
      </w:r>
      <w:r w:rsidRPr="00DF378A">
        <w:rPr>
          <w:rFonts w:eastAsia="Book Antiqua"/>
        </w:rPr>
        <w:t xml:space="preserve"> a genuine, present and sufficiently serious threat. </w:t>
      </w:r>
      <w:r w:rsidR="00503743">
        <w:rPr>
          <w:rFonts w:eastAsia="Book Antiqua"/>
        </w:rPr>
        <w:t>He continues to do so.</w:t>
      </w:r>
      <w:r w:rsidRPr="00DF378A">
        <w:rPr>
          <w:rFonts w:eastAsia="Book Antiqua"/>
        </w:rPr>
        <w:t xml:space="preserve"> It may not be an imminent threat</w:t>
      </w:r>
      <w:r w:rsidR="00DF7CC5">
        <w:rPr>
          <w:rFonts w:eastAsia="Book Antiqua"/>
        </w:rPr>
        <w:t xml:space="preserve"> but th</w:t>
      </w:r>
      <w:r w:rsidR="00503743">
        <w:rPr>
          <w:rFonts w:eastAsia="Book Antiqua"/>
        </w:rPr>
        <w:t>at</w:t>
      </w:r>
      <w:r w:rsidR="00DF7CC5">
        <w:rPr>
          <w:rFonts w:eastAsia="Book Antiqua"/>
        </w:rPr>
        <w:t xml:space="preserve"> is not the test. H</w:t>
      </w:r>
      <w:r w:rsidR="003114CB">
        <w:rPr>
          <w:rFonts w:eastAsia="Book Antiqua"/>
        </w:rPr>
        <w:t xml:space="preserve">e has </w:t>
      </w:r>
      <w:r w:rsidRPr="00DF378A">
        <w:rPr>
          <w:rFonts w:eastAsia="Book Antiqua"/>
        </w:rPr>
        <w:t>demonstrate</w:t>
      </w:r>
      <w:r w:rsidR="003114CB">
        <w:rPr>
          <w:rFonts w:eastAsia="Book Antiqua"/>
        </w:rPr>
        <w:t>d</w:t>
      </w:r>
      <w:r w:rsidRPr="00DF378A">
        <w:rPr>
          <w:rFonts w:eastAsia="Book Antiqua"/>
        </w:rPr>
        <w:t xml:space="preserve"> a propensity to use violence to resolve matters rather than other means for sorting out disputes</w:t>
      </w:r>
      <w:r w:rsidR="000A3281">
        <w:rPr>
          <w:rFonts w:eastAsia="Book Antiqua"/>
        </w:rPr>
        <w:t xml:space="preserve"> and </w:t>
      </w:r>
      <w:r w:rsidR="006E58A8">
        <w:rPr>
          <w:rFonts w:eastAsia="Book Antiqua"/>
        </w:rPr>
        <w:t xml:space="preserve">this constitutes </w:t>
      </w:r>
      <w:r w:rsidR="000D0F01">
        <w:rPr>
          <w:rFonts w:eastAsia="Book Antiqua"/>
        </w:rPr>
        <w:t>a</w:t>
      </w:r>
      <w:r w:rsidR="006E58A8">
        <w:rPr>
          <w:rFonts w:eastAsia="Book Antiqua"/>
        </w:rPr>
        <w:t xml:space="preserve"> threat from which society </w:t>
      </w:r>
      <w:r w:rsidR="000D0F01">
        <w:rPr>
          <w:rFonts w:eastAsia="Book Antiqua"/>
        </w:rPr>
        <w:t xml:space="preserve">clearly </w:t>
      </w:r>
      <w:r w:rsidR="000D0473">
        <w:rPr>
          <w:rFonts w:eastAsia="Book Antiqua"/>
        </w:rPr>
        <w:t xml:space="preserve">needs to be protected. </w:t>
      </w:r>
      <w:r w:rsidR="00A920F4">
        <w:rPr>
          <w:rFonts w:eastAsia="Book Antiqua"/>
        </w:rPr>
        <w:t>Th</w:t>
      </w:r>
      <w:r w:rsidR="0032792F">
        <w:rPr>
          <w:rFonts w:eastAsia="Book Antiqua"/>
        </w:rPr>
        <w:t xml:space="preserve">e decision to expel him is in all the circumstances proportionate. </w:t>
      </w:r>
      <w:r w:rsidR="00271A26">
        <w:rPr>
          <w:rFonts w:eastAsia="Book Antiqua"/>
        </w:rPr>
        <w:t xml:space="preserve">The </w:t>
      </w:r>
      <w:r w:rsidR="00BA0D7F">
        <w:rPr>
          <w:rFonts w:eastAsia="Book Antiqua"/>
        </w:rPr>
        <w:t xml:space="preserve">finding that the appellant was not exercising treaty rights has been preserved. It has been open to the appellant to produce evidence by way of rebuttal </w:t>
      </w:r>
      <w:r w:rsidR="00A924C4">
        <w:rPr>
          <w:rFonts w:eastAsia="Book Antiqua"/>
        </w:rPr>
        <w:t xml:space="preserve">and it is significant he has not done so. </w:t>
      </w:r>
      <w:r w:rsidR="00033326" w:rsidRPr="00DF378A">
        <w:rPr>
          <w:rFonts w:eastAsia="Book Antiqua"/>
        </w:rPr>
        <w:t xml:space="preserve">The appellant maintained with Ms Brown that he had been employed in the United Kingdom, yet it remains the case that he has not produced any evidence of that employment.  </w:t>
      </w:r>
      <w:r w:rsidR="00517FE1">
        <w:rPr>
          <w:rFonts w:eastAsia="Book Antiqua"/>
        </w:rPr>
        <w:t>Taking his case at the highest</w:t>
      </w:r>
      <w:r w:rsidR="005818E8">
        <w:rPr>
          <w:rFonts w:eastAsia="Book Antiqua"/>
        </w:rPr>
        <w:t xml:space="preserve"> the appellant</w:t>
      </w:r>
      <w:r w:rsidR="00033326" w:rsidRPr="00DF378A">
        <w:rPr>
          <w:rFonts w:eastAsia="Book Antiqua"/>
        </w:rPr>
        <w:t xml:space="preserve"> may well have been </w:t>
      </w:r>
      <w:r w:rsidR="006D42FC">
        <w:rPr>
          <w:rFonts w:eastAsia="Book Antiqua"/>
        </w:rPr>
        <w:t xml:space="preserve">intermittently </w:t>
      </w:r>
      <w:r w:rsidR="00033326" w:rsidRPr="00DF378A">
        <w:rPr>
          <w:rFonts w:eastAsia="Book Antiqua"/>
        </w:rPr>
        <w:t>employed at some poin</w:t>
      </w:r>
      <w:r w:rsidR="00345549">
        <w:rPr>
          <w:rFonts w:eastAsia="Book Antiqua"/>
        </w:rPr>
        <w:t xml:space="preserve">t but I can give </w:t>
      </w:r>
      <w:r w:rsidR="000E6144">
        <w:rPr>
          <w:rFonts w:eastAsia="Book Antiqua"/>
        </w:rPr>
        <w:t>minimal</w:t>
      </w:r>
      <w:r w:rsidR="00B13330">
        <w:rPr>
          <w:rFonts w:eastAsia="Book Antiqua"/>
        </w:rPr>
        <w:t xml:space="preserve"> weight</w:t>
      </w:r>
      <w:r w:rsidR="000E6144">
        <w:rPr>
          <w:rFonts w:eastAsia="Book Antiqua"/>
        </w:rPr>
        <w:t xml:space="preserve"> </w:t>
      </w:r>
      <w:r w:rsidR="00B13330">
        <w:rPr>
          <w:rFonts w:eastAsia="Book Antiqua"/>
        </w:rPr>
        <w:t>in the light of the absence of</w:t>
      </w:r>
      <w:r w:rsidR="00E47EA6">
        <w:rPr>
          <w:rFonts w:eastAsia="Book Antiqua"/>
        </w:rPr>
        <w:t xml:space="preserve"> any </w:t>
      </w:r>
      <w:r w:rsidR="00B13330">
        <w:rPr>
          <w:rFonts w:eastAsia="Book Antiqua"/>
        </w:rPr>
        <w:t>evidence. H</w:t>
      </w:r>
      <w:r w:rsidR="00033326" w:rsidRPr="00DF378A">
        <w:rPr>
          <w:rFonts w:eastAsia="Book Antiqua"/>
        </w:rPr>
        <w:t>e readily accepts that he has no</w:t>
      </w:r>
      <w:r w:rsidR="000E6144">
        <w:rPr>
          <w:rFonts w:eastAsia="Book Antiqua"/>
        </w:rPr>
        <w:t xml:space="preserve">t </w:t>
      </w:r>
      <w:r w:rsidR="00033326" w:rsidRPr="00DF378A">
        <w:rPr>
          <w:rFonts w:eastAsia="Book Antiqua"/>
        </w:rPr>
        <w:t>established</w:t>
      </w:r>
      <w:r w:rsidR="00BF4C64">
        <w:rPr>
          <w:rFonts w:eastAsia="Book Antiqua"/>
        </w:rPr>
        <w:t xml:space="preserve"> a </w:t>
      </w:r>
      <w:r w:rsidR="00033326" w:rsidRPr="00DF378A">
        <w:rPr>
          <w:rFonts w:eastAsia="Book Antiqua"/>
        </w:rPr>
        <w:t xml:space="preserve">permanent right of residence.  There is no evidence before me that the appellant faces </w:t>
      </w:r>
      <w:r w:rsidR="00033326" w:rsidRPr="00DF378A">
        <w:rPr>
          <w:rFonts w:eastAsia="Book Antiqua"/>
        </w:rPr>
        <w:lastRenderedPageBreak/>
        <w:t xml:space="preserve">difficulties in Romania.  The statement by </w:t>
      </w:r>
      <w:r w:rsidR="006D0153" w:rsidRPr="006D0153">
        <w:rPr>
          <w:rFonts w:eastAsia="Book Antiqua"/>
        </w:rPr>
        <w:t>[SH]</w:t>
      </w:r>
      <w:r w:rsidR="006D0153">
        <w:rPr>
          <w:rFonts w:eastAsia="Book Antiqua"/>
        </w:rPr>
        <w:t xml:space="preserve"> </w:t>
      </w:r>
      <w:r w:rsidR="00033326" w:rsidRPr="00DF378A">
        <w:rPr>
          <w:rFonts w:eastAsia="Book Antiqua"/>
        </w:rPr>
        <w:t xml:space="preserve">indicates that the parties had been seeing each other for a limited period before he was taken into detention.  The life the appellant has established with her is found at the very beginning of a relationship.  </w:t>
      </w:r>
      <w:r w:rsidR="006D0153" w:rsidRPr="006D0153">
        <w:rPr>
          <w:rFonts w:eastAsia="Book Antiqua"/>
        </w:rPr>
        <w:t>[SH]</w:t>
      </w:r>
      <w:r w:rsidR="006D0153">
        <w:rPr>
          <w:rFonts w:eastAsia="Book Antiqua"/>
        </w:rPr>
        <w:t xml:space="preserve"> </w:t>
      </w:r>
      <w:r w:rsidR="00033326" w:rsidRPr="00DF378A">
        <w:rPr>
          <w:rFonts w:eastAsia="Book Antiqua"/>
        </w:rPr>
        <w:t xml:space="preserve">has provided no more recent evidence to indicate the status of that relationship or whether she has visited him in Romania.  Aside from </w:t>
      </w:r>
      <w:r w:rsidR="006D0153" w:rsidRPr="006D0153">
        <w:rPr>
          <w:rFonts w:eastAsia="Book Antiqua"/>
        </w:rPr>
        <w:t>[SH]</w:t>
      </w:r>
      <w:r w:rsidR="006D0153">
        <w:rPr>
          <w:rFonts w:eastAsia="Book Antiqua"/>
        </w:rPr>
        <w:t xml:space="preserve"> </w:t>
      </w:r>
      <w:r w:rsidR="00033326" w:rsidRPr="00DF378A">
        <w:rPr>
          <w:rFonts w:eastAsia="Book Antiqua"/>
        </w:rPr>
        <w:t>there is no evidence of the appellant having integrated in the United Kingdom</w:t>
      </w:r>
      <w:r w:rsidR="00AC26AD">
        <w:rPr>
          <w:rFonts w:eastAsia="Book Antiqua"/>
        </w:rPr>
        <w:t xml:space="preserve">. These factors </w:t>
      </w:r>
      <w:r w:rsidR="005A632B">
        <w:rPr>
          <w:rFonts w:eastAsia="Book Antiqua"/>
        </w:rPr>
        <w:t xml:space="preserve">even when </w:t>
      </w:r>
      <w:r w:rsidR="00AC26AD">
        <w:rPr>
          <w:rFonts w:eastAsia="Book Antiqua"/>
        </w:rPr>
        <w:t xml:space="preserve">taken together do not </w:t>
      </w:r>
      <w:r w:rsidR="005A632B">
        <w:rPr>
          <w:rFonts w:eastAsia="Book Antiqua"/>
        </w:rPr>
        <w:t xml:space="preserve">show that </w:t>
      </w:r>
      <w:r w:rsidR="003303FC">
        <w:rPr>
          <w:rFonts w:eastAsia="Book Antiqua"/>
        </w:rPr>
        <w:t xml:space="preserve">expulsion of the appellant is disproportionate to the </w:t>
      </w:r>
      <w:r w:rsidR="00D5575E">
        <w:rPr>
          <w:rFonts w:eastAsia="Book Antiqua"/>
        </w:rPr>
        <w:t xml:space="preserve">need for society to be protected. </w:t>
      </w:r>
      <w:r w:rsidR="0032792F" w:rsidRPr="00D5575E">
        <w:rPr>
          <w:rFonts w:eastAsia="Book Antiqua"/>
        </w:rPr>
        <w:t>Mr Bradley accept</w:t>
      </w:r>
      <w:r w:rsidR="00D5575E" w:rsidRPr="00D5575E">
        <w:rPr>
          <w:rFonts w:eastAsia="Book Antiqua"/>
        </w:rPr>
        <w:t>ed</w:t>
      </w:r>
      <w:r w:rsidR="0032792F" w:rsidRPr="00D5575E">
        <w:rPr>
          <w:rFonts w:eastAsia="Book Antiqua"/>
        </w:rPr>
        <w:t xml:space="preserve"> that this appeal turned on application of the regulations and he did not seek to rely on any discreet article 8 rights.</w:t>
      </w:r>
    </w:p>
    <w:p w:rsidR="00772506" w:rsidRPr="00731D49" w:rsidRDefault="00772506" w:rsidP="00731D49">
      <w:pPr>
        <w:pStyle w:val="p"/>
        <w:rPr>
          <w:rFonts w:eastAsia="Book Antiqua"/>
        </w:rPr>
      </w:pPr>
      <w:r w:rsidRPr="00DF378A">
        <w:rPr>
          <w:rFonts w:eastAsia="Book Antiqua"/>
        </w:rPr>
        <w:t>By way of summary therefore I set aside the decision of the First-tier Tribunal for error of law but come to the same conclusion and dismiss this appeal.</w:t>
      </w:r>
    </w:p>
    <w:p w:rsidR="002E3A54" w:rsidRPr="00DF378A" w:rsidRDefault="002E3A54" w:rsidP="00207D73">
      <w:pPr>
        <w:jc w:val="both"/>
        <w:rPr>
          <w:rFonts w:ascii="Book Antiqua" w:hAnsi="Book Antiqua" w:cs="Arial"/>
        </w:rPr>
      </w:pPr>
    </w:p>
    <w:p w:rsidR="00207D73" w:rsidRPr="00DF378A" w:rsidRDefault="00207D73" w:rsidP="00207D73">
      <w:pPr>
        <w:jc w:val="both"/>
        <w:rPr>
          <w:rFonts w:ascii="Book Antiqua" w:hAnsi="Book Antiqua" w:cs="Arial"/>
        </w:rPr>
      </w:pPr>
      <w:r w:rsidRPr="00DF378A">
        <w:rPr>
          <w:rFonts w:ascii="Book Antiqua" w:hAnsi="Book Antiqua" w:cs="Arial"/>
        </w:rPr>
        <w:t>NOTICE OF DECISION</w:t>
      </w:r>
    </w:p>
    <w:p w:rsidR="00207D73" w:rsidRPr="00DF378A" w:rsidRDefault="00207D73" w:rsidP="00207D73">
      <w:pPr>
        <w:jc w:val="both"/>
        <w:rPr>
          <w:rFonts w:ascii="Book Antiqua" w:hAnsi="Book Antiqua" w:cs="Arial"/>
        </w:rPr>
      </w:pPr>
    </w:p>
    <w:p w:rsidR="00207D73" w:rsidRPr="00DF378A" w:rsidRDefault="00207D73" w:rsidP="00731D49">
      <w:pPr>
        <w:jc w:val="both"/>
        <w:rPr>
          <w:rFonts w:ascii="Book Antiqua" w:hAnsi="Book Antiqua" w:cs="Arial"/>
        </w:rPr>
      </w:pPr>
      <w:r w:rsidRPr="00DF378A">
        <w:rPr>
          <w:rFonts w:ascii="Book Antiqua" w:hAnsi="Book Antiqua" w:cs="Arial"/>
        </w:rPr>
        <w:t xml:space="preserve">The appeal is </w:t>
      </w:r>
      <w:r w:rsidR="00731D49">
        <w:rPr>
          <w:rFonts w:ascii="Book Antiqua" w:hAnsi="Book Antiqua" w:cs="Arial"/>
        </w:rPr>
        <w:t>dismissed.</w:t>
      </w:r>
    </w:p>
    <w:p w:rsidR="00207D73" w:rsidRPr="00DF378A" w:rsidRDefault="00207D73" w:rsidP="00207D73">
      <w:pPr>
        <w:jc w:val="both"/>
        <w:rPr>
          <w:rFonts w:ascii="Book Antiqua" w:hAnsi="Book Antiqua" w:cs="Arial"/>
        </w:rPr>
      </w:pPr>
    </w:p>
    <w:p w:rsidR="00A509FA" w:rsidRPr="00DF378A" w:rsidRDefault="00A509FA" w:rsidP="00780F86">
      <w:pPr>
        <w:ind w:left="540" w:hanging="540"/>
        <w:jc w:val="both"/>
        <w:rPr>
          <w:rFonts w:ascii="Book Antiqua" w:hAnsi="Book Antiqua" w:cs="Arial"/>
        </w:rPr>
      </w:pPr>
    </w:p>
    <w:p w:rsidR="001F2716" w:rsidRPr="00DF378A" w:rsidRDefault="00780F86" w:rsidP="00780F86">
      <w:pPr>
        <w:ind w:left="540" w:hanging="540"/>
        <w:jc w:val="both"/>
        <w:rPr>
          <w:rFonts w:ascii="Book Antiqua" w:hAnsi="Book Antiqua" w:cs="Arial"/>
        </w:rPr>
      </w:pPr>
      <w:r w:rsidRPr="00DF378A">
        <w:rPr>
          <w:rFonts w:ascii="Book Antiqua" w:hAnsi="Book Antiqua" w:cs="Arial"/>
        </w:rPr>
        <w:t>Signed</w:t>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Pr="00DF378A">
        <w:rPr>
          <w:rFonts w:ascii="Book Antiqua" w:hAnsi="Book Antiqua" w:cs="Arial"/>
        </w:rPr>
        <w:tab/>
      </w:r>
      <w:r w:rsidR="001F2716" w:rsidRPr="00DF378A">
        <w:rPr>
          <w:rFonts w:ascii="Book Antiqua" w:hAnsi="Book Antiqua" w:cs="Arial"/>
        </w:rPr>
        <w:t>Date</w:t>
      </w:r>
      <w:r w:rsidR="00E83E95">
        <w:rPr>
          <w:rFonts w:ascii="Book Antiqua" w:hAnsi="Book Antiqua" w:cs="Arial"/>
        </w:rPr>
        <w:t xml:space="preserve"> 31 August 2018</w:t>
      </w:r>
    </w:p>
    <w:p w:rsidR="001F2716" w:rsidRPr="00DF378A" w:rsidRDefault="001F2716" w:rsidP="00402B9E">
      <w:pPr>
        <w:tabs>
          <w:tab w:val="left" w:pos="2520"/>
        </w:tabs>
        <w:ind w:left="540" w:hanging="540"/>
        <w:jc w:val="both"/>
        <w:rPr>
          <w:rFonts w:ascii="Book Antiqua" w:hAnsi="Book Antiqua" w:cs="Arial"/>
        </w:rPr>
      </w:pPr>
    </w:p>
    <w:p w:rsidR="001F2716" w:rsidRPr="003F5FB9" w:rsidRDefault="003F5FB9" w:rsidP="00402B9E">
      <w:pPr>
        <w:tabs>
          <w:tab w:val="left" w:pos="2520"/>
        </w:tabs>
        <w:ind w:left="540" w:hanging="540"/>
        <w:jc w:val="both"/>
        <w:rPr>
          <w:rFonts w:ascii="Lucida Handwriting" w:hAnsi="Lucida Handwriting" w:cs="Arial"/>
        </w:rPr>
      </w:pPr>
      <w:r>
        <w:rPr>
          <w:rFonts w:ascii="Lucida Handwriting" w:hAnsi="Lucida Handwriting" w:cs="Arial"/>
        </w:rPr>
        <w:t>UTJ Dawson</w:t>
      </w:r>
    </w:p>
    <w:p w:rsidR="00207D73" w:rsidRPr="00DF378A" w:rsidRDefault="003543A1" w:rsidP="009A0C11">
      <w:pPr>
        <w:tabs>
          <w:tab w:val="left" w:pos="2520"/>
        </w:tabs>
        <w:ind w:left="540" w:hanging="540"/>
        <w:jc w:val="both"/>
        <w:rPr>
          <w:rFonts w:ascii="Book Antiqua" w:hAnsi="Book Antiqua" w:cs="Arial"/>
          <w:color w:val="000000"/>
        </w:rPr>
      </w:pPr>
      <w:r w:rsidRPr="00DF378A">
        <w:rPr>
          <w:rFonts w:ascii="Book Antiqua" w:hAnsi="Book Antiqua" w:cs="Arial"/>
          <w:color w:val="000000"/>
        </w:rPr>
        <w:t>Upper Tribunal</w:t>
      </w:r>
      <w:r w:rsidR="00D9111A" w:rsidRPr="00DF378A">
        <w:rPr>
          <w:rFonts w:ascii="Book Antiqua" w:hAnsi="Book Antiqua" w:cs="Arial"/>
          <w:color w:val="000000"/>
        </w:rPr>
        <w:t xml:space="preserve"> Judge</w:t>
      </w:r>
      <w:r w:rsidR="00273559" w:rsidRPr="00DF378A">
        <w:rPr>
          <w:rFonts w:ascii="Book Antiqua" w:hAnsi="Book Antiqua" w:cs="Arial"/>
          <w:color w:val="000000"/>
        </w:rPr>
        <w:t xml:space="preserve"> Dawson</w:t>
      </w:r>
    </w:p>
    <w:sectPr w:rsidR="00207D73" w:rsidRPr="00DF378A"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4CF4" w:rsidRDefault="00DE4CF4">
      <w:r>
        <w:separator/>
      </w:r>
    </w:p>
  </w:endnote>
  <w:endnote w:type="continuationSeparator" w:id="0">
    <w:p w:rsidR="00DE4CF4" w:rsidRDefault="00DE4C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593795">
    <w:pPr>
      <w:pStyle w:val="Footer"/>
      <w:jc w:val="center"/>
      <w:rPr>
        <w:rFonts w:ascii="Book Antiqua" w:hAnsi="Book Antiqua" w:cs="Arial"/>
        <w:sz w:val="16"/>
        <w:szCs w:val="16"/>
      </w:rPr>
    </w:pPr>
    <w:r w:rsidRPr="001C5703">
      <w:rPr>
        <w:rStyle w:val="PageNumber"/>
        <w:rFonts w:ascii="Book Antiqua" w:hAnsi="Book Antiqua" w:cs="Arial"/>
        <w:sz w:val="16"/>
        <w:szCs w:val="16"/>
      </w:rPr>
      <w:fldChar w:fldCharType="begin"/>
    </w:r>
    <w:r w:rsidRPr="001C5703">
      <w:rPr>
        <w:rStyle w:val="PageNumber"/>
        <w:rFonts w:ascii="Book Antiqua" w:hAnsi="Book Antiqua" w:cs="Arial"/>
        <w:sz w:val="16"/>
        <w:szCs w:val="16"/>
      </w:rPr>
      <w:instrText xml:space="preserve"> PAGE </w:instrText>
    </w:r>
    <w:r w:rsidRPr="001C5703">
      <w:rPr>
        <w:rStyle w:val="PageNumber"/>
        <w:rFonts w:ascii="Book Antiqua" w:hAnsi="Book Antiqua" w:cs="Arial"/>
        <w:sz w:val="16"/>
        <w:szCs w:val="16"/>
      </w:rPr>
      <w:fldChar w:fldCharType="separate"/>
    </w:r>
    <w:r w:rsidR="000A58B1">
      <w:rPr>
        <w:rStyle w:val="PageNumber"/>
        <w:rFonts w:ascii="Book Antiqua" w:hAnsi="Book Antiqua" w:cs="Arial"/>
        <w:noProof/>
        <w:sz w:val="16"/>
        <w:szCs w:val="16"/>
      </w:rPr>
      <w:t>11</w:t>
    </w:r>
    <w:r w:rsidRPr="001C570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Pr="001C5703" w:rsidRDefault="0010335F" w:rsidP="009A0C11">
    <w:pPr>
      <w:jc w:val="center"/>
      <w:rPr>
        <w:rFonts w:ascii="Book Antiqua" w:hAnsi="Book Antiqua" w:cs="Arial"/>
        <w:b/>
      </w:rPr>
    </w:pPr>
    <w:r w:rsidRPr="001C5703">
      <w:rPr>
        <w:rFonts w:ascii="Book Antiqua" w:hAnsi="Book Antiqua" w:cs="Arial"/>
        <w:b/>
        <w:spacing w:val="-6"/>
      </w:rPr>
      <w:t>©</w:t>
    </w:r>
    <w:r w:rsidR="00BA1EB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4CF4" w:rsidRDefault="00DE4CF4">
      <w:r>
        <w:separator/>
      </w:r>
    </w:p>
  </w:footnote>
  <w:footnote w:type="continuationSeparator" w:id="0">
    <w:p w:rsidR="00DE4CF4" w:rsidRDefault="00DE4C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335F" w:rsidRDefault="0010335F" w:rsidP="00593795">
    <w:pPr>
      <w:pStyle w:val="Header"/>
      <w:jc w:val="right"/>
      <w:rPr>
        <w:rFonts w:ascii="Book Antiqua" w:hAnsi="Book Antiqua" w:cs="Arial"/>
        <w:sz w:val="16"/>
        <w:szCs w:val="16"/>
      </w:rPr>
    </w:pPr>
    <w:r w:rsidRPr="001C5703">
      <w:rPr>
        <w:rFonts w:ascii="Book Antiqua" w:hAnsi="Book Antiqua" w:cs="Arial"/>
        <w:sz w:val="16"/>
        <w:szCs w:val="16"/>
      </w:rPr>
      <w:t xml:space="preserve">Appeal Number: </w:t>
    </w:r>
    <w:r w:rsidR="00772506">
      <w:rPr>
        <w:rFonts w:ascii="Book Antiqua" w:hAnsi="Book Antiqua" w:cs="Arial"/>
        <w:sz w:val="16"/>
        <w:szCs w:val="16"/>
      </w:rPr>
      <w:t>DA/00068/2018</w:t>
    </w:r>
  </w:p>
  <w:p w:rsidR="00772506" w:rsidRPr="001C5703" w:rsidRDefault="00772506"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5703" w:rsidRPr="001C5703" w:rsidRDefault="001C5703">
    <w:pPr>
      <w:pStyle w:val="Header"/>
      <w:rPr>
        <w:rFonts w:ascii="Book Antiqua" w:hAnsi="Book Antiqua"/>
      </w:rPr>
    </w:pPr>
    <w:r w:rsidRPr="001C570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FD3784"/>
    <w:multiLevelType w:val="multilevel"/>
    <w:tmpl w:val="D5967C60"/>
    <w:lvl w:ilvl="0">
      <w:start w:val="1"/>
      <w:numFmt w:val="decimal"/>
      <w:pStyle w:val="p"/>
      <w:lvlText w:val="%1."/>
      <w:lvlJc w:val="left"/>
      <w:pPr>
        <w:tabs>
          <w:tab w:val="num" w:pos="567"/>
        </w:tabs>
        <w:ind w:left="567" w:hanging="567"/>
      </w:pPr>
      <w:rPr>
        <w:rFonts w:hint="default"/>
      </w:rPr>
    </w:lvl>
    <w:lvl w:ilvl="1">
      <w:start w:val="1"/>
      <w:numFmt w:val="lowerRoman"/>
      <w:pStyle w:val="subRoman"/>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5456467"/>
    <w:multiLevelType w:val="hybridMultilevel"/>
    <w:tmpl w:val="1E2033D0"/>
    <w:styleLink w:val="ImportedStyle1"/>
    <w:lvl w:ilvl="0" w:tplc="23B2CECE">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74F205AA">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99B64300">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3" w:tplc="BB46DBD2">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B5947FCE">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A9884712">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0728C62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BD0D37C">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1BCE2D4">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6D1E727C"/>
    <w:multiLevelType w:val="multilevel"/>
    <w:tmpl w:val="27CE55AE"/>
    <w:lvl w:ilvl="0">
      <w:start w:val="1"/>
      <w:numFmt w:val="decimal"/>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6F9035AE"/>
    <w:multiLevelType w:val="hybridMultilevel"/>
    <w:tmpl w:val="1E2033D0"/>
    <w:lvl w:ilvl="0" w:tplc="00D89518">
      <w:start w:val="1"/>
      <w:numFmt w:val="decimal"/>
      <w:lvlText w:val="%1."/>
      <w:lvlJc w:val="left"/>
      <w:pPr>
        <w:ind w:left="567" w:hanging="567"/>
      </w:pPr>
      <w:rPr>
        <w:rFonts w:hAnsi="Arial Unicode MS"/>
        <w:caps w:val="0"/>
        <w:smallCaps w:val="0"/>
        <w:strike w:val="0"/>
        <w:dstrike w:val="0"/>
        <w:outline w:val="0"/>
        <w:emboss w:val="0"/>
        <w:imprint w:val="0"/>
        <w:spacing w:val="0"/>
        <w:w w:val="100"/>
        <w:kern w:val="0"/>
        <w:position w:val="0"/>
        <w:highlight w:val="none"/>
        <w:vertAlign w:val="baseline"/>
      </w:rPr>
    </w:lvl>
    <w:lvl w:ilvl="1" w:tplc="6180E7B4">
      <w:start w:val="1"/>
      <w:numFmt w:val="lowerLetter"/>
      <w:lvlText w:val="(%2)"/>
      <w:lvlJc w:val="left"/>
      <w:pPr>
        <w:ind w:left="1134" w:hanging="567"/>
      </w:pPr>
      <w:rPr>
        <w:rFonts w:hAnsi="Arial Unicode MS"/>
        <w:caps w:val="0"/>
        <w:smallCaps w:val="0"/>
        <w:strike w:val="0"/>
        <w:dstrike w:val="0"/>
        <w:outline w:val="0"/>
        <w:emboss w:val="0"/>
        <w:imprint w:val="0"/>
        <w:spacing w:val="0"/>
        <w:w w:val="100"/>
        <w:kern w:val="0"/>
        <w:position w:val="0"/>
        <w:highlight w:val="none"/>
        <w:vertAlign w:val="baseline"/>
      </w:rPr>
    </w:lvl>
    <w:lvl w:ilvl="2" w:tplc="7A36FDF6">
      <w:start w:val="1"/>
      <w:numFmt w:val="lowerRoman"/>
      <w:lvlText w:val="(%3)"/>
      <w:lvlJc w:val="left"/>
      <w:pPr>
        <w:ind w:left="1701" w:hanging="567"/>
      </w:pPr>
      <w:rPr>
        <w:rFonts w:hAnsi="Arial Unicode MS"/>
        <w:caps w:val="0"/>
        <w:smallCaps w:val="0"/>
        <w:strike w:val="0"/>
        <w:dstrike w:val="0"/>
        <w:outline w:val="0"/>
        <w:emboss w:val="0"/>
        <w:imprint w:val="0"/>
        <w:spacing w:val="0"/>
        <w:w w:val="100"/>
        <w:kern w:val="0"/>
        <w:position w:val="0"/>
        <w:highlight w:val="none"/>
        <w:vertAlign w:val="baseline"/>
      </w:rPr>
    </w:lvl>
    <w:lvl w:ilvl="3" w:tplc="8A44FB38">
      <w:start w:val="1"/>
      <w:numFmt w:val="decimal"/>
      <w:lvlText w:val="(%4)"/>
      <w:lvlJc w:val="left"/>
      <w:pPr>
        <w:ind w:left="2268" w:hanging="567"/>
      </w:pPr>
      <w:rPr>
        <w:rFonts w:hAnsi="Arial Unicode MS"/>
        <w:caps w:val="0"/>
        <w:smallCaps w:val="0"/>
        <w:strike w:val="0"/>
        <w:dstrike w:val="0"/>
        <w:outline w:val="0"/>
        <w:emboss w:val="0"/>
        <w:imprint w:val="0"/>
        <w:spacing w:val="0"/>
        <w:w w:val="100"/>
        <w:kern w:val="0"/>
        <w:position w:val="0"/>
        <w:highlight w:val="none"/>
        <w:vertAlign w:val="baseline"/>
      </w:rPr>
    </w:lvl>
    <w:lvl w:ilvl="4" w:tplc="441C74A6">
      <w:start w:val="1"/>
      <w:numFmt w:val="lowerLetter"/>
      <w:lvlText w:val="(%5)"/>
      <w:lvlJc w:val="left"/>
      <w:pPr>
        <w:ind w:left="2835" w:hanging="567"/>
      </w:pPr>
      <w:rPr>
        <w:rFonts w:hAnsi="Arial Unicode MS"/>
        <w:caps w:val="0"/>
        <w:smallCaps w:val="0"/>
        <w:strike w:val="0"/>
        <w:dstrike w:val="0"/>
        <w:outline w:val="0"/>
        <w:emboss w:val="0"/>
        <w:imprint w:val="0"/>
        <w:spacing w:val="0"/>
        <w:w w:val="100"/>
        <w:kern w:val="0"/>
        <w:position w:val="0"/>
        <w:highlight w:val="none"/>
        <w:vertAlign w:val="baseline"/>
      </w:rPr>
    </w:lvl>
    <w:lvl w:ilvl="5" w:tplc="7F4A9E56">
      <w:start w:val="1"/>
      <w:numFmt w:val="lowerRoman"/>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D34C9878">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DA4E8988">
      <w:start w:val="1"/>
      <w:numFmt w:val="lowerLetter"/>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1FE4BBA">
      <w:start w:val="1"/>
      <w:numFmt w:val="lowerRoman"/>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3"/>
    <w:lvlOverride w:ilvl="0">
      <w:lvl w:ilvl="0" w:tplc="00D89518">
        <w:start w:val="1"/>
        <w:numFmt w:val="decimal"/>
        <w:lvlText w:val="%1."/>
        <w:lvlJc w:val="left"/>
        <w:pPr>
          <w:ind w:left="567" w:hanging="567"/>
        </w:pPr>
        <w:rPr>
          <w:rFonts w:hAnsi="Arial Unicode MS"/>
          <w:b w:val="0"/>
          <w:caps w:val="0"/>
          <w:smallCaps w:val="0"/>
          <w:strike w:val="0"/>
          <w:dstrike w:val="0"/>
          <w:outline w:val="0"/>
          <w:emboss w:val="0"/>
          <w:imprint w:val="0"/>
          <w:spacing w:val="0"/>
          <w:w w:val="100"/>
          <w:kern w:val="0"/>
          <w:position w:val="0"/>
          <w:highlight w:val="none"/>
          <w:vertAlign w:val="baseline"/>
        </w:rPr>
      </w:lvl>
    </w:lvlOverride>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080"/>
    <w:rsid w:val="00000621"/>
    <w:rsid w:val="000036C2"/>
    <w:rsid w:val="00010B69"/>
    <w:rsid w:val="000259DC"/>
    <w:rsid w:val="00033326"/>
    <w:rsid w:val="00033D3D"/>
    <w:rsid w:val="00044972"/>
    <w:rsid w:val="00062F02"/>
    <w:rsid w:val="000678FB"/>
    <w:rsid w:val="00071A7E"/>
    <w:rsid w:val="000746C0"/>
    <w:rsid w:val="00074D1D"/>
    <w:rsid w:val="00081373"/>
    <w:rsid w:val="00092580"/>
    <w:rsid w:val="00093D4D"/>
    <w:rsid w:val="000A3281"/>
    <w:rsid w:val="000A58B1"/>
    <w:rsid w:val="000D0473"/>
    <w:rsid w:val="000D0F01"/>
    <w:rsid w:val="000D5D94"/>
    <w:rsid w:val="000D614D"/>
    <w:rsid w:val="000E6144"/>
    <w:rsid w:val="000F10F5"/>
    <w:rsid w:val="000F1A0E"/>
    <w:rsid w:val="000F2591"/>
    <w:rsid w:val="000F30BD"/>
    <w:rsid w:val="0010335F"/>
    <w:rsid w:val="001165A7"/>
    <w:rsid w:val="001207CB"/>
    <w:rsid w:val="00136333"/>
    <w:rsid w:val="00141554"/>
    <w:rsid w:val="00154898"/>
    <w:rsid w:val="00167D3A"/>
    <w:rsid w:val="00174A01"/>
    <w:rsid w:val="00197BF7"/>
    <w:rsid w:val="001A3082"/>
    <w:rsid w:val="001B186A"/>
    <w:rsid w:val="001B1BFA"/>
    <w:rsid w:val="001B2F75"/>
    <w:rsid w:val="001C5703"/>
    <w:rsid w:val="001F2716"/>
    <w:rsid w:val="001F7EC0"/>
    <w:rsid w:val="00207617"/>
    <w:rsid w:val="00207D73"/>
    <w:rsid w:val="00220A24"/>
    <w:rsid w:val="0023134B"/>
    <w:rsid w:val="0025681E"/>
    <w:rsid w:val="00271A26"/>
    <w:rsid w:val="00273559"/>
    <w:rsid w:val="00283659"/>
    <w:rsid w:val="00284A9E"/>
    <w:rsid w:val="002C6BD4"/>
    <w:rsid w:val="002D68BF"/>
    <w:rsid w:val="002E1781"/>
    <w:rsid w:val="002E3A54"/>
    <w:rsid w:val="002F1C00"/>
    <w:rsid w:val="002F6B98"/>
    <w:rsid w:val="00307DE2"/>
    <w:rsid w:val="003114CB"/>
    <w:rsid w:val="0032792F"/>
    <w:rsid w:val="003303FC"/>
    <w:rsid w:val="00336CBF"/>
    <w:rsid w:val="00343FE3"/>
    <w:rsid w:val="00345549"/>
    <w:rsid w:val="003543A1"/>
    <w:rsid w:val="003546C8"/>
    <w:rsid w:val="0036763A"/>
    <w:rsid w:val="003748C6"/>
    <w:rsid w:val="003916AA"/>
    <w:rsid w:val="003A39B1"/>
    <w:rsid w:val="003A7CF2"/>
    <w:rsid w:val="003C5CE5"/>
    <w:rsid w:val="003D42D6"/>
    <w:rsid w:val="003E267B"/>
    <w:rsid w:val="003E7CD1"/>
    <w:rsid w:val="003F21E4"/>
    <w:rsid w:val="003F5FB9"/>
    <w:rsid w:val="00402B9E"/>
    <w:rsid w:val="00423916"/>
    <w:rsid w:val="004249CB"/>
    <w:rsid w:val="0044127D"/>
    <w:rsid w:val="004448DB"/>
    <w:rsid w:val="00446C9A"/>
    <w:rsid w:val="00452F2B"/>
    <w:rsid w:val="004618FC"/>
    <w:rsid w:val="00477193"/>
    <w:rsid w:val="00497161"/>
    <w:rsid w:val="004A1848"/>
    <w:rsid w:val="004A6F4A"/>
    <w:rsid w:val="004E4717"/>
    <w:rsid w:val="00503743"/>
    <w:rsid w:val="00507FEC"/>
    <w:rsid w:val="00510F0E"/>
    <w:rsid w:val="00517FE1"/>
    <w:rsid w:val="00520345"/>
    <w:rsid w:val="0052070D"/>
    <w:rsid w:val="00535603"/>
    <w:rsid w:val="0054240C"/>
    <w:rsid w:val="00543176"/>
    <w:rsid w:val="005479E1"/>
    <w:rsid w:val="00553E0A"/>
    <w:rsid w:val="005570FD"/>
    <w:rsid w:val="005575EA"/>
    <w:rsid w:val="00570E5B"/>
    <w:rsid w:val="00574BCA"/>
    <w:rsid w:val="0057790C"/>
    <w:rsid w:val="005818E8"/>
    <w:rsid w:val="00581F2A"/>
    <w:rsid w:val="00593795"/>
    <w:rsid w:val="00595976"/>
    <w:rsid w:val="005A632B"/>
    <w:rsid w:val="005A75FF"/>
    <w:rsid w:val="005B1C60"/>
    <w:rsid w:val="005D10AB"/>
    <w:rsid w:val="00601D8F"/>
    <w:rsid w:val="00614F80"/>
    <w:rsid w:val="00653E97"/>
    <w:rsid w:val="00664B4E"/>
    <w:rsid w:val="006748A7"/>
    <w:rsid w:val="00684A74"/>
    <w:rsid w:val="00690B8A"/>
    <w:rsid w:val="00693A5E"/>
    <w:rsid w:val="006D0153"/>
    <w:rsid w:val="006D42FC"/>
    <w:rsid w:val="006E58A8"/>
    <w:rsid w:val="006F2CF1"/>
    <w:rsid w:val="007038ED"/>
    <w:rsid w:val="00703BC3"/>
    <w:rsid w:val="00704B61"/>
    <w:rsid w:val="00731D49"/>
    <w:rsid w:val="00753A31"/>
    <w:rsid w:val="007552A9"/>
    <w:rsid w:val="00761858"/>
    <w:rsid w:val="00766393"/>
    <w:rsid w:val="00767D59"/>
    <w:rsid w:val="00772506"/>
    <w:rsid w:val="00776E97"/>
    <w:rsid w:val="00780F86"/>
    <w:rsid w:val="007912AD"/>
    <w:rsid w:val="007B0824"/>
    <w:rsid w:val="007B2876"/>
    <w:rsid w:val="007B5D3C"/>
    <w:rsid w:val="007E3B27"/>
    <w:rsid w:val="008156B8"/>
    <w:rsid w:val="00821B72"/>
    <w:rsid w:val="00823EF2"/>
    <w:rsid w:val="00825DDF"/>
    <w:rsid w:val="008303B8"/>
    <w:rsid w:val="00833DCE"/>
    <w:rsid w:val="008365BF"/>
    <w:rsid w:val="00852EED"/>
    <w:rsid w:val="00871D34"/>
    <w:rsid w:val="00882B0E"/>
    <w:rsid w:val="008A2D0E"/>
    <w:rsid w:val="008A6885"/>
    <w:rsid w:val="008B270C"/>
    <w:rsid w:val="008B5078"/>
    <w:rsid w:val="008C3D3D"/>
    <w:rsid w:val="008D4131"/>
    <w:rsid w:val="008F1932"/>
    <w:rsid w:val="0090060C"/>
    <w:rsid w:val="00904924"/>
    <w:rsid w:val="00921062"/>
    <w:rsid w:val="00921B94"/>
    <w:rsid w:val="009405A9"/>
    <w:rsid w:val="00951276"/>
    <w:rsid w:val="009722BC"/>
    <w:rsid w:val="009727A3"/>
    <w:rsid w:val="00985622"/>
    <w:rsid w:val="00987774"/>
    <w:rsid w:val="009A0C11"/>
    <w:rsid w:val="009A11E8"/>
    <w:rsid w:val="009B2FD1"/>
    <w:rsid w:val="009D051D"/>
    <w:rsid w:val="009D5522"/>
    <w:rsid w:val="009F5220"/>
    <w:rsid w:val="00A15234"/>
    <w:rsid w:val="00A201AB"/>
    <w:rsid w:val="00A319C3"/>
    <w:rsid w:val="00A31C8B"/>
    <w:rsid w:val="00A509FA"/>
    <w:rsid w:val="00A57B3D"/>
    <w:rsid w:val="00A845DC"/>
    <w:rsid w:val="00A920F4"/>
    <w:rsid w:val="00A924C4"/>
    <w:rsid w:val="00AA1BEA"/>
    <w:rsid w:val="00AC26AD"/>
    <w:rsid w:val="00AE7219"/>
    <w:rsid w:val="00B13330"/>
    <w:rsid w:val="00B14CBD"/>
    <w:rsid w:val="00B21C3C"/>
    <w:rsid w:val="00B26AA2"/>
    <w:rsid w:val="00B3524D"/>
    <w:rsid w:val="00B372AF"/>
    <w:rsid w:val="00B40F69"/>
    <w:rsid w:val="00B46616"/>
    <w:rsid w:val="00B56B2E"/>
    <w:rsid w:val="00B6259B"/>
    <w:rsid w:val="00B7040A"/>
    <w:rsid w:val="00B7567A"/>
    <w:rsid w:val="00B83391"/>
    <w:rsid w:val="00B95326"/>
    <w:rsid w:val="00BA0D7F"/>
    <w:rsid w:val="00BA1EB6"/>
    <w:rsid w:val="00BA3A97"/>
    <w:rsid w:val="00BD2084"/>
    <w:rsid w:val="00BD4196"/>
    <w:rsid w:val="00BF22CA"/>
    <w:rsid w:val="00BF23BB"/>
    <w:rsid w:val="00BF4A96"/>
    <w:rsid w:val="00BF4C64"/>
    <w:rsid w:val="00BF5F1C"/>
    <w:rsid w:val="00C26032"/>
    <w:rsid w:val="00C345E1"/>
    <w:rsid w:val="00C43BFD"/>
    <w:rsid w:val="00C5682F"/>
    <w:rsid w:val="00C75A8B"/>
    <w:rsid w:val="00CB6E35"/>
    <w:rsid w:val="00CE1A46"/>
    <w:rsid w:val="00D12F11"/>
    <w:rsid w:val="00D20757"/>
    <w:rsid w:val="00D22636"/>
    <w:rsid w:val="00D269C8"/>
    <w:rsid w:val="00D40FD9"/>
    <w:rsid w:val="00D53769"/>
    <w:rsid w:val="00D5575E"/>
    <w:rsid w:val="00D57905"/>
    <w:rsid w:val="00D64505"/>
    <w:rsid w:val="00D658F7"/>
    <w:rsid w:val="00D73A2A"/>
    <w:rsid w:val="00D833B6"/>
    <w:rsid w:val="00D858D9"/>
    <w:rsid w:val="00D85C13"/>
    <w:rsid w:val="00D9111A"/>
    <w:rsid w:val="00D91BE3"/>
    <w:rsid w:val="00D94AFC"/>
    <w:rsid w:val="00DB524B"/>
    <w:rsid w:val="00DB70AE"/>
    <w:rsid w:val="00DD0A6F"/>
    <w:rsid w:val="00DD5071"/>
    <w:rsid w:val="00DD5C39"/>
    <w:rsid w:val="00DE4CF4"/>
    <w:rsid w:val="00DE7DB7"/>
    <w:rsid w:val="00DF378A"/>
    <w:rsid w:val="00DF7CC5"/>
    <w:rsid w:val="00E00A0A"/>
    <w:rsid w:val="00E066DE"/>
    <w:rsid w:val="00E07F57"/>
    <w:rsid w:val="00E30683"/>
    <w:rsid w:val="00E310CB"/>
    <w:rsid w:val="00E32E10"/>
    <w:rsid w:val="00E41668"/>
    <w:rsid w:val="00E453D8"/>
    <w:rsid w:val="00E472ED"/>
    <w:rsid w:val="00E47EA6"/>
    <w:rsid w:val="00E50BCE"/>
    <w:rsid w:val="00E559AA"/>
    <w:rsid w:val="00E574BF"/>
    <w:rsid w:val="00E60AB7"/>
    <w:rsid w:val="00E61292"/>
    <w:rsid w:val="00E70660"/>
    <w:rsid w:val="00E77C4D"/>
    <w:rsid w:val="00E81D01"/>
    <w:rsid w:val="00E83E95"/>
    <w:rsid w:val="00E92CCD"/>
    <w:rsid w:val="00EA7489"/>
    <w:rsid w:val="00ED5CBA"/>
    <w:rsid w:val="00ED7080"/>
    <w:rsid w:val="00EE45D8"/>
    <w:rsid w:val="00F22EDA"/>
    <w:rsid w:val="00F54928"/>
    <w:rsid w:val="00FE1AA8"/>
    <w:rsid w:val="00FF1A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72AC05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q">
    <w:name w:val="q"/>
    <w:basedOn w:val="Normal"/>
    <w:rsid w:val="00772506"/>
    <w:pPr>
      <w:spacing w:before="240"/>
      <w:ind w:left="1134"/>
      <w:jc w:val="both"/>
    </w:pPr>
    <w:rPr>
      <w:rFonts w:ascii="Book Antiqua" w:hAnsi="Book Antiqua" w:cs="Arial"/>
      <w:sz w:val="22"/>
      <w:szCs w:val="22"/>
    </w:rPr>
  </w:style>
  <w:style w:type="paragraph" w:customStyle="1" w:styleId="qn">
    <w:name w:val="qn"/>
    <w:basedOn w:val="q"/>
    <w:rsid w:val="00772506"/>
    <w:pPr>
      <w:ind w:left="1701" w:hanging="567"/>
    </w:pPr>
  </w:style>
  <w:style w:type="paragraph" w:customStyle="1" w:styleId="qnsub">
    <w:name w:val="qnsub"/>
    <w:basedOn w:val="qn"/>
    <w:rsid w:val="00772506"/>
    <w:pPr>
      <w:ind w:left="2268"/>
    </w:pPr>
  </w:style>
  <w:style w:type="paragraph" w:customStyle="1" w:styleId="Body">
    <w:name w:val="Body"/>
    <w:rsid w:val="00772506"/>
    <w:pPr>
      <w:pBdr>
        <w:top w:val="nil"/>
        <w:left w:val="nil"/>
        <w:bottom w:val="nil"/>
        <w:right w:val="nil"/>
        <w:between w:val="nil"/>
        <w:bar w:val="nil"/>
      </w:pBdr>
    </w:pPr>
    <w:rPr>
      <w:color w:val="000000"/>
      <w:sz w:val="24"/>
      <w:szCs w:val="24"/>
      <w:u w:color="000000"/>
      <w:bdr w:val="nil"/>
      <w:lang w:val="en-US"/>
    </w:rPr>
  </w:style>
  <w:style w:type="paragraph" w:customStyle="1" w:styleId="p">
    <w:name w:val="p"/>
    <w:basedOn w:val="Normal"/>
    <w:qFormat/>
    <w:rsid w:val="00772506"/>
    <w:pPr>
      <w:numPr>
        <w:numId w:val="1"/>
      </w:numPr>
      <w:spacing w:before="240"/>
      <w:jc w:val="both"/>
    </w:pPr>
    <w:rPr>
      <w:rFonts w:ascii="Book Antiqua" w:hAnsi="Book Antiqua" w:cs="Arial"/>
    </w:rPr>
  </w:style>
  <w:style w:type="numbering" w:customStyle="1" w:styleId="ImportedStyle1">
    <w:name w:val="Imported Style 1"/>
    <w:rsid w:val="00772506"/>
    <w:pPr>
      <w:numPr>
        <w:numId w:val="3"/>
      </w:numPr>
    </w:pPr>
  </w:style>
  <w:style w:type="paragraph" w:customStyle="1" w:styleId="subRoman">
    <w:name w:val="subRoman"/>
    <w:basedOn w:val="p"/>
    <w:qFormat/>
    <w:rsid w:val="00772506"/>
    <w:pPr>
      <w:numPr>
        <w:ilvl w:val="1"/>
      </w:numPr>
    </w:pPr>
    <w:rPr>
      <w:rFonts w:eastAsia="Book Antiqua"/>
    </w:rPr>
  </w:style>
  <w:style w:type="paragraph" w:customStyle="1" w:styleId="subq">
    <w:name w:val="subq"/>
    <w:basedOn w:val="Body"/>
    <w:qFormat/>
    <w:rsid w:val="00772506"/>
    <w:pPr>
      <w:spacing w:before="240"/>
      <w:ind w:left="1701"/>
      <w:jc w:val="both"/>
    </w:pPr>
    <w:rPr>
      <w:rFonts w:ascii="Book Antiqua" w:eastAsia="Book Antiqua" w:hAnsi="Book Antiqua" w:cs="Book Antiqua"/>
      <w:sz w:val="22"/>
      <w:szCs w:val="22"/>
    </w:rPr>
  </w:style>
  <w:style w:type="paragraph" w:customStyle="1" w:styleId="un">
    <w:name w:val="un"/>
    <w:basedOn w:val="Body"/>
    <w:qFormat/>
    <w:rsid w:val="00FF1ADF"/>
    <w:pPr>
      <w:spacing w:before="240"/>
      <w:ind w:left="567"/>
      <w:jc w:val="both"/>
    </w:pPr>
    <w:rPr>
      <w:rFonts w:ascii="Book Antiqua" w:eastAsia="Book Antiqua" w:hAnsi="Book Antiqua" w:cs="Book Antiqua"/>
    </w:rPr>
  </w:style>
  <w:style w:type="paragraph" w:customStyle="1" w:styleId="h">
    <w:name w:val="h"/>
    <w:basedOn w:val="p"/>
    <w:qFormat/>
    <w:rsid w:val="0054240C"/>
    <w:pPr>
      <w:numPr>
        <w:numId w:val="0"/>
      </w:numPr>
    </w:pPr>
    <w:rPr>
      <w:rFonts w:eastAsia="Book Antiqua"/>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4933</Words>
  <Characters>24572</Characters>
  <Application>Microsoft Office Word</Application>
  <DocSecurity>0</DocSecurity>
  <Lines>204</Lines>
  <Paragraphs>58</Paragraphs>
  <ScaleCrop>false</ScaleCrop>
  <Company/>
  <LinksUpToDate>false</LinksUpToDate>
  <CharactersWithSpaces>29447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2018-09-21T13:21:00Z</dcterms:created>
  <dcterms:modified xsi:type="dcterms:W3CDTF">2018-09-21T13:22:00Z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