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063053" w:rsidP="00A842AA">
      <w:pPr>
        <w:jc w:val="center"/>
        <w:rPr>
          <w:rFonts w:ascii="Book Antiqua" w:hAnsi="Book Antiqua" w:cs="Arial"/>
          <w:caps/>
          <w:color w:val="000000"/>
          <w:sz w:val="16"/>
          <w:szCs w:val="16"/>
        </w:rPr>
      </w:pPr>
      <w:r>
        <w:rPr>
          <w:noProof/>
        </w:rPr>
        <w:drawing>
          <wp:inline distT="0" distB="0" distL="0" distR="0" wp14:anchorId="0320747A" wp14:editId="0F211289">
            <wp:extent cx="104648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6145"/>
                    </a:xfrm>
                    <a:prstGeom prst="rect">
                      <a:avLst/>
                    </a:prstGeom>
                    <a:noFill/>
                    <a:ln>
                      <a:noFill/>
                    </a:ln>
                  </pic:spPr>
                </pic:pic>
              </a:graphicData>
            </a:graphic>
          </wp:inline>
        </w:drawing>
      </w:r>
    </w:p>
    <w:p w:rsidR="00D94AFC" w:rsidRPr="00AC04A0" w:rsidRDefault="00D94AFC">
      <w:pPr>
        <w:rPr>
          <w:rFonts w:ascii="Book Antiqua" w:hAnsi="Book Antiqua" w:cs="Arial"/>
          <w:color w:val="000000"/>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r w:rsidR="004A6E1B">
        <w:rPr>
          <w:rFonts w:ascii="Book Antiqua" w:hAnsi="Book Antiqua" w:cs="Arial"/>
          <w:caps/>
          <w:color w:val="000000"/>
        </w:rPr>
        <w:t>DA</w:t>
      </w:r>
      <w:r w:rsidR="002327ED">
        <w:rPr>
          <w:rFonts w:ascii="Book Antiqua" w:hAnsi="Book Antiqua" w:cs="Arial"/>
          <w:caps/>
          <w:color w:val="000000"/>
        </w:rPr>
        <w:t>/</w:t>
      </w:r>
      <w:r w:rsidR="004A6E1B">
        <w:rPr>
          <w:rFonts w:ascii="Book Antiqua" w:hAnsi="Book Antiqua" w:cs="Arial"/>
          <w:caps/>
          <w:color w:val="000000"/>
        </w:rPr>
        <w:t>00073</w:t>
      </w:r>
      <w:r w:rsidR="002327ED">
        <w:rPr>
          <w:rFonts w:ascii="Book Antiqua" w:hAnsi="Book Antiqua" w:cs="Arial"/>
          <w:caps/>
          <w:color w:val="000000"/>
        </w:rPr>
        <w:t>/</w:t>
      </w:r>
      <w:r w:rsidR="004A6E1B">
        <w:rPr>
          <w:rFonts w:ascii="Book Antiqua" w:hAnsi="Book Antiqua" w:cs="Arial"/>
          <w:caps/>
          <w:color w:val="000000"/>
        </w:rPr>
        <w:t>2018</w:t>
      </w: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666"/>
        <w:gridCol w:w="3960"/>
      </w:tblGrid>
      <w:tr w:rsidR="00D22636" w:rsidRPr="00AC04A0" w:rsidTr="005307B0">
        <w:tc>
          <w:tcPr>
            <w:tcW w:w="5382"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4A6E1B">
              <w:rPr>
                <w:rFonts w:ascii="Book Antiqua" w:hAnsi="Book Antiqua" w:cs="Arial"/>
                <w:b/>
              </w:rPr>
              <w:t>Royal Courts of Justice</w:t>
            </w:r>
          </w:p>
        </w:tc>
        <w:tc>
          <w:tcPr>
            <w:tcW w:w="4626" w:type="dxa"/>
            <w:gridSpan w:val="2"/>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5307B0">
        <w:tc>
          <w:tcPr>
            <w:tcW w:w="5382"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4A6E1B">
              <w:rPr>
                <w:rFonts w:ascii="Book Antiqua" w:hAnsi="Book Antiqua" w:cs="Arial"/>
                <w:b/>
              </w:rPr>
              <w:t>4 June 2018</w:t>
            </w:r>
          </w:p>
        </w:tc>
        <w:tc>
          <w:tcPr>
            <w:tcW w:w="4626" w:type="dxa"/>
            <w:gridSpan w:val="2"/>
          </w:tcPr>
          <w:p w:rsidR="00D22636" w:rsidRPr="00AC04A0" w:rsidRDefault="005307B0" w:rsidP="004A1848">
            <w:pPr>
              <w:jc w:val="both"/>
              <w:rPr>
                <w:rFonts w:ascii="Book Antiqua" w:hAnsi="Book Antiqua" w:cs="Arial"/>
                <w:b/>
              </w:rPr>
            </w:pPr>
            <w:r>
              <w:rPr>
                <w:rFonts w:ascii="Book Antiqua" w:hAnsi="Book Antiqua" w:cs="Arial"/>
                <w:b/>
              </w:rPr>
              <w:t xml:space="preserve">On 3 July 2018 </w:t>
            </w:r>
          </w:p>
        </w:tc>
      </w:tr>
      <w:tr w:rsidR="00D22636" w:rsidRPr="00AC04A0" w:rsidTr="005307B0">
        <w:tc>
          <w:tcPr>
            <w:tcW w:w="6048" w:type="dxa"/>
            <w:gridSpan w:val="2"/>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7247BA" w:rsidP="00A15234">
      <w:pPr>
        <w:jc w:val="center"/>
        <w:rPr>
          <w:rFonts w:ascii="Book Antiqua" w:hAnsi="Book Antiqua" w:cs="Arial"/>
          <w:b/>
          <w:caps/>
        </w:rPr>
      </w:pPr>
      <w:r>
        <w:rPr>
          <w:rFonts w:ascii="Book Antiqua" w:hAnsi="Book Antiqua" w:cs="Arial"/>
          <w:b/>
          <w:caps/>
        </w:rPr>
        <w:t>D c</w:t>
      </w:r>
    </w:p>
    <w:p w:rsidR="009F14B8" w:rsidRDefault="009F14B8" w:rsidP="009F14B8">
      <w:pPr>
        <w:jc w:val="center"/>
        <w:rPr>
          <w:rFonts w:ascii="Book Antiqua" w:hAnsi="Book Antiqua" w:cs="Arial"/>
          <w:b/>
          <w:caps/>
        </w:rPr>
      </w:pPr>
      <w:r w:rsidRPr="009F14B8">
        <w:rPr>
          <w:rFonts w:ascii="Book Antiqua" w:hAnsi="Book Antiqua" w:cs="Arial"/>
          <w:b/>
          <w:caps/>
        </w:rPr>
        <w:t>(ANONYMITY DIRECTION</w:t>
      </w:r>
      <w:r w:rsidR="00DA1C77">
        <w:rPr>
          <w:rFonts w:ascii="Book Antiqua" w:hAnsi="Book Antiqua" w:cs="Arial"/>
          <w:b/>
          <w:caps/>
        </w:rPr>
        <w:t xml:space="preserve"> </w:t>
      </w:r>
      <w:r w:rsidR="000E3F20">
        <w:rPr>
          <w:rFonts w:ascii="Book Antiqua" w:hAnsi="Book Antiqua" w:cs="Arial"/>
          <w:b/>
          <w:caps/>
        </w:rPr>
        <w:t>made</w:t>
      </w:r>
      <w:r w:rsidRPr="009F14B8">
        <w:rPr>
          <w:rFonts w:ascii="Book Antiqua" w:hAnsi="Book Antiqua" w:cs="Arial"/>
          <w:b/>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4E72CA" w:rsidRDefault="004E72CA" w:rsidP="00704B61">
      <w:pPr>
        <w:jc w:val="center"/>
        <w:rPr>
          <w:rFonts w:ascii="Book Antiqua" w:hAnsi="Book Antiqua" w:cs="Arial"/>
          <w:b/>
        </w:rPr>
      </w:pP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0E3F20" w:rsidP="00704B61">
      <w:pPr>
        <w:jc w:val="center"/>
        <w:rPr>
          <w:rFonts w:ascii="Book Antiqua" w:hAnsi="Book Antiqua" w:cs="Arial"/>
          <w:b/>
        </w:rPr>
      </w:pPr>
      <w:r w:rsidRPr="000E3F20">
        <w:rPr>
          <w:rFonts w:ascii="Book Antiqua" w:hAnsi="Book Antiqua" w:cs="Arial"/>
          <w:b/>
        </w:rPr>
        <w:t>SECRETARY OF STATE FOR THE HOME DEPARTMENT</w:t>
      </w:r>
      <w:r w:rsidRPr="00AC04A0">
        <w:rPr>
          <w:rFonts w:ascii="Book Antiqua" w:hAnsi="Book Antiqua" w:cs="Arial"/>
          <w:b/>
        </w:rPr>
        <w:t xml:space="preserve"> </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D5071" w:rsidP="00DD5071">
      <w:pPr>
        <w:rPr>
          <w:rFonts w:ascii="Book Antiqua" w:hAnsi="Book Antiqua" w:cs="Arial"/>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4A6E1B">
        <w:rPr>
          <w:rFonts w:ascii="Book Antiqua" w:hAnsi="Book Antiqua" w:cs="Arial"/>
        </w:rPr>
        <w:t>Mr S A Salam, Solicitor, Salam &amp; Co Solicitors</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4A6E1B">
        <w:rPr>
          <w:rFonts w:ascii="Book Antiqua" w:hAnsi="Book Antiqua" w:cs="Arial"/>
        </w:rPr>
        <w:t>Mr S Kotas, Senior Home Office Presenting Officer</w:t>
      </w:r>
    </w:p>
    <w:p w:rsidR="00DE7DB7" w:rsidRPr="00053CE3" w:rsidRDefault="009F14B8" w:rsidP="00053CE3">
      <w:pPr>
        <w:tabs>
          <w:tab w:val="left" w:pos="2520"/>
        </w:tabs>
        <w:spacing w:before="100" w:beforeAutospacing="1" w:after="100" w:afterAutospacing="1"/>
        <w:jc w:val="center"/>
        <w:rPr>
          <w:rFonts w:ascii="Book Antiqua" w:hAnsi="Book Antiqua" w:cs="Arial"/>
          <w:sz w:val="28"/>
          <w:szCs w:val="28"/>
        </w:rPr>
      </w:pPr>
      <w:r w:rsidRPr="00053CE3">
        <w:rPr>
          <w:rFonts w:ascii="Book Antiqua" w:hAnsi="Book Antiqua" w:cs="Arial"/>
          <w:b/>
          <w:sz w:val="28"/>
          <w:szCs w:val="28"/>
          <w:u w:val="single"/>
        </w:rPr>
        <w:t xml:space="preserve">DECISION </w:t>
      </w:r>
      <w:r w:rsidR="00402B9E" w:rsidRPr="00053CE3">
        <w:rPr>
          <w:rFonts w:ascii="Book Antiqua" w:hAnsi="Book Antiqua" w:cs="Arial"/>
          <w:b/>
          <w:sz w:val="28"/>
          <w:szCs w:val="28"/>
          <w:u w:val="single"/>
        </w:rPr>
        <w:t>AND REASONS</w:t>
      </w:r>
    </w:p>
    <w:p w:rsidR="0095760A" w:rsidRPr="0095760A" w:rsidRDefault="0095760A" w:rsidP="00E81FC9">
      <w:pPr>
        <w:pStyle w:val="ListParagraph"/>
        <w:numPr>
          <w:ilvl w:val="0"/>
          <w:numId w:val="2"/>
        </w:numPr>
        <w:tabs>
          <w:tab w:val="left" w:pos="567"/>
        </w:tabs>
        <w:spacing w:before="120"/>
        <w:contextualSpacing w:val="0"/>
        <w:jc w:val="both"/>
        <w:rPr>
          <w:rFonts w:ascii="Book Antiqua" w:hAnsi="Book Antiqua" w:cs="Arial"/>
        </w:rPr>
      </w:pPr>
      <w:r w:rsidRPr="0095760A">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sidR="00DA1C77">
        <w:rPr>
          <w:rFonts w:ascii="Century Schoolbook" w:hAnsi="Century Schoolbook" w:cs="Arial"/>
        </w:rPr>
        <w:t>a</w:t>
      </w:r>
      <w:r>
        <w:rPr>
          <w:rFonts w:ascii="Century Schoolbook" w:hAnsi="Century Schoolbook" w:cs="Arial"/>
        </w:rPr>
        <w:t>ppellant</w:t>
      </w:r>
      <w:r w:rsidR="00DA1C77">
        <w:rPr>
          <w:rFonts w:ascii="Century Schoolbook" w:hAnsi="Century Schoolbook" w:cs="Arial"/>
        </w:rPr>
        <w:t>’</w:t>
      </w:r>
      <w:r>
        <w:rPr>
          <w:rFonts w:ascii="Century Schoolbook" w:hAnsi="Century Schoolbook" w:cs="Arial"/>
        </w:rPr>
        <w:t>s children</w:t>
      </w:r>
      <w:r w:rsidRPr="0095760A">
        <w:rPr>
          <w:rFonts w:ascii="Century Schoolbook" w:hAnsi="Century Schoolbook" w:cs="Arial"/>
        </w:rPr>
        <w:t>. Breach of this order can be punished as a contempt of court. I make this order because</w:t>
      </w:r>
      <w:r>
        <w:rPr>
          <w:rFonts w:ascii="Century Schoolbook" w:hAnsi="Century Schoolbook" w:cs="Arial"/>
        </w:rPr>
        <w:t xml:space="preserve"> </w:t>
      </w:r>
      <w:r w:rsidRPr="0095760A">
        <w:rPr>
          <w:rFonts w:ascii="Century Schoolbook" w:hAnsi="Century Schoolbook" w:cs="Arial"/>
        </w:rPr>
        <w:t>th</w:t>
      </w:r>
      <w:r>
        <w:rPr>
          <w:rFonts w:ascii="Century Schoolbook" w:hAnsi="Century Schoolbook" w:cs="Arial"/>
        </w:rPr>
        <w:t xml:space="preserve">ey are wholly innocent of the appellant’s many failings but I am satisfied that </w:t>
      </w:r>
      <w:r w:rsidR="00DA1C77">
        <w:rPr>
          <w:rFonts w:ascii="Century Schoolbook" w:hAnsi="Century Schoolbook" w:cs="Arial"/>
        </w:rPr>
        <w:t>public anger at the appellant might be directed towards them if their identities were known.</w:t>
      </w:r>
    </w:p>
    <w:p w:rsidR="00E81FC9" w:rsidRPr="0095760A" w:rsidRDefault="004A6E1B" w:rsidP="00E81FC9">
      <w:pPr>
        <w:pStyle w:val="ListParagraph"/>
        <w:numPr>
          <w:ilvl w:val="0"/>
          <w:numId w:val="2"/>
        </w:numPr>
        <w:tabs>
          <w:tab w:val="left" w:pos="567"/>
        </w:tabs>
        <w:spacing w:before="120"/>
        <w:contextualSpacing w:val="0"/>
        <w:jc w:val="both"/>
        <w:rPr>
          <w:rFonts w:ascii="Book Antiqua" w:hAnsi="Book Antiqua" w:cs="Arial"/>
        </w:rPr>
      </w:pPr>
      <w:r w:rsidRPr="0095760A">
        <w:rPr>
          <w:rFonts w:ascii="Book Antiqua" w:hAnsi="Book Antiqua" w:cs="Arial"/>
        </w:rPr>
        <w:t xml:space="preserve">The appellant is a national of Lithuania. </w:t>
      </w:r>
      <w:r w:rsidR="006A1D46">
        <w:rPr>
          <w:rFonts w:ascii="Book Antiqua" w:hAnsi="Book Antiqua" w:cs="Arial"/>
        </w:rPr>
        <w:t>She was born in 1992.</w:t>
      </w:r>
      <w:r w:rsidRPr="0095760A">
        <w:rPr>
          <w:rFonts w:ascii="Book Antiqua" w:hAnsi="Book Antiqua" w:cs="Arial"/>
        </w:rPr>
        <w:t xml:space="preserve"> She appeals against the decision of the First-tier Tribunal on 27 February 2018 dismissing her appeal against the decision of the respondent to deport her to Lithuania.</w:t>
      </w:r>
    </w:p>
    <w:p w:rsidR="00E81FC9" w:rsidRDefault="004A6E1B" w:rsidP="00E81FC9">
      <w:pPr>
        <w:pStyle w:val="ListParagraph"/>
        <w:numPr>
          <w:ilvl w:val="0"/>
          <w:numId w:val="2"/>
        </w:numPr>
        <w:tabs>
          <w:tab w:val="left" w:pos="567"/>
        </w:tabs>
        <w:spacing w:before="120"/>
        <w:contextualSpacing w:val="0"/>
        <w:jc w:val="both"/>
        <w:rPr>
          <w:rFonts w:ascii="Book Antiqua" w:hAnsi="Book Antiqua" w:cs="Arial"/>
        </w:rPr>
      </w:pPr>
      <w:r w:rsidRPr="00E81FC9">
        <w:rPr>
          <w:rFonts w:ascii="Book Antiqua" w:hAnsi="Book Antiqua" w:cs="Arial"/>
        </w:rPr>
        <w:lastRenderedPageBreak/>
        <w:t>For the purposes of introduction only and at the risk of over simplification, it is the appellant’s case that the First-tier Tribunal applied the wrong test and reached an unlawful conclusion.</w:t>
      </w:r>
    </w:p>
    <w:p w:rsidR="00E81FC9" w:rsidRDefault="004A6E1B" w:rsidP="00053CE3">
      <w:pPr>
        <w:pStyle w:val="ListParagraph"/>
        <w:numPr>
          <w:ilvl w:val="0"/>
          <w:numId w:val="2"/>
        </w:numPr>
        <w:tabs>
          <w:tab w:val="left" w:pos="567"/>
        </w:tabs>
        <w:spacing w:before="120"/>
        <w:contextualSpacing w:val="0"/>
        <w:jc w:val="both"/>
        <w:rPr>
          <w:rFonts w:ascii="Book Antiqua" w:hAnsi="Book Antiqua" w:cs="Arial"/>
        </w:rPr>
      </w:pPr>
      <w:r w:rsidRPr="00E81FC9">
        <w:rPr>
          <w:rFonts w:ascii="Book Antiqua" w:hAnsi="Book Antiqua" w:cs="Arial"/>
        </w:rPr>
        <w:t>I begin by considering carefully the decision of the First-tier Tribunal.</w:t>
      </w:r>
    </w:p>
    <w:p w:rsidR="002D3C11" w:rsidRDefault="00903D52" w:rsidP="00053CE3">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This shows that t</w:t>
      </w:r>
      <w:r w:rsidR="004A6E1B" w:rsidRPr="00E81FC9">
        <w:rPr>
          <w:rFonts w:ascii="Book Antiqua" w:hAnsi="Book Antiqua" w:cs="Arial"/>
        </w:rPr>
        <w:t>he appellant was born in September 1982 and is a female citizen of Lithuania.  She w</w:t>
      </w:r>
      <w:r w:rsidR="00745FB5" w:rsidRPr="00E81FC9">
        <w:rPr>
          <w:rFonts w:ascii="Book Antiqua" w:hAnsi="Book Antiqua" w:cs="Arial"/>
        </w:rPr>
        <w:t>a</w:t>
      </w:r>
      <w:r w:rsidR="004A6E1B" w:rsidRPr="00E81FC9">
        <w:rPr>
          <w:rFonts w:ascii="Book Antiqua" w:hAnsi="Book Antiqua" w:cs="Arial"/>
        </w:rPr>
        <w:t xml:space="preserve">s made the subject of a deportation order on 8 April 2016 but that </w:t>
      </w:r>
      <w:r w:rsidR="00661F7B">
        <w:rPr>
          <w:rFonts w:ascii="Book Antiqua" w:hAnsi="Book Antiqua" w:cs="Arial"/>
        </w:rPr>
        <w:t xml:space="preserve">decision </w:t>
      </w:r>
      <w:r w:rsidR="004A6E1B" w:rsidRPr="00E81FC9">
        <w:rPr>
          <w:rFonts w:ascii="Book Antiqua" w:hAnsi="Book Antiqua" w:cs="Arial"/>
        </w:rPr>
        <w:t>was subject to appeal and the appeal was allowed</w:t>
      </w:r>
      <w:r w:rsidR="00861AA0">
        <w:rPr>
          <w:rFonts w:ascii="Book Antiqua" w:hAnsi="Book Antiqua" w:cs="Arial"/>
        </w:rPr>
        <w:t xml:space="preserve"> by the First-tier Tribunal</w:t>
      </w:r>
      <w:r w:rsidR="004A6E1B" w:rsidRPr="00E81FC9">
        <w:rPr>
          <w:rFonts w:ascii="Book Antiqua" w:hAnsi="Book Antiqua" w:cs="Arial"/>
        </w:rPr>
        <w:t xml:space="preserve">.  The Secretary of State appealed the decision to allow the appeal </w:t>
      </w:r>
      <w:r w:rsidR="0099577D" w:rsidRPr="00E81FC9">
        <w:rPr>
          <w:rFonts w:ascii="Book Antiqua" w:hAnsi="Book Antiqua" w:cs="Arial"/>
        </w:rPr>
        <w:t>but</w:t>
      </w:r>
      <w:r w:rsidR="004A6E1B" w:rsidRPr="00E81FC9">
        <w:rPr>
          <w:rFonts w:ascii="Book Antiqua" w:hAnsi="Book Antiqua" w:cs="Arial"/>
        </w:rPr>
        <w:t xml:space="preserve"> th</w:t>
      </w:r>
      <w:r w:rsidR="00E57095">
        <w:rPr>
          <w:rFonts w:ascii="Book Antiqua" w:hAnsi="Book Antiqua" w:cs="Arial"/>
        </w:rPr>
        <w:t xml:space="preserve">e Secretary of State’s </w:t>
      </w:r>
      <w:r w:rsidR="002D3C11">
        <w:rPr>
          <w:rFonts w:ascii="Book Antiqua" w:hAnsi="Book Antiqua" w:cs="Arial"/>
        </w:rPr>
        <w:t xml:space="preserve">appeal </w:t>
      </w:r>
      <w:r w:rsidR="004A6E1B" w:rsidRPr="00E81FC9">
        <w:rPr>
          <w:rFonts w:ascii="Book Antiqua" w:hAnsi="Book Antiqua" w:cs="Arial"/>
        </w:rPr>
        <w:t>was dismissed and the deportation order was revoked on 3 July 2017.</w:t>
      </w:r>
      <w:r w:rsidR="009E4D39">
        <w:rPr>
          <w:rFonts w:ascii="Book Antiqua" w:hAnsi="Book Antiqua" w:cs="Arial"/>
        </w:rPr>
        <w:t xml:space="preserve"> However </w:t>
      </w:r>
      <w:r w:rsidR="0010499B">
        <w:rPr>
          <w:rFonts w:ascii="Book Antiqua" w:hAnsi="Book Antiqua" w:cs="Arial"/>
        </w:rPr>
        <w:t xml:space="preserve">on </w:t>
      </w:r>
      <w:r w:rsidR="005D6E13">
        <w:rPr>
          <w:rFonts w:ascii="Book Antiqua" w:hAnsi="Book Antiqua" w:cs="Arial"/>
        </w:rPr>
        <w:t xml:space="preserve">12 January 2018 </w:t>
      </w:r>
      <w:r w:rsidR="009E4D39">
        <w:rPr>
          <w:rFonts w:ascii="Book Antiqua" w:hAnsi="Book Antiqua" w:cs="Arial"/>
        </w:rPr>
        <w:t xml:space="preserve">there was a further decision </w:t>
      </w:r>
      <w:r w:rsidR="0010499B">
        <w:rPr>
          <w:rFonts w:ascii="Book Antiqua" w:hAnsi="Book Antiqua" w:cs="Arial"/>
        </w:rPr>
        <w:t>to make her subject to a deportation or</w:t>
      </w:r>
      <w:r w:rsidR="005D6E13">
        <w:rPr>
          <w:rFonts w:ascii="Book Antiqua" w:hAnsi="Book Antiqua" w:cs="Arial"/>
        </w:rPr>
        <w:t>d</w:t>
      </w:r>
      <w:r w:rsidR="0010499B">
        <w:rPr>
          <w:rFonts w:ascii="Book Antiqua" w:hAnsi="Book Antiqua" w:cs="Arial"/>
        </w:rPr>
        <w:t>e</w:t>
      </w:r>
      <w:r w:rsidR="005D6E13">
        <w:rPr>
          <w:rFonts w:ascii="Book Antiqua" w:hAnsi="Book Antiqua" w:cs="Arial"/>
        </w:rPr>
        <w:t>r</w:t>
      </w:r>
      <w:r w:rsidR="00C8401E">
        <w:rPr>
          <w:rFonts w:ascii="Book Antiqua" w:hAnsi="Book Antiqua" w:cs="Arial"/>
        </w:rPr>
        <w:t xml:space="preserve"> and it is that decision</w:t>
      </w:r>
      <w:r w:rsidR="00C8242E">
        <w:rPr>
          <w:rFonts w:ascii="Book Antiqua" w:hAnsi="Book Antiqua" w:cs="Arial"/>
        </w:rPr>
        <w:t xml:space="preserve"> </w:t>
      </w:r>
      <w:r w:rsidR="00C8401E">
        <w:rPr>
          <w:rFonts w:ascii="Book Antiqua" w:hAnsi="Book Antiqua" w:cs="Arial"/>
        </w:rPr>
        <w:t>that was challenged unsuccessfully before the First-tier Tribunal.</w:t>
      </w:r>
    </w:p>
    <w:p w:rsidR="00E242B0" w:rsidRDefault="00570DF8" w:rsidP="007D0D05">
      <w:pPr>
        <w:pStyle w:val="ListParagraph"/>
        <w:numPr>
          <w:ilvl w:val="0"/>
          <w:numId w:val="2"/>
        </w:numPr>
        <w:tabs>
          <w:tab w:val="left" w:pos="567"/>
        </w:tabs>
        <w:spacing w:before="120"/>
        <w:contextualSpacing w:val="0"/>
        <w:jc w:val="both"/>
        <w:rPr>
          <w:rFonts w:ascii="Book Antiqua" w:hAnsi="Book Antiqua" w:cs="Arial"/>
        </w:rPr>
      </w:pPr>
      <w:r w:rsidRPr="00E81FC9">
        <w:rPr>
          <w:rFonts w:ascii="Book Antiqua" w:hAnsi="Book Antiqua" w:cs="Arial"/>
        </w:rPr>
        <w:t>The judge noted that when the appeal against the earlier decision was heard the appellant</w:t>
      </w:r>
      <w:r w:rsidR="00904E53">
        <w:rPr>
          <w:rFonts w:ascii="Book Antiqua" w:hAnsi="Book Antiqua" w:cs="Arial"/>
        </w:rPr>
        <w:t>’s offending comprised,</w:t>
      </w:r>
      <w:r w:rsidRPr="00E81FC9">
        <w:rPr>
          <w:rFonts w:ascii="Book Antiqua" w:hAnsi="Book Antiqua" w:cs="Arial"/>
        </w:rPr>
        <w:t xml:space="preserve"> in summary</w:t>
      </w:r>
      <w:r w:rsidR="00E242B0">
        <w:rPr>
          <w:rFonts w:ascii="Book Antiqua" w:hAnsi="Book Antiqua" w:cs="Arial"/>
        </w:rPr>
        <w:t xml:space="preserve">, </w:t>
      </w:r>
    </w:p>
    <w:p w:rsidR="007D0D05" w:rsidRPr="00E242B0" w:rsidRDefault="00570DF8" w:rsidP="00E242B0">
      <w:pPr>
        <w:pStyle w:val="ListParagraph"/>
        <w:tabs>
          <w:tab w:val="left" w:pos="567"/>
        </w:tabs>
        <w:spacing w:before="120"/>
        <w:ind w:left="284" w:right="284"/>
        <w:contextualSpacing w:val="0"/>
        <w:jc w:val="both"/>
        <w:rPr>
          <w:rFonts w:ascii="Book Antiqua" w:hAnsi="Book Antiqua" w:cs="Arial"/>
          <w:sz w:val="22"/>
          <w:szCs w:val="22"/>
        </w:rPr>
      </w:pPr>
      <w:r w:rsidRPr="00E242B0">
        <w:rPr>
          <w:rFonts w:ascii="Book Antiqua" w:hAnsi="Book Antiqua" w:cs="Arial"/>
          <w:sz w:val="22"/>
          <w:szCs w:val="22"/>
        </w:rPr>
        <w:t>“eighteen convictions between October 2008 and March 2016, and includes two assaults on police officers, battery, damaging property, failing to comply with the requirements of court orders post-sentence, committing offences during the course of suspended sentences and theft.”</w:t>
      </w:r>
    </w:p>
    <w:p w:rsidR="004758EA" w:rsidRDefault="00570DF8" w:rsidP="00053CE3">
      <w:pPr>
        <w:pStyle w:val="ListParagraph"/>
        <w:numPr>
          <w:ilvl w:val="0"/>
          <w:numId w:val="2"/>
        </w:numPr>
        <w:tabs>
          <w:tab w:val="left" w:pos="567"/>
        </w:tabs>
        <w:spacing w:before="120"/>
        <w:contextualSpacing w:val="0"/>
        <w:jc w:val="both"/>
        <w:rPr>
          <w:rFonts w:ascii="Book Antiqua" w:hAnsi="Book Antiqua" w:cs="Arial"/>
        </w:rPr>
      </w:pPr>
      <w:r w:rsidRPr="004758EA">
        <w:rPr>
          <w:rFonts w:ascii="Book Antiqua" w:hAnsi="Book Antiqua" w:cs="Arial"/>
        </w:rPr>
        <w:t>Nevertheless</w:t>
      </w:r>
      <w:r w:rsidR="00745FB5" w:rsidRPr="004758EA">
        <w:rPr>
          <w:rFonts w:ascii="Book Antiqua" w:hAnsi="Book Antiqua" w:cs="Arial"/>
        </w:rPr>
        <w:t>,</w:t>
      </w:r>
      <w:r w:rsidRPr="004758EA">
        <w:rPr>
          <w:rFonts w:ascii="Book Antiqua" w:hAnsi="Book Antiqua" w:cs="Arial"/>
        </w:rPr>
        <w:t xml:space="preserve"> the First-tier Tribunal noted that the offences f</w:t>
      </w:r>
      <w:r w:rsidR="004758EA" w:rsidRPr="004758EA">
        <w:rPr>
          <w:rFonts w:ascii="Book Antiqua" w:hAnsi="Book Antiqua" w:cs="Arial"/>
        </w:rPr>
        <w:t>or</w:t>
      </w:r>
      <w:r w:rsidRPr="004758EA">
        <w:rPr>
          <w:rFonts w:ascii="Book Antiqua" w:hAnsi="Book Antiqua" w:cs="Arial"/>
        </w:rPr>
        <w:t xml:space="preserve"> which the appellant had been convicted were all at the “lower end of the scale” and had been punished with various restraining </w:t>
      </w:r>
      <w:r w:rsidR="003A50FD" w:rsidRPr="004758EA">
        <w:rPr>
          <w:rFonts w:ascii="Book Antiqua" w:hAnsi="Book Antiqua" w:cs="Arial"/>
        </w:rPr>
        <w:t xml:space="preserve">orders </w:t>
      </w:r>
      <w:r w:rsidRPr="004758EA">
        <w:rPr>
          <w:rFonts w:ascii="Book Antiqua" w:hAnsi="Book Antiqua" w:cs="Arial"/>
        </w:rPr>
        <w:t>and only the “very briefest periods in prison”.</w:t>
      </w:r>
    </w:p>
    <w:p w:rsidR="007D0D05" w:rsidRPr="004758EA" w:rsidRDefault="00570DF8" w:rsidP="00053CE3">
      <w:pPr>
        <w:pStyle w:val="ListParagraph"/>
        <w:numPr>
          <w:ilvl w:val="0"/>
          <w:numId w:val="2"/>
        </w:numPr>
        <w:tabs>
          <w:tab w:val="left" w:pos="567"/>
        </w:tabs>
        <w:spacing w:before="120"/>
        <w:contextualSpacing w:val="0"/>
        <w:jc w:val="both"/>
        <w:rPr>
          <w:rFonts w:ascii="Book Antiqua" w:hAnsi="Book Antiqua" w:cs="Arial"/>
        </w:rPr>
      </w:pPr>
      <w:r w:rsidRPr="004758EA">
        <w:rPr>
          <w:rFonts w:ascii="Book Antiqua" w:hAnsi="Book Antiqua" w:cs="Arial"/>
        </w:rPr>
        <w:t xml:space="preserve">By the time the </w:t>
      </w:r>
      <w:r w:rsidR="00177708">
        <w:rPr>
          <w:rFonts w:ascii="Book Antiqua" w:hAnsi="Book Antiqua" w:cs="Arial"/>
        </w:rPr>
        <w:t xml:space="preserve">appellant </w:t>
      </w:r>
      <w:r w:rsidRPr="004758EA">
        <w:rPr>
          <w:rFonts w:ascii="Book Antiqua" w:hAnsi="Book Antiqua" w:cs="Arial"/>
        </w:rPr>
        <w:t xml:space="preserve">came before the First-tier Tribunal again </w:t>
      </w:r>
      <w:r w:rsidR="00177708">
        <w:rPr>
          <w:rFonts w:ascii="Book Antiqua" w:hAnsi="Book Antiqua" w:cs="Arial"/>
        </w:rPr>
        <w:t>s</w:t>
      </w:r>
      <w:r w:rsidRPr="004758EA">
        <w:rPr>
          <w:rFonts w:ascii="Book Antiqua" w:hAnsi="Book Antiqua" w:cs="Arial"/>
        </w:rPr>
        <w:t xml:space="preserve">he was in more serious trouble.  </w:t>
      </w:r>
      <w:r w:rsidR="004334F2">
        <w:rPr>
          <w:rFonts w:ascii="Book Antiqua" w:hAnsi="Book Antiqua" w:cs="Arial"/>
        </w:rPr>
        <w:t xml:space="preserve">She had committed offences on </w:t>
      </w:r>
      <w:r w:rsidR="006C1A1C">
        <w:rPr>
          <w:rFonts w:ascii="Book Antiqua" w:hAnsi="Book Antiqua" w:cs="Arial"/>
        </w:rPr>
        <w:t>20 March 2017 and o</w:t>
      </w:r>
      <w:r w:rsidR="00567A1C">
        <w:rPr>
          <w:rFonts w:ascii="Book Antiqua" w:hAnsi="Book Antiqua" w:cs="Arial"/>
        </w:rPr>
        <w:t>n 13 September 2017 at th</w:t>
      </w:r>
      <w:r w:rsidRPr="004758EA">
        <w:rPr>
          <w:rFonts w:ascii="Book Antiqua" w:hAnsi="Book Antiqua" w:cs="Arial"/>
        </w:rPr>
        <w:t xml:space="preserve">e Crown Court </w:t>
      </w:r>
      <w:r w:rsidR="003A50FD" w:rsidRPr="004758EA">
        <w:rPr>
          <w:rFonts w:ascii="Book Antiqua" w:hAnsi="Book Antiqua" w:cs="Arial"/>
        </w:rPr>
        <w:t>si</w:t>
      </w:r>
      <w:r w:rsidR="007D0D05" w:rsidRPr="004758EA">
        <w:rPr>
          <w:rFonts w:ascii="Book Antiqua" w:hAnsi="Book Antiqua" w:cs="Arial"/>
        </w:rPr>
        <w:t>tting</w:t>
      </w:r>
      <w:r w:rsidR="003A50FD" w:rsidRPr="004758EA">
        <w:rPr>
          <w:rFonts w:ascii="Book Antiqua" w:hAnsi="Book Antiqua" w:cs="Arial"/>
        </w:rPr>
        <w:t xml:space="preserve"> at</w:t>
      </w:r>
      <w:r w:rsidRPr="004758EA">
        <w:rPr>
          <w:rFonts w:ascii="Book Antiqua" w:hAnsi="Book Antiqua" w:cs="Arial"/>
        </w:rPr>
        <w:t xml:space="preserve"> Mold </w:t>
      </w:r>
      <w:r w:rsidR="00567A1C">
        <w:rPr>
          <w:rFonts w:ascii="Book Antiqua" w:hAnsi="Book Antiqua" w:cs="Arial"/>
        </w:rPr>
        <w:t xml:space="preserve">she </w:t>
      </w:r>
      <w:r w:rsidRPr="004758EA">
        <w:rPr>
          <w:rFonts w:ascii="Book Antiqua" w:hAnsi="Book Antiqua" w:cs="Arial"/>
        </w:rPr>
        <w:t xml:space="preserve">was sentenced </w:t>
      </w:r>
      <w:r w:rsidR="00E91208">
        <w:rPr>
          <w:rFonts w:ascii="Book Antiqua" w:hAnsi="Book Antiqua" w:cs="Arial"/>
        </w:rPr>
        <w:t xml:space="preserve">to eighteen months imprisonment </w:t>
      </w:r>
      <w:r w:rsidRPr="004758EA">
        <w:rPr>
          <w:rFonts w:ascii="Book Antiqua" w:hAnsi="Book Antiqua" w:cs="Arial"/>
        </w:rPr>
        <w:t>for an offence of assault occasioning actual bodily harm</w:t>
      </w:r>
      <w:r w:rsidR="00E91208">
        <w:rPr>
          <w:rFonts w:ascii="Book Antiqua" w:hAnsi="Book Antiqua" w:cs="Arial"/>
        </w:rPr>
        <w:t xml:space="preserve"> </w:t>
      </w:r>
      <w:r w:rsidRPr="004758EA">
        <w:rPr>
          <w:rFonts w:ascii="Book Antiqua" w:hAnsi="Book Antiqua" w:cs="Arial"/>
        </w:rPr>
        <w:t>and concurrent sentences of two months for theft and four months for breach of a Criminal Behaviour Order.</w:t>
      </w:r>
      <w:r w:rsidR="00B53E17">
        <w:rPr>
          <w:rFonts w:ascii="Book Antiqua" w:hAnsi="Book Antiqua" w:cs="Arial"/>
        </w:rPr>
        <w:t xml:space="preserve"> She had pleaded guilty to these offences.</w:t>
      </w:r>
    </w:p>
    <w:p w:rsidR="00B53E17" w:rsidRDefault="00570DF8" w:rsidP="00B53E17">
      <w:pPr>
        <w:pStyle w:val="ListParagraph"/>
        <w:numPr>
          <w:ilvl w:val="0"/>
          <w:numId w:val="2"/>
        </w:numPr>
        <w:tabs>
          <w:tab w:val="left" w:pos="567"/>
        </w:tabs>
        <w:spacing w:before="120"/>
        <w:contextualSpacing w:val="0"/>
        <w:jc w:val="both"/>
        <w:rPr>
          <w:rFonts w:ascii="Book Antiqua" w:hAnsi="Book Antiqua" w:cs="Arial"/>
        </w:rPr>
      </w:pPr>
      <w:r w:rsidRPr="007D0D05">
        <w:rPr>
          <w:rFonts w:ascii="Book Antiqua" w:hAnsi="Book Antiqua" w:cs="Arial"/>
        </w:rPr>
        <w:t>The judge set out the Crown Court judge’s sentencing remarks which, with respect, are very revealing.  The Crown Court judge said:</w:t>
      </w:r>
    </w:p>
    <w:p w:rsidR="00B53E17" w:rsidRPr="002F00D4" w:rsidRDefault="00570DF8" w:rsidP="002F00D4">
      <w:pPr>
        <w:pStyle w:val="ListParagraph"/>
        <w:tabs>
          <w:tab w:val="left" w:pos="567"/>
        </w:tabs>
        <w:spacing w:before="120"/>
        <w:ind w:left="284" w:right="284"/>
        <w:contextualSpacing w:val="0"/>
        <w:jc w:val="both"/>
        <w:rPr>
          <w:rFonts w:ascii="Book Antiqua" w:hAnsi="Book Antiqua" w:cs="Arial"/>
          <w:sz w:val="22"/>
          <w:szCs w:val="22"/>
        </w:rPr>
      </w:pPr>
      <w:r w:rsidRPr="002F00D4">
        <w:rPr>
          <w:rFonts w:ascii="Book Antiqua" w:hAnsi="Book Antiqua" w:cs="Arial"/>
          <w:sz w:val="22"/>
          <w:szCs w:val="22"/>
        </w:rPr>
        <w:t xml:space="preserve">“The aggravating features of this case are as obvious as they are numerous.  You were targeting an elderly man who lived alone, he was vulnerable, he did not want you in his home, you knew it and you pestered him, you forced your way into his home, you demanded and were given drink and cigarettes for one reason, he was scared of you.  Having been given what you wanted, you insisted that you be given more cans and tobacco and when he refused he was punched to the face and as he walked away he was kicked and </w:t>
      </w:r>
      <w:r w:rsidR="00745FB5" w:rsidRPr="002F00D4">
        <w:rPr>
          <w:rFonts w:ascii="Book Antiqua" w:hAnsi="Book Antiqua" w:cs="Arial"/>
          <w:sz w:val="22"/>
          <w:szCs w:val="22"/>
        </w:rPr>
        <w:t>punched to the back.  You picke</w:t>
      </w:r>
      <w:r w:rsidRPr="002F00D4">
        <w:rPr>
          <w:rFonts w:ascii="Book Antiqua" w:hAnsi="Book Antiqua" w:cs="Arial"/>
          <w:sz w:val="22"/>
          <w:szCs w:val="22"/>
        </w:rPr>
        <w:t>d</w:t>
      </w:r>
      <w:r w:rsidR="00745FB5" w:rsidRPr="002F00D4">
        <w:rPr>
          <w:rFonts w:ascii="Book Antiqua" w:hAnsi="Book Antiqua" w:cs="Arial"/>
          <w:sz w:val="22"/>
          <w:szCs w:val="22"/>
        </w:rPr>
        <w:t xml:space="preserve"> </w:t>
      </w:r>
      <w:r w:rsidRPr="002F00D4">
        <w:rPr>
          <w:rFonts w:ascii="Book Antiqua" w:hAnsi="Book Antiqua" w:cs="Arial"/>
          <w:sz w:val="22"/>
          <w:szCs w:val="22"/>
        </w:rPr>
        <w:t>up a weapon, you threw it at him, striking him in the face, you took his beer.  You were later to return shouting and screaming and shouting abuse through his letterbox, banging repeatedly on his door.  Your elderly victim had been left with swelling and discolouration on his face and bruising.  You were both acting in breach of a Criminal Behaviour Order, either by being together or by behaving as you did, you both acted while heavily under the</w:t>
      </w:r>
      <w:r w:rsidR="00745FB5" w:rsidRPr="002F00D4">
        <w:rPr>
          <w:rFonts w:ascii="Book Antiqua" w:hAnsi="Book Antiqua" w:cs="Arial"/>
          <w:sz w:val="22"/>
          <w:szCs w:val="22"/>
        </w:rPr>
        <w:t xml:space="preserve"> </w:t>
      </w:r>
      <w:r w:rsidRPr="002F00D4">
        <w:rPr>
          <w:rFonts w:ascii="Book Antiqua" w:hAnsi="Book Antiqua" w:cs="Arial"/>
          <w:sz w:val="22"/>
          <w:szCs w:val="22"/>
        </w:rPr>
        <w:t>influence of alcohol”.</w:t>
      </w:r>
    </w:p>
    <w:p w:rsidR="009A59BD" w:rsidRDefault="00570DF8" w:rsidP="009A59BD">
      <w:pPr>
        <w:pStyle w:val="ListParagraph"/>
        <w:numPr>
          <w:ilvl w:val="0"/>
          <w:numId w:val="2"/>
        </w:numPr>
        <w:tabs>
          <w:tab w:val="left" w:pos="567"/>
        </w:tabs>
        <w:spacing w:before="120"/>
        <w:contextualSpacing w:val="0"/>
        <w:jc w:val="both"/>
        <w:rPr>
          <w:rFonts w:ascii="Book Antiqua" w:hAnsi="Book Antiqua" w:cs="Arial"/>
        </w:rPr>
      </w:pPr>
      <w:r w:rsidRPr="00B53E17">
        <w:rPr>
          <w:rFonts w:ascii="Book Antiqua" w:hAnsi="Book Antiqua" w:cs="Arial"/>
        </w:rPr>
        <w:t xml:space="preserve">Significantly the First-tier Tribunal </w:t>
      </w:r>
      <w:r w:rsidR="003A50FD" w:rsidRPr="00B53E17">
        <w:rPr>
          <w:rFonts w:ascii="Book Antiqua" w:hAnsi="Book Antiqua" w:cs="Arial"/>
        </w:rPr>
        <w:t xml:space="preserve">Judge </w:t>
      </w:r>
      <w:r w:rsidRPr="00B53E17">
        <w:rPr>
          <w:rFonts w:ascii="Book Antiqua" w:hAnsi="Book Antiqua" w:cs="Arial"/>
        </w:rPr>
        <w:t>said at paragraph 7:</w:t>
      </w:r>
    </w:p>
    <w:p w:rsidR="009A59BD" w:rsidRPr="003F2B22" w:rsidRDefault="00570DF8" w:rsidP="003F2B22">
      <w:pPr>
        <w:pStyle w:val="ListParagraph"/>
        <w:tabs>
          <w:tab w:val="left" w:pos="567"/>
        </w:tabs>
        <w:spacing w:before="120"/>
        <w:ind w:left="284" w:right="284"/>
        <w:contextualSpacing w:val="0"/>
        <w:jc w:val="both"/>
        <w:rPr>
          <w:rFonts w:ascii="Book Antiqua" w:hAnsi="Book Antiqua" w:cs="Arial"/>
          <w:sz w:val="22"/>
          <w:szCs w:val="22"/>
        </w:rPr>
      </w:pPr>
      <w:r w:rsidRPr="003F2B22">
        <w:rPr>
          <w:rFonts w:ascii="Book Antiqua" w:hAnsi="Book Antiqua" w:cs="Arial"/>
          <w:sz w:val="22"/>
          <w:szCs w:val="22"/>
        </w:rPr>
        <w:t>“The decision is dated 11 January 2018.  It was accepted that the Appellant had established permanent residence in the UK under the EEA Regulat</w:t>
      </w:r>
      <w:r w:rsidR="00745FB5" w:rsidRPr="003F2B22">
        <w:rPr>
          <w:rFonts w:ascii="Book Antiqua" w:hAnsi="Book Antiqua" w:cs="Arial"/>
          <w:sz w:val="22"/>
          <w:szCs w:val="22"/>
        </w:rPr>
        <w:t>io</w:t>
      </w:r>
      <w:r w:rsidRPr="003F2B22">
        <w:rPr>
          <w:rFonts w:ascii="Book Antiqua" w:hAnsi="Book Antiqua" w:cs="Arial"/>
          <w:sz w:val="22"/>
          <w:szCs w:val="22"/>
        </w:rPr>
        <w:t xml:space="preserve">ns.  However it was not accepted that the </w:t>
      </w:r>
      <w:r w:rsidR="003A50FD" w:rsidRPr="003F2B22">
        <w:rPr>
          <w:rFonts w:ascii="Book Antiqua" w:hAnsi="Book Antiqua" w:cs="Arial"/>
          <w:sz w:val="22"/>
          <w:szCs w:val="22"/>
        </w:rPr>
        <w:t>A</w:t>
      </w:r>
      <w:r w:rsidRPr="003F2B22">
        <w:rPr>
          <w:rFonts w:ascii="Book Antiqua" w:hAnsi="Book Antiqua" w:cs="Arial"/>
          <w:sz w:val="22"/>
          <w:szCs w:val="22"/>
        </w:rPr>
        <w:t xml:space="preserve">ppellant had established ten years’ continuous residence.  She had not shown that she </w:t>
      </w:r>
      <w:r w:rsidRPr="003F2B22">
        <w:rPr>
          <w:rFonts w:ascii="Book Antiqua" w:hAnsi="Book Antiqua" w:cs="Arial"/>
          <w:sz w:val="22"/>
          <w:szCs w:val="22"/>
        </w:rPr>
        <w:lastRenderedPageBreak/>
        <w:t xml:space="preserve">had been exercising her treaty rights continuously from 2011 – 2017.  The only documents she had provided were payslips from January 2011 – November 2012, P45s dated 16/11/2011 and 14/10/2014, P60 for the tax year ending 05/04/2015 (£201.92) and a letter from the DWP dated 16/04/2015 stating that she had passed the right to reside </w:t>
      </w:r>
      <w:r w:rsidR="003A50FD" w:rsidRPr="003F2B22">
        <w:rPr>
          <w:rFonts w:ascii="Book Antiqua" w:hAnsi="Book Antiqua" w:cs="Arial"/>
          <w:sz w:val="22"/>
          <w:szCs w:val="22"/>
        </w:rPr>
        <w:t>at</w:t>
      </w:r>
      <w:r w:rsidR="00735468" w:rsidRPr="003F2B22">
        <w:rPr>
          <w:rFonts w:ascii="Book Antiqua" w:hAnsi="Book Antiqua" w:cs="Arial"/>
          <w:sz w:val="22"/>
          <w:szCs w:val="22"/>
        </w:rPr>
        <w:t xml:space="preserve"> habitual residence test.  Therefore consideration had not been given as to whether her deportation was justified on imperative grounds of public security.  Consideration has been given to whether deportation was justified on serious grounds of pu</w:t>
      </w:r>
      <w:r w:rsidR="003A50FD" w:rsidRPr="003F2B22">
        <w:rPr>
          <w:rFonts w:ascii="Book Antiqua" w:hAnsi="Book Antiqua" w:cs="Arial"/>
          <w:sz w:val="22"/>
          <w:szCs w:val="22"/>
        </w:rPr>
        <w:t>blic policy or public security.”</w:t>
      </w:r>
    </w:p>
    <w:p w:rsidR="00B37DDC" w:rsidRDefault="00735468" w:rsidP="00053CE3">
      <w:pPr>
        <w:pStyle w:val="ListParagraph"/>
        <w:numPr>
          <w:ilvl w:val="0"/>
          <w:numId w:val="2"/>
        </w:numPr>
        <w:tabs>
          <w:tab w:val="left" w:pos="567"/>
        </w:tabs>
        <w:spacing w:before="120"/>
        <w:contextualSpacing w:val="0"/>
        <w:jc w:val="both"/>
        <w:rPr>
          <w:rFonts w:ascii="Book Antiqua" w:hAnsi="Book Antiqua" w:cs="Arial"/>
        </w:rPr>
      </w:pPr>
      <w:r w:rsidRPr="00B37DDC">
        <w:rPr>
          <w:rFonts w:ascii="Book Antiqua" w:hAnsi="Book Antiqua" w:cs="Arial"/>
        </w:rPr>
        <w:t xml:space="preserve">The judge then noted that the OASys manager found that the appellant had a “medium risk of harm to the public” and that the </w:t>
      </w:r>
      <w:r w:rsidR="00B53860" w:rsidRPr="00B37DDC">
        <w:rPr>
          <w:rFonts w:ascii="Book Antiqua" w:hAnsi="Book Antiqua" w:cs="Arial"/>
        </w:rPr>
        <w:t>offence</w:t>
      </w:r>
      <w:r w:rsidRPr="00B37DDC">
        <w:rPr>
          <w:rFonts w:ascii="Book Antiqua" w:hAnsi="Book Antiqua" w:cs="Arial"/>
        </w:rPr>
        <w:t xml:space="preserve"> that brought her before the Crown Court represented an escalation in the seriousness of her offending.  The judge also </w:t>
      </w:r>
      <w:r w:rsidR="00D609A0">
        <w:rPr>
          <w:rFonts w:ascii="Book Antiqua" w:hAnsi="Book Antiqua" w:cs="Arial"/>
        </w:rPr>
        <w:t>recorded that</w:t>
      </w:r>
      <w:r w:rsidR="009808EC">
        <w:rPr>
          <w:rFonts w:ascii="Book Antiqua" w:hAnsi="Book Antiqua" w:cs="Arial"/>
        </w:rPr>
        <w:t xml:space="preserve">, in a letter dated 9 July 2016, </w:t>
      </w:r>
      <w:r w:rsidRPr="00B37DDC">
        <w:rPr>
          <w:rFonts w:ascii="Book Antiqua" w:hAnsi="Book Antiqua" w:cs="Arial"/>
        </w:rPr>
        <w:t>she had claimed that she was remorseful and had shown exemplary behaviour in prison</w:t>
      </w:r>
      <w:r w:rsidR="009808EC">
        <w:rPr>
          <w:rFonts w:ascii="Book Antiqua" w:hAnsi="Book Antiqua" w:cs="Arial"/>
        </w:rPr>
        <w:t xml:space="preserve"> </w:t>
      </w:r>
      <w:r w:rsidRPr="00B37DDC">
        <w:rPr>
          <w:rFonts w:ascii="Book Antiqua" w:hAnsi="Book Antiqua" w:cs="Arial"/>
        </w:rPr>
        <w:t>but h</w:t>
      </w:r>
      <w:r w:rsidR="009808EC">
        <w:rPr>
          <w:rFonts w:ascii="Book Antiqua" w:hAnsi="Book Antiqua" w:cs="Arial"/>
        </w:rPr>
        <w:t xml:space="preserve">er remorse </w:t>
      </w:r>
      <w:r w:rsidRPr="00B37DDC">
        <w:rPr>
          <w:rFonts w:ascii="Book Antiqua" w:hAnsi="Book Antiqua" w:cs="Arial"/>
        </w:rPr>
        <w:t xml:space="preserve">was not </w:t>
      </w:r>
      <w:r w:rsidR="008F36B1">
        <w:rPr>
          <w:rFonts w:ascii="Book Antiqua" w:hAnsi="Book Antiqua" w:cs="Arial"/>
        </w:rPr>
        <w:t xml:space="preserve">evidenced </w:t>
      </w:r>
      <w:r w:rsidRPr="00B37DDC">
        <w:rPr>
          <w:rFonts w:ascii="Book Antiqua" w:hAnsi="Book Antiqua" w:cs="Arial"/>
        </w:rPr>
        <w:t>by subsequent conduct.</w:t>
      </w:r>
    </w:p>
    <w:p w:rsidR="00AA6BBC" w:rsidRDefault="00735468" w:rsidP="00053CE3">
      <w:pPr>
        <w:pStyle w:val="ListParagraph"/>
        <w:numPr>
          <w:ilvl w:val="0"/>
          <w:numId w:val="2"/>
        </w:numPr>
        <w:tabs>
          <w:tab w:val="left" w:pos="567"/>
        </w:tabs>
        <w:spacing w:before="120"/>
        <w:contextualSpacing w:val="0"/>
        <w:jc w:val="both"/>
        <w:rPr>
          <w:rFonts w:ascii="Book Antiqua" w:hAnsi="Book Antiqua" w:cs="Arial"/>
        </w:rPr>
      </w:pPr>
      <w:r w:rsidRPr="00AA6BBC">
        <w:rPr>
          <w:rFonts w:ascii="Book Antiqua" w:hAnsi="Book Antiqua" w:cs="Arial"/>
        </w:rPr>
        <w:t>In short</w:t>
      </w:r>
      <w:r w:rsidR="004E72CA" w:rsidRPr="00AA6BBC">
        <w:rPr>
          <w:rFonts w:ascii="Book Antiqua" w:hAnsi="Book Antiqua" w:cs="Arial"/>
        </w:rPr>
        <w:t>,</w:t>
      </w:r>
      <w:r w:rsidRPr="00AA6BBC">
        <w:rPr>
          <w:rFonts w:ascii="Book Antiqua" w:hAnsi="Book Antiqua" w:cs="Arial"/>
        </w:rPr>
        <w:t xml:space="preserve"> the </w:t>
      </w:r>
      <w:r w:rsidR="00AA6BBC">
        <w:rPr>
          <w:rFonts w:ascii="Book Antiqua" w:hAnsi="Book Antiqua" w:cs="Arial"/>
        </w:rPr>
        <w:t xml:space="preserve">First-tier </w:t>
      </w:r>
      <w:r w:rsidRPr="00AA6BBC">
        <w:rPr>
          <w:rFonts w:ascii="Book Antiqua" w:hAnsi="Book Antiqua" w:cs="Arial"/>
        </w:rPr>
        <w:t>Tribunal decided that the appellant had been “convicted of a serious offence and the risk of reoffending was high”.</w:t>
      </w:r>
    </w:p>
    <w:p w:rsidR="00AA6BBC" w:rsidRDefault="00735468" w:rsidP="00AA6BBC">
      <w:pPr>
        <w:pStyle w:val="ListParagraph"/>
        <w:numPr>
          <w:ilvl w:val="0"/>
          <w:numId w:val="2"/>
        </w:numPr>
        <w:tabs>
          <w:tab w:val="left" w:pos="567"/>
        </w:tabs>
        <w:spacing w:before="120"/>
        <w:contextualSpacing w:val="0"/>
        <w:jc w:val="both"/>
        <w:rPr>
          <w:rFonts w:ascii="Book Antiqua" w:hAnsi="Book Antiqua" w:cs="Arial"/>
        </w:rPr>
      </w:pPr>
      <w:r w:rsidRPr="00AA6BBC">
        <w:rPr>
          <w:rFonts w:ascii="Book Antiqua" w:hAnsi="Book Antiqua" w:cs="Arial"/>
        </w:rPr>
        <w:t xml:space="preserve">The </w:t>
      </w:r>
      <w:r w:rsidR="00AA6BBC">
        <w:rPr>
          <w:rFonts w:ascii="Book Antiqua" w:hAnsi="Book Antiqua" w:cs="Arial"/>
        </w:rPr>
        <w:t xml:space="preserve">First-tier </w:t>
      </w:r>
      <w:r w:rsidRPr="00AA6BBC">
        <w:rPr>
          <w:rFonts w:ascii="Book Antiqua" w:hAnsi="Book Antiqua" w:cs="Arial"/>
        </w:rPr>
        <w:t>Tribunal further noted that it was the respondent’s case that the appellant “had been convicted of a serious offence and the risk of reoffending was high”.  The respondent maintained there was no evidence of rehabilitation in any worthwhile way in the United Kingdom and no reason to think he</w:t>
      </w:r>
      <w:r w:rsidR="00863CFF">
        <w:rPr>
          <w:rFonts w:ascii="Book Antiqua" w:hAnsi="Book Antiqua" w:cs="Arial"/>
        </w:rPr>
        <w:t xml:space="preserve">r prospects of </w:t>
      </w:r>
      <w:r w:rsidRPr="00AA6BBC">
        <w:rPr>
          <w:rFonts w:ascii="Book Antiqua" w:hAnsi="Book Antiqua" w:cs="Arial"/>
        </w:rPr>
        <w:t>rehabilitat</w:t>
      </w:r>
      <w:r w:rsidR="00996523">
        <w:rPr>
          <w:rFonts w:ascii="Book Antiqua" w:hAnsi="Book Antiqua" w:cs="Arial"/>
        </w:rPr>
        <w:t xml:space="preserve">ion </w:t>
      </w:r>
      <w:r w:rsidR="00863CFF">
        <w:rPr>
          <w:rFonts w:ascii="Book Antiqua" w:hAnsi="Book Antiqua" w:cs="Arial"/>
        </w:rPr>
        <w:t>would be a</w:t>
      </w:r>
      <w:r w:rsidR="001F500C">
        <w:rPr>
          <w:rFonts w:ascii="Book Antiqua" w:hAnsi="Book Antiqua" w:cs="Arial"/>
        </w:rPr>
        <w:t xml:space="preserve">ny worse in </w:t>
      </w:r>
      <w:r w:rsidRPr="00AA6BBC">
        <w:rPr>
          <w:rFonts w:ascii="Book Antiqua" w:hAnsi="Book Antiqua" w:cs="Arial"/>
        </w:rPr>
        <w:t xml:space="preserve">Lithuania </w:t>
      </w:r>
      <w:r w:rsidR="001F500C">
        <w:rPr>
          <w:rFonts w:ascii="Book Antiqua" w:hAnsi="Book Antiqua" w:cs="Arial"/>
        </w:rPr>
        <w:t xml:space="preserve">where she had relatives who </w:t>
      </w:r>
      <w:r w:rsidRPr="00AA6BBC">
        <w:rPr>
          <w:rFonts w:ascii="Book Antiqua" w:hAnsi="Book Antiqua" w:cs="Arial"/>
        </w:rPr>
        <w:t>might be expected to support her.  Her children were the subject of Care Orders.  Her father was still in Lithuania.  She was being treated for depression but could access medication in Lithuania.</w:t>
      </w:r>
    </w:p>
    <w:p w:rsidR="005F48FD" w:rsidRDefault="00735468" w:rsidP="00053CE3">
      <w:pPr>
        <w:pStyle w:val="ListParagraph"/>
        <w:numPr>
          <w:ilvl w:val="0"/>
          <w:numId w:val="2"/>
        </w:numPr>
        <w:tabs>
          <w:tab w:val="left" w:pos="567"/>
        </w:tabs>
        <w:spacing w:before="120"/>
        <w:contextualSpacing w:val="0"/>
        <w:jc w:val="both"/>
        <w:rPr>
          <w:rFonts w:ascii="Book Antiqua" w:hAnsi="Book Antiqua" w:cs="Arial"/>
        </w:rPr>
      </w:pPr>
      <w:r w:rsidRPr="005F48FD">
        <w:rPr>
          <w:rFonts w:ascii="Book Antiqua" w:hAnsi="Book Antiqua" w:cs="Arial"/>
        </w:rPr>
        <w:t>Under a heading “</w:t>
      </w:r>
      <w:r w:rsidR="005F48FD" w:rsidRPr="005F48FD">
        <w:rPr>
          <w:rFonts w:ascii="Book Antiqua" w:hAnsi="Book Antiqua" w:cs="Arial"/>
        </w:rPr>
        <w:t>E</w:t>
      </w:r>
      <w:r w:rsidRPr="005F48FD">
        <w:rPr>
          <w:rFonts w:ascii="Book Antiqua" w:hAnsi="Book Antiqua" w:cs="Arial"/>
        </w:rPr>
        <w:t xml:space="preserve">stablished </w:t>
      </w:r>
      <w:r w:rsidR="005F48FD" w:rsidRPr="005F48FD">
        <w:rPr>
          <w:rFonts w:ascii="Book Antiqua" w:hAnsi="Book Antiqua" w:cs="Arial"/>
        </w:rPr>
        <w:t>F</w:t>
      </w:r>
      <w:r w:rsidRPr="005F48FD">
        <w:rPr>
          <w:rFonts w:ascii="Book Antiqua" w:hAnsi="Book Antiqua" w:cs="Arial"/>
        </w:rPr>
        <w:t>acts” the First-tier Tribunal Judge acknowledged that the appellant had had a difficult childhood.  She had been left in Lithuania at the age of 11 when her mother came to the United Kingdom.  Although it was expected that her father would take proper care of her that did not happen.  She did have contact with her grandmother in Lithuania and she does speak Lithuanian but is probably not literate in that language.</w:t>
      </w:r>
    </w:p>
    <w:p w:rsidR="005F48FD" w:rsidRDefault="00735468" w:rsidP="00053CE3">
      <w:pPr>
        <w:pStyle w:val="ListParagraph"/>
        <w:numPr>
          <w:ilvl w:val="0"/>
          <w:numId w:val="2"/>
        </w:numPr>
        <w:tabs>
          <w:tab w:val="left" w:pos="567"/>
        </w:tabs>
        <w:spacing w:before="120"/>
        <w:contextualSpacing w:val="0"/>
        <w:jc w:val="both"/>
        <w:rPr>
          <w:rFonts w:ascii="Book Antiqua" w:hAnsi="Book Antiqua" w:cs="Arial"/>
        </w:rPr>
      </w:pPr>
      <w:r w:rsidRPr="005F48FD">
        <w:rPr>
          <w:rFonts w:ascii="Book Antiqua" w:hAnsi="Book Antiqua" w:cs="Arial"/>
        </w:rPr>
        <w:t xml:space="preserve">She arrived in the United Kingdom at the age of 12 in 2005 with her brother.  She could not </w:t>
      </w:r>
      <w:r w:rsidR="00867F13">
        <w:rPr>
          <w:rFonts w:ascii="Book Antiqua" w:hAnsi="Book Antiqua" w:cs="Arial"/>
        </w:rPr>
        <w:t xml:space="preserve">make much </w:t>
      </w:r>
      <w:r w:rsidRPr="005F48FD">
        <w:rPr>
          <w:rFonts w:ascii="Book Antiqua" w:hAnsi="Book Antiqua" w:cs="Arial"/>
        </w:rPr>
        <w:t xml:space="preserve">of the educational opportunities </w:t>
      </w:r>
      <w:r w:rsidR="00867F13">
        <w:rPr>
          <w:rFonts w:ascii="Book Antiqua" w:hAnsi="Book Antiqua" w:cs="Arial"/>
        </w:rPr>
        <w:t xml:space="preserve">that she enjoyed in the United Kingdom </w:t>
      </w:r>
      <w:r w:rsidRPr="005F48FD">
        <w:rPr>
          <w:rFonts w:ascii="Book Antiqua" w:hAnsi="Book Antiqua" w:cs="Arial"/>
        </w:rPr>
        <w:t>but she did pass some GCSEs.</w:t>
      </w:r>
    </w:p>
    <w:p w:rsidR="005F48FD" w:rsidRDefault="00735468" w:rsidP="00053CE3">
      <w:pPr>
        <w:pStyle w:val="ListParagraph"/>
        <w:numPr>
          <w:ilvl w:val="0"/>
          <w:numId w:val="2"/>
        </w:numPr>
        <w:tabs>
          <w:tab w:val="left" w:pos="567"/>
        </w:tabs>
        <w:spacing w:before="120"/>
        <w:contextualSpacing w:val="0"/>
        <w:jc w:val="both"/>
        <w:rPr>
          <w:rFonts w:ascii="Book Antiqua" w:hAnsi="Book Antiqua" w:cs="Arial"/>
        </w:rPr>
      </w:pPr>
      <w:r w:rsidRPr="005F48FD">
        <w:rPr>
          <w:rFonts w:ascii="Book Antiqua" w:hAnsi="Book Antiqua" w:cs="Arial"/>
        </w:rPr>
        <w:t xml:space="preserve">She had been involved in two abusive </w:t>
      </w:r>
      <w:r w:rsidR="00405654" w:rsidRPr="005F48FD">
        <w:rPr>
          <w:rFonts w:ascii="Book Antiqua" w:hAnsi="Book Antiqua" w:cs="Arial"/>
        </w:rPr>
        <w:t xml:space="preserve">relationships and had children she could not manage and took to </w:t>
      </w:r>
      <w:r w:rsidR="008622DB">
        <w:rPr>
          <w:rFonts w:ascii="Book Antiqua" w:hAnsi="Book Antiqua" w:cs="Arial"/>
        </w:rPr>
        <w:t xml:space="preserve">drinking </w:t>
      </w:r>
      <w:r w:rsidR="00405654" w:rsidRPr="005F48FD">
        <w:rPr>
          <w:rFonts w:ascii="Book Antiqua" w:hAnsi="Book Antiqua" w:cs="Arial"/>
        </w:rPr>
        <w:t>alcohol</w:t>
      </w:r>
      <w:r w:rsidR="008622DB">
        <w:rPr>
          <w:rFonts w:ascii="Book Antiqua" w:hAnsi="Book Antiqua" w:cs="Arial"/>
        </w:rPr>
        <w:t xml:space="preserve"> as an inept means of coping</w:t>
      </w:r>
      <w:r w:rsidR="00405654" w:rsidRPr="005F48FD">
        <w:rPr>
          <w:rFonts w:ascii="Book Antiqua" w:hAnsi="Book Antiqua" w:cs="Arial"/>
        </w:rPr>
        <w:t>.  Much of her offending was alcohol related.  Involvement with her children was limited to supervise</w:t>
      </w:r>
      <w:r w:rsidR="00854CBC">
        <w:rPr>
          <w:rFonts w:ascii="Book Antiqua" w:hAnsi="Book Antiqua" w:cs="Arial"/>
        </w:rPr>
        <w:t>d</w:t>
      </w:r>
      <w:r w:rsidR="00405654" w:rsidRPr="005F48FD">
        <w:rPr>
          <w:rFonts w:ascii="Book Antiqua" w:hAnsi="Book Antiqua" w:cs="Arial"/>
        </w:rPr>
        <w:t xml:space="preserve"> access and little had happened while she had been in prison.  </w:t>
      </w:r>
      <w:r w:rsidR="00854CBC">
        <w:rPr>
          <w:rFonts w:ascii="Book Antiqua" w:hAnsi="Book Antiqua" w:cs="Arial"/>
        </w:rPr>
        <w:t xml:space="preserve">Her children’s </w:t>
      </w:r>
      <w:r w:rsidR="00405654" w:rsidRPr="005F48FD">
        <w:rPr>
          <w:rFonts w:ascii="Book Antiqua" w:hAnsi="Book Antiqua" w:cs="Arial"/>
        </w:rPr>
        <w:t>interests were managed elsewhere and it was not suggested that their best interests lay in being with their mother.</w:t>
      </w:r>
    </w:p>
    <w:p w:rsidR="005F48FD" w:rsidRDefault="00405654" w:rsidP="00053CE3">
      <w:pPr>
        <w:pStyle w:val="ListParagraph"/>
        <w:numPr>
          <w:ilvl w:val="0"/>
          <w:numId w:val="2"/>
        </w:numPr>
        <w:tabs>
          <w:tab w:val="left" w:pos="567"/>
        </w:tabs>
        <w:spacing w:before="120"/>
        <w:contextualSpacing w:val="0"/>
        <w:jc w:val="both"/>
        <w:rPr>
          <w:rFonts w:ascii="Book Antiqua" w:hAnsi="Book Antiqua" w:cs="Arial"/>
        </w:rPr>
      </w:pPr>
      <w:r w:rsidRPr="005F48FD">
        <w:rPr>
          <w:rFonts w:ascii="Book Antiqua" w:hAnsi="Book Antiqua" w:cs="Arial"/>
        </w:rPr>
        <w:t>She d</w:t>
      </w:r>
      <w:r w:rsidR="00381B38" w:rsidRPr="005F48FD">
        <w:rPr>
          <w:rFonts w:ascii="Book Antiqua" w:hAnsi="Book Antiqua" w:cs="Arial"/>
        </w:rPr>
        <w:t>oes</w:t>
      </w:r>
      <w:r w:rsidRPr="005F48FD">
        <w:rPr>
          <w:rFonts w:ascii="Book Antiqua" w:hAnsi="Book Antiqua" w:cs="Arial"/>
        </w:rPr>
        <w:t xml:space="preserve"> not accept full responsibility for the offence of which she was </w:t>
      </w:r>
      <w:r w:rsidR="00406D1F">
        <w:rPr>
          <w:rFonts w:ascii="Book Antiqua" w:hAnsi="Book Antiqua" w:cs="Arial"/>
        </w:rPr>
        <w:t xml:space="preserve">most recently </w:t>
      </w:r>
      <w:r w:rsidRPr="005F48FD">
        <w:rPr>
          <w:rFonts w:ascii="Book Antiqua" w:hAnsi="Book Antiqua" w:cs="Arial"/>
        </w:rPr>
        <w:t xml:space="preserve">convicted and sent to prison.  She </w:t>
      </w:r>
      <w:r w:rsidR="002F7A5E">
        <w:rPr>
          <w:rFonts w:ascii="Book Antiqua" w:hAnsi="Book Antiqua" w:cs="Arial"/>
        </w:rPr>
        <w:t xml:space="preserve">committed the offence </w:t>
      </w:r>
      <w:r w:rsidRPr="005F48FD">
        <w:rPr>
          <w:rFonts w:ascii="Book Antiqua" w:hAnsi="Book Antiqua" w:cs="Arial"/>
        </w:rPr>
        <w:t xml:space="preserve">with another and denied punching or kicking </w:t>
      </w:r>
      <w:r w:rsidR="00406D1F">
        <w:rPr>
          <w:rFonts w:ascii="Book Antiqua" w:hAnsi="Book Antiqua" w:cs="Arial"/>
        </w:rPr>
        <w:t>t</w:t>
      </w:r>
      <w:r w:rsidRPr="005F48FD">
        <w:rPr>
          <w:rFonts w:ascii="Book Antiqua" w:hAnsi="Book Antiqua" w:cs="Arial"/>
        </w:rPr>
        <w:t>h</w:t>
      </w:r>
      <w:r w:rsidR="00406D1F">
        <w:rPr>
          <w:rFonts w:ascii="Book Antiqua" w:hAnsi="Book Antiqua" w:cs="Arial"/>
        </w:rPr>
        <w:t>e victim</w:t>
      </w:r>
      <w:r w:rsidRPr="005F48FD">
        <w:rPr>
          <w:rFonts w:ascii="Book Antiqua" w:hAnsi="Book Antiqua" w:cs="Arial"/>
        </w:rPr>
        <w:t xml:space="preserve">.  I do not see that anything turns on that.  The appellant has been convicted and on any version of events was </w:t>
      </w:r>
      <w:r w:rsidR="002331CA">
        <w:rPr>
          <w:rFonts w:ascii="Book Antiqua" w:hAnsi="Book Antiqua" w:cs="Arial"/>
        </w:rPr>
        <w:t xml:space="preserve">present </w:t>
      </w:r>
      <w:r w:rsidRPr="005F48FD">
        <w:rPr>
          <w:rFonts w:ascii="Book Antiqua" w:hAnsi="Book Antiqua" w:cs="Arial"/>
        </w:rPr>
        <w:t>encouraging the offence.</w:t>
      </w:r>
    </w:p>
    <w:p w:rsidR="005F48FD" w:rsidRDefault="00405654" w:rsidP="00053CE3">
      <w:pPr>
        <w:pStyle w:val="ListParagraph"/>
        <w:numPr>
          <w:ilvl w:val="0"/>
          <w:numId w:val="2"/>
        </w:numPr>
        <w:tabs>
          <w:tab w:val="left" w:pos="567"/>
        </w:tabs>
        <w:spacing w:before="120"/>
        <w:contextualSpacing w:val="0"/>
        <w:jc w:val="both"/>
        <w:rPr>
          <w:rFonts w:ascii="Book Antiqua" w:hAnsi="Book Antiqua" w:cs="Arial"/>
        </w:rPr>
      </w:pPr>
      <w:r w:rsidRPr="005F48FD">
        <w:rPr>
          <w:rFonts w:ascii="Book Antiqua" w:hAnsi="Book Antiqua" w:cs="Arial"/>
        </w:rPr>
        <w:t xml:space="preserve">The appellant has two children.  </w:t>
      </w:r>
      <w:r w:rsidR="002331CA">
        <w:rPr>
          <w:rFonts w:ascii="Book Antiqua" w:hAnsi="Book Antiqua" w:cs="Arial"/>
        </w:rPr>
        <w:t xml:space="preserve">One </w:t>
      </w:r>
      <w:r w:rsidRPr="005F48FD">
        <w:rPr>
          <w:rFonts w:ascii="Book Antiqua" w:hAnsi="Book Antiqua" w:cs="Arial"/>
        </w:rPr>
        <w:t xml:space="preserve">child was born </w:t>
      </w:r>
      <w:r w:rsidR="00015BC8">
        <w:rPr>
          <w:rFonts w:ascii="Book Antiqua" w:hAnsi="Book Antiqua" w:cs="Arial"/>
        </w:rPr>
        <w:t>in</w:t>
      </w:r>
      <w:r w:rsidR="00AD6687">
        <w:rPr>
          <w:rFonts w:ascii="Book Antiqua" w:hAnsi="Book Antiqua" w:cs="Arial"/>
        </w:rPr>
        <w:t xml:space="preserve"> </w:t>
      </w:r>
      <w:r w:rsidRPr="005F48FD">
        <w:rPr>
          <w:rFonts w:ascii="Book Antiqua" w:hAnsi="Book Antiqua" w:cs="Arial"/>
        </w:rPr>
        <w:t xml:space="preserve">2011 and lives with her paternal grandmother under a Special Guardianship and Supervision Order and contact is by way of letter and occasional supervised contact.  The </w:t>
      </w:r>
      <w:r w:rsidR="00AD6687">
        <w:rPr>
          <w:rFonts w:ascii="Book Antiqua" w:hAnsi="Book Antiqua" w:cs="Arial"/>
        </w:rPr>
        <w:t xml:space="preserve">other </w:t>
      </w:r>
      <w:r w:rsidRPr="005F48FD">
        <w:rPr>
          <w:rFonts w:ascii="Book Antiqua" w:hAnsi="Book Antiqua" w:cs="Arial"/>
        </w:rPr>
        <w:t>child</w:t>
      </w:r>
      <w:r w:rsidR="00015BC8">
        <w:rPr>
          <w:rFonts w:ascii="Book Antiqua" w:hAnsi="Book Antiqua" w:cs="Arial"/>
        </w:rPr>
        <w:t xml:space="preserve"> </w:t>
      </w:r>
      <w:r w:rsidR="0019343A">
        <w:rPr>
          <w:rFonts w:ascii="Book Antiqua" w:hAnsi="Book Antiqua" w:cs="Arial"/>
        </w:rPr>
        <w:t xml:space="preserve">was born </w:t>
      </w:r>
      <w:r w:rsidRPr="005F48FD">
        <w:rPr>
          <w:rFonts w:ascii="Book Antiqua" w:hAnsi="Book Antiqua" w:cs="Arial"/>
        </w:rPr>
        <w:t>in</w:t>
      </w:r>
      <w:r w:rsidR="00015BC8">
        <w:rPr>
          <w:rFonts w:ascii="Book Antiqua" w:hAnsi="Book Antiqua" w:cs="Arial"/>
        </w:rPr>
        <w:t xml:space="preserve"> </w:t>
      </w:r>
      <w:r w:rsidRPr="005F48FD">
        <w:rPr>
          <w:rFonts w:ascii="Book Antiqua" w:hAnsi="Book Antiqua" w:cs="Arial"/>
        </w:rPr>
        <w:t xml:space="preserve">2015 and is the subject of a </w:t>
      </w:r>
      <w:r w:rsidR="00745FB5" w:rsidRPr="005F48FD">
        <w:rPr>
          <w:rFonts w:ascii="Book Antiqua" w:hAnsi="Book Antiqua" w:cs="Arial"/>
        </w:rPr>
        <w:t>C</w:t>
      </w:r>
      <w:r w:rsidRPr="005F48FD">
        <w:rPr>
          <w:rFonts w:ascii="Book Antiqua" w:hAnsi="Book Antiqua" w:cs="Arial"/>
        </w:rPr>
        <w:t xml:space="preserve">are </w:t>
      </w:r>
      <w:r w:rsidR="00745FB5" w:rsidRPr="005F48FD">
        <w:rPr>
          <w:rFonts w:ascii="Book Antiqua" w:hAnsi="Book Antiqua" w:cs="Arial"/>
        </w:rPr>
        <w:t>O</w:t>
      </w:r>
      <w:r w:rsidRPr="005F48FD">
        <w:rPr>
          <w:rFonts w:ascii="Book Antiqua" w:hAnsi="Book Antiqua" w:cs="Arial"/>
        </w:rPr>
        <w:t>rder and is being looked after by foster parents.  There is again sporadic supervised contact.</w:t>
      </w:r>
      <w:r w:rsidR="00963CB4">
        <w:rPr>
          <w:rFonts w:ascii="Book Antiqua" w:hAnsi="Book Antiqua" w:cs="Arial"/>
        </w:rPr>
        <w:t xml:space="preserve"> Clearly their rights are an important consideration in any article 8 balancing exercise but </w:t>
      </w:r>
      <w:r w:rsidR="00B45CA5">
        <w:rPr>
          <w:rFonts w:ascii="Book Antiqua" w:hAnsi="Book Antiqua" w:cs="Arial"/>
        </w:rPr>
        <w:t xml:space="preserve">the family courts have decided that their best interests do not lie in </w:t>
      </w:r>
      <w:r w:rsidR="00B45CA5">
        <w:rPr>
          <w:rFonts w:ascii="Book Antiqua" w:hAnsi="Book Antiqua" w:cs="Arial"/>
        </w:rPr>
        <w:lastRenderedPageBreak/>
        <w:t xml:space="preserve">their living with the appellant. </w:t>
      </w:r>
      <w:r w:rsidR="0072182E">
        <w:rPr>
          <w:rFonts w:ascii="Book Antiqua" w:hAnsi="Book Antiqua" w:cs="Arial"/>
        </w:rPr>
        <w:t>Clearly there can be no direct contact in the United Kingdom if she is removed but given the present arrangements this does not count for much</w:t>
      </w:r>
      <w:r w:rsidR="00B2402E">
        <w:rPr>
          <w:rFonts w:ascii="Book Antiqua" w:hAnsi="Book Antiqua" w:cs="Arial"/>
        </w:rPr>
        <w:t>.</w:t>
      </w:r>
    </w:p>
    <w:p w:rsidR="00E01ACB" w:rsidRDefault="00E01ACB" w:rsidP="00053CE3">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There is no error in the finding that deporting the appellant does not violate the respondent’s obligations under the European Convention on Human Rights.</w:t>
      </w:r>
    </w:p>
    <w:p w:rsidR="0005297B" w:rsidRDefault="00405654" w:rsidP="00B5476B">
      <w:pPr>
        <w:pStyle w:val="ListParagraph"/>
        <w:numPr>
          <w:ilvl w:val="0"/>
          <w:numId w:val="2"/>
        </w:numPr>
        <w:tabs>
          <w:tab w:val="left" w:pos="567"/>
        </w:tabs>
        <w:spacing w:before="120"/>
        <w:contextualSpacing w:val="0"/>
        <w:jc w:val="both"/>
        <w:rPr>
          <w:rFonts w:ascii="Book Antiqua" w:hAnsi="Book Antiqua" w:cs="Arial"/>
        </w:rPr>
      </w:pPr>
      <w:r w:rsidRPr="005F48FD">
        <w:rPr>
          <w:rFonts w:ascii="Book Antiqua" w:hAnsi="Book Antiqua" w:cs="Arial"/>
        </w:rPr>
        <w:t xml:space="preserve">The judge then considered the periods of residence.  As indicated above it is accepted the appellant has established five years’ lawful residence and has </w:t>
      </w:r>
      <w:r w:rsidR="009818CD">
        <w:rPr>
          <w:rFonts w:ascii="Book Antiqua" w:hAnsi="Book Antiqua" w:cs="Arial"/>
        </w:rPr>
        <w:t xml:space="preserve">the </w:t>
      </w:r>
      <w:r w:rsidRPr="005F48FD">
        <w:rPr>
          <w:rFonts w:ascii="Book Antiqua" w:hAnsi="Book Antiqua" w:cs="Arial"/>
        </w:rPr>
        <w:t>degree of protection</w:t>
      </w:r>
      <w:r w:rsidR="009818CD">
        <w:rPr>
          <w:rFonts w:ascii="Book Antiqua" w:hAnsi="Book Antiqua" w:cs="Arial"/>
        </w:rPr>
        <w:t xml:space="preserve"> from removal </w:t>
      </w:r>
      <w:r w:rsidR="00381B38" w:rsidRPr="005F48FD">
        <w:rPr>
          <w:rFonts w:ascii="Book Antiqua" w:hAnsi="Book Antiqua" w:cs="Arial"/>
        </w:rPr>
        <w:t>that</w:t>
      </w:r>
      <w:r w:rsidRPr="005F48FD">
        <w:rPr>
          <w:rFonts w:ascii="Book Antiqua" w:hAnsi="Book Antiqua" w:cs="Arial"/>
        </w:rPr>
        <w:t xml:space="preserve"> </w:t>
      </w:r>
      <w:r w:rsidR="009818CD">
        <w:rPr>
          <w:rFonts w:ascii="Book Antiqua" w:hAnsi="Book Antiqua" w:cs="Arial"/>
        </w:rPr>
        <w:t xml:space="preserve">extends to </w:t>
      </w:r>
      <w:r w:rsidRPr="005F48FD">
        <w:rPr>
          <w:rFonts w:ascii="Book Antiqua" w:hAnsi="Book Antiqua" w:cs="Arial"/>
        </w:rPr>
        <w:t>a person with permanent right of residence in the United Kingdom.  The judge then had to decide if the appellant had the greater rights that come with “ten years’ residence”.  The judge noted that it was not argued energetically before her</w:t>
      </w:r>
      <w:r w:rsidR="0036171F">
        <w:rPr>
          <w:rFonts w:ascii="Book Antiqua" w:hAnsi="Book Antiqua" w:cs="Arial"/>
        </w:rPr>
        <w:t>,</w:t>
      </w:r>
      <w:r w:rsidRPr="005F48FD">
        <w:rPr>
          <w:rFonts w:ascii="Book Antiqua" w:hAnsi="Book Antiqua" w:cs="Arial"/>
        </w:rPr>
        <w:t xml:space="preserve"> although it was set out in the grounds</w:t>
      </w:r>
      <w:r w:rsidR="0036171F">
        <w:rPr>
          <w:rFonts w:ascii="Book Antiqua" w:hAnsi="Book Antiqua" w:cs="Arial"/>
        </w:rPr>
        <w:t>,</w:t>
      </w:r>
      <w:r w:rsidRPr="005F48FD">
        <w:rPr>
          <w:rFonts w:ascii="Book Antiqua" w:hAnsi="Book Antiqua" w:cs="Arial"/>
        </w:rPr>
        <w:t xml:space="preserve"> that the appellant was entitled to</w:t>
      </w:r>
      <w:r w:rsidR="0036171F">
        <w:rPr>
          <w:rFonts w:ascii="Book Antiqua" w:hAnsi="Book Antiqua" w:cs="Arial"/>
        </w:rPr>
        <w:t xml:space="preserve"> the protection that follow</w:t>
      </w:r>
      <w:r w:rsidRPr="005F48FD">
        <w:rPr>
          <w:rFonts w:ascii="Book Antiqua" w:hAnsi="Book Antiqua" w:cs="Arial"/>
        </w:rPr>
        <w:t xml:space="preserve"> </w:t>
      </w:r>
      <w:r w:rsidR="002B4113">
        <w:rPr>
          <w:rFonts w:ascii="Book Antiqua" w:hAnsi="Book Antiqua" w:cs="Arial"/>
        </w:rPr>
        <w:t xml:space="preserve">from </w:t>
      </w:r>
      <w:r w:rsidRPr="005F48FD">
        <w:rPr>
          <w:rFonts w:ascii="Book Antiqua" w:hAnsi="Book Antiqua" w:cs="Arial"/>
        </w:rPr>
        <w:t>ten years</w:t>
      </w:r>
      <w:r w:rsidR="00381B38" w:rsidRPr="005F48FD">
        <w:rPr>
          <w:rFonts w:ascii="Book Antiqua" w:hAnsi="Book Antiqua" w:cs="Arial"/>
        </w:rPr>
        <w:t>’</w:t>
      </w:r>
      <w:r w:rsidRPr="005F48FD">
        <w:rPr>
          <w:rFonts w:ascii="Book Antiqua" w:hAnsi="Book Antiqua" w:cs="Arial"/>
        </w:rPr>
        <w:t xml:space="preserve"> </w:t>
      </w:r>
      <w:r w:rsidR="002B4113">
        <w:rPr>
          <w:rFonts w:ascii="Book Antiqua" w:hAnsi="Book Antiqua" w:cs="Arial"/>
        </w:rPr>
        <w:t>residence exercising treaty rights</w:t>
      </w:r>
      <w:r w:rsidRPr="005F48FD">
        <w:rPr>
          <w:rFonts w:ascii="Book Antiqua" w:hAnsi="Book Antiqua" w:cs="Arial"/>
        </w:rPr>
        <w:t>.</w:t>
      </w:r>
      <w:r w:rsidR="0019343A">
        <w:rPr>
          <w:rFonts w:ascii="Book Antiqua" w:hAnsi="Book Antiqua" w:cs="Arial"/>
        </w:rPr>
        <w:t xml:space="preserve"> The judge concluded that the appellant qualified for the higher level of protection.</w:t>
      </w:r>
      <w:r w:rsidR="000051B8">
        <w:rPr>
          <w:rFonts w:ascii="Book Antiqua" w:hAnsi="Book Antiqua" w:cs="Arial"/>
        </w:rPr>
        <w:t xml:space="preserve"> The judge says at paragraph </w:t>
      </w:r>
      <w:r w:rsidR="00AF52E4">
        <w:rPr>
          <w:rFonts w:ascii="Book Antiqua" w:hAnsi="Book Antiqua" w:cs="Arial"/>
        </w:rPr>
        <w:t>32:</w:t>
      </w:r>
    </w:p>
    <w:p w:rsidR="002B4113" w:rsidRPr="0005297B" w:rsidRDefault="00AF52E4" w:rsidP="0005297B">
      <w:pPr>
        <w:pStyle w:val="ListParagraph"/>
        <w:tabs>
          <w:tab w:val="left" w:pos="567"/>
        </w:tabs>
        <w:spacing w:before="120"/>
        <w:ind w:left="284" w:right="284"/>
        <w:contextualSpacing w:val="0"/>
        <w:jc w:val="both"/>
        <w:rPr>
          <w:rFonts w:ascii="Book Antiqua" w:hAnsi="Book Antiqua" w:cs="Arial"/>
          <w:sz w:val="22"/>
          <w:szCs w:val="22"/>
        </w:rPr>
      </w:pPr>
      <w:r w:rsidRPr="0005297B">
        <w:rPr>
          <w:rFonts w:ascii="Book Antiqua" w:hAnsi="Book Antiqua" w:cs="Arial"/>
          <w:sz w:val="22"/>
          <w:szCs w:val="22"/>
        </w:rPr>
        <w:t>“The offence leading to the Appellant’s imprisonment occurred on 20 March 2017. By that time she had already established 10 years residence in the UK and so</w:t>
      </w:r>
      <w:r w:rsidR="00EA1879" w:rsidRPr="0005297B">
        <w:rPr>
          <w:rFonts w:ascii="Book Antiqua" w:hAnsi="Book Antiqua" w:cs="Arial"/>
          <w:sz w:val="22"/>
          <w:szCs w:val="22"/>
        </w:rPr>
        <w:t xml:space="preserve"> she is entitled to the enhanced protection under Regulation 27(4)(a).</w:t>
      </w:r>
      <w:r w:rsidR="0005297B" w:rsidRPr="0005297B">
        <w:rPr>
          <w:rFonts w:ascii="Book Antiqua" w:hAnsi="Book Antiqua" w:cs="Arial"/>
          <w:sz w:val="22"/>
          <w:szCs w:val="22"/>
        </w:rPr>
        <w:t>”</w:t>
      </w:r>
    </w:p>
    <w:p w:rsidR="00B5476B" w:rsidRDefault="00381B38" w:rsidP="00B5476B">
      <w:pPr>
        <w:pStyle w:val="ListParagraph"/>
        <w:numPr>
          <w:ilvl w:val="0"/>
          <w:numId w:val="2"/>
        </w:numPr>
        <w:tabs>
          <w:tab w:val="left" w:pos="567"/>
        </w:tabs>
        <w:spacing w:before="120"/>
        <w:contextualSpacing w:val="0"/>
        <w:jc w:val="both"/>
        <w:rPr>
          <w:rFonts w:ascii="Book Antiqua" w:hAnsi="Book Antiqua" w:cs="Arial"/>
        </w:rPr>
      </w:pPr>
      <w:r w:rsidRPr="005F48FD">
        <w:rPr>
          <w:rFonts w:ascii="Book Antiqua" w:hAnsi="Book Antiqua" w:cs="Arial"/>
        </w:rPr>
        <w:t>T</w:t>
      </w:r>
      <w:r w:rsidR="00405654" w:rsidRPr="005F48FD">
        <w:rPr>
          <w:rFonts w:ascii="Book Antiqua" w:hAnsi="Book Antiqua" w:cs="Arial"/>
        </w:rPr>
        <w:t>he respondent disagrees.  There was no proof in the mind of the respondent that residence had been in accordance with exercising treaty rights rather than mere presence in the United Kingdom.  However, like the First-tier Tribunal Judge</w:t>
      </w:r>
      <w:r w:rsidR="0092326A">
        <w:rPr>
          <w:rFonts w:ascii="Book Antiqua" w:hAnsi="Book Antiqua" w:cs="Arial"/>
        </w:rPr>
        <w:t>,</w:t>
      </w:r>
      <w:r w:rsidR="00405654" w:rsidRPr="005F48FD">
        <w:rPr>
          <w:rFonts w:ascii="Book Antiqua" w:hAnsi="Book Antiqua" w:cs="Arial"/>
        </w:rPr>
        <w:t xml:space="preserve"> I find that rather odd.  The appellant had established a permanent right of residence</w:t>
      </w:r>
      <w:r w:rsidR="00417861">
        <w:rPr>
          <w:rFonts w:ascii="Book Antiqua" w:hAnsi="Book Antiqua" w:cs="Arial"/>
        </w:rPr>
        <w:t xml:space="preserve"> and, prison sentence apart, it is not clear how he</w:t>
      </w:r>
      <w:r w:rsidR="00E1698C">
        <w:rPr>
          <w:rFonts w:ascii="Book Antiqua" w:hAnsi="Book Antiqua" w:cs="Arial"/>
        </w:rPr>
        <w:t>r life in the United Kingdom had changed.</w:t>
      </w:r>
      <w:r w:rsidR="00745FB5" w:rsidRPr="005F48FD">
        <w:rPr>
          <w:rFonts w:ascii="Book Antiqua" w:hAnsi="Book Antiqua" w:cs="Arial"/>
        </w:rPr>
        <w:t xml:space="preserve">  </w:t>
      </w:r>
    </w:p>
    <w:p w:rsidR="00B5476B" w:rsidRDefault="00745FB5" w:rsidP="00B5476B">
      <w:pPr>
        <w:pStyle w:val="ListParagraph"/>
        <w:numPr>
          <w:ilvl w:val="0"/>
          <w:numId w:val="2"/>
        </w:numPr>
        <w:tabs>
          <w:tab w:val="left" w:pos="567"/>
        </w:tabs>
        <w:spacing w:before="120"/>
        <w:contextualSpacing w:val="0"/>
        <w:jc w:val="both"/>
        <w:rPr>
          <w:rFonts w:ascii="Book Antiqua" w:hAnsi="Book Antiqua" w:cs="Arial"/>
        </w:rPr>
      </w:pPr>
      <w:r w:rsidRPr="00B5476B">
        <w:rPr>
          <w:rFonts w:ascii="Book Antiqua" w:hAnsi="Book Antiqua" w:cs="Arial"/>
        </w:rPr>
        <w:t>The First-tier Tribunal’s reasoning becomes confusing when carrying out the “</w:t>
      </w:r>
      <w:r w:rsidR="006E45C6">
        <w:rPr>
          <w:rFonts w:ascii="Book Antiqua" w:hAnsi="Book Antiqua" w:cs="Arial"/>
        </w:rPr>
        <w:t>A</w:t>
      </w:r>
      <w:r w:rsidRPr="00B5476B">
        <w:rPr>
          <w:rFonts w:ascii="Book Antiqua" w:hAnsi="Book Antiqua" w:cs="Arial"/>
        </w:rPr>
        <w:t xml:space="preserve">ssessment and </w:t>
      </w:r>
      <w:r w:rsidR="006E45C6">
        <w:rPr>
          <w:rFonts w:ascii="Book Antiqua" w:hAnsi="Book Antiqua" w:cs="Arial"/>
        </w:rPr>
        <w:t>C</w:t>
      </w:r>
      <w:r w:rsidRPr="00B5476B">
        <w:rPr>
          <w:rFonts w:ascii="Book Antiqua" w:hAnsi="Book Antiqua" w:cs="Arial"/>
        </w:rPr>
        <w:t>onclusions”.</w:t>
      </w:r>
    </w:p>
    <w:p w:rsidR="00B5476B" w:rsidRDefault="00745FB5" w:rsidP="00B5476B">
      <w:pPr>
        <w:pStyle w:val="ListParagraph"/>
        <w:numPr>
          <w:ilvl w:val="0"/>
          <w:numId w:val="2"/>
        </w:numPr>
        <w:tabs>
          <w:tab w:val="left" w:pos="567"/>
        </w:tabs>
        <w:spacing w:before="120"/>
        <w:contextualSpacing w:val="0"/>
        <w:jc w:val="both"/>
        <w:rPr>
          <w:rFonts w:ascii="Book Antiqua" w:hAnsi="Book Antiqua" w:cs="Arial"/>
        </w:rPr>
      </w:pPr>
      <w:r w:rsidRPr="00B5476B">
        <w:rPr>
          <w:rFonts w:ascii="Book Antiqua" w:hAnsi="Book Antiqua" w:cs="Arial"/>
        </w:rPr>
        <w:t>At paragraph 34 the Tribunal Judge said:</w:t>
      </w:r>
    </w:p>
    <w:p w:rsidR="00B5476B" w:rsidRPr="00B5476B" w:rsidRDefault="00745FB5" w:rsidP="00B5476B">
      <w:pPr>
        <w:pStyle w:val="ListParagraph"/>
        <w:tabs>
          <w:tab w:val="left" w:pos="567"/>
        </w:tabs>
        <w:spacing w:before="120"/>
        <w:ind w:left="284" w:right="284"/>
        <w:contextualSpacing w:val="0"/>
        <w:jc w:val="both"/>
        <w:rPr>
          <w:rFonts w:ascii="Book Antiqua" w:hAnsi="Book Antiqua" w:cs="Arial"/>
          <w:sz w:val="22"/>
          <w:szCs w:val="22"/>
        </w:rPr>
      </w:pPr>
      <w:r w:rsidRPr="00B5476B">
        <w:rPr>
          <w:rFonts w:ascii="Book Antiqua" w:hAnsi="Book Antiqua" w:cs="Arial"/>
          <w:sz w:val="22"/>
          <w:szCs w:val="22"/>
        </w:rPr>
        <w:t xml:space="preserve">“I consider the personal conduct of this Appellant.  She has committed a serious offence of assault as described in the sentencing remarks.  The sentence was one reflecting the serious nature of this offence.  I am satisfied that serious grounds of public policy or public security have been established.  The appellant would I find </w:t>
      </w:r>
      <w:r w:rsidR="006B7743">
        <w:rPr>
          <w:rFonts w:ascii="Book Antiqua" w:hAnsi="Book Antiqua" w:cs="Arial"/>
          <w:sz w:val="22"/>
          <w:szCs w:val="22"/>
        </w:rPr>
        <w:t xml:space="preserve">have </w:t>
      </w:r>
      <w:r w:rsidRPr="00B5476B">
        <w:rPr>
          <w:rFonts w:ascii="Book Antiqua" w:hAnsi="Book Antiqua" w:cs="Arial"/>
          <w:sz w:val="22"/>
          <w:szCs w:val="22"/>
        </w:rPr>
        <w:t>been liable to deportation and I would not have found that the decision to deport is disproportionate or unlawful, had she not acquired ten years’ residence.”</w:t>
      </w:r>
    </w:p>
    <w:p w:rsidR="00B5476B" w:rsidRDefault="00745FB5" w:rsidP="00B5476B">
      <w:pPr>
        <w:pStyle w:val="ListParagraph"/>
        <w:numPr>
          <w:ilvl w:val="0"/>
          <w:numId w:val="2"/>
        </w:numPr>
        <w:tabs>
          <w:tab w:val="left" w:pos="567"/>
        </w:tabs>
        <w:spacing w:before="120"/>
        <w:contextualSpacing w:val="0"/>
        <w:jc w:val="both"/>
        <w:rPr>
          <w:rFonts w:ascii="Book Antiqua" w:hAnsi="Book Antiqua" w:cs="Arial"/>
        </w:rPr>
      </w:pPr>
      <w:r w:rsidRPr="00B5476B">
        <w:rPr>
          <w:rFonts w:ascii="Book Antiqua" w:hAnsi="Book Antiqua" w:cs="Arial"/>
        </w:rPr>
        <w:t>This is, I find, a clear finding by the judge that there are serious grounds justifying the appellant’s removal.</w:t>
      </w:r>
      <w:r w:rsidR="00454A95" w:rsidRPr="00B5476B">
        <w:rPr>
          <w:rFonts w:ascii="Book Antiqua" w:hAnsi="Book Antiqua" w:cs="Arial"/>
        </w:rPr>
        <w:t xml:space="preserve">  However</w:t>
      </w:r>
      <w:r w:rsidR="004E72CA" w:rsidRPr="00B5476B">
        <w:rPr>
          <w:rFonts w:ascii="Book Antiqua" w:hAnsi="Book Antiqua" w:cs="Arial"/>
        </w:rPr>
        <w:t>,</w:t>
      </w:r>
      <w:r w:rsidR="00454A95" w:rsidRPr="00B5476B">
        <w:rPr>
          <w:rFonts w:ascii="Book Antiqua" w:hAnsi="Book Antiqua" w:cs="Arial"/>
        </w:rPr>
        <w:t xml:space="preserve"> the judge then went on to say at paragraph 35 that the “test is higher for this appellant as she is entitled to enhanced protection”.</w:t>
      </w:r>
    </w:p>
    <w:p w:rsidR="006B7743" w:rsidRDefault="00454A95" w:rsidP="00B5476B">
      <w:pPr>
        <w:pStyle w:val="ListParagraph"/>
        <w:numPr>
          <w:ilvl w:val="0"/>
          <w:numId w:val="2"/>
        </w:numPr>
        <w:tabs>
          <w:tab w:val="left" w:pos="567"/>
        </w:tabs>
        <w:spacing w:before="120"/>
        <w:contextualSpacing w:val="0"/>
        <w:jc w:val="both"/>
        <w:rPr>
          <w:rFonts w:ascii="Book Antiqua" w:hAnsi="Book Antiqua" w:cs="Arial"/>
        </w:rPr>
      </w:pPr>
      <w:r w:rsidRPr="00B5476B">
        <w:rPr>
          <w:rFonts w:ascii="Book Antiqua" w:hAnsi="Book Antiqua" w:cs="Arial"/>
        </w:rPr>
        <w:t>The judge looked at the evidence of rehabilitation and said at paragraph 38:</w:t>
      </w:r>
    </w:p>
    <w:p w:rsidR="00B5476B" w:rsidRPr="006B7743" w:rsidRDefault="00454A95" w:rsidP="006B7743">
      <w:pPr>
        <w:pStyle w:val="ListParagraph"/>
        <w:tabs>
          <w:tab w:val="left" w:pos="567"/>
        </w:tabs>
        <w:spacing w:before="120"/>
        <w:ind w:left="284" w:right="284"/>
        <w:contextualSpacing w:val="0"/>
        <w:jc w:val="both"/>
        <w:rPr>
          <w:rFonts w:ascii="Book Antiqua" w:hAnsi="Book Antiqua" w:cs="Arial"/>
          <w:sz w:val="22"/>
          <w:szCs w:val="22"/>
        </w:rPr>
      </w:pPr>
      <w:r w:rsidRPr="006B7743">
        <w:rPr>
          <w:rFonts w:ascii="Book Antiqua" w:hAnsi="Book Antiqua" w:cs="Arial"/>
          <w:sz w:val="22"/>
          <w:szCs w:val="22"/>
        </w:rPr>
        <w:t>“The appellant has completed an alcohol awareness course.  She has not attended a course addressing the impact of her conduct on victims; [her representatives] said numerous such courses were reserved for more serious offenders.  The appellant has shown a positive attitude in the Life Coaching Course she attended in December 2017.  She has completed some educational courses.  However the appellant has had the benefit of rehabilitation</w:t>
      </w:r>
      <w:r w:rsidR="007A50BA" w:rsidRPr="006B7743">
        <w:rPr>
          <w:rFonts w:ascii="Book Antiqua" w:hAnsi="Book Antiqua" w:cs="Arial"/>
          <w:sz w:val="22"/>
          <w:szCs w:val="22"/>
        </w:rPr>
        <w:t>, input</w:t>
      </w:r>
      <w:r w:rsidRPr="006B7743">
        <w:rPr>
          <w:rFonts w:ascii="Book Antiqua" w:hAnsi="Book Antiqua" w:cs="Arial"/>
          <w:sz w:val="22"/>
          <w:szCs w:val="22"/>
        </w:rPr>
        <w:t xml:space="preserve"> and support in the past and her offending has if anything deteriorated over the years.  I am not persuaded that she is effectively engaged and attempts to rehabilitate her.  She had returned to the home of her parents yet their influence did not have a positive effect on her.  She has not demonstrated that she is willing to effectively engage in or benefit from attempts to rehabilitate her.  My view is also supported by the OASys </w:t>
      </w:r>
      <w:r w:rsidR="00541086" w:rsidRPr="006B7743">
        <w:rPr>
          <w:rFonts w:ascii="Book Antiqua" w:hAnsi="Book Antiqua" w:cs="Arial"/>
          <w:sz w:val="22"/>
          <w:szCs w:val="22"/>
        </w:rPr>
        <w:t>assessment.”</w:t>
      </w:r>
    </w:p>
    <w:p w:rsidR="006B7743" w:rsidRDefault="008043B4" w:rsidP="00B5476B">
      <w:pPr>
        <w:pStyle w:val="ListParagraph"/>
        <w:numPr>
          <w:ilvl w:val="0"/>
          <w:numId w:val="2"/>
        </w:numPr>
        <w:tabs>
          <w:tab w:val="left" w:pos="567"/>
        </w:tabs>
        <w:spacing w:before="120"/>
        <w:contextualSpacing w:val="0"/>
        <w:jc w:val="both"/>
        <w:rPr>
          <w:rFonts w:ascii="Book Antiqua" w:hAnsi="Book Antiqua" w:cs="Arial"/>
        </w:rPr>
      </w:pPr>
      <w:r w:rsidRPr="00B5476B">
        <w:rPr>
          <w:rFonts w:ascii="Book Antiqua" w:hAnsi="Book Antiqua" w:cs="Arial"/>
        </w:rPr>
        <w:lastRenderedPageBreak/>
        <w:t>The judge then continues and says at paragraphs 43 and 44:</w:t>
      </w:r>
    </w:p>
    <w:p w:rsidR="006B7743" w:rsidRPr="004F2956" w:rsidRDefault="008043B4" w:rsidP="004F2956">
      <w:pPr>
        <w:pStyle w:val="ListParagraph"/>
        <w:tabs>
          <w:tab w:val="left" w:pos="567"/>
        </w:tabs>
        <w:spacing w:before="120"/>
        <w:ind w:left="284" w:right="284"/>
        <w:contextualSpacing w:val="0"/>
        <w:jc w:val="both"/>
        <w:rPr>
          <w:rFonts w:ascii="Book Antiqua" w:hAnsi="Book Antiqua" w:cs="Arial"/>
          <w:sz w:val="22"/>
          <w:szCs w:val="22"/>
        </w:rPr>
      </w:pPr>
      <w:r w:rsidRPr="004F2956">
        <w:rPr>
          <w:rFonts w:ascii="Book Antiqua" w:hAnsi="Book Antiqua" w:cs="Arial"/>
          <w:sz w:val="22"/>
          <w:szCs w:val="22"/>
        </w:rPr>
        <w:t>“43.</w:t>
      </w:r>
      <w:r w:rsidR="00FE41E0" w:rsidRPr="004F2956">
        <w:rPr>
          <w:rFonts w:ascii="Book Antiqua" w:hAnsi="Book Antiqua" w:cs="Arial"/>
          <w:sz w:val="22"/>
          <w:szCs w:val="22"/>
        </w:rPr>
        <w:tab/>
      </w:r>
      <w:r w:rsidRPr="004F2956">
        <w:rPr>
          <w:rFonts w:ascii="Book Antiqua" w:hAnsi="Book Antiqua" w:cs="Arial"/>
          <w:sz w:val="22"/>
          <w:szCs w:val="22"/>
        </w:rPr>
        <w:t>This appellant has been given numerous opportunities in the past to address her offending behaviour but continues to offend.  I am mindful th</w:t>
      </w:r>
      <w:r w:rsidR="00FE41E0" w:rsidRPr="004F2956">
        <w:rPr>
          <w:rFonts w:ascii="Book Antiqua" w:hAnsi="Book Antiqua" w:cs="Arial"/>
          <w:sz w:val="22"/>
          <w:szCs w:val="22"/>
        </w:rPr>
        <w:t>a</w:t>
      </w:r>
      <w:r w:rsidRPr="004F2956">
        <w:rPr>
          <w:rFonts w:ascii="Book Antiqua" w:hAnsi="Book Antiqua" w:cs="Arial"/>
          <w:sz w:val="22"/>
          <w:szCs w:val="22"/>
        </w:rPr>
        <w:t>t the nature and seriousness of her offending seems to be escalating.  That the appellant has now attended courses about alcohol abuse are noted, but her alcoholism does not explain why the Appellant sought to associate with the person with whom she was not permitted to engage by virtue of a court order.  She has already had the support of her mother, her partner and her brother but they were not able to prevent her from offending.  They do not exercise control over her behaviour and I am not persuaded about her commitment to keep out of trouble.  I do not find that the appellant is in an advanced state of rehabilitation or that there is such a substantial degree of integration into society.  On the contrary, I find that there is little chance for rehabilitation given all the input that the appellant has had in the past.  There may be even less support in Lithuania but that has not been established by her.</w:t>
      </w:r>
    </w:p>
    <w:p w:rsidR="00B5476B" w:rsidRPr="004F2956" w:rsidRDefault="008043B4" w:rsidP="004F2956">
      <w:pPr>
        <w:pStyle w:val="ListParagraph"/>
        <w:tabs>
          <w:tab w:val="left" w:pos="567"/>
        </w:tabs>
        <w:spacing w:before="120"/>
        <w:ind w:left="284" w:right="284"/>
        <w:contextualSpacing w:val="0"/>
        <w:jc w:val="both"/>
        <w:rPr>
          <w:rFonts w:ascii="Book Antiqua" w:hAnsi="Book Antiqua" w:cs="Arial"/>
          <w:sz w:val="22"/>
          <w:szCs w:val="22"/>
        </w:rPr>
      </w:pPr>
      <w:r w:rsidRPr="004F2956">
        <w:rPr>
          <w:rFonts w:ascii="Book Antiqua" w:hAnsi="Book Antiqua" w:cs="Arial"/>
          <w:sz w:val="22"/>
          <w:szCs w:val="22"/>
        </w:rPr>
        <w:t>44.</w:t>
      </w:r>
      <w:r w:rsidR="004F2956">
        <w:rPr>
          <w:rFonts w:ascii="Book Antiqua" w:hAnsi="Book Antiqua" w:cs="Arial"/>
          <w:sz w:val="22"/>
          <w:szCs w:val="22"/>
        </w:rPr>
        <w:tab/>
      </w:r>
      <w:r w:rsidR="00FE41E0" w:rsidRPr="004F2956">
        <w:rPr>
          <w:rFonts w:ascii="Book Antiqua" w:hAnsi="Book Antiqua" w:cs="Arial"/>
          <w:sz w:val="22"/>
          <w:szCs w:val="22"/>
        </w:rPr>
        <w:tab/>
      </w:r>
      <w:r w:rsidRPr="004F2956">
        <w:rPr>
          <w:rFonts w:ascii="Book Antiqua" w:hAnsi="Book Antiqua" w:cs="Arial"/>
          <w:sz w:val="22"/>
          <w:szCs w:val="22"/>
        </w:rPr>
        <w:t>The general members of the population of this country need to be protected from offending of the nature of the index offence in this case.  The appellant has shown disregard for court orders, not just when she committed this offence but also in the past as evidenced by her criminal record.  She has little respect for society and has not become genuinely integrated.</w:t>
      </w:r>
      <w:r w:rsidR="00FE41E0" w:rsidRPr="004F2956">
        <w:rPr>
          <w:rFonts w:ascii="Book Antiqua" w:hAnsi="Book Antiqua" w:cs="Arial"/>
          <w:sz w:val="22"/>
          <w:szCs w:val="22"/>
        </w:rPr>
        <w:t xml:space="preserve">  There is a real risk of reoffending.  The risk of harm to other individuals is assessed as medium by the OASys assessment.  The escalation and the brutal nature of this appellant’s last offence where the victim was an elderly man and was attacked in his home tells me that this appellant has not learnt her lesson and she will I fear continue to offend.  There is a real risk of significant harm to general members of the public by her behaviour, which will, as her history has shown, continue to escalate into more serious offending.  It is in the interests of maintaining public order, and combating the effect of repeated criminal offences.  I find the deportation justified on imperative grounds of public security.”</w:t>
      </w:r>
    </w:p>
    <w:p w:rsidR="004E10D1" w:rsidRDefault="00326423" w:rsidP="00DF74F0">
      <w:pPr>
        <w:pStyle w:val="ListParagraph"/>
        <w:numPr>
          <w:ilvl w:val="0"/>
          <w:numId w:val="2"/>
        </w:numPr>
        <w:tabs>
          <w:tab w:val="left" w:pos="567"/>
        </w:tabs>
        <w:spacing w:before="120"/>
        <w:contextualSpacing w:val="0"/>
        <w:jc w:val="both"/>
        <w:rPr>
          <w:rFonts w:ascii="Book Antiqua" w:hAnsi="Book Antiqua" w:cs="Arial"/>
        </w:rPr>
      </w:pPr>
      <w:r w:rsidRPr="004E10D1">
        <w:rPr>
          <w:rFonts w:ascii="Book Antiqua" w:hAnsi="Book Antiqua" w:cs="Arial"/>
        </w:rPr>
        <w:t>The judge then noted balancing factors including the appellant having come to the United Kingdom at the age of 11 and having few ties in Lithuania although there were relatives there and she had had some contact with the country.</w:t>
      </w:r>
    </w:p>
    <w:p w:rsidR="004E10D1" w:rsidRDefault="00326423" w:rsidP="004E10D1">
      <w:pPr>
        <w:pStyle w:val="ListParagraph"/>
        <w:numPr>
          <w:ilvl w:val="0"/>
          <w:numId w:val="2"/>
        </w:numPr>
        <w:tabs>
          <w:tab w:val="left" w:pos="567"/>
        </w:tabs>
        <w:spacing w:before="120"/>
        <w:contextualSpacing w:val="0"/>
        <w:jc w:val="both"/>
        <w:rPr>
          <w:rFonts w:ascii="Book Antiqua" w:hAnsi="Book Antiqua" w:cs="Arial"/>
        </w:rPr>
      </w:pPr>
      <w:r w:rsidRPr="004E10D1">
        <w:rPr>
          <w:rFonts w:ascii="Book Antiqua" w:hAnsi="Book Antiqua" w:cs="Arial"/>
        </w:rPr>
        <w:t>Mr Kotas had prepared a “Rule 24 notice”.  He presented the case on an altern</w:t>
      </w:r>
      <w:r w:rsidR="004E72CA" w:rsidRPr="004E10D1">
        <w:rPr>
          <w:rFonts w:ascii="Book Antiqua" w:hAnsi="Book Antiqua" w:cs="Arial"/>
        </w:rPr>
        <w:t>a</w:t>
      </w:r>
      <w:r w:rsidRPr="004E10D1">
        <w:rPr>
          <w:rFonts w:ascii="Book Antiqua" w:hAnsi="Book Antiqua" w:cs="Arial"/>
        </w:rPr>
        <w:t>tive basis.  It was his first point that the First-tier Tribunal w</w:t>
      </w:r>
      <w:r w:rsidR="004E72CA" w:rsidRPr="004E10D1">
        <w:rPr>
          <w:rFonts w:ascii="Book Antiqua" w:hAnsi="Book Antiqua" w:cs="Arial"/>
        </w:rPr>
        <w:t>a</w:t>
      </w:r>
      <w:r w:rsidRPr="004E10D1">
        <w:rPr>
          <w:rFonts w:ascii="Book Antiqua" w:hAnsi="Book Antiqua" w:cs="Arial"/>
        </w:rPr>
        <w:t>s entitled to conclude that there were imperative grounds justifying the appellant’s removal and there was nothing wrong with the decision.  Alternatively</w:t>
      </w:r>
      <w:r w:rsidR="004E72CA" w:rsidRPr="004E10D1">
        <w:rPr>
          <w:rFonts w:ascii="Book Antiqua" w:hAnsi="Book Antiqua" w:cs="Arial"/>
        </w:rPr>
        <w:t>,</w:t>
      </w:r>
      <w:r w:rsidRPr="004E10D1">
        <w:rPr>
          <w:rFonts w:ascii="Book Antiqua" w:hAnsi="Book Antiqua" w:cs="Arial"/>
        </w:rPr>
        <w:t xml:space="preserve"> he argued that the judge should not have concluded that there were the ten years’ lawful residence such that there was a right to the enhanced protection and that the appeal ought to have been dismissed on the basis that there were serious grounds of public policy or public security.</w:t>
      </w:r>
    </w:p>
    <w:p w:rsidR="00DF74F0" w:rsidRPr="004E10D1" w:rsidRDefault="00326423" w:rsidP="004E10D1">
      <w:pPr>
        <w:pStyle w:val="ListParagraph"/>
        <w:numPr>
          <w:ilvl w:val="0"/>
          <w:numId w:val="2"/>
        </w:numPr>
        <w:tabs>
          <w:tab w:val="left" w:pos="567"/>
        </w:tabs>
        <w:spacing w:before="120"/>
        <w:contextualSpacing w:val="0"/>
        <w:jc w:val="both"/>
        <w:rPr>
          <w:rFonts w:ascii="Book Antiqua" w:hAnsi="Book Antiqua" w:cs="Arial"/>
        </w:rPr>
      </w:pPr>
      <w:r w:rsidRPr="004E10D1">
        <w:rPr>
          <w:rFonts w:ascii="Book Antiqua" w:hAnsi="Book Antiqua" w:cs="Arial"/>
        </w:rPr>
        <w:t xml:space="preserve">Although Mr Salam objected the points being taken at short notice he did not ask for an adjournment and I agree with Mr Kotas that, given our decision in </w:t>
      </w:r>
      <w:r w:rsidRPr="004E10D1">
        <w:rPr>
          <w:rFonts w:ascii="Book Antiqua" w:hAnsi="Book Antiqua" w:cs="Arial"/>
          <w:b/>
          <w:u w:val="single"/>
        </w:rPr>
        <w:t>EG and NG</w:t>
      </w:r>
      <w:r w:rsidRPr="004E10D1">
        <w:rPr>
          <w:rFonts w:ascii="Book Antiqua" w:hAnsi="Book Antiqua" w:cs="Arial"/>
          <w:b/>
        </w:rPr>
        <w:t xml:space="preserve"> (UT Rule 17: withdrawal; Rule 24; scope) Ethiopia [2013] UKUT 14 (IAC)</w:t>
      </w:r>
      <w:r w:rsidRPr="004E10D1">
        <w:rPr>
          <w:rFonts w:ascii="Book Antiqua" w:hAnsi="Book Antiqua" w:cs="Arial"/>
        </w:rPr>
        <w:t xml:space="preserve"> the Secretary of State of State</w:t>
      </w:r>
      <w:r w:rsidR="004E10D1">
        <w:rPr>
          <w:rFonts w:ascii="Book Antiqua" w:hAnsi="Book Antiqua" w:cs="Arial"/>
        </w:rPr>
        <w:t>,</w:t>
      </w:r>
      <w:r w:rsidRPr="004E10D1">
        <w:rPr>
          <w:rFonts w:ascii="Book Antiqua" w:hAnsi="Book Antiqua" w:cs="Arial"/>
        </w:rPr>
        <w:t xml:space="preserve"> as the effective </w:t>
      </w:r>
      <w:r w:rsidR="004E10D1">
        <w:rPr>
          <w:rFonts w:ascii="Book Antiqua" w:hAnsi="Book Antiqua" w:cs="Arial"/>
        </w:rPr>
        <w:t>“</w:t>
      </w:r>
      <w:r w:rsidRPr="004E10D1">
        <w:rPr>
          <w:rFonts w:ascii="Book Antiqua" w:hAnsi="Book Antiqua" w:cs="Arial"/>
        </w:rPr>
        <w:t>winner</w:t>
      </w:r>
      <w:r w:rsidR="004E10D1">
        <w:rPr>
          <w:rFonts w:ascii="Book Antiqua" w:hAnsi="Book Antiqua" w:cs="Arial"/>
        </w:rPr>
        <w:t>”</w:t>
      </w:r>
      <w:r w:rsidRPr="004E10D1">
        <w:rPr>
          <w:rFonts w:ascii="Book Antiqua" w:hAnsi="Book Antiqua" w:cs="Arial"/>
        </w:rPr>
        <w:t xml:space="preserve"> of the appeal was in no position to enter a cross appeal but wanted the decision upheld for reasons other than those given by the First-tier Tribunal and rightly did so by way of a Rule 24 notice although serving it a little earlier would not have been a bad thing.</w:t>
      </w:r>
    </w:p>
    <w:p w:rsidR="00A24BA5" w:rsidRDefault="00326423" w:rsidP="00DF74F0">
      <w:pPr>
        <w:pStyle w:val="ListParagraph"/>
        <w:numPr>
          <w:ilvl w:val="0"/>
          <w:numId w:val="2"/>
        </w:numPr>
        <w:tabs>
          <w:tab w:val="left" w:pos="567"/>
        </w:tabs>
        <w:spacing w:before="120"/>
        <w:contextualSpacing w:val="0"/>
        <w:jc w:val="both"/>
        <w:rPr>
          <w:rFonts w:ascii="Book Antiqua" w:hAnsi="Book Antiqua" w:cs="Arial"/>
        </w:rPr>
      </w:pPr>
      <w:r w:rsidRPr="00DF74F0">
        <w:rPr>
          <w:rFonts w:ascii="Book Antiqua" w:hAnsi="Book Antiqua" w:cs="Arial"/>
        </w:rPr>
        <w:t xml:space="preserve">I have the advantage of the decision of the European Court of Justice in the case of </w:t>
      </w:r>
      <w:r w:rsidR="00700F87" w:rsidRPr="00DF74F0">
        <w:rPr>
          <w:rFonts w:ascii="Book Antiqua" w:hAnsi="Book Antiqua" w:cs="Arial"/>
          <w:b/>
          <w:u w:val="single"/>
        </w:rPr>
        <w:t>Franco V</w:t>
      </w:r>
      <w:r w:rsidRPr="00DF74F0">
        <w:rPr>
          <w:rFonts w:ascii="Book Antiqua" w:hAnsi="Book Antiqua" w:cs="Arial"/>
          <w:b/>
          <w:u w:val="single"/>
        </w:rPr>
        <w:t>omero</w:t>
      </w:r>
      <w:r w:rsidRPr="00DF74F0">
        <w:rPr>
          <w:rFonts w:ascii="Book Antiqua" w:hAnsi="Book Antiqua" w:cs="Arial"/>
          <w:b/>
        </w:rPr>
        <w:t xml:space="preserve"> (</w:t>
      </w:r>
      <w:r w:rsidR="004E72CA" w:rsidRPr="00DF74F0">
        <w:rPr>
          <w:rFonts w:ascii="Book Antiqua" w:hAnsi="Book Antiqua" w:cs="Arial"/>
          <w:b/>
        </w:rPr>
        <w:t>C</w:t>
      </w:r>
      <w:r w:rsidR="007F2295" w:rsidRPr="00DF74F0">
        <w:rPr>
          <w:rFonts w:ascii="Book Antiqua" w:hAnsi="Book Antiqua" w:cs="Arial"/>
          <w:b/>
        </w:rPr>
        <w:t>–424/16)</w:t>
      </w:r>
      <w:r w:rsidR="007F2295" w:rsidRPr="00DF74F0">
        <w:rPr>
          <w:rFonts w:ascii="Book Antiqua" w:hAnsi="Book Antiqua" w:cs="Arial"/>
        </w:rPr>
        <w:t xml:space="preserve"> which was awaited when the First-tier Tribunal made its decision.  Unremarkably, this recognises that the relevant period of residence must be established by counting backwards from the date of the decision complained of.</w:t>
      </w:r>
    </w:p>
    <w:p w:rsidR="004D337C" w:rsidRDefault="00F2468E" w:rsidP="00DF74F0">
      <w:pPr>
        <w:pStyle w:val="ListParagraph"/>
        <w:numPr>
          <w:ilvl w:val="0"/>
          <w:numId w:val="2"/>
        </w:numPr>
        <w:tabs>
          <w:tab w:val="left" w:pos="567"/>
        </w:tabs>
        <w:spacing w:before="120"/>
        <w:contextualSpacing w:val="0"/>
        <w:jc w:val="both"/>
        <w:rPr>
          <w:rFonts w:ascii="Book Antiqua" w:hAnsi="Book Antiqua" w:cs="Arial"/>
        </w:rPr>
      </w:pPr>
      <w:r w:rsidRPr="00DF74F0">
        <w:rPr>
          <w:rFonts w:ascii="Book Antiqua" w:hAnsi="Book Antiqua" w:cs="Arial"/>
        </w:rPr>
        <w:lastRenderedPageBreak/>
        <w:t>With respect</w:t>
      </w:r>
      <w:r w:rsidR="00FC678E">
        <w:rPr>
          <w:rFonts w:ascii="Book Antiqua" w:hAnsi="Book Antiqua" w:cs="Arial"/>
        </w:rPr>
        <w:t xml:space="preserve">, for the reasons given below, I find that </w:t>
      </w:r>
      <w:r w:rsidRPr="00DF74F0">
        <w:rPr>
          <w:rFonts w:ascii="Book Antiqua" w:hAnsi="Book Antiqua" w:cs="Arial"/>
        </w:rPr>
        <w:t>the First-tier Tribunal w</w:t>
      </w:r>
      <w:r w:rsidR="004B5711" w:rsidRPr="00DF74F0">
        <w:rPr>
          <w:rFonts w:ascii="Book Antiqua" w:hAnsi="Book Antiqua" w:cs="Arial"/>
        </w:rPr>
        <w:t>a</w:t>
      </w:r>
      <w:r w:rsidRPr="00DF74F0">
        <w:rPr>
          <w:rFonts w:ascii="Book Antiqua" w:hAnsi="Book Antiqua" w:cs="Arial"/>
        </w:rPr>
        <w:t xml:space="preserve">s just wrong to suggest that </w:t>
      </w:r>
      <w:r w:rsidR="00FC678E">
        <w:rPr>
          <w:rFonts w:ascii="Book Antiqua" w:hAnsi="Book Antiqua" w:cs="Arial"/>
        </w:rPr>
        <w:t xml:space="preserve">as soon as </w:t>
      </w:r>
      <w:r w:rsidRPr="00DF74F0">
        <w:rPr>
          <w:rFonts w:ascii="Book Antiqua" w:hAnsi="Book Antiqua" w:cs="Arial"/>
        </w:rPr>
        <w:t xml:space="preserve">ten years </w:t>
      </w:r>
      <w:r w:rsidR="00FC678E">
        <w:rPr>
          <w:rFonts w:ascii="Book Antiqua" w:hAnsi="Book Antiqua" w:cs="Arial"/>
        </w:rPr>
        <w:t xml:space="preserve">residence </w:t>
      </w:r>
      <w:r w:rsidRPr="00DF74F0">
        <w:rPr>
          <w:rFonts w:ascii="Book Antiqua" w:hAnsi="Book Antiqua" w:cs="Arial"/>
        </w:rPr>
        <w:t xml:space="preserve">is established </w:t>
      </w:r>
      <w:r w:rsidR="00B42384">
        <w:rPr>
          <w:rFonts w:ascii="Book Antiqua" w:hAnsi="Book Antiqua" w:cs="Arial"/>
        </w:rPr>
        <w:t xml:space="preserve">the appellant was, and </w:t>
      </w:r>
      <w:r w:rsidRPr="00DF74F0">
        <w:rPr>
          <w:rFonts w:ascii="Book Antiqua" w:hAnsi="Book Antiqua" w:cs="Arial"/>
        </w:rPr>
        <w:t>remains</w:t>
      </w:r>
      <w:r w:rsidR="00B42384">
        <w:rPr>
          <w:rFonts w:ascii="Book Antiqua" w:hAnsi="Book Antiqua" w:cs="Arial"/>
        </w:rPr>
        <w:t xml:space="preserve">, entitled to the </w:t>
      </w:r>
      <w:r w:rsidRPr="00DF74F0">
        <w:rPr>
          <w:rFonts w:ascii="Book Antiqua" w:hAnsi="Book Antiqua" w:cs="Arial"/>
        </w:rPr>
        <w:t>higher degree of protection.</w:t>
      </w:r>
    </w:p>
    <w:p w:rsidR="00591B5F" w:rsidRDefault="00F2468E" w:rsidP="00DF74F0">
      <w:pPr>
        <w:pStyle w:val="ListParagraph"/>
        <w:numPr>
          <w:ilvl w:val="0"/>
          <w:numId w:val="2"/>
        </w:numPr>
        <w:tabs>
          <w:tab w:val="left" w:pos="567"/>
        </w:tabs>
        <w:spacing w:before="120"/>
        <w:contextualSpacing w:val="0"/>
        <w:jc w:val="both"/>
        <w:rPr>
          <w:rFonts w:ascii="Book Antiqua" w:hAnsi="Book Antiqua" w:cs="Arial"/>
        </w:rPr>
      </w:pPr>
      <w:r w:rsidRPr="00DF74F0">
        <w:rPr>
          <w:rFonts w:ascii="Book Antiqua" w:hAnsi="Book Antiqua" w:cs="Arial"/>
        </w:rPr>
        <w:t xml:space="preserve">Mr Salam argued that whatever the meaning of the </w:t>
      </w:r>
      <w:r w:rsidR="00291DB7">
        <w:rPr>
          <w:rFonts w:ascii="Book Antiqua" w:hAnsi="Book Antiqua" w:cs="Arial"/>
        </w:rPr>
        <w:t>Directive (2004/</w:t>
      </w:r>
      <w:r w:rsidR="0025144F">
        <w:rPr>
          <w:rFonts w:ascii="Book Antiqua" w:hAnsi="Book Antiqua" w:cs="Arial"/>
        </w:rPr>
        <w:t xml:space="preserve">8/EC) </w:t>
      </w:r>
      <w:r w:rsidRPr="00DF74F0">
        <w:rPr>
          <w:rFonts w:ascii="Book Antiqua" w:hAnsi="Book Antiqua" w:cs="Arial"/>
        </w:rPr>
        <w:t>Citizens’ Free Movement Directive</w:t>
      </w:r>
      <w:r w:rsidR="00634BF6">
        <w:rPr>
          <w:rFonts w:ascii="Book Antiqua" w:hAnsi="Book Antiqua" w:cs="Arial"/>
        </w:rPr>
        <w:t>,</w:t>
      </w:r>
      <w:r w:rsidRPr="00DF74F0">
        <w:rPr>
          <w:rFonts w:ascii="Book Antiqua" w:hAnsi="Book Antiqua" w:cs="Arial"/>
        </w:rPr>
        <w:t xml:space="preserve"> the EEA Regulations in statutory instruments w</w:t>
      </w:r>
      <w:r w:rsidR="004B5711" w:rsidRPr="00DF74F0">
        <w:rPr>
          <w:rFonts w:ascii="Book Antiqua" w:hAnsi="Book Antiqua" w:cs="Arial"/>
        </w:rPr>
        <w:t>e</w:t>
      </w:r>
      <w:r w:rsidRPr="00DF74F0">
        <w:rPr>
          <w:rFonts w:ascii="Book Antiqua" w:hAnsi="Book Antiqua" w:cs="Arial"/>
        </w:rPr>
        <w:t>re more generous.  He drew to my attention paragraph 27(</w:t>
      </w:r>
      <w:r w:rsidR="004B5711" w:rsidRPr="00DF74F0">
        <w:rPr>
          <w:rFonts w:ascii="Book Antiqua" w:hAnsi="Book Antiqua" w:cs="Arial"/>
        </w:rPr>
        <w:t>4)(a) of the Immigration (European Economic Area) Regulations 2016 which provides that a relevant decision may not be taken on imperative grounds for public security in respect of an EEA national who “has resided in the United Kingdom for a continuous period of at least ten years prior to the relevant decision”.</w:t>
      </w:r>
      <w:r w:rsidR="00AC122F" w:rsidRPr="00DF74F0">
        <w:rPr>
          <w:rFonts w:ascii="Book Antiqua" w:hAnsi="Book Antiqua" w:cs="Arial"/>
        </w:rPr>
        <w:t xml:space="preserve">  He sa</w:t>
      </w:r>
      <w:r w:rsidR="00591B5F">
        <w:rPr>
          <w:rFonts w:ascii="Book Antiqua" w:hAnsi="Book Antiqua" w:cs="Arial"/>
        </w:rPr>
        <w:t>id</w:t>
      </w:r>
      <w:r w:rsidR="00AC122F" w:rsidRPr="00DF74F0">
        <w:rPr>
          <w:rFonts w:ascii="Book Antiqua" w:hAnsi="Book Antiqua" w:cs="Arial"/>
        </w:rPr>
        <w:t xml:space="preserve">, correctly, that the word </w:t>
      </w:r>
      <w:r w:rsidR="00591B5F">
        <w:rPr>
          <w:rFonts w:ascii="Book Antiqua" w:hAnsi="Book Antiqua" w:cs="Arial"/>
        </w:rPr>
        <w:t>“</w:t>
      </w:r>
      <w:r w:rsidR="00AC122F" w:rsidRPr="00DF74F0">
        <w:rPr>
          <w:rFonts w:ascii="Book Antiqua" w:hAnsi="Book Antiqua" w:cs="Arial"/>
        </w:rPr>
        <w:t>prior</w:t>
      </w:r>
      <w:r w:rsidR="00591B5F">
        <w:rPr>
          <w:rFonts w:ascii="Book Antiqua" w:hAnsi="Book Antiqua" w:cs="Arial"/>
        </w:rPr>
        <w:t>”</w:t>
      </w:r>
      <w:r w:rsidR="00AC122F" w:rsidRPr="00DF74F0">
        <w:rPr>
          <w:rFonts w:ascii="Book Antiqua" w:hAnsi="Book Antiqua" w:cs="Arial"/>
        </w:rPr>
        <w:t xml:space="preserve"> is not qualified with </w:t>
      </w:r>
      <w:r w:rsidR="00D84963">
        <w:rPr>
          <w:rFonts w:ascii="Book Antiqua" w:hAnsi="Book Antiqua" w:cs="Arial"/>
        </w:rPr>
        <w:t xml:space="preserve">a word </w:t>
      </w:r>
      <w:r w:rsidR="00AC122F" w:rsidRPr="00DF74F0">
        <w:rPr>
          <w:rFonts w:ascii="Book Antiqua" w:hAnsi="Book Antiqua" w:cs="Arial"/>
        </w:rPr>
        <w:t xml:space="preserve">such as </w:t>
      </w:r>
      <w:r w:rsidR="003D6370">
        <w:rPr>
          <w:rFonts w:ascii="Book Antiqua" w:hAnsi="Book Antiqua" w:cs="Arial"/>
        </w:rPr>
        <w:t>“</w:t>
      </w:r>
      <w:r w:rsidR="00AC122F" w:rsidRPr="00DF74F0">
        <w:rPr>
          <w:rFonts w:ascii="Book Antiqua" w:hAnsi="Book Antiqua" w:cs="Arial"/>
        </w:rPr>
        <w:t>immediately</w:t>
      </w:r>
      <w:r w:rsidR="003D6370">
        <w:rPr>
          <w:rFonts w:ascii="Book Antiqua" w:hAnsi="Book Antiqua" w:cs="Arial"/>
        </w:rPr>
        <w:t>”</w:t>
      </w:r>
      <w:r w:rsidR="00AC122F" w:rsidRPr="00DF74F0">
        <w:rPr>
          <w:rFonts w:ascii="Book Antiqua" w:hAnsi="Book Antiqua" w:cs="Arial"/>
        </w:rPr>
        <w:t xml:space="preserve"> and so if, as is the case here</w:t>
      </w:r>
      <w:r w:rsidR="004D50A5">
        <w:rPr>
          <w:rFonts w:ascii="Book Antiqua" w:hAnsi="Book Antiqua" w:cs="Arial"/>
        </w:rPr>
        <w:t>,</w:t>
      </w:r>
      <w:r w:rsidR="00AC122F" w:rsidRPr="00DF74F0">
        <w:rPr>
          <w:rFonts w:ascii="Book Antiqua" w:hAnsi="Book Antiqua" w:cs="Arial"/>
        </w:rPr>
        <w:t xml:space="preserve"> there has been ten years’ residence not interrupted by prison then the higher level of protection is established.</w:t>
      </w:r>
    </w:p>
    <w:p w:rsidR="00591B5F" w:rsidRDefault="00AC122F" w:rsidP="00DF74F0">
      <w:pPr>
        <w:pStyle w:val="ListParagraph"/>
        <w:numPr>
          <w:ilvl w:val="0"/>
          <w:numId w:val="2"/>
        </w:numPr>
        <w:tabs>
          <w:tab w:val="left" w:pos="567"/>
        </w:tabs>
        <w:spacing w:before="120"/>
        <w:contextualSpacing w:val="0"/>
        <w:jc w:val="both"/>
        <w:rPr>
          <w:rFonts w:ascii="Book Antiqua" w:hAnsi="Book Antiqua" w:cs="Arial"/>
        </w:rPr>
      </w:pPr>
      <w:r w:rsidRPr="00DF74F0">
        <w:rPr>
          <w:rFonts w:ascii="Book Antiqua" w:hAnsi="Book Antiqua" w:cs="Arial"/>
        </w:rPr>
        <w:t xml:space="preserve">He said, correctly, that there is no reason why </w:t>
      </w:r>
      <w:r w:rsidR="004D50A5">
        <w:rPr>
          <w:rFonts w:ascii="Book Antiqua" w:hAnsi="Book Antiqua" w:cs="Arial"/>
        </w:rPr>
        <w:t>P</w:t>
      </w:r>
      <w:r w:rsidRPr="00DF74F0">
        <w:rPr>
          <w:rFonts w:ascii="Book Antiqua" w:hAnsi="Book Antiqua" w:cs="Arial"/>
        </w:rPr>
        <w:t xml:space="preserve">arliament cannot be more generous to an EEA national than the </w:t>
      </w:r>
      <w:r w:rsidR="00CA7281" w:rsidRPr="00DF74F0">
        <w:rPr>
          <w:rFonts w:ascii="Book Antiqua" w:hAnsi="Book Antiqua" w:cs="Arial"/>
        </w:rPr>
        <w:t>d</w:t>
      </w:r>
      <w:r w:rsidRPr="00DF74F0">
        <w:rPr>
          <w:rFonts w:ascii="Book Antiqua" w:hAnsi="Book Antiqua" w:cs="Arial"/>
        </w:rPr>
        <w:t>irective requires.</w:t>
      </w:r>
    </w:p>
    <w:p w:rsidR="00231C4A" w:rsidRPr="00231C4A" w:rsidRDefault="00502EBE" w:rsidP="00DF74F0">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However </w:t>
      </w:r>
      <w:r w:rsidR="00AC122F" w:rsidRPr="00DF74F0">
        <w:rPr>
          <w:rFonts w:ascii="Book Antiqua" w:hAnsi="Book Antiqua" w:cs="Arial"/>
        </w:rPr>
        <w:t xml:space="preserve">I remind myself the purpose of the Regulations is to give effect to the </w:t>
      </w:r>
      <w:r>
        <w:rPr>
          <w:rFonts w:ascii="Book Antiqua" w:hAnsi="Book Antiqua" w:cs="Arial"/>
        </w:rPr>
        <w:t>D</w:t>
      </w:r>
      <w:r w:rsidR="00AC122F" w:rsidRPr="00DF74F0">
        <w:rPr>
          <w:rFonts w:ascii="Book Antiqua" w:hAnsi="Book Antiqua" w:cs="Arial"/>
        </w:rPr>
        <w:t>irect</w:t>
      </w:r>
      <w:r w:rsidR="00655AB6">
        <w:rPr>
          <w:rFonts w:ascii="Book Antiqua" w:hAnsi="Book Antiqua" w:cs="Arial"/>
        </w:rPr>
        <w:t>i</w:t>
      </w:r>
      <w:r>
        <w:rPr>
          <w:rFonts w:ascii="Book Antiqua" w:hAnsi="Book Antiqua" w:cs="Arial"/>
        </w:rPr>
        <w:t>ve</w:t>
      </w:r>
      <w:r w:rsidR="00CA7281" w:rsidRPr="00DF74F0">
        <w:rPr>
          <w:rFonts w:ascii="Book Antiqua" w:hAnsi="Book Antiqua" w:cs="Arial"/>
        </w:rPr>
        <w:t xml:space="preserve">.  </w:t>
      </w:r>
      <w:r w:rsidR="00111D1A">
        <w:rPr>
          <w:rFonts w:ascii="Book Antiqua" w:hAnsi="Book Antiqua" w:cs="Arial"/>
        </w:rPr>
        <w:t xml:space="preserve">Article 28(3)(a) gives protection to people who have “resided in the </w:t>
      </w:r>
      <w:r w:rsidR="00C62F41">
        <w:rPr>
          <w:rFonts w:ascii="Book Antiqua" w:hAnsi="Book Antiqua" w:cs="Arial"/>
        </w:rPr>
        <w:t xml:space="preserve">host Member State for the previous ten years”. The word “previous” cannot be ignored. </w:t>
      </w:r>
      <w:r w:rsidR="00685FBE">
        <w:rPr>
          <w:rFonts w:ascii="Book Antiqua" w:hAnsi="Book Antiqua" w:cs="Arial"/>
        </w:rPr>
        <w:t xml:space="preserve">Further, </w:t>
      </w:r>
      <w:r w:rsidR="00CD47F0">
        <w:rPr>
          <w:rFonts w:ascii="Book Antiqua" w:hAnsi="Book Antiqua" w:cs="Arial"/>
        </w:rPr>
        <w:t>the words “</w:t>
      </w:r>
      <w:r w:rsidR="009E40E4">
        <w:rPr>
          <w:rFonts w:ascii="Book Antiqua" w:hAnsi="Book Antiqua" w:cs="Arial"/>
        </w:rPr>
        <w:t xml:space="preserve">has resided </w:t>
      </w:r>
      <w:r w:rsidR="008B16A4">
        <w:rPr>
          <w:rFonts w:ascii="Book Antiqua" w:hAnsi="Book Antiqua" w:cs="Arial"/>
        </w:rPr>
        <w:t xml:space="preserve">in the United Kingdom </w:t>
      </w:r>
      <w:r w:rsidR="009E40E4">
        <w:rPr>
          <w:rFonts w:ascii="Book Antiqua" w:hAnsi="Book Antiqua" w:cs="Arial"/>
        </w:rPr>
        <w:t xml:space="preserve">for a continuous period of </w:t>
      </w:r>
      <w:r w:rsidR="008B16A4">
        <w:rPr>
          <w:rFonts w:ascii="Book Antiqua" w:hAnsi="Book Antiqua" w:cs="Arial"/>
        </w:rPr>
        <w:t xml:space="preserve">at least </w:t>
      </w:r>
      <w:r w:rsidR="00055B16">
        <w:rPr>
          <w:rFonts w:ascii="Book Antiqua" w:hAnsi="Book Antiqua" w:cs="Arial"/>
        </w:rPr>
        <w:t xml:space="preserve">ten years prior to the relevant decision” did not </w:t>
      </w:r>
      <w:r w:rsidR="00055B16" w:rsidRPr="00231C4A">
        <w:rPr>
          <w:rFonts w:ascii="Book Antiqua" w:hAnsi="Book Antiqua" w:cs="Arial"/>
        </w:rPr>
        <w:t xml:space="preserve">change the law but repeated the words used in </w:t>
      </w:r>
      <w:r w:rsidR="006F03BE" w:rsidRPr="00231C4A">
        <w:rPr>
          <w:rFonts w:ascii="Book Antiqua" w:hAnsi="Book Antiqua" w:cs="Arial"/>
        </w:rPr>
        <w:t>regulation 21</w:t>
      </w:r>
      <w:r w:rsidR="001A3B6F" w:rsidRPr="00231C4A">
        <w:rPr>
          <w:rFonts w:ascii="Book Antiqua" w:hAnsi="Book Antiqua" w:cs="Arial"/>
        </w:rPr>
        <w:t>(4)(a) of the Immigration (European Economic Area) Regulations 2006</w:t>
      </w:r>
      <w:r w:rsidR="009A4CDB" w:rsidRPr="00231C4A">
        <w:rPr>
          <w:rFonts w:ascii="Book Antiqua" w:hAnsi="Book Antiqua" w:cs="Arial"/>
        </w:rPr>
        <w:t xml:space="preserve"> about which there is considerable jurisprudence. The interpretation suggested by Mr Salam is contrary, for example, to the decision of </w:t>
      </w:r>
      <w:r w:rsidR="00C50336" w:rsidRPr="00231C4A">
        <w:rPr>
          <w:rFonts w:ascii="Book Antiqua" w:hAnsi="Book Antiqua"/>
          <w:u w:val="single"/>
        </w:rPr>
        <w:t>LG and CC (EEA Regs: residence; imprisonment; removal) Italy</w:t>
      </w:r>
      <w:r w:rsidR="00C50336" w:rsidRPr="00231C4A">
        <w:rPr>
          <w:rFonts w:ascii="Book Antiqua" w:hAnsi="Book Antiqua"/>
        </w:rPr>
        <w:t xml:space="preserve"> [2009] UKAIT 00024 which itself followed Court of Appeal guidance.</w:t>
      </w:r>
    </w:p>
    <w:p w:rsidR="00DF74F0" w:rsidRDefault="00CA7281" w:rsidP="00DF74F0">
      <w:pPr>
        <w:pStyle w:val="ListParagraph"/>
        <w:numPr>
          <w:ilvl w:val="0"/>
          <w:numId w:val="2"/>
        </w:numPr>
        <w:tabs>
          <w:tab w:val="left" w:pos="567"/>
        </w:tabs>
        <w:spacing w:before="120"/>
        <w:contextualSpacing w:val="0"/>
        <w:jc w:val="both"/>
        <w:rPr>
          <w:rFonts w:ascii="Book Antiqua" w:hAnsi="Book Antiqua" w:cs="Arial"/>
        </w:rPr>
      </w:pPr>
      <w:r w:rsidRPr="00231C4A">
        <w:rPr>
          <w:rFonts w:ascii="Book Antiqua" w:hAnsi="Book Antiqua" w:cs="Arial"/>
        </w:rPr>
        <w:t>W</w:t>
      </w:r>
      <w:r w:rsidR="00AC122F" w:rsidRPr="00231C4A">
        <w:rPr>
          <w:rFonts w:ascii="Book Antiqua" w:hAnsi="Book Antiqua" w:cs="Arial"/>
        </w:rPr>
        <w:t>hilst I find it surprising that a qualifying word is not present in the Regulations it is so clear in the translation of the</w:t>
      </w:r>
      <w:r w:rsidR="00AC122F" w:rsidRPr="00DF74F0">
        <w:rPr>
          <w:rFonts w:ascii="Book Antiqua" w:hAnsi="Book Antiqua" w:cs="Arial"/>
        </w:rPr>
        <w:t xml:space="preserve"> </w:t>
      </w:r>
      <w:r w:rsidR="00502EBE">
        <w:rPr>
          <w:rFonts w:ascii="Book Antiqua" w:hAnsi="Book Antiqua" w:cs="Arial"/>
        </w:rPr>
        <w:t>D</w:t>
      </w:r>
      <w:r w:rsidR="00AC122F" w:rsidRPr="00DF74F0">
        <w:rPr>
          <w:rFonts w:ascii="Book Antiqua" w:hAnsi="Book Antiqua" w:cs="Arial"/>
        </w:rPr>
        <w:t>irective and in jurisprudence that the period has to be calculated back immediately before the date that Mr Salam’</w:t>
      </w:r>
      <w:r w:rsidR="0006600B" w:rsidRPr="00DF74F0">
        <w:rPr>
          <w:rFonts w:ascii="Book Antiqua" w:hAnsi="Book Antiqua" w:cs="Arial"/>
        </w:rPr>
        <w:t>s superficially attractive</w:t>
      </w:r>
      <w:r w:rsidR="00AC122F" w:rsidRPr="00DF74F0">
        <w:rPr>
          <w:rFonts w:ascii="Book Antiqua" w:hAnsi="Book Antiqua" w:cs="Arial"/>
        </w:rPr>
        <w:t xml:space="preserve"> submissions are not based in reality.  I respectfu</w:t>
      </w:r>
      <w:r w:rsidR="004E72CA" w:rsidRPr="00DF74F0">
        <w:rPr>
          <w:rFonts w:ascii="Book Antiqua" w:hAnsi="Book Antiqua" w:cs="Arial"/>
        </w:rPr>
        <w:t>l</w:t>
      </w:r>
      <w:r w:rsidR="00AC122F" w:rsidRPr="00DF74F0">
        <w:rPr>
          <w:rFonts w:ascii="Book Antiqua" w:hAnsi="Book Antiqua" w:cs="Arial"/>
        </w:rPr>
        <w:t>ly disagree with him on that point.</w:t>
      </w:r>
    </w:p>
    <w:p w:rsidR="008C4EF1" w:rsidRDefault="00AC122F" w:rsidP="00DF74F0">
      <w:pPr>
        <w:pStyle w:val="ListParagraph"/>
        <w:numPr>
          <w:ilvl w:val="0"/>
          <w:numId w:val="2"/>
        </w:numPr>
        <w:tabs>
          <w:tab w:val="left" w:pos="567"/>
        </w:tabs>
        <w:spacing w:before="120"/>
        <w:contextualSpacing w:val="0"/>
        <w:jc w:val="both"/>
        <w:rPr>
          <w:rFonts w:ascii="Book Antiqua" w:hAnsi="Book Antiqua" w:cs="Arial"/>
        </w:rPr>
      </w:pPr>
      <w:r w:rsidRPr="00DF74F0">
        <w:rPr>
          <w:rFonts w:ascii="Book Antiqua" w:hAnsi="Book Antiqua" w:cs="Arial"/>
        </w:rPr>
        <w:t xml:space="preserve">I also find there is no simple test about </w:t>
      </w:r>
      <w:r w:rsidR="00B5726C">
        <w:rPr>
          <w:rFonts w:ascii="Book Antiqua" w:hAnsi="Book Antiqua" w:cs="Arial"/>
        </w:rPr>
        <w:t xml:space="preserve">to show </w:t>
      </w:r>
      <w:r w:rsidRPr="00DF74F0">
        <w:rPr>
          <w:rFonts w:ascii="Book Antiqua" w:hAnsi="Book Antiqua" w:cs="Arial"/>
        </w:rPr>
        <w:t>what constitutes an interruption in a period of continuous</w:t>
      </w:r>
      <w:r w:rsidR="009B7A1A" w:rsidRPr="00DF74F0">
        <w:rPr>
          <w:rFonts w:ascii="Book Antiqua" w:hAnsi="Book Antiqua" w:cs="Arial"/>
        </w:rPr>
        <w:t xml:space="preserve"> residence.  Clearly as a matter of common sense and authority a period of imprisonment</w:t>
      </w:r>
      <w:r w:rsidR="00502EBE">
        <w:rPr>
          <w:rFonts w:ascii="Book Antiqua" w:hAnsi="Book Antiqua" w:cs="Arial"/>
        </w:rPr>
        <w:t xml:space="preserve"> at least</w:t>
      </w:r>
      <w:r w:rsidR="009B7A1A" w:rsidRPr="00DF74F0">
        <w:rPr>
          <w:rFonts w:ascii="Book Antiqua" w:hAnsi="Book Antiqua" w:cs="Arial"/>
        </w:rPr>
        <w:t xml:space="preserve"> could have that effect but European jurisprudence prevents a simple answer.  What must be considered as is explained in </w:t>
      </w:r>
      <w:r w:rsidR="00700F87" w:rsidRPr="00502EBE">
        <w:rPr>
          <w:rFonts w:ascii="Book Antiqua" w:hAnsi="Book Antiqua" w:cs="Arial"/>
          <w:b/>
          <w:u w:val="single"/>
        </w:rPr>
        <w:t>V</w:t>
      </w:r>
      <w:r w:rsidR="009B7A1A" w:rsidRPr="00502EBE">
        <w:rPr>
          <w:rFonts w:ascii="Book Antiqua" w:hAnsi="Book Antiqua" w:cs="Arial"/>
          <w:b/>
          <w:u w:val="single"/>
        </w:rPr>
        <w:t>omero</w:t>
      </w:r>
      <w:r w:rsidR="00502EBE">
        <w:rPr>
          <w:rFonts w:ascii="Book Antiqua" w:hAnsi="Book Antiqua" w:cs="Arial"/>
        </w:rPr>
        <w:t>,</w:t>
      </w:r>
      <w:r w:rsidR="009B7A1A" w:rsidRPr="00DF74F0">
        <w:rPr>
          <w:rFonts w:ascii="Book Antiqua" w:hAnsi="Book Antiqua" w:cs="Arial"/>
        </w:rPr>
        <w:t xml:space="preserve"> particularly at paragraph 2 at the end of the decision</w:t>
      </w:r>
      <w:r w:rsidR="00502EBE">
        <w:rPr>
          <w:rFonts w:ascii="Book Antiqua" w:hAnsi="Book Antiqua" w:cs="Arial"/>
        </w:rPr>
        <w:t xml:space="preserve">, </w:t>
      </w:r>
      <w:r w:rsidR="009B7A1A" w:rsidRPr="00DF74F0">
        <w:rPr>
          <w:rFonts w:ascii="Book Antiqua" w:hAnsi="Book Antiqua" w:cs="Arial"/>
        </w:rPr>
        <w:t xml:space="preserve">the </w:t>
      </w:r>
      <w:r w:rsidR="008C4EF1">
        <w:rPr>
          <w:rFonts w:ascii="Book Antiqua" w:hAnsi="Book Antiqua" w:cs="Arial"/>
        </w:rPr>
        <w:t>D</w:t>
      </w:r>
      <w:r w:rsidR="009B7A1A" w:rsidRPr="00DF74F0">
        <w:rPr>
          <w:rFonts w:ascii="Book Antiqua" w:hAnsi="Book Antiqua" w:cs="Arial"/>
        </w:rPr>
        <w:t>irective</w:t>
      </w:r>
      <w:r w:rsidR="008C4EF1">
        <w:rPr>
          <w:rFonts w:ascii="Book Antiqua" w:hAnsi="Book Antiqua" w:cs="Arial"/>
        </w:rPr>
        <w:t>:</w:t>
      </w:r>
    </w:p>
    <w:p w:rsidR="00DF74F0" w:rsidRPr="00504191" w:rsidRDefault="009B7A1A" w:rsidP="00504191">
      <w:pPr>
        <w:pStyle w:val="ListParagraph"/>
        <w:tabs>
          <w:tab w:val="left" w:pos="567"/>
        </w:tabs>
        <w:spacing w:before="120"/>
        <w:ind w:left="284" w:right="284"/>
        <w:contextualSpacing w:val="0"/>
        <w:jc w:val="both"/>
        <w:rPr>
          <w:rFonts w:ascii="Book Antiqua" w:hAnsi="Book Antiqua" w:cs="Arial"/>
          <w:sz w:val="22"/>
          <w:szCs w:val="22"/>
        </w:rPr>
      </w:pPr>
      <w:r w:rsidRPr="00504191">
        <w:rPr>
          <w:rFonts w:ascii="Book Antiqua" w:hAnsi="Book Antiqua" w:cs="Arial"/>
          <w:sz w:val="22"/>
          <w:szCs w:val="22"/>
        </w:rPr>
        <w:t>“</w:t>
      </w:r>
      <w:r w:rsidR="008C4EF1" w:rsidRPr="00504191">
        <w:rPr>
          <w:rFonts w:ascii="Book Antiqua" w:hAnsi="Book Antiqua" w:cs="Arial"/>
          <w:sz w:val="22"/>
          <w:szCs w:val="22"/>
        </w:rPr>
        <w:t>… m</w:t>
      </w:r>
      <w:r w:rsidR="00CA7281" w:rsidRPr="00504191">
        <w:rPr>
          <w:rFonts w:ascii="Book Antiqua" w:hAnsi="Book Antiqua" w:cs="Arial"/>
          <w:sz w:val="22"/>
          <w:szCs w:val="22"/>
        </w:rPr>
        <w:t>ust</w:t>
      </w:r>
      <w:r w:rsidRPr="00504191">
        <w:rPr>
          <w:rFonts w:ascii="Book Antiqua" w:hAnsi="Book Antiqua" w:cs="Arial"/>
          <w:sz w:val="22"/>
          <w:szCs w:val="22"/>
        </w:rPr>
        <w:t xml:space="preserve"> be interpreted as meaning that, in the case of</w:t>
      </w:r>
      <w:r w:rsidR="00CA7281" w:rsidRPr="00504191">
        <w:rPr>
          <w:rFonts w:ascii="Book Antiqua" w:hAnsi="Book Antiqua" w:cs="Arial"/>
          <w:sz w:val="22"/>
          <w:szCs w:val="22"/>
        </w:rPr>
        <w:t xml:space="preserve"> a</w:t>
      </w:r>
      <w:r w:rsidRPr="00504191">
        <w:rPr>
          <w:rFonts w:ascii="Book Antiqua" w:hAnsi="Book Antiqua" w:cs="Arial"/>
          <w:sz w:val="22"/>
          <w:szCs w:val="22"/>
        </w:rPr>
        <w:t xml:space="preserve"> Union citizen who is serving a custodial sentence and against whom an expulsion decision is adopted, the condition of having “resided” in the host Member State for the previous ten years laid down in that provision may be satisfied where an overall assessment of the person’s situation, taking into account all the relevant aspects, leads to the conclusion that, notwithstanding that detention, the integrative links between the person concerned and the host Member State have not been broken.  Those aspects include, inter alia, the strength of the integrated links forged with the host Member State before the detention of the person concerned, the nature of the offence that resulted in the period of detention imposed, the circumstances in which the offence was committed and the conduct of the person concerned throughout the period of detention.”</w:t>
      </w:r>
    </w:p>
    <w:p w:rsidR="00DF74F0" w:rsidRDefault="009B7A1A" w:rsidP="00DF74F0">
      <w:pPr>
        <w:pStyle w:val="ListParagraph"/>
        <w:numPr>
          <w:ilvl w:val="0"/>
          <w:numId w:val="2"/>
        </w:numPr>
        <w:tabs>
          <w:tab w:val="left" w:pos="567"/>
        </w:tabs>
        <w:spacing w:before="120"/>
        <w:contextualSpacing w:val="0"/>
        <w:jc w:val="both"/>
        <w:rPr>
          <w:rFonts w:ascii="Book Antiqua" w:hAnsi="Book Antiqua" w:cs="Arial"/>
        </w:rPr>
      </w:pPr>
      <w:r w:rsidRPr="00DF74F0">
        <w:rPr>
          <w:rFonts w:ascii="Book Antiqua" w:hAnsi="Book Antiqua" w:cs="Arial"/>
        </w:rPr>
        <w:t>I do not find it immediately obvious to understand how each of those elements determines whether residence is described properly as continuous but that is the test that ha</w:t>
      </w:r>
      <w:r w:rsidR="00CA7281" w:rsidRPr="00DF74F0">
        <w:rPr>
          <w:rFonts w:ascii="Book Antiqua" w:hAnsi="Book Antiqua" w:cs="Arial"/>
        </w:rPr>
        <w:t>s</w:t>
      </w:r>
      <w:r w:rsidRPr="00DF74F0">
        <w:rPr>
          <w:rFonts w:ascii="Book Antiqua" w:hAnsi="Book Antiqua" w:cs="Arial"/>
        </w:rPr>
        <w:t xml:space="preserve"> been set.</w:t>
      </w:r>
    </w:p>
    <w:p w:rsidR="005D3B3D" w:rsidRDefault="009B7A1A" w:rsidP="005D3B3D">
      <w:pPr>
        <w:pStyle w:val="ListParagraph"/>
        <w:numPr>
          <w:ilvl w:val="0"/>
          <w:numId w:val="2"/>
        </w:numPr>
        <w:tabs>
          <w:tab w:val="left" w:pos="567"/>
        </w:tabs>
        <w:spacing w:before="120"/>
        <w:contextualSpacing w:val="0"/>
        <w:jc w:val="both"/>
        <w:rPr>
          <w:rFonts w:ascii="Book Antiqua" w:hAnsi="Book Antiqua" w:cs="Arial"/>
        </w:rPr>
      </w:pPr>
      <w:r w:rsidRPr="00DF74F0">
        <w:rPr>
          <w:rFonts w:ascii="Book Antiqua" w:hAnsi="Book Antiqua" w:cs="Arial"/>
        </w:rPr>
        <w:lastRenderedPageBreak/>
        <w:t xml:space="preserve">I am quite satisfied that the First-tier Tribunal erred in law.  The First-tier Tribunal did not count backwards and look for integrated links but decided that ten years had been established and that was sufficient.  That is clearly erroneous.  Had the </w:t>
      </w:r>
      <w:r w:rsidR="007644BF">
        <w:rPr>
          <w:rFonts w:ascii="Book Antiqua" w:hAnsi="Book Antiqua" w:cs="Arial"/>
        </w:rPr>
        <w:t>“</w:t>
      </w:r>
      <w:r w:rsidRPr="00DF74F0">
        <w:rPr>
          <w:rFonts w:ascii="Book Antiqua" w:hAnsi="Book Antiqua" w:cs="Arial"/>
        </w:rPr>
        <w:t>integrat</w:t>
      </w:r>
      <w:r w:rsidR="00CA7281" w:rsidRPr="00DF74F0">
        <w:rPr>
          <w:rFonts w:ascii="Book Antiqua" w:hAnsi="Book Antiqua" w:cs="Arial"/>
        </w:rPr>
        <w:t>ed</w:t>
      </w:r>
      <w:r w:rsidRPr="00DF74F0">
        <w:rPr>
          <w:rFonts w:ascii="Book Antiqua" w:hAnsi="Book Antiqua" w:cs="Arial"/>
        </w:rPr>
        <w:t xml:space="preserve"> links forged</w:t>
      </w:r>
      <w:r w:rsidR="007644BF">
        <w:rPr>
          <w:rFonts w:ascii="Book Antiqua" w:hAnsi="Book Antiqua" w:cs="Arial"/>
        </w:rPr>
        <w:t>”</w:t>
      </w:r>
      <w:r w:rsidRPr="00DF74F0">
        <w:rPr>
          <w:rFonts w:ascii="Book Antiqua" w:hAnsi="Book Antiqua" w:cs="Arial"/>
        </w:rPr>
        <w:t xml:space="preserve"> test been applied the judge would have found</w:t>
      </w:r>
      <w:r w:rsidR="00953756">
        <w:rPr>
          <w:rFonts w:ascii="Book Antiqua" w:hAnsi="Book Antiqua" w:cs="Arial"/>
        </w:rPr>
        <w:t>, as I find,</w:t>
      </w:r>
      <w:r w:rsidRPr="00DF74F0">
        <w:rPr>
          <w:rFonts w:ascii="Book Antiqua" w:hAnsi="Book Antiqua" w:cs="Arial"/>
        </w:rPr>
        <w:t xml:space="preserve"> that </w:t>
      </w:r>
      <w:r w:rsidR="00CA7281" w:rsidRPr="00DF74F0">
        <w:rPr>
          <w:rFonts w:ascii="Book Antiqua" w:hAnsi="Book Antiqua" w:cs="Arial"/>
        </w:rPr>
        <w:t xml:space="preserve">the </w:t>
      </w:r>
      <w:r w:rsidRPr="00DF74F0">
        <w:rPr>
          <w:rFonts w:ascii="Book Antiqua" w:hAnsi="Book Antiqua" w:cs="Arial"/>
        </w:rPr>
        <w:t>ten years had not been established.  The appellant’</w:t>
      </w:r>
      <w:r w:rsidR="00CA7281" w:rsidRPr="00DF74F0">
        <w:rPr>
          <w:rFonts w:ascii="Book Antiqua" w:hAnsi="Book Antiqua" w:cs="Arial"/>
        </w:rPr>
        <w:t>s integrated</w:t>
      </w:r>
      <w:r w:rsidRPr="00DF74F0">
        <w:rPr>
          <w:rFonts w:ascii="Book Antiqua" w:hAnsi="Book Antiqua" w:cs="Arial"/>
        </w:rPr>
        <w:t xml:space="preserve"> links are weak.  Her behaviour in the United Kingdom is characterised by repeated criminal offences and an </w:t>
      </w:r>
      <w:r w:rsidR="00CA7281" w:rsidRPr="00DF74F0">
        <w:rPr>
          <w:rFonts w:ascii="Book Antiqua" w:hAnsi="Book Antiqua" w:cs="Arial"/>
        </w:rPr>
        <w:t>in</w:t>
      </w:r>
      <w:r w:rsidRPr="00DF74F0">
        <w:rPr>
          <w:rFonts w:ascii="Book Antiqua" w:hAnsi="Book Antiqua" w:cs="Arial"/>
        </w:rPr>
        <w:t xml:space="preserve">ability to establish any meaningful family life or hold down any meaningful employment.  It is a sad fact that I </w:t>
      </w:r>
      <w:r w:rsidR="00DC22D0" w:rsidRPr="00DF74F0">
        <w:rPr>
          <w:rFonts w:ascii="Book Antiqua" w:hAnsi="Book Antiqua" w:cs="Arial"/>
        </w:rPr>
        <w:t>must</w:t>
      </w:r>
      <w:r w:rsidRPr="00DF74F0">
        <w:rPr>
          <w:rFonts w:ascii="Book Antiqua" w:hAnsi="Book Antiqua" w:cs="Arial"/>
        </w:rPr>
        <w:t xml:space="preserve"> describe her conduct in this way.  As is so often the case </w:t>
      </w:r>
      <w:r w:rsidR="00953756">
        <w:rPr>
          <w:rFonts w:ascii="Book Antiqua" w:hAnsi="Book Antiqua" w:cs="Arial"/>
        </w:rPr>
        <w:t xml:space="preserve">for </w:t>
      </w:r>
      <w:r w:rsidR="00CA7281" w:rsidRPr="00DF74F0">
        <w:rPr>
          <w:rFonts w:ascii="Book Antiqua" w:hAnsi="Book Antiqua" w:cs="Arial"/>
        </w:rPr>
        <w:t xml:space="preserve">those whose early </w:t>
      </w:r>
      <w:r w:rsidRPr="00DF74F0">
        <w:rPr>
          <w:rFonts w:ascii="Book Antiqua" w:hAnsi="Book Antiqua" w:cs="Arial"/>
        </w:rPr>
        <w:t xml:space="preserve">childhood has been difficult </w:t>
      </w:r>
      <w:r w:rsidR="00953756">
        <w:rPr>
          <w:rFonts w:ascii="Book Antiqua" w:hAnsi="Book Antiqua" w:cs="Arial"/>
        </w:rPr>
        <w:t xml:space="preserve">the appellant has found </w:t>
      </w:r>
      <w:r w:rsidRPr="00DF74F0">
        <w:rPr>
          <w:rFonts w:ascii="Book Antiqua" w:hAnsi="Book Antiqua" w:cs="Arial"/>
        </w:rPr>
        <w:t>it very hard to establish helpful, meaningful, productive</w:t>
      </w:r>
      <w:r w:rsidR="00CA7281" w:rsidRPr="00DF74F0">
        <w:rPr>
          <w:rFonts w:ascii="Book Antiqua" w:hAnsi="Book Antiqua" w:cs="Arial"/>
        </w:rPr>
        <w:t xml:space="preserve"> and</w:t>
      </w:r>
      <w:r w:rsidRPr="00DF74F0">
        <w:rPr>
          <w:rFonts w:ascii="Book Antiqua" w:hAnsi="Book Antiqua" w:cs="Arial"/>
        </w:rPr>
        <w:t xml:space="preserve"> wholesome relationships and i</w:t>
      </w:r>
      <w:r w:rsidR="0098203D" w:rsidRPr="00DF74F0">
        <w:rPr>
          <w:rFonts w:ascii="Book Antiqua" w:hAnsi="Book Antiqua" w:cs="Arial"/>
        </w:rPr>
        <w:t xml:space="preserve">n </w:t>
      </w:r>
      <w:r w:rsidR="00953756">
        <w:rPr>
          <w:rFonts w:ascii="Book Antiqua" w:hAnsi="Book Antiqua" w:cs="Arial"/>
        </w:rPr>
        <w:t xml:space="preserve">a </w:t>
      </w:r>
      <w:r w:rsidR="0098203D" w:rsidRPr="00DF74F0">
        <w:rPr>
          <w:rFonts w:ascii="Book Antiqua" w:hAnsi="Book Antiqua" w:cs="Arial"/>
        </w:rPr>
        <w:t>sense</w:t>
      </w:r>
      <w:r w:rsidR="004E72CA" w:rsidRPr="00DF74F0">
        <w:rPr>
          <w:rFonts w:ascii="Book Antiqua" w:hAnsi="Book Antiqua" w:cs="Arial"/>
        </w:rPr>
        <w:t>,</w:t>
      </w:r>
      <w:r w:rsidR="0098203D" w:rsidRPr="00DF74F0">
        <w:rPr>
          <w:rFonts w:ascii="Book Antiqua" w:hAnsi="Book Antiqua" w:cs="Arial"/>
        </w:rPr>
        <w:t xml:space="preserve"> she is to be pitied but that does not change the fact that she has not established herself in the United Kingdom and the integrated links are not there and the judge should not h</w:t>
      </w:r>
      <w:r w:rsidR="004E72CA" w:rsidRPr="00DF74F0">
        <w:rPr>
          <w:rFonts w:ascii="Book Antiqua" w:hAnsi="Book Antiqua" w:cs="Arial"/>
        </w:rPr>
        <w:t>a</w:t>
      </w:r>
      <w:r w:rsidR="0098203D" w:rsidRPr="00DF74F0">
        <w:rPr>
          <w:rFonts w:ascii="Book Antiqua" w:hAnsi="Book Antiqua" w:cs="Arial"/>
        </w:rPr>
        <w:t>ve found otherwise.</w:t>
      </w:r>
    </w:p>
    <w:p w:rsidR="00A015F8" w:rsidRDefault="00A015F8" w:rsidP="005D3B3D">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The idea of “integration” is malleable </w:t>
      </w:r>
      <w:r w:rsidR="00990639">
        <w:rPr>
          <w:rFonts w:ascii="Book Antiqua" w:hAnsi="Book Antiqua" w:cs="Arial"/>
        </w:rPr>
        <w:t xml:space="preserve">and </w:t>
      </w:r>
      <w:r w:rsidR="004B21F1">
        <w:rPr>
          <w:rFonts w:ascii="Book Antiqua" w:hAnsi="Book Antiqua" w:cs="Arial"/>
        </w:rPr>
        <w:t xml:space="preserve">is sometimes </w:t>
      </w:r>
      <w:r w:rsidR="00990639">
        <w:rPr>
          <w:rFonts w:ascii="Book Antiqua" w:hAnsi="Book Antiqua" w:cs="Arial"/>
        </w:rPr>
        <w:t xml:space="preserve">easier to understand by considering its absence. A person </w:t>
      </w:r>
      <w:r w:rsidR="00352B2C">
        <w:rPr>
          <w:rFonts w:ascii="Book Antiqua" w:hAnsi="Book Antiqua" w:cs="Arial"/>
        </w:rPr>
        <w:t xml:space="preserve">who </w:t>
      </w:r>
      <w:r w:rsidR="00990639">
        <w:rPr>
          <w:rFonts w:ascii="Book Antiqua" w:hAnsi="Book Antiqua" w:cs="Arial"/>
        </w:rPr>
        <w:t>commit</w:t>
      </w:r>
      <w:r w:rsidR="004B21F1">
        <w:rPr>
          <w:rFonts w:ascii="Book Antiqua" w:hAnsi="Book Antiqua" w:cs="Arial"/>
        </w:rPr>
        <w:t>s</w:t>
      </w:r>
      <w:r w:rsidR="00990639">
        <w:rPr>
          <w:rFonts w:ascii="Book Antiqua" w:hAnsi="Book Antiqua" w:cs="Arial"/>
        </w:rPr>
        <w:t xml:space="preserve"> crime is </w:t>
      </w:r>
      <w:r w:rsidR="007E79CB">
        <w:rPr>
          <w:rFonts w:ascii="Book Antiqua" w:hAnsi="Book Antiqua" w:cs="Arial"/>
        </w:rPr>
        <w:t>engaged in conduct that society has determined is so unacceptable that it attracts punishment.</w:t>
      </w:r>
      <w:r w:rsidR="00352B2C">
        <w:rPr>
          <w:rFonts w:ascii="Book Antiqua" w:hAnsi="Book Antiqua" w:cs="Arial"/>
        </w:rPr>
        <w:t xml:space="preserve"> A person who has committed offences including </w:t>
      </w:r>
      <w:r w:rsidR="00045050">
        <w:rPr>
          <w:rFonts w:ascii="Book Antiqua" w:hAnsi="Book Antiqua" w:cs="Arial"/>
        </w:rPr>
        <w:t xml:space="preserve">quite serious offences is clearly not “integrated” because she </w:t>
      </w:r>
      <w:r w:rsidR="00AE109D">
        <w:rPr>
          <w:rFonts w:ascii="Book Antiqua" w:hAnsi="Book Antiqua" w:cs="Arial"/>
        </w:rPr>
        <w:t>has shown a willingne</w:t>
      </w:r>
      <w:r w:rsidR="003C1618">
        <w:rPr>
          <w:rFonts w:ascii="Book Antiqua" w:hAnsi="Book Antiqua" w:cs="Arial"/>
        </w:rPr>
        <w:t>ss to repeatedly engage in antisocial behaviour</w:t>
      </w:r>
      <w:r w:rsidR="004F3521">
        <w:rPr>
          <w:rFonts w:ascii="Book Antiqua" w:hAnsi="Book Antiqua" w:cs="Arial"/>
        </w:rPr>
        <w:t xml:space="preserve"> which is, almost by definition, the exact opposite of being integrated.</w:t>
      </w:r>
    </w:p>
    <w:p w:rsidR="00624387" w:rsidRDefault="0098203D" w:rsidP="001B28AB">
      <w:pPr>
        <w:pStyle w:val="ListParagraph"/>
        <w:numPr>
          <w:ilvl w:val="0"/>
          <w:numId w:val="2"/>
        </w:numPr>
        <w:tabs>
          <w:tab w:val="left" w:pos="567"/>
        </w:tabs>
        <w:spacing w:before="120"/>
        <w:contextualSpacing w:val="0"/>
        <w:jc w:val="both"/>
        <w:rPr>
          <w:rFonts w:ascii="Book Antiqua" w:hAnsi="Book Antiqua" w:cs="Arial"/>
        </w:rPr>
      </w:pPr>
      <w:r w:rsidRPr="00624387">
        <w:rPr>
          <w:rFonts w:ascii="Book Antiqua" w:hAnsi="Book Antiqua" w:cs="Arial"/>
        </w:rPr>
        <w:t xml:space="preserve">I am quite satisfied that this </w:t>
      </w:r>
      <w:r w:rsidR="003C1618" w:rsidRPr="00624387">
        <w:rPr>
          <w:rFonts w:ascii="Book Antiqua" w:hAnsi="Book Antiqua" w:cs="Arial"/>
        </w:rPr>
        <w:t xml:space="preserve">appeal </w:t>
      </w:r>
      <w:r w:rsidRPr="00624387">
        <w:rPr>
          <w:rFonts w:ascii="Book Antiqua" w:hAnsi="Book Antiqua" w:cs="Arial"/>
        </w:rPr>
        <w:t xml:space="preserve">should not </w:t>
      </w:r>
      <w:r w:rsidR="006B2F68" w:rsidRPr="00624387">
        <w:rPr>
          <w:rFonts w:ascii="Book Antiqua" w:hAnsi="Book Antiqua" w:cs="Arial"/>
        </w:rPr>
        <w:t xml:space="preserve">have </w:t>
      </w:r>
      <w:r w:rsidRPr="00624387">
        <w:rPr>
          <w:rFonts w:ascii="Book Antiqua" w:hAnsi="Book Antiqua" w:cs="Arial"/>
        </w:rPr>
        <w:t>be</w:t>
      </w:r>
      <w:r w:rsidR="006B2F68" w:rsidRPr="00624387">
        <w:rPr>
          <w:rFonts w:ascii="Book Antiqua" w:hAnsi="Book Antiqua" w:cs="Arial"/>
        </w:rPr>
        <w:t>en</w:t>
      </w:r>
      <w:r w:rsidRPr="00624387">
        <w:rPr>
          <w:rFonts w:ascii="Book Antiqua" w:hAnsi="Book Antiqua" w:cs="Arial"/>
        </w:rPr>
        <w:t xml:space="preserve"> approached on the basis </w:t>
      </w:r>
      <w:r w:rsidR="0031529C" w:rsidRPr="00624387">
        <w:rPr>
          <w:rFonts w:ascii="Book Antiqua" w:hAnsi="Book Antiqua" w:cs="Arial"/>
        </w:rPr>
        <w:t xml:space="preserve">that the appellant is </w:t>
      </w:r>
      <w:r w:rsidRPr="00624387">
        <w:rPr>
          <w:rFonts w:ascii="Book Antiqua" w:hAnsi="Book Antiqua" w:cs="Arial"/>
        </w:rPr>
        <w:t>a person who has established ten years’ lawful residence and c</w:t>
      </w:r>
      <w:r w:rsidR="004F3521" w:rsidRPr="00624387">
        <w:rPr>
          <w:rFonts w:ascii="Book Antiqua" w:hAnsi="Book Antiqua" w:cs="Arial"/>
        </w:rPr>
        <w:t xml:space="preserve">ould </w:t>
      </w:r>
      <w:r w:rsidRPr="00624387">
        <w:rPr>
          <w:rFonts w:ascii="Book Antiqua" w:hAnsi="Book Antiqua" w:cs="Arial"/>
        </w:rPr>
        <w:t>only be removed on imperative grounds.</w:t>
      </w:r>
    </w:p>
    <w:p w:rsidR="001B28AB" w:rsidRPr="00624387" w:rsidRDefault="0098203D" w:rsidP="001B28AB">
      <w:pPr>
        <w:pStyle w:val="ListParagraph"/>
        <w:numPr>
          <w:ilvl w:val="0"/>
          <w:numId w:val="2"/>
        </w:numPr>
        <w:tabs>
          <w:tab w:val="left" w:pos="567"/>
        </w:tabs>
        <w:spacing w:before="120"/>
        <w:contextualSpacing w:val="0"/>
        <w:jc w:val="both"/>
        <w:rPr>
          <w:rFonts w:ascii="Book Antiqua" w:hAnsi="Book Antiqua" w:cs="Arial"/>
        </w:rPr>
      </w:pPr>
      <w:r w:rsidRPr="00624387">
        <w:rPr>
          <w:rFonts w:ascii="Book Antiqua" w:hAnsi="Book Antiqua" w:cs="Arial"/>
        </w:rPr>
        <w:t>However, I make it clear that</w:t>
      </w:r>
      <w:r w:rsidR="00E26266">
        <w:rPr>
          <w:rFonts w:ascii="Book Antiqua" w:hAnsi="Book Antiqua" w:cs="Arial"/>
        </w:rPr>
        <w:t>, again</w:t>
      </w:r>
      <w:r w:rsidRPr="00624387">
        <w:rPr>
          <w:rFonts w:ascii="Book Antiqua" w:hAnsi="Book Antiqua" w:cs="Arial"/>
        </w:rPr>
        <w:t xml:space="preserve"> with respect to the First-tier Tribunal Judge</w:t>
      </w:r>
      <w:r w:rsidR="00E26266">
        <w:rPr>
          <w:rFonts w:ascii="Book Antiqua" w:hAnsi="Book Antiqua" w:cs="Arial"/>
        </w:rPr>
        <w:t xml:space="preserve">, </w:t>
      </w:r>
      <w:r w:rsidRPr="00624387">
        <w:rPr>
          <w:rFonts w:ascii="Book Antiqua" w:hAnsi="Book Antiqua" w:cs="Arial"/>
        </w:rPr>
        <w:t>I cannot agree that this appellant’s behaviour establishes imperative grounds</w:t>
      </w:r>
      <w:r w:rsidR="001F17E4">
        <w:rPr>
          <w:rFonts w:ascii="Book Antiqua" w:hAnsi="Book Antiqua" w:cs="Arial"/>
        </w:rPr>
        <w:t xml:space="preserve"> and the Judge </w:t>
      </w:r>
      <w:r w:rsidR="00E26266">
        <w:rPr>
          <w:rFonts w:ascii="Book Antiqua" w:hAnsi="Book Antiqua" w:cs="Arial"/>
        </w:rPr>
        <w:t xml:space="preserve">erred </w:t>
      </w:r>
      <w:r w:rsidR="001F17E4">
        <w:rPr>
          <w:rFonts w:ascii="Book Antiqua" w:hAnsi="Book Antiqua" w:cs="Arial"/>
        </w:rPr>
        <w:t>in finding to the contrary</w:t>
      </w:r>
      <w:r w:rsidRPr="00624387">
        <w:rPr>
          <w:rFonts w:ascii="Book Antiqua" w:hAnsi="Book Antiqua" w:cs="Arial"/>
        </w:rPr>
        <w:t>.</w:t>
      </w:r>
    </w:p>
    <w:p w:rsidR="003A224C" w:rsidRDefault="0098203D" w:rsidP="001B28AB">
      <w:pPr>
        <w:pStyle w:val="ListParagraph"/>
        <w:numPr>
          <w:ilvl w:val="0"/>
          <w:numId w:val="2"/>
        </w:numPr>
        <w:tabs>
          <w:tab w:val="left" w:pos="567"/>
        </w:tabs>
        <w:spacing w:before="120"/>
        <w:contextualSpacing w:val="0"/>
        <w:jc w:val="both"/>
        <w:rPr>
          <w:rFonts w:ascii="Book Antiqua" w:hAnsi="Book Antiqua" w:cs="Arial"/>
        </w:rPr>
      </w:pPr>
      <w:r w:rsidRPr="001B28AB">
        <w:rPr>
          <w:rFonts w:ascii="Book Antiqua" w:hAnsi="Book Antiqua" w:cs="Arial"/>
        </w:rPr>
        <w:t xml:space="preserve">I remind myself of the particularly unattractive nature of the most recent offence that led to </w:t>
      </w:r>
      <w:r w:rsidR="001F17E4">
        <w:rPr>
          <w:rFonts w:ascii="Book Antiqua" w:hAnsi="Book Antiqua" w:cs="Arial"/>
        </w:rPr>
        <w:t>t</w:t>
      </w:r>
      <w:r w:rsidRPr="001B28AB">
        <w:rPr>
          <w:rFonts w:ascii="Book Antiqua" w:hAnsi="Book Antiqua" w:cs="Arial"/>
        </w:rPr>
        <w:t>he</w:t>
      </w:r>
      <w:r w:rsidR="001F17E4">
        <w:rPr>
          <w:rFonts w:ascii="Book Antiqua" w:hAnsi="Book Antiqua" w:cs="Arial"/>
        </w:rPr>
        <w:t xml:space="preserve"> appellant’s </w:t>
      </w:r>
      <w:r w:rsidRPr="001B28AB">
        <w:rPr>
          <w:rFonts w:ascii="Book Antiqua" w:hAnsi="Book Antiqua" w:cs="Arial"/>
        </w:rPr>
        <w:t xml:space="preserve">imprisonment.  Invading the privacy of a person’s home is always a serious matter and </w:t>
      </w:r>
      <w:r w:rsidR="004B7E28">
        <w:rPr>
          <w:rFonts w:ascii="Book Antiqua" w:hAnsi="Book Antiqua" w:cs="Arial"/>
        </w:rPr>
        <w:t xml:space="preserve">is </w:t>
      </w:r>
      <w:r w:rsidRPr="001B28AB">
        <w:rPr>
          <w:rFonts w:ascii="Book Antiqua" w:hAnsi="Book Antiqua" w:cs="Arial"/>
        </w:rPr>
        <w:t>particular</w:t>
      </w:r>
      <w:r w:rsidR="004B7E28">
        <w:rPr>
          <w:rFonts w:ascii="Book Antiqua" w:hAnsi="Book Antiqua" w:cs="Arial"/>
        </w:rPr>
        <w:t xml:space="preserve">ly </w:t>
      </w:r>
      <w:r w:rsidRPr="001B28AB">
        <w:rPr>
          <w:rFonts w:ascii="Book Antiqua" w:hAnsi="Book Antiqua" w:cs="Arial"/>
        </w:rPr>
        <w:t>repugnan</w:t>
      </w:r>
      <w:r w:rsidR="004B7E28">
        <w:rPr>
          <w:rFonts w:ascii="Book Antiqua" w:hAnsi="Book Antiqua" w:cs="Arial"/>
        </w:rPr>
        <w:t>t to public order</w:t>
      </w:r>
      <w:r w:rsidRPr="001B28AB">
        <w:rPr>
          <w:rFonts w:ascii="Book Antiqua" w:hAnsi="Book Antiqua" w:cs="Arial"/>
        </w:rPr>
        <w:t>.  When the victim is an elderly person who</w:t>
      </w:r>
      <w:r w:rsidR="00755875">
        <w:rPr>
          <w:rFonts w:ascii="Book Antiqua" w:hAnsi="Book Antiqua" w:cs="Arial"/>
        </w:rPr>
        <w:t xml:space="preserve"> has been selected by the criminal because of his </w:t>
      </w:r>
      <w:r w:rsidR="004E72CA" w:rsidRPr="001B28AB">
        <w:rPr>
          <w:rFonts w:ascii="Book Antiqua" w:hAnsi="Book Antiqua" w:cs="Arial"/>
        </w:rPr>
        <w:t>frailty</w:t>
      </w:r>
      <w:r w:rsidRPr="001B28AB">
        <w:rPr>
          <w:rFonts w:ascii="Book Antiqua" w:hAnsi="Book Antiqua" w:cs="Arial"/>
        </w:rPr>
        <w:t xml:space="preserve"> the public repugnance is even greater.  Hitting an elderly person is utterly unacceptable.</w:t>
      </w:r>
    </w:p>
    <w:p w:rsidR="001B28AB" w:rsidRDefault="001F17E4" w:rsidP="001B28AB">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Nevertheless, </w:t>
      </w:r>
      <w:r w:rsidR="0098203D" w:rsidRPr="001B28AB">
        <w:rPr>
          <w:rFonts w:ascii="Book Antiqua" w:hAnsi="Book Antiqua" w:cs="Arial"/>
        </w:rPr>
        <w:t>Mr Salam, rightly, reminded me to keep a sense of</w:t>
      </w:r>
      <w:r w:rsidR="00FD3200">
        <w:rPr>
          <w:rFonts w:ascii="Book Antiqua" w:hAnsi="Book Antiqua" w:cs="Arial"/>
        </w:rPr>
        <w:t xml:space="preserve"> perspec</w:t>
      </w:r>
      <w:r w:rsidR="0098203D" w:rsidRPr="001B28AB">
        <w:rPr>
          <w:rFonts w:ascii="Book Antiqua" w:hAnsi="Book Antiqua" w:cs="Arial"/>
        </w:rPr>
        <w:t xml:space="preserve">tive </w:t>
      </w:r>
      <w:r w:rsidR="00FD3200">
        <w:rPr>
          <w:rFonts w:ascii="Book Antiqua" w:hAnsi="Book Antiqua" w:cs="Arial"/>
        </w:rPr>
        <w:t xml:space="preserve">and </w:t>
      </w:r>
      <w:r w:rsidR="0098203D" w:rsidRPr="001B28AB">
        <w:rPr>
          <w:rFonts w:ascii="Book Antiqua" w:hAnsi="Book Antiqua" w:cs="Arial"/>
        </w:rPr>
        <w:t>proportion.  However</w:t>
      </w:r>
      <w:r w:rsidR="00FD3200">
        <w:rPr>
          <w:rFonts w:ascii="Book Antiqua" w:hAnsi="Book Antiqua" w:cs="Arial"/>
        </w:rPr>
        <w:t xml:space="preserve"> </w:t>
      </w:r>
      <w:r w:rsidR="0098203D" w:rsidRPr="001B28AB">
        <w:rPr>
          <w:rFonts w:ascii="Book Antiqua" w:hAnsi="Book Antiqua" w:cs="Arial"/>
        </w:rPr>
        <w:t xml:space="preserve">disgusting </w:t>
      </w:r>
      <w:r w:rsidR="004C7207">
        <w:rPr>
          <w:rFonts w:ascii="Book Antiqua" w:hAnsi="Book Antiqua" w:cs="Arial"/>
        </w:rPr>
        <w:t>t</w:t>
      </w:r>
      <w:r w:rsidR="0098203D" w:rsidRPr="001B28AB">
        <w:rPr>
          <w:rFonts w:ascii="Book Antiqua" w:hAnsi="Book Antiqua" w:cs="Arial"/>
        </w:rPr>
        <w:t>h</w:t>
      </w:r>
      <w:r w:rsidR="00FD3200">
        <w:rPr>
          <w:rFonts w:ascii="Book Antiqua" w:hAnsi="Book Antiqua" w:cs="Arial"/>
        </w:rPr>
        <w:t>e</w:t>
      </w:r>
      <w:r w:rsidR="004C7207">
        <w:rPr>
          <w:rFonts w:ascii="Book Antiqua" w:hAnsi="Book Antiqua" w:cs="Arial"/>
        </w:rPr>
        <w:t xml:space="preserve"> appellant’s </w:t>
      </w:r>
      <w:r w:rsidR="0098203D" w:rsidRPr="001B28AB">
        <w:rPr>
          <w:rFonts w:ascii="Book Antiqua" w:hAnsi="Book Antiqua" w:cs="Arial"/>
        </w:rPr>
        <w:t xml:space="preserve">behaviour might </w:t>
      </w:r>
      <w:r w:rsidR="00FD3200">
        <w:rPr>
          <w:rFonts w:ascii="Book Antiqua" w:hAnsi="Book Antiqua" w:cs="Arial"/>
        </w:rPr>
        <w:t xml:space="preserve">have </w:t>
      </w:r>
      <w:r w:rsidR="0098203D" w:rsidRPr="001B28AB">
        <w:rPr>
          <w:rFonts w:ascii="Book Antiqua" w:hAnsi="Book Antiqua" w:cs="Arial"/>
        </w:rPr>
        <w:t>be</w:t>
      </w:r>
      <w:r w:rsidR="00FD3200">
        <w:rPr>
          <w:rFonts w:ascii="Book Antiqua" w:hAnsi="Book Antiqua" w:cs="Arial"/>
        </w:rPr>
        <w:t>en</w:t>
      </w:r>
      <w:r w:rsidR="0098203D" w:rsidRPr="001B28AB">
        <w:rPr>
          <w:rFonts w:ascii="Book Antiqua" w:hAnsi="Book Antiqua" w:cs="Arial"/>
        </w:rPr>
        <w:t xml:space="preserve"> it does not establish an imperative ground.  This appellant is not a terrorist or an international criminal.  She is not likely to kill anyone </w:t>
      </w:r>
      <w:r w:rsidR="004C7207">
        <w:rPr>
          <w:rFonts w:ascii="Book Antiqua" w:hAnsi="Book Antiqua" w:cs="Arial"/>
        </w:rPr>
        <w:t>(</w:t>
      </w:r>
      <w:r w:rsidR="0098203D" w:rsidRPr="001B28AB">
        <w:rPr>
          <w:rFonts w:ascii="Book Antiqua" w:hAnsi="Book Antiqua" w:cs="Arial"/>
        </w:rPr>
        <w:t>although that is not something that can be ruled</w:t>
      </w:r>
      <w:r w:rsidR="004E72CA" w:rsidRPr="001B28AB">
        <w:rPr>
          <w:rFonts w:ascii="Book Antiqua" w:hAnsi="Book Antiqua" w:cs="Arial"/>
        </w:rPr>
        <w:t xml:space="preserve"> </w:t>
      </w:r>
      <w:r w:rsidR="0098203D" w:rsidRPr="001B28AB">
        <w:rPr>
          <w:rFonts w:ascii="Book Antiqua" w:hAnsi="Book Antiqua" w:cs="Arial"/>
        </w:rPr>
        <w:t>out completely</w:t>
      </w:r>
      <w:r w:rsidR="004C7207">
        <w:rPr>
          <w:rFonts w:ascii="Book Antiqua" w:hAnsi="Book Antiqua" w:cs="Arial"/>
        </w:rPr>
        <w:t>)</w:t>
      </w:r>
      <w:r w:rsidR="0098203D" w:rsidRPr="001B28AB">
        <w:rPr>
          <w:rFonts w:ascii="Book Antiqua" w:hAnsi="Book Antiqua" w:cs="Arial"/>
        </w:rPr>
        <w:t xml:space="preserve"> and she is not likely to inflict grave harm on a large number of people as for example might be done by a person with an obsession </w:t>
      </w:r>
      <w:r w:rsidR="00904332">
        <w:rPr>
          <w:rFonts w:ascii="Book Antiqua" w:hAnsi="Book Antiqua" w:cs="Arial"/>
        </w:rPr>
        <w:t xml:space="preserve">with </w:t>
      </w:r>
      <w:r w:rsidR="0098203D" w:rsidRPr="001B28AB">
        <w:rPr>
          <w:rFonts w:ascii="Book Antiqua" w:hAnsi="Book Antiqua" w:cs="Arial"/>
        </w:rPr>
        <w:t>firearms.  The imperative test is not made out.</w:t>
      </w:r>
    </w:p>
    <w:p w:rsidR="001B28AB" w:rsidRDefault="000D39FA" w:rsidP="001B28AB">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That said, </w:t>
      </w:r>
      <w:r w:rsidR="0098203D" w:rsidRPr="001B28AB">
        <w:rPr>
          <w:rFonts w:ascii="Book Antiqua" w:hAnsi="Book Antiqua" w:cs="Arial"/>
        </w:rPr>
        <w:t>I have no hesitation in saying all the repugnant factors identified above make out the serious grounds.</w:t>
      </w:r>
    </w:p>
    <w:p w:rsidR="001B28AB" w:rsidRDefault="00CA7281" w:rsidP="001B28AB">
      <w:pPr>
        <w:pStyle w:val="ListParagraph"/>
        <w:numPr>
          <w:ilvl w:val="0"/>
          <w:numId w:val="2"/>
        </w:numPr>
        <w:tabs>
          <w:tab w:val="left" w:pos="567"/>
        </w:tabs>
        <w:spacing w:before="120"/>
        <w:contextualSpacing w:val="0"/>
        <w:jc w:val="both"/>
        <w:rPr>
          <w:rFonts w:ascii="Book Antiqua" w:hAnsi="Book Antiqua" w:cs="Arial"/>
        </w:rPr>
      </w:pPr>
      <w:r w:rsidRPr="001B28AB">
        <w:rPr>
          <w:rFonts w:ascii="Book Antiqua" w:hAnsi="Book Antiqua" w:cs="Arial"/>
        </w:rPr>
        <w:t xml:space="preserve">I now </w:t>
      </w:r>
      <w:r w:rsidR="0098203D" w:rsidRPr="001B28AB">
        <w:rPr>
          <w:rFonts w:ascii="Book Antiqua" w:hAnsi="Book Antiqua" w:cs="Arial"/>
        </w:rPr>
        <w:t>metaphorically s</w:t>
      </w:r>
      <w:r w:rsidR="000D39FA">
        <w:rPr>
          <w:rFonts w:ascii="Book Antiqua" w:hAnsi="Book Antiqua" w:cs="Arial"/>
        </w:rPr>
        <w:t>i</w:t>
      </w:r>
      <w:r w:rsidR="0098203D" w:rsidRPr="001B28AB">
        <w:rPr>
          <w:rFonts w:ascii="Book Antiqua" w:hAnsi="Book Antiqua" w:cs="Arial"/>
        </w:rPr>
        <w:t>t back and consider the evidence and remind myself of it.  Th</w:t>
      </w:r>
      <w:r w:rsidR="003A224C">
        <w:rPr>
          <w:rFonts w:ascii="Book Antiqua" w:hAnsi="Book Antiqua" w:cs="Arial"/>
        </w:rPr>
        <w:t xml:space="preserve">e appellant </w:t>
      </w:r>
      <w:r w:rsidR="0098203D" w:rsidRPr="001B28AB">
        <w:rPr>
          <w:rFonts w:ascii="Book Antiqua" w:hAnsi="Book Antiqua" w:cs="Arial"/>
        </w:rPr>
        <w:t xml:space="preserve">is a woman who has spent a lot of her life in the United Kingdom and who does not have strong links </w:t>
      </w:r>
      <w:r w:rsidR="003A224C">
        <w:rPr>
          <w:rFonts w:ascii="Book Antiqua" w:hAnsi="Book Antiqua" w:cs="Arial"/>
        </w:rPr>
        <w:t xml:space="preserve">with </w:t>
      </w:r>
      <w:r w:rsidR="0098203D" w:rsidRPr="001B28AB">
        <w:rPr>
          <w:rFonts w:ascii="Book Antiqua" w:hAnsi="Book Antiqua" w:cs="Arial"/>
        </w:rPr>
        <w:t>he</w:t>
      </w:r>
      <w:r w:rsidR="003A224C">
        <w:rPr>
          <w:rFonts w:ascii="Book Antiqua" w:hAnsi="Book Antiqua" w:cs="Arial"/>
        </w:rPr>
        <w:t>r</w:t>
      </w:r>
      <w:r w:rsidR="0098203D" w:rsidRPr="001B28AB">
        <w:rPr>
          <w:rFonts w:ascii="Book Antiqua" w:hAnsi="Book Antiqua" w:cs="Arial"/>
        </w:rPr>
        <w:t xml:space="preserve"> country of nationality </w:t>
      </w:r>
      <w:r w:rsidR="00415322">
        <w:rPr>
          <w:rFonts w:ascii="Book Antiqua" w:hAnsi="Book Antiqua" w:cs="Arial"/>
        </w:rPr>
        <w:t xml:space="preserve">but she is </w:t>
      </w:r>
      <w:r w:rsidR="0098203D" w:rsidRPr="001B28AB">
        <w:rPr>
          <w:rFonts w:ascii="Book Antiqua" w:hAnsi="Book Antiqua" w:cs="Arial"/>
        </w:rPr>
        <w:t xml:space="preserve">a woman who </w:t>
      </w:r>
      <w:r w:rsidR="00415322">
        <w:rPr>
          <w:rFonts w:ascii="Book Antiqua" w:hAnsi="Book Antiqua" w:cs="Arial"/>
        </w:rPr>
        <w:t xml:space="preserve">is unable or disinclined to </w:t>
      </w:r>
      <w:r w:rsidR="0098203D" w:rsidRPr="001B28AB">
        <w:rPr>
          <w:rFonts w:ascii="Book Antiqua" w:hAnsi="Book Antiqua" w:cs="Arial"/>
        </w:rPr>
        <w:t xml:space="preserve">behave herself.  Probably as a result of alcoholism which is probably itself a symptom of other problems rather than the real cause of her difficulties, she has shown </w:t>
      </w:r>
      <w:r w:rsidR="0098203D" w:rsidRPr="001B28AB">
        <w:rPr>
          <w:rFonts w:ascii="Book Antiqua" w:hAnsi="Book Antiqua" w:cs="Arial"/>
        </w:rPr>
        <w:lastRenderedPageBreak/>
        <w:t>herself unable to take advantage of opportunities for support that have been extended by the courts and whilst it would be attractive to find a way of helping her, well behaved members of society are entitled to protection from her</w:t>
      </w:r>
      <w:r w:rsidR="00CB67CC">
        <w:rPr>
          <w:rFonts w:ascii="Book Antiqua" w:hAnsi="Book Antiqua" w:cs="Arial"/>
        </w:rPr>
        <w:t>. Sh</w:t>
      </w:r>
      <w:r w:rsidR="0098203D" w:rsidRPr="001B28AB">
        <w:rPr>
          <w:rFonts w:ascii="Book Antiqua" w:hAnsi="Book Antiqua" w:cs="Arial"/>
        </w:rPr>
        <w:t>e has had chance</w:t>
      </w:r>
      <w:r w:rsidR="00CB67CC">
        <w:rPr>
          <w:rFonts w:ascii="Book Antiqua" w:hAnsi="Book Antiqua" w:cs="Arial"/>
        </w:rPr>
        <w:t>s</w:t>
      </w:r>
      <w:r w:rsidR="0098203D" w:rsidRPr="001B28AB">
        <w:rPr>
          <w:rFonts w:ascii="Book Antiqua" w:hAnsi="Book Antiqua" w:cs="Arial"/>
        </w:rPr>
        <w:t xml:space="preserve"> and </w:t>
      </w:r>
      <w:r w:rsidR="00CB67CC">
        <w:rPr>
          <w:rFonts w:ascii="Book Antiqua" w:hAnsi="Book Antiqua" w:cs="Arial"/>
        </w:rPr>
        <w:t xml:space="preserve">has </w:t>
      </w:r>
      <w:r w:rsidR="0098203D" w:rsidRPr="001B28AB">
        <w:rPr>
          <w:rFonts w:ascii="Book Antiqua" w:hAnsi="Book Antiqua" w:cs="Arial"/>
        </w:rPr>
        <w:t xml:space="preserve">squandered </w:t>
      </w:r>
      <w:r w:rsidR="00CB67CC">
        <w:rPr>
          <w:rFonts w:ascii="Book Antiqua" w:hAnsi="Book Antiqua" w:cs="Arial"/>
        </w:rPr>
        <w:t xml:space="preserve">them </w:t>
      </w:r>
      <w:r w:rsidR="0098203D" w:rsidRPr="001B28AB">
        <w:rPr>
          <w:rFonts w:ascii="Book Antiqua" w:hAnsi="Book Antiqua" w:cs="Arial"/>
        </w:rPr>
        <w:t>more than once.  There are serious grounds here and the appeal should have been dismissed on serious grounds.</w:t>
      </w:r>
    </w:p>
    <w:p w:rsidR="00F978DE" w:rsidRDefault="0098203D" w:rsidP="001B28AB">
      <w:pPr>
        <w:pStyle w:val="ListParagraph"/>
        <w:numPr>
          <w:ilvl w:val="0"/>
          <w:numId w:val="2"/>
        </w:numPr>
        <w:tabs>
          <w:tab w:val="left" w:pos="567"/>
        </w:tabs>
        <w:spacing w:before="120"/>
        <w:contextualSpacing w:val="0"/>
        <w:jc w:val="both"/>
        <w:rPr>
          <w:rFonts w:ascii="Book Antiqua" w:hAnsi="Book Antiqua" w:cs="Arial"/>
        </w:rPr>
      </w:pPr>
      <w:r w:rsidRPr="001B28AB">
        <w:rPr>
          <w:rFonts w:ascii="Book Antiqua" w:hAnsi="Book Antiqua" w:cs="Arial"/>
        </w:rPr>
        <w:t xml:space="preserve">It follows therefore I find the First-tier Tribunal erred in law.  I set aside its decision to the extent that I rule that the appellant has not </w:t>
      </w:r>
      <w:r w:rsidR="004E72CA" w:rsidRPr="001B28AB">
        <w:rPr>
          <w:rFonts w:ascii="Book Antiqua" w:hAnsi="Book Antiqua" w:cs="Arial"/>
        </w:rPr>
        <w:t xml:space="preserve">established the ten years’ lawful residence prior to her decision to remove which is necessary to give her the enhanced protection.  I am satisfied that she is not entitled to enhanced protection and I am satisfied that there are serious grounds justifying for her removal and I substitute </w:t>
      </w:r>
      <w:r w:rsidR="00700F87" w:rsidRPr="001B28AB">
        <w:rPr>
          <w:rFonts w:ascii="Book Antiqua" w:hAnsi="Book Antiqua" w:cs="Arial"/>
        </w:rPr>
        <w:t xml:space="preserve">a decision </w:t>
      </w:r>
      <w:r w:rsidR="004E72CA" w:rsidRPr="001B28AB">
        <w:rPr>
          <w:rFonts w:ascii="Book Antiqua" w:hAnsi="Book Antiqua" w:cs="Arial"/>
        </w:rPr>
        <w:t>dismissing her appeal for that reason.</w:t>
      </w:r>
      <w:bookmarkStart w:id="0" w:name="_GoBack"/>
      <w:bookmarkEnd w:id="0"/>
    </w:p>
    <w:p w:rsidR="00F978DE" w:rsidRPr="00A42F62" w:rsidRDefault="00F978DE" w:rsidP="00A42F62">
      <w:pPr>
        <w:pStyle w:val="ListParagraph"/>
        <w:tabs>
          <w:tab w:val="left" w:pos="567"/>
        </w:tabs>
        <w:spacing w:before="120"/>
        <w:ind w:left="3"/>
        <w:contextualSpacing w:val="0"/>
        <w:jc w:val="both"/>
        <w:rPr>
          <w:rFonts w:ascii="Book Antiqua" w:hAnsi="Book Antiqua" w:cs="Arial"/>
          <w:u w:val="single"/>
        </w:rPr>
      </w:pPr>
      <w:r w:rsidRPr="00A42F62">
        <w:rPr>
          <w:rFonts w:ascii="Book Antiqua" w:hAnsi="Book Antiqua" w:cs="Arial"/>
          <w:u w:val="single"/>
        </w:rPr>
        <w:t>Notice of Decision</w:t>
      </w:r>
    </w:p>
    <w:p w:rsidR="009F14B8" w:rsidRPr="002E63A3" w:rsidRDefault="00F978DE" w:rsidP="00A42F62">
      <w:pPr>
        <w:pStyle w:val="ListParagraph"/>
        <w:tabs>
          <w:tab w:val="left" w:pos="567"/>
        </w:tabs>
        <w:spacing w:before="120"/>
        <w:ind w:left="3"/>
        <w:contextualSpacing w:val="0"/>
        <w:jc w:val="both"/>
        <w:rPr>
          <w:rFonts w:ascii="Book Antiqua" w:hAnsi="Book Antiqua" w:cs="Arial"/>
        </w:rPr>
      </w:pPr>
      <w:r>
        <w:rPr>
          <w:rFonts w:ascii="Book Antiqua" w:hAnsi="Book Antiqua" w:cs="Arial"/>
        </w:rPr>
        <w:t xml:space="preserve">The appellant’s appeal </w:t>
      </w:r>
      <w:r w:rsidR="000C615F">
        <w:rPr>
          <w:rFonts w:ascii="Book Antiqua" w:hAnsi="Book Antiqua" w:cs="Arial"/>
        </w:rPr>
        <w:t>against the decision of the First-tier Tribunal is allowed because the Judge applied the wrong legal test.</w:t>
      </w:r>
      <w:r w:rsidR="002E63A3">
        <w:rPr>
          <w:rFonts w:ascii="Book Antiqua" w:hAnsi="Book Antiqua" w:cs="Arial"/>
        </w:rPr>
        <w:t xml:space="preserve"> I set aside the decision of the First-tier Tribunal but substitute a decision dismissing the appellant’s appeal against the decision of the </w:t>
      </w:r>
      <w:r w:rsidR="00583F8B">
        <w:rPr>
          <w:rFonts w:ascii="Book Antiqua" w:hAnsi="Book Antiqua" w:cs="Arial"/>
        </w:rPr>
        <w:t>Secre</w:t>
      </w:r>
      <w:r w:rsidR="00A42F62">
        <w:rPr>
          <w:rFonts w:ascii="Book Antiqua" w:hAnsi="Book Antiqua" w:cs="Arial"/>
        </w:rPr>
        <w:t>tary of State.</w:t>
      </w:r>
      <w:r w:rsidR="004E72CA" w:rsidRPr="002E63A3">
        <w:rPr>
          <w:rFonts w:ascii="Book Antiqua" w:hAnsi="Book Antiqua" w:cs="Arial"/>
        </w:rPr>
        <w:t xml:space="preserve"> </w:t>
      </w:r>
    </w:p>
    <w:p w:rsidR="00E01ACB" w:rsidRPr="004E25CA" w:rsidRDefault="00E01ACB" w:rsidP="003B59D7">
      <w:pPr>
        <w:spacing w:before="120"/>
        <w:ind w:left="3"/>
        <w:jc w:val="both"/>
        <w:rPr>
          <w:rFonts w:ascii="Book Antiqua" w:hAnsi="Book Antiqua" w:cs="Arial"/>
        </w:rPr>
      </w:pPr>
    </w:p>
    <w:p w:rsidR="00E01ACB" w:rsidRPr="00132ACD" w:rsidRDefault="00E01ACB"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E01ACB" w:rsidTr="005115E0">
        <w:tc>
          <w:tcPr>
            <w:tcW w:w="4927" w:type="dxa"/>
            <w:shd w:val="clear" w:color="auto" w:fill="auto"/>
          </w:tcPr>
          <w:p w:rsidR="00E01ACB" w:rsidRPr="00DB7BA6" w:rsidRDefault="00E01ACB"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E01ACB" w:rsidRPr="00DB7BA6" w:rsidRDefault="00E01ACB" w:rsidP="003B59D7">
            <w:pPr>
              <w:tabs>
                <w:tab w:val="left" w:pos="0"/>
              </w:tabs>
              <w:spacing w:before="120"/>
              <w:jc w:val="both"/>
              <w:rPr>
                <w:rFonts w:ascii="Book Antiqua" w:hAnsi="Book Antiqua" w:cs="Arial"/>
              </w:rPr>
            </w:pPr>
            <w:r w:rsidRPr="00E01ACB">
              <w:rPr>
                <w:rFonts w:ascii="Century Schoolbook" w:hAnsi="Century Schoolbook" w:cs="Arial"/>
                <w:b/>
                <w:noProof/>
                <w:color w:val="000000"/>
              </w:rPr>
              <w:drawing>
                <wp:anchor distT="0" distB="0" distL="114300" distR="114300" simplePos="0" relativeHeight="251659264" behindDoc="1" locked="0" layoutInCell="1" allowOverlap="1" wp14:anchorId="64C1CAD6" wp14:editId="31B7E2BE">
                  <wp:simplePos x="0" y="0"/>
                  <wp:positionH relativeFrom="column">
                    <wp:posOffset>-1052114</wp:posOffset>
                  </wp:positionH>
                  <wp:positionV relativeFrom="paragraph">
                    <wp:posOffset>-729899</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c>
      </w:tr>
      <w:tr w:rsidR="00E01ACB" w:rsidTr="005115E0">
        <w:tc>
          <w:tcPr>
            <w:tcW w:w="4927" w:type="dxa"/>
            <w:shd w:val="clear" w:color="auto" w:fill="auto"/>
          </w:tcPr>
          <w:p w:rsidR="00E01ACB" w:rsidRPr="00DB7BA6" w:rsidRDefault="00E01ACB"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E01ACB" w:rsidRPr="00DB7BA6" w:rsidRDefault="00E01ACB"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29 June 2018</w:t>
            </w:r>
          </w:p>
        </w:tc>
      </w:tr>
    </w:tbl>
    <w:p w:rsidR="00E01ACB" w:rsidRDefault="00E01ACB" w:rsidP="003B59D7">
      <w:pPr>
        <w:tabs>
          <w:tab w:val="left" w:pos="0"/>
        </w:tabs>
        <w:spacing w:before="120"/>
        <w:ind w:hanging="567"/>
        <w:jc w:val="both"/>
        <w:rPr>
          <w:rFonts w:ascii="Book Antiqua" w:hAnsi="Book Antiqua" w:cs="Arial"/>
        </w:rPr>
      </w:pPr>
    </w:p>
    <w:p w:rsidR="009F14B8" w:rsidRPr="009F14B8" w:rsidRDefault="009F14B8" w:rsidP="000E3F20">
      <w:pPr>
        <w:spacing w:before="120"/>
        <w:jc w:val="both"/>
        <w:rPr>
          <w:rFonts w:ascii="Book Antiqua" w:hAnsi="Book Antiqua" w:cs="Arial"/>
        </w:rPr>
      </w:pPr>
    </w:p>
    <w:sectPr w:rsidR="009F14B8" w:rsidRPr="009F14B8"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FD1" w:rsidRDefault="00F86FD1">
      <w:r>
        <w:separator/>
      </w:r>
    </w:p>
  </w:endnote>
  <w:endnote w:type="continuationSeparator" w:id="0">
    <w:p w:rsidR="00F86FD1" w:rsidRDefault="00F86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Times New Roman"/>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23371"/>
      <w:docPartObj>
        <w:docPartGallery w:val="Page Numbers (Bottom of Page)"/>
        <w:docPartUnique/>
      </w:docPartObj>
    </w:sdtPr>
    <w:sdtEndPr>
      <w:rPr>
        <w:noProof/>
      </w:rPr>
    </w:sdtEndPr>
    <w:sdtContent>
      <w:p w:rsidR="004E4587" w:rsidRDefault="004E4587">
        <w:pPr>
          <w:pStyle w:val="Footer"/>
          <w:jc w:val="right"/>
        </w:pPr>
        <w:r w:rsidRPr="004E4587">
          <w:rPr>
            <w:rFonts w:ascii="Arial" w:hAnsi="Arial" w:cs="Arial"/>
          </w:rPr>
          <w:fldChar w:fldCharType="begin"/>
        </w:r>
        <w:r w:rsidRPr="004E4587">
          <w:rPr>
            <w:rFonts w:ascii="Arial" w:hAnsi="Arial" w:cs="Arial"/>
          </w:rPr>
          <w:instrText xml:space="preserve"> PAGE   \* MERGEFORMAT </w:instrText>
        </w:r>
        <w:r w:rsidRPr="004E4587">
          <w:rPr>
            <w:rFonts w:ascii="Arial" w:hAnsi="Arial" w:cs="Arial"/>
          </w:rPr>
          <w:fldChar w:fldCharType="separate"/>
        </w:r>
        <w:r w:rsidR="00AE70A5">
          <w:rPr>
            <w:rFonts w:ascii="Arial" w:hAnsi="Arial" w:cs="Arial"/>
            <w:noProof/>
          </w:rPr>
          <w:t>8</w:t>
        </w:r>
        <w:r w:rsidRPr="004E4587">
          <w:rPr>
            <w:rFonts w:ascii="Arial" w:hAnsi="Arial" w:cs="Arial"/>
            <w:noProof/>
          </w:rPr>
          <w:fldChar w:fldCharType="end"/>
        </w:r>
      </w:p>
    </w:sdtContent>
  </w:sdt>
  <w:p w:rsidR="004E4587" w:rsidRDefault="004E4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7BA" w:rsidRDefault="007247BA">
    <w:pPr>
      <w:pStyle w:val="Footer"/>
    </w:pPr>
    <w:r>
      <w:t xml:space="preserve">                                                         </w:t>
    </w:r>
    <w:r w:rsidRPr="007247BA">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FD1" w:rsidRDefault="00F86FD1">
      <w:r>
        <w:separator/>
      </w:r>
    </w:p>
  </w:footnote>
  <w:footnote w:type="continuationSeparator" w:id="0">
    <w:p w:rsidR="00F86FD1" w:rsidRDefault="00F86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587" w:rsidRPr="004E4587" w:rsidRDefault="007247BA" w:rsidP="00080332">
    <w:pPr>
      <w:pStyle w:val="Header"/>
      <w:jc w:val="right"/>
      <w:rPr>
        <w:rFonts w:ascii="Arial" w:hAnsi="Arial" w:cs="Arial"/>
        <w:sz w:val="16"/>
        <w:szCs w:val="16"/>
      </w:rPr>
    </w:pPr>
    <w:r>
      <w:rPr>
        <w:rFonts w:ascii="Arial" w:hAnsi="Arial" w:cs="Arial"/>
        <w:sz w:val="16"/>
        <w:szCs w:val="16"/>
      </w:rPr>
      <w:t xml:space="preserve">Appeal number: </w:t>
    </w:r>
    <w:r w:rsidR="004E4587" w:rsidRPr="004E4587">
      <w:rPr>
        <w:rFonts w:ascii="Arial" w:hAnsi="Arial" w:cs="Arial"/>
        <w:sz w:val="16"/>
        <w:szCs w:val="16"/>
      </w:rPr>
      <w:t>DA</w:t>
    </w:r>
    <w:r w:rsidR="0072116A">
      <w:rPr>
        <w:rFonts w:ascii="Arial" w:hAnsi="Arial" w:cs="Arial"/>
        <w:sz w:val="16"/>
        <w:szCs w:val="16"/>
      </w:rPr>
      <w:t>/</w:t>
    </w:r>
    <w:r w:rsidR="004E4587" w:rsidRPr="004E4587">
      <w:rPr>
        <w:rFonts w:ascii="Arial" w:hAnsi="Arial" w:cs="Arial"/>
        <w:sz w:val="16"/>
        <w:szCs w:val="16"/>
      </w:rPr>
      <w:t>00073</w:t>
    </w:r>
    <w:r w:rsidR="0072116A">
      <w:rPr>
        <w:rFonts w:ascii="Arial" w:hAnsi="Arial" w:cs="Arial"/>
        <w:sz w:val="16"/>
        <w:szCs w:val="16"/>
      </w:rPr>
      <w:t>/</w:t>
    </w:r>
    <w:r w:rsidR="004E4587" w:rsidRPr="004E4587">
      <w:rPr>
        <w:rFonts w:ascii="Arial" w:hAnsi="Arial" w:cs="Arial"/>
        <w:sz w:val="16"/>
        <w:szCs w:val="16"/>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E33A0"/>
    <w:multiLevelType w:val="hybridMultilevel"/>
    <w:tmpl w:val="7BC47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 w15:restartNumberingAfterBreak="0">
    <w:nsid w:val="615674EE"/>
    <w:multiLevelType w:val="hybridMultilevel"/>
    <w:tmpl w:val="A822A510"/>
    <w:lvl w:ilvl="0" w:tplc="F1480FC0">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53"/>
    <w:rsid w:val="00000621"/>
    <w:rsid w:val="000036C2"/>
    <w:rsid w:val="000051B8"/>
    <w:rsid w:val="00015BC8"/>
    <w:rsid w:val="000225BC"/>
    <w:rsid w:val="00033D3D"/>
    <w:rsid w:val="00045050"/>
    <w:rsid w:val="0005297B"/>
    <w:rsid w:val="00053CE3"/>
    <w:rsid w:val="00055B16"/>
    <w:rsid w:val="00062F02"/>
    <w:rsid w:val="00063053"/>
    <w:rsid w:val="0006600B"/>
    <w:rsid w:val="00071A7E"/>
    <w:rsid w:val="00073708"/>
    <w:rsid w:val="000746C0"/>
    <w:rsid w:val="00074D1D"/>
    <w:rsid w:val="00080332"/>
    <w:rsid w:val="00092580"/>
    <w:rsid w:val="00093D4D"/>
    <w:rsid w:val="000B2BA7"/>
    <w:rsid w:val="000B3442"/>
    <w:rsid w:val="000C615F"/>
    <w:rsid w:val="000D39FA"/>
    <w:rsid w:val="000D5D94"/>
    <w:rsid w:val="000E3F20"/>
    <w:rsid w:val="000F064A"/>
    <w:rsid w:val="000F1A0E"/>
    <w:rsid w:val="0010499B"/>
    <w:rsid w:val="00111D1A"/>
    <w:rsid w:val="001165A7"/>
    <w:rsid w:val="00127ECB"/>
    <w:rsid w:val="001554B5"/>
    <w:rsid w:val="00167D3A"/>
    <w:rsid w:val="00171434"/>
    <w:rsid w:val="00177708"/>
    <w:rsid w:val="0019343A"/>
    <w:rsid w:val="00193B4B"/>
    <w:rsid w:val="001A3082"/>
    <w:rsid w:val="001A3B6F"/>
    <w:rsid w:val="001A58B6"/>
    <w:rsid w:val="001B186A"/>
    <w:rsid w:val="001B28AB"/>
    <w:rsid w:val="001B2F75"/>
    <w:rsid w:val="001B30A3"/>
    <w:rsid w:val="001F17E4"/>
    <w:rsid w:val="001F2716"/>
    <w:rsid w:val="001F500C"/>
    <w:rsid w:val="001F5024"/>
    <w:rsid w:val="00207617"/>
    <w:rsid w:val="0023134B"/>
    <w:rsid w:val="00231C4A"/>
    <w:rsid w:val="002327ED"/>
    <w:rsid w:val="002331CA"/>
    <w:rsid w:val="00243169"/>
    <w:rsid w:val="00243C6F"/>
    <w:rsid w:val="00245E38"/>
    <w:rsid w:val="0025144F"/>
    <w:rsid w:val="00265840"/>
    <w:rsid w:val="00270806"/>
    <w:rsid w:val="00277392"/>
    <w:rsid w:val="00283659"/>
    <w:rsid w:val="00291DB7"/>
    <w:rsid w:val="002B4113"/>
    <w:rsid w:val="002C0F46"/>
    <w:rsid w:val="002C6BD4"/>
    <w:rsid w:val="002D290A"/>
    <w:rsid w:val="002D3C11"/>
    <w:rsid w:val="002D68BF"/>
    <w:rsid w:val="002E0AEB"/>
    <w:rsid w:val="002E63A3"/>
    <w:rsid w:val="002F00D4"/>
    <w:rsid w:val="002F0753"/>
    <w:rsid w:val="002F6B98"/>
    <w:rsid w:val="002F7A5E"/>
    <w:rsid w:val="0031529C"/>
    <w:rsid w:val="00326423"/>
    <w:rsid w:val="00336CBF"/>
    <w:rsid w:val="00343FE3"/>
    <w:rsid w:val="00352B2C"/>
    <w:rsid w:val="003546C8"/>
    <w:rsid w:val="0036171F"/>
    <w:rsid w:val="00381B38"/>
    <w:rsid w:val="003A224C"/>
    <w:rsid w:val="003A50FD"/>
    <w:rsid w:val="003A7CF2"/>
    <w:rsid w:val="003C1618"/>
    <w:rsid w:val="003C5CE5"/>
    <w:rsid w:val="003D6370"/>
    <w:rsid w:val="003E267B"/>
    <w:rsid w:val="003E7CD1"/>
    <w:rsid w:val="003F1117"/>
    <w:rsid w:val="003F2B22"/>
    <w:rsid w:val="00402B9E"/>
    <w:rsid w:val="00405654"/>
    <w:rsid w:val="00406D1F"/>
    <w:rsid w:val="00415322"/>
    <w:rsid w:val="00417861"/>
    <w:rsid w:val="004249CB"/>
    <w:rsid w:val="004334F2"/>
    <w:rsid w:val="0044127D"/>
    <w:rsid w:val="004448DB"/>
    <w:rsid w:val="00446C9A"/>
    <w:rsid w:val="00452F2B"/>
    <w:rsid w:val="00454A95"/>
    <w:rsid w:val="004758EA"/>
    <w:rsid w:val="00477193"/>
    <w:rsid w:val="004A1848"/>
    <w:rsid w:val="004A3DDC"/>
    <w:rsid w:val="004A41A6"/>
    <w:rsid w:val="004A6E1B"/>
    <w:rsid w:val="004A6F4A"/>
    <w:rsid w:val="004B21F1"/>
    <w:rsid w:val="004B5711"/>
    <w:rsid w:val="004B7E28"/>
    <w:rsid w:val="004C56CE"/>
    <w:rsid w:val="004C7207"/>
    <w:rsid w:val="004D337C"/>
    <w:rsid w:val="004D50A5"/>
    <w:rsid w:val="004E0F3D"/>
    <w:rsid w:val="004E10D1"/>
    <w:rsid w:val="004E4587"/>
    <w:rsid w:val="004E4717"/>
    <w:rsid w:val="004E72CA"/>
    <w:rsid w:val="004F2956"/>
    <w:rsid w:val="004F3521"/>
    <w:rsid w:val="00502BD4"/>
    <w:rsid w:val="00502EBE"/>
    <w:rsid w:val="00504191"/>
    <w:rsid w:val="00507FEC"/>
    <w:rsid w:val="00510F0E"/>
    <w:rsid w:val="005307B0"/>
    <w:rsid w:val="00541086"/>
    <w:rsid w:val="005479E1"/>
    <w:rsid w:val="00553E0A"/>
    <w:rsid w:val="005570FD"/>
    <w:rsid w:val="005575EA"/>
    <w:rsid w:val="00562F7A"/>
    <w:rsid w:val="00567A1C"/>
    <w:rsid w:val="00570DF8"/>
    <w:rsid w:val="0057790C"/>
    <w:rsid w:val="00583F8B"/>
    <w:rsid w:val="00591B5F"/>
    <w:rsid w:val="00593795"/>
    <w:rsid w:val="005A75FF"/>
    <w:rsid w:val="005D10AB"/>
    <w:rsid w:val="005D3B3D"/>
    <w:rsid w:val="005D6E13"/>
    <w:rsid w:val="005F48FD"/>
    <w:rsid w:val="00601D8F"/>
    <w:rsid w:val="00607D3E"/>
    <w:rsid w:val="00624387"/>
    <w:rsid w:val="00634BF6"/>
    <w:rsid w:val="00653E97"/>
    <w:rsid w:val="00655AB6"/>
    <w:rsid w:val="00661F7B"/>
    <w:rsid w:val="006701F7"/>
    <w:rsid w:val="00684A74"/>
    <w:rsid w:val="00685FBE"/>
    <w:rsid w:val="00690B8A"/>
    <w:rsid w:val="00696ABF"/>
    <w:rsid w:val="006A1D46"/>
    <w:rsid w:val="006B2F68"/>
    <w:rsid w:val="006B7743"/>
    <w:rsid w:val="006C1A1C"/>
    <w:rsid w:val="006E45C6"/>
    <w:rsid w:val="006F03BE"/>
    <w:rsid w:val="006F2CF1"/>
    <w:rsid w:val="00700F87"/>
    <w:rsid w:val="007038ED"/>
    <w:rsid w:val="00703BC3"/>
    <w:rsid w:val="00704B61"/>
    <w:rsid w:val="0072116A"/>
    <w:rsid w:val="0072182E"/>
    <w:rsid w:val="007247BA"/>
    <w:rsid w:val="00735468"/>
    <w:rsid w:val="00745FB5"/>
    <w:rsid w:val="007552A9"/>
    <w:rsid w:val="00755875"/>
    <w:rsid w:val="00756090"/>
    <w:rsid w:val="00761858"/>
    <w:rsid w:val="007644BF"/>
    <w:rsid w:val="0076727C"/>
    <w:rsid w:val="00767D59"/>
    <w:rsid w:val="00776E97"/>
    <w:rsid w:val="00780F86"/>
    <w:rsid w:val="007912AD"/>
    <w:rsid w:val="007A0B88"/>
    <w:rsid w:val="007A3C65"/>
    <w:rsid w:val="007A50BA"/>
    <w:rsid w:val="007B0824"/>
    <w:rsid w:val="007B5D3C"/>
    <w:rsid w:val="007D0D05"/>
    <w:rsid w:val="007E79CB"/>
    <w:rsid w:val="007F2295"/>
    <w:rsid w:val="007F2A46"/>
    <w:rsid w:val="008043B4"/>
    <w:rsid w:val="00806249"/>
    <w:rsid w:val="00821B72"/>
    <w:rsid w:val="00823EF2"/>
    <w:rsid w:val="008303B8"/>
    <w:rsid w:val="00833DCE"/>
    <w:rsid w:val="00851D4F"/>
    <w:rsid w:val="00854CBC"/>
    <w:rsid w:val="00861AA0"/>
    <w:rsid w:val="008622DB"/>
    <w:rsid w:val="00863CFF"/>
    <w:rsid w:val="00867F13"/>
    <w:rsid w:val="00871D34"/>
    <w:rsid w:val="008825B0"/>
    <w:rsid w:val="008A3898"/>
    <w:rsid w:val="008B16A4"/>
    <w:rsid w:val="008B270C"/>
    <w:rsid w:val="008B5078"/>
    <w:rsid w:val="008C3D3D"/>
    <w:rsid w:val="008C4EF1"/>
    <w:rsid w:val="008D4131"/>
    <w:rsid w:val="008F1932"/>
    <w:rsid w:val="008F36B1"/>
    <w:rsid w:val="008F73DB"/>
    <w:rsid w:val="00903D52"/>
    <w:rsid w:val="00904332"/>
    <w:rsid w:val="00904E53"/>
    <w:rsid w:val="00921062"/>
    <w:rsid w:val="0092326A"/>
    <w:rsid w:val="00940AF0"/>
    <w:rsid w:val="00945010"/>
    <w:rsid w:val="00945320"/>
    <w:rsid w:val="00951C5A"/>
    <w:rsid w:val="00953756"/>
    <w:rsid w:val="0095760A"/>
    <w:rsid w:val="00957B0F"/>
    <w:rsid w:val="00963CB4"/>
    <w:rsid w:val="009722BC"/>
    <w:rsid w:val="009727A3"/>
    <w:rsid w:val="009808EC"/>
    <w:rsid w:val="009818CD"/>
    <w:rsid w:val="0098203D"/>
    <w:rsid w:val="00983F46"/>
    <w:rsid w:val="00987774"/>
    <w:rsid w:val="00990639"/>
    <w:rsid w:val="0099577D"/>
    <w:rsid w:val="00996523"/>
    <w:rsid w:val="009A11E8"/>
    <w:rsid w:val="009A4CDB"/>
    <w:rsid w:val="009A59BD"/>
    <w:rsid w:val="009B7A1A"/>
    <w:rsid w:val="009D557B"/>
    <w:rsid w:val="009E40E4"/>
    <w:rsid w:val="009E4D39"/>
    <w:rsid w:val="009F14B8"/>
    <w:rsid w:val="009F5220"/>
    <w:rsid w:val="00A015F8"/>
    <w:rsid w:val="00A15234"/>
    <w:rsid w:val="00A201AB"/>
    <w:rsid w:val="00A24BA5"/>
    <w:rsid w:val="00A31C8B"/>
    <w:rsid w:val="00A42F62"/>
    <w:rsid w:val="00A509FA"/>
    <w:rsid w:val="00A71C11"/>
    <w:rsid w:val="00A842AA"/>
    <w:rsid w:val="00A845DC"/>
    <w:rsid w:val="00AA130F"/>
    <w:rsid w:val="00AA6BBC"/>
    <w:rsid w:val="00AC04A0"/>
    <w:rsid w:val="00AC122F"/>
    <w:rsid w:val="00AD6687"/>
    <w:rsid w:val="00AE109D"/>
    <w:rsid w:val="00AE70A5"/>
    <w:rsid w:val="00AF52E4"/>
    <w:rsid w:val="00B01D90"/>
    <w:rsid w:val="00B049C7"/>
    <w:rsid w:val="00B06CC7"/>
    <w:rsid w:val="00B2402E"/>
    <w:rsid w:val="00B26AA2"/>
    <w:rsid w:val="00B315A7"/>
    <w:rsid w:val="00B3524D"/>
    <w:rsid w:val="00B37DDC"/>
    <w:rsid w:val="00B40F69"/>
    <w:rsid w:val="00B42384"/>
    <w:rsid w:val="00B45CA5"/>
    <w:rsid w:val="00B46616"/>
    <w:rsid w:val="00B53860"/>
    <w:rsid w:val="00B53E17"/>
    <w:rsid w:val="00B5476B"/>
    <w:rsid w:val="00B5726C"/>
    <w:rsid w:val="00B57AE9"/>
    <w:rsid w:val="00B7040A"/>
    <w:rsid w:val="00B83391"/>
    <w:rsid w:val="00B91640"/>
    <w:rsid w:val="00B95326"/>
    <w:rsid w:val="00BD4196"/>
    <w:rsid w:val="00BF0E9E"/>
    <w:rsid w:val="00BF22CA"/>
    <w:rsid w:val="00BF23BB"/>
    <w:rsid w:val="00C2080F"/>
    <w:rsid w:val="00C26032"/>
    <w:rsid w:val="00C31E68"/>
    <w:rsid w:val="00C345E1"/>
    <w:rsid w:val="00C43BFD"/>
    <w:rsid w:val="00C50336"/>
    <w:rsid w:val="00C62F41"/>
    <w:rsid w:val="00C8242E"/>
    <w:rsid w:val="00C8401E"/>
    <w:rsid w:val="00CA050F"/>
    <w:rsid w:val="00CA7281"/>
    <w:rsid w:val="00CB67CC"/>
    <w:rsid w:val="00CB6E35"/>
    <w:rsid w:val="00CD3D3A"/>
    <w:rsid w:val="00CD47F0"/>
    <w:rsid w:val="00CE1A46"/>
    <w:rsid w:val="00CE456F"/>
    <w:rsid w:val="00D20757"/>
    <w:rsid w:val="00D22636"/>
    <w:rsid w:val="00D40FD9"/>
    <w:rsid w:val="00D53769"/>
    <w:rsid w:val="00D609A0"/>
    <w:rsid w:val="00D8280B"/>
    <w:rsid w:val="00D84963"/>
    <w:rsid w:val="00D85C13"/>
    <w:rsid w:val="00D9111A"/>
    <w:rsid w:val="00D91BE3"/>
    <w:rsid w:val="00D92DB2"/>
    <w:rsid w:val="00D94AFC"/>
    <w:rsid w:val="00DA1C77"/>
    <w:rsid w:val="00DB70AE"/>
    <w:rsid w:val="00DC2238"/>
    <w:rsid w:val="00DC22D0"/>
    <w:rsid w:val="00DD5071"/>
    <w:rsid w:val="00DD5C39"/>
    <w:rsid w:val="00DE5E10"/>
    <w:rsid w:val="00DE7DB7"/>
    <w:rsid w:val="00DF74F0"/>
    <w:rsid w:val="00E00A0A"/>
    <w:rsid w:val="00E01ACB"/>
    <w:rsid w:val="00E066DE"/>
    <w:rsid w:val="00E07F57"/>
    <w:rsid w:val="00E1698C"/>
    <w:rsid w:val="00E242B0"/>
    <w:rsid w:val="00E26266"/>
    <w:rsid w:val="00E30683"/>
    <w:rsid w:val="00E453D8"/>
    <w:rsid w:val="00E50BCE"/>
    <w:rsid w:val="00E57095"/>
    <w:rsid w:val="00E574BF"/>
    <w:rsid w:val="00E61292"/>
    <w:rsid w:val="00E77C4D"/>
    <w:rsid w:val="00E81D01"/>
    <w:rsid w:val="00E81FC9"/>
    <w:rsid w:val="00E85195"/>
    <w:rsid w:val="00E91208"/>
    <w:rsid w:val="00EA1879"/>
    <w:rsid w:val="00EB02BD"/>
    <w:rsid w:val="00EE45D8"/>
    <w:rsid w:val="00F22EDA"/>
    <w:rsid w:val="00F2468E"/>
    <w:rsid w:val="00F41C53"/>
    <w:rsid w:val="00F74B34"/>
    <w:rsid w:val="00F86FD1"/>
    <w:rsid w:val="00F978DE"/>
    <w:rsid w:val="00FC678E"/>
    <w:rsid w:val="00FD3200"/>
    <w:rsid w:val="00FE41E0"/>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53CE3"/>
    <w:pPr>
      <w:ind w:left="720"/>
      <w:contextualSpacing/>
    </w:pPr>
  </w:style>
  <w:style w:type="character" w:customStyle="1" w:styleId="FooterChar">
    <w:name w:val="Footer Char"/>
    <w:basedOn w:val="DefaultParagraphFont"/>
    <w:link w:val="Footer"/>
    <w:uiPriority w:val="99"/>
    <w:rsid w:val="004E45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12D65-8E49-42DD-A9DB-E2128084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2018-07-19T10:24:00Z</dcterms:created>
  <dcterms:modified xsi:type="dcterms:W3CDTF">2018-07-19T10:24:00Z</dcterms:modified>
</cp:coreProperties>
</file>