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EF7CE" w14:textId="77777777" w:rsidR="00D94AFC" w:rsidRPr="00B9738F" w:rsidRDefault="00DC528C" w:rsidP="00B9738F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  <w:lang w:val="en-US" w:eastAsia="en-US"/>
        </w:rPr>
        <w:drawing>
          <wp:inline distT="0" distB="0" distL="0" distR="0" wp14:anchorId="478763EF" wp14:editId="3011A7F5">
            <wp:extent cx="1043940" cy="90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88A0" w14:textId="77777777"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14:paraId="65AC2B54" w14:textId="538C64E3" w:rsidR="007B0824" w:rsidRPr="00024D27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0704BB">
        <w:rPr>
          <w:rFonts w:ascii="Book Antiqua" w:hAnsi="Book Antiqua" w:cs="Arial"/>
          <w:b/>
          <w:color w:val="000000"/>
        </w:rPr>
        <w:t>Chamber)</w:t>
      </w:r>
      <w:r w:rsidR="00195EBD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195EBD">
        <w:rPr>
          <w:rFonts w:ascii="Book Antiqua" w:hAnsi="Book Antiqua" w:cs="Arial"/>
          <w:b/>
          <w:color w:val="000000"/>
        </w:rPr>
        <w:t xml:space="preserve">                         </w:t>
      </w:r>
      <w:r w:rsidR="00B3524D" w:rsidRPr="00195EBD">
        <w:rPr>
          <w:rFonts w:ascii="Book Antiqua" w:hAnsi="Book Antiqua" w:cs="Arial"/>
          <w:b/>
          <w:color w:val="000000"/>
        </w:rPr>
        <w:t>Appeal Number</w:t>
      </w:r>
      <w:r w:rsidR="00D53769" w:rsidRPr="00195EBD">
        <w:rPr>
          <w:rFonts w:ascii="Book Antiqua" w:hAnsi="Book Antiqua" w:cs="Arial"/>
          <w:b/>
          <w:color w:val="000000"/>
        </w:rPr>
        <w:t>:</w:t>
      </w:r>
      <w:r w:rsidR="00B3524D" w:rsidRPr="00195EBD">
        <w:rPr>
          <w:rFonts w:ascii="Book Antiqua" w:hAnsi="Book Antiqua" w:cs="Arial"/>
          <w:b/>
          <w:color w:val="000000"/>
        </w:rPr>
        <w:t xml:space="preserve"> </w:t>
      </w:r>
      <w:r w:rsidR="00B0278D" w:rsidRPr="00195EBD">
        <w:rPr>
          <w:rFonts w:ascii="Book Antiqua" w:hAnsi="Book Antiqua" w:cs="Arial"/>
          <w:b/>
          <w:color w:val="000000"/>
        </w:rPr>
        <w:t>DA/00</w:t>
      </w:r>
      <w:r w:rsidR="00130D8A" w:rsidRPr="00195EBD">
        <w:rPr>
          <w:rFonts w:ascii="Book Antiqua" w:hAnsi="Book Antiqua" w:cs="Arial"/>
          <w:b/>
          <w:color w:val="000000"/>
        </w:rPr>
        <w:t>087</w:t>
      </w:r>
      <w:r w:rsidR="00851871" w:rsidRPr="00195EBD">
        <w:rPr>
          <w:rFonts w:ascii="Book Antiqua" w:hAnsi="Book Antiqua" w:cs="Arial"/>
          <w:b/>
          <w:color w:val="000000"/>
        </w:rPr>
        <w:t>/201</w:t>
      </w:r>
      <w:r w:rsidR="00B9738F" w:rsidRPr="00195EBD">
        <w:rPr>
          <w:rFonts w:ascii="Book Antiqua" w:hAnsi="Book Antiqua" w:cs="Arial"/>
          <w:b/>
          <w:color w:val="000000"/>
        </w:rPr>
        <w:t>9</w:t>
      </w:r>
    </w:p>
    <w:p w14:paraId="418E2915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05CAD26A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2A0CD772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222" w:type="dxa"/>
        <w:tblLook w:val="01E0" w:firstRow="1" w:lastRow="1" w:firstColumn="1" w:lastColumn="1" w:noHBand="0" w:noVBand="0"/>
      </w:tblPr>
      <w:tblGrid>
        <w:gridCol w:w="5670"/>
        <w:gridCol w:w="4552"/>
      </w:tblGrid>
      <w:tr w:rsidR="00D22636" w:rsidRPr="00A07971" w14:paraId="53449BA5" w14:textId="77777777" w:rsidTr="00195EBD">
        <w:trPr>
          <w:trHeight w:val="269"/>
        </w:trPr>
        <w:tc>
          <w:tcPr>
            <w:tcW w:w="5670" w:type="dxa"/>
            <w:shd w:val="clear" w:color="auto" w:fill="auto"/>
          </w:tcPr>
          <w:p w14:paraId="49B1F114" w14:textId="3F6950EA" w:rsidR="00D22636" w:rsidRPr="00A07971" w:rsidRDefault="00D22636" w:rsidP="00A07971">
            <w:pPr>
              <w:jc w:val="both"/>
              <w:rPr>
                <w:rFonts w:ascii="Book Antiqua" w:hAnsi="Book Antiqua" w:cs="Arial"/>
                <w:b/>
              </w:rPr>
            </w:pPr>
            <w:r w:rsidRPr="00A07971">
              <w:rPr>
                <w:rFonts w:ascii="Book Antiqua" w:hAnsi="Book Antiqua" w:cs="Arial"/>
                <w:b/>
              </w:rPr>
              <w:t>Heard</w:t>
            </w:r>
            <w:r w:rsidR="003B3D71">
              <w:rPr>
                <w:rFonts w:ascii="Book Antiqua" w:hAnsi="Book Antiqua" w:cs="Arial"/>
                <w:b/>
              </w:rPr>
              <w:t xml:space="preserve"> remotely</w:t>
            </w:r>
            <w:r w:rsidRPr="00A07971">
              <w:rPr>
                <w:rFonts w:ascii="Book Antiqua" w:hAnsi="Book Antiqua" w:cs="Arial"/>
                <w:b/>
              </w:rPr>
              <w:t xml:space="preserve"> at </w:t>
            </w:r>
            <w:r w:rsidR="0000309E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552" w:type="dxa"/>
            <w:shd w:val="clear" w:color="auto" w:fill="auto"/>
          </w:tcPr>
          <w:p w14:paraId="4A7A5CBD" w14:textId="77777777" w:rsidR="00D22636" w:rsidRPr="00A07971" w:rsidRDefault="00265B39" w:rsidP="00A07971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A07971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A07971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A07971" w14:paraId="49AD5E9E" w14:textId="77777777" w:rsidTr="00195EBD">
        <w:trPr>
          <w:trHeight w:val="283"/>
        </w:trPr>
        <w:tc>
          <w:tcPr>
            <w:tcW w:w="5670" w:type="dxa"/>
            <w:shd w:val="clear" w:color="auto" w:fill="auto"/>
          </w:tcPr>
          <w:p w14:paraId="0A13F2BE" w14:textId="520CD696" w:rsidR="00D22636" w:rsidRPr="00A07971" w:rsidRDefault="00D22636" w:rsidP="00A07971">
            <w:pPr>
              <w:jc w:val="both"/>
              <w:rPr>
                <w:rFonts w:ascii="Book Antiqua" w:hAnsi="Book Antiqua" w:cs="Arial"/>
                <w:b/>
              </w:rPr>
            </w:pPr>
            <w:r w:rsidRPr="00A07971">
              <w:rPr>
                <w:rFonts w:ascii="Book Antiqua" w:hAnsi="Book Antiqua" w:cs="Arial"/>
                <w:b/>
              </w:rPr>
              <w:t xml:space="preserve">On </w:t>
            </w:r>
            <w:r w:rsidR="00851871">
              <w:rPr>
                <w:rFonts w:ascii="Book Antiqua" w:hAnsi="Book Antiqua" w:cs="Arial"/>
                <w:b/>
              </w:rPr>
              <w:t>1</w:t>
            </w:r>
            <w:r w:rsidR="0000309E">
              <w:rPr>
                <w:rFonts w:ascii="Book Antiqua" w:hAnsi="Book Antiqua" w:cs="Arial"/>
                <w:b/>
              </w:rPr>
              <w:t>8</w:t>
            </w:r>
            <w:r w:rsidR="0000309E" w:rsidRPr="0000309E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00309E">
              <w:rPr>
                <w:rFonts w:ascii="Book Antiqua" w:hAnsi="Book Antiqua" w:cs="Arial"/>
                <w:b/>
              </w:rPr>
              <w:t xml:space="preserve"> June</w:t>
            </w:r>
            <w:r w:rsidR="00B9738F">
              <w:rPr>
                <w:rFonts w:ascii="Book Antiqua" w:hAnsi="Book Antiqua" w:cs="Arial"/>
                <w:b/>
              </w:rPr>
              <w:t xml:space="preserve"> 2020</w:t>
            </w:r>
          </w:p>
        </w:tc>
        <w:tc>
          <w:tcPr>
            <w:tcW w:w="4552" w:type="dxa"/>
            <w:shd w:val="clear" w:color="auto" w:fill="auto"/>
          </w:tcPr>
          <w:p w14:paraId="3A5428C8" w14:textId="59BC9487" w:rsidR="00D22636" w:rsidRPr="00A07971" w:rsidRDefault="00C00E9F" w:rsidP="00A07971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30</w:t>
            </w:r>
            <w:r w:rsidRPr="00C00E9F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June 2020</w:t>
            </w:r>
          </w:p>
        </w:tc>
      </w:tr>
      <w:tr w:rsidR="00D22636" w:rsidRPr="00A07971" w14:paraId="7555733B" w14:textId="77777777" w:rsidTr="00195EBD">
        <w:trPr>
          <w:trHeight w:val="269"/>
        </w:trPr>
        <w:tc>
          <w:tcPr>
            <w:tcW w:w="5670" w:type="dxa"/>
            <w:shd w:val="clear" w:color="auto" w:fill="auto"/>
          </w:tcPr>
          <w:p w14:paraId="1B13A4B3" w14:textId="77777777" w:rsidR="00D22636" w:rsidRPr="00A07971" w:rsidRDefault="00D22636" w:rsidP="00A07971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552" w:type="dxa"/>
            <w:shd w:val="clear" w:color="auto" w:fill="auto"/>
          </w:tcPr>
          <w:p w14:paraId="5BA21D93" w14:textId="194F1AA8" w:rsidR="00D22636" w:rsidRPr="00A07971" w:rsidRDefault="00D22636" w:rsidP="00A07971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6A328EAD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30986096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60BE16E2" w14:textId="77777777"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14:paraId="7780C55F" w14:textId="77777777"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14:paraId="2220D595" w14:textId="77777777" w:rsidR="00D20757" w:rsidRPr="000704BB" w:rsidRDefault="0014366D" w:rsidP="00A15234">
      <w:pPr>
        <w:jc w:val="center"/>
        <w:rPr>
          <w:rFonts w:ascii="Book Antiqua" w:hAnsi="Book Antiqua" w:cs="Arial"/>
          <w:b/>
          <w:color w:val="000000"/>
        </w:rPr>
      </w:pPr>
      <w:r w:rsidRPr="00D03807">
        <w:rPr>
          <w:rFonts w:ascii="Book Antiqua" w:hAnsi="Book Antiqua"/>
          <w:b/>
        </w:rPr>
        <w:t>UPPER TRIBUNAL JUDGE FRANCES</w:t>
      </w:r>
    </w:p>
    <w:p w14:paraId="60AE8992" w14:textId="77777777"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14:paraId="22E09B14" w14:textId="394D2603"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14:paraId="5FB8233F" w14:textId="7E3FE8C4" w:rsidR="002A3175" w:rsidRDefault="002A3175" w:rsidP="00A15234">
      <w:pPr>
        <w:jc w:val="center"/>
        <w:rPr>
          <w:rFonts w:ascii="Book Antiqua" w:hAnsi="Book Antiqua" w:cs="Arial"/>
          <w:b/>
        </w:rPr>
      </w:pPr>
    </w:p>
    <w:p w14:paraId="74D1A4B5" w14:textId="48E5476D" w:rsidR="00195EBD" w:rsidRPr="000704BB" w:rsidRDefault="00195EBD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57C19F55" w14:textId="77777777"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14:paraId="28A8A234" w14:textId="77777777" w:rsidR="00195EBD" w:rsidRDefault="00195EBD" w:rsidP="00704B61">
      <w:pPr>
        <w:jc w:val="center"/>
        <w:rPr>
          <w:rFonts w:ascii="Book Antiqua" w:hAnsi="Book Antiqua" w:cs="Arial"/>
          <w:b/>
        </w:rPr>
      </w:pPr>
    </w:p>
    <w:p w14:paraId="3A0A7358" w14:textId="022A37BB"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3DF7CD49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14:paraId="0DCEB237" w14:textId="77777777" w:rsidR="002A3175" w:rsidRPr="00024D27" w:rsidRDefault="002A3175" w:rsidP="002A3175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feliksas grigas</w:t>
      </w:r>
    </w:p>
    <w:p w14:paraId="4D97A951" w14:textId="77777777" w:rsidR="002A3175" w:rsidRPr="00195EBD" w:rsidRDefault="002A3175" w:rsidP="002A3175">
      <w:pPr>
        <w:jc w:val="center"/>
        <w:rPr>
          <w:rFonts w:ascii="Book Antiqua" w:hAnsi="Book Antiqua" w:cs="Arial"/>
        </w:rPr>
      </w:pPr>
      <w:r w:rsidRPr="00195EBD">
        <w:rPr>
          <w:rFonts w:ascii="Book Antiqua" w:hAnsi="Book Antiqua" w:cs="Arial"/>
          <w:caps/>
        </w:rPr>
        <w:t>(anonymity direction NOT made)</w:t>
      </w:r>
    </w:p>
    <w:p w14:paraId="0913E18B" w14:textId="77777777"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14:paraId="5AC04E1D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1E81865A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6A0C0009" w14:textId="77777777"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14:paraId="696A5533" w14:textId="77777777" w:rsidR="00DE7DB7" w:rsidRPr="000704BB" w:rsidRDefault="00DE7DB7" w:rsidP="00DD5071">
      <w:pPr>
        <w:rPr>
          <w:rFonts w:ascii="Book Antiqua" w:hAnsi="Book Antiqua" w:cs="Arial"/>
        </w:rPr>
      </w:pPr>
    </w:p>
    <w:p w14:paraId="2F537000" w14:textId="26686CEA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 w:rsidR="00851871">
        <w:rPr>
          <w:rFonts w:ascii="Book Antiqua" w:hAnsi="Book Antiqua" w:cs="Arial"/>
        </w:rPr>
        <w:t>M</w:t>
      </w:r>
      <w:r w:rsidR="00013425">
        <w:rPr>
          <w:rFonts w:ascii="Book Antiqua" w:hAnsi="Book Antiqua" w:cs="Arial"/>
        </w:rPr>
        <w:t xml:space="preserve">s </w:t>
      </w:r>
      <w:r w:rsidR="005C071A">
        <w:rPr>
          <w:rFonts w:ascii="Book Antiqua" w:hAnsi="Book Antiqua" w:cs="Arial"/>
        </w:rPr>
        <w:t>L Hirst</w:t>
      </w:r>
      <w:r w:rsidR="00013425">
        <w:rPr>
          <w:rFonts w:ascii="Book Antiqua" w:hAnsi="Book Antiqua" w:cs="Arial"/>
        </w:rPr>
        <w:t xml:space="preserve">, instructed by </w:t>
      </w:r>
      <w:r w:rsidR="005C071A">
        <w:rPr>
          <w:rFonts w:ascii="Book Antiqua" w:hAnsi="Book Antiqua" w:cs="Arial"/>
        </w:rPr>
        <w:t>Wilson Solicitors</w:t>
      </w:r>
    </w:p>
    <w:p w14:paraId="2EFC8E1C" w14:textId="779FEBCD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 w:rsidR="00851871">
        <w:rPr>
          <w:rFonts w:ascii="Book Antiqua" w:hAnsi="Book Antiqua" w:cs="Arial"/>
        </w:rPr>
        <w:t>M</w:t>
      </w:r>
      <w:r w:rsidR="005C071A">
        <w:rPr>
          <w:rFonts w:ascii="Book Antiqua" w:hAnsi="Book Antiqua" w:cs="Arial"/>
        </w:rPr>
        <w:t>r L Lindsay</w:t>
      </w:r>
      <w:r w:rsidR="002A3C45">
        <w:rPr>
          <w:rFonts w:ascii="Book Antiqua" w:hAnsi="Book Antiqua" w:cs="Arial"/>
        </w:rPr>
        <w:t>, Home Office Presenting Officer</w:t>
      </w:r>
    </w:p>
    <w:p w14:paraId="29E4A768" w14:textId="77777777" w:rsidR="00DE7DB7" w:rsidRPr="000704BB" w:rsidRDefault="00DE7DB7" w:rsidP="00265B39">
      <w:pPr>
        <w:jc w:val="center"/>
        <w:rPr>
          <w:rFonts w:ascii="Book Antiqua" w:hAnsi="Book Antiqua" w:cs="Arial"/>
        </w:rPr>
      </w:pPr>
    </w:p>
    <w:p w14:paraId="43F71573" w14:textId="2AE9336F" w:rsidR="00DE7DB7" w:rsidRPr="0030074C" w:rsidRDefault="00AF6D00" w:rsidP="0030074C">
      <w:pPr>
        <w:jc w:val="both"/>
        <w:rPr>
          <w:rFonts w:ascii="Book Antiqua" w:hAnsi="Book Antiqua"/>
        </w:rPr>
      </w:pPr>
      <w:r w:rsidRPr="008B5DE0">
        <w:rPr>
          <w:rFonts w:ascii="Book Antiqua" w:hAnsi="Book Antiqua"/>
        </w:rPr>
        <w:t>This has been a remote hearing which has been consented to</w:t>
      </w:r>
      <w:r w:rsidR="00846C29">
        <w:rPr>
          <w:rFonts w:ascii="Book Antiqua" w:hAnsi="Book Antiqua"/>
        </w:rPr>
        <w:t xml:space="preserve"> by the</w:t>
      </w:r>
      <w:r w:rsidRPr="008B5DE0">
        <w:rPr>
          <w:rFonts w:ascii="Book Antiqua" w:hAnsi="Book Antiqua"/>
        </w:rPr>
        <w:t xml:space="preserve"> parties. The form of remote hearing was </w:t>
      </w:r>
      <w:r w:rsidR="0030074C">
        <w:rPr>
          <w:rFonts w:ascii="Book Antiqua" w:hAnsi="Book Antiqua"/>
        </w:rPr>
        <w:t>video by Skype (V)</w:t>
      </w:r>
      <w:r w:rsidRPr="008B5DE0">
        <w:rPr>
          <w:rFonts w:ascii="Book Antiqua" w:hAnsi="Book Antiqua"/>
        </w:rPr>
        <w:t xml:space="preserve">. A face to face hearing was not held because it was not practicable and all issues could be determined in a remote hearing. The documents that I was referred to are in a bundle of </w:t>
      </w:r>
      <w:r w:rsidR="00D44EEA">
        <w:rPr>
          <w:rFonts w:ascii="Book Antiqua" w:hAnsi="Book Antiqua"/>
        </w:rPr>
        <w:t>154</w:t>
      </w:r>
      <w:r w:rsidRPr="008B5DE0">
        <w:rPr>
          <w:rFonts w:ascii="Book Antiqua" w:hAnsi="Book Antiqua"/>
        </w:rPr>
        <w:t xml:space="preserve"> pages, the contents of which I have recorded. The order made is described at the end of these reasons. </w:t>
      </w:r>
    </w:p>
    <w:p w14:paraId="45519925" w14:textId="2A77B512" w:rsidR="006B31B2" w:rsidRDefault="006B31B2" w:rsidP="00265B39">
      <w:pPr>
        <w:jc w:val="center"/>
        <w:rPr>
          <w:rFonts w:ascii="Book Antiqua" w:hAnsi="Book Antiqua" w:cs="Arial"/>
        </w:rPr>
      </w:pPr>
    </w:p>
    <w:p w14:paraId="6CB8E26D" w14:textId="64D21DB6" w:rsidR="00384395" w:rsidRPr="000704BB" w:rsidRDefault="00265B39" w:rsidP="00384395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0704BB">
        <w:rPr>
          <w:rFonts w:ascii="Book Antiqua" w:hAnsi="Book Antiqua" w:cs="Arial"/>
          <w:b/>
          <w:u w:val="single"/>
        </w:rPr>
        <w:t xml:space="preserve"> AND REASONS</w:t>
      </w:r>
    </w:p>
    <w:p w14:paraId="38485AB7" w14:textId="77777777" w:rsidR="00402B9E" w:rsidRPr="000704BB" w:rsidRDefault="00402B9E" w:rsidP="00265B39">
      <w:pPr>
        <w:jc w:val="both"/>
        <w:rPr>
          <w:rFonts w:ascii="Book Antiqua" w:hAnsi="Book Antiqua" w:cs="Arial"/>
        </w:rPr>
      </w:pPr>
    </w:p>
    <w:p w14:paraId="4ACCF70C" w14:textId="660CE0F0" w:rsidR="00B9738F" w:rsidRDefault="00BD02B4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</w:t>
      </w:r>
      <w:r w:rsidR="00402B9E" w:rsidRPr="000704BB">
        <w:rPr>
          <w:rFonts w:ascii="Book Antiqua" w:hAnsi="Book Antiqua" w:cs="Arial"/>
        </w:rPr>
        <w:t>.</w:t>
      </w:r>
      <w:r w:rsidR="00402B9E" w:rsidRPr="000704BB">
        <w:rPr>
          <w:rFonts w:ascii="Book Antiqua" w:hAnsi="Book Antiqua" w:cs="Arial"/>
        </w:rPr>
        <w:tab/>
      </w:r>
      <w:r w:rsidR="00B04ED0">
        <w:rPr>
          <w:rFonts w:ascii="Book Antiqua" w:hAnsi="Book Antiqua" w:cs="Arial"/>
        </w:rPr>
        <w:t xml:space="preserve">Although this is an appeal by the Secretary of State, </w:t>
      </w:r>
      <w:r w:rsidR="009C1A10">
        <w:rPr>
          <w:rFonts w:ascii="Book Antiqua" w:hAnsi="Book Antiqua" w:cs="Arial"/>
        </w:rPr>
        <w:t>I shall refer to the parties as in the First</w:t>
      </w:r>
      <w:r w:rsidR="00B04ED0">
        <w:rPr>
          <w:rFonts w:ascii="Book Antiqua" w:hAnsi="Book Antiqua" w:cs="Arial"/>
        </w:rPr>
        <w:t>-tier Tribunal</w:t>
      </w:r>
      <w:r w:rsidR="00D6640C">
        <w:rPr>
          <w:rFonts w:ascii="Book Antiqua" w:hAnsi="Book Antiqua" w:cs="Arial"/>
        </w:rPr>
        <w:t>.</w:t>
      </w:r>
      <w:r w:rsidR="00B04ED0">
        <w:rPr>
          <w:rFonts w:ascii="Book Antiqua" w:hAnsi="Book Antiqua" w:cs="Arial"/>
        </w:rPr>
        <w:t xml:space="preserve"> </w:t>
      </w:r>
      <w:r w:rsidR="002052FE">
        <w:rPr>
          <w:rFonts w:ascii="Book Antiqua" w:hAnsi="Book Antiqua" w:cs="Arial"/>
        </w:rPr>
        <w:t>The A</w:t>
      </w:r>
      <w:r w:rsidR="00B0278D">
        <w:rPr>
          <w:rFonts w:ascii="Book Antiqua" w:hAnsi="Book Antiqua" w:cs="Arial"/>
        </w:rPr>
        <w:t>ppellant is a citizen of L</w:t>
      </w:r>
      <w:r w:rsidR="009C1A10">
        <w:rPr>
          <w:rFonts w:ascii="Book Antiqua" w:hAnsi="Book Antiqua" w:cs="Arial"/>
        </w:rPr>
        <w:t>ithuania</w:t>
      </w:r>
      <w:r w:rsidR="00B0278D">
        <w:rPr>
          <w:rFonts w:ascii="Book Antiqua" w:hAnsi="Book Antiqua" w:cs="Arial"/>
        </w:rPr>
        <w:t xml:space="preserve"> born</w:t>
      </w:r>
      <w:r w:rsidR="009C1A10">
        <w:rPr>
          <w:rFonts w:ascii="Book Antiqua" w:hAnsi="Book Antiqua" w:cs="Arial"/>
        </w:rPr>
        <w:t xml:space="preserve"> on 15 August </w:t>
      </w:r>
      <w:r w:rsidR="00B0278D">
        <w:rPr>
          <w:rFonts w:ascii="Book Antiqua" w:hAnsi="Book Antiqua" w:cs="Arial"/>
        </w:rPr>
        <w:t>1</w:t>
      </w:r>
      <w:r w:rsidR="009C1A10">
        <w:rPr>
          <w:rFonts w:ascii="Book Antiqua" w:hAnsi="Book Antiqua" w:cs="Arial"/>
        </w:rPr>
        <w:t>988</w:t>
      </w:r>
      <w:r w:rsidR="00B0278D">
        <w:rPr>
          <w:rFonts w:ascii="Book Antiqua" w:hAnsi="Book Antiqua" w:cs="Arial"/>
        </w:rPr>
        <w:t xml:space="preserve">. </w:t>
      </w:r>
      <w:r w:rsidR="00D6640C">
        <w:rPr>
          <w:rFonts w:ascii="Book Antiqua" w:hAnsi="Book Antiqua" w:cs="Arial"/>
        </w:rPr>
        <w:t xml:space="preserve">His appeal </w:t>
      </w:r>
      <w:r w:rsidR="00851871">
        <w:rPr>
          <w:rFonts w:ascii="Book Antiqua" w:hAnsi="Book Antiqua" w:cs="Arial"/>
        </w:rPr>
        <w:t xml:space="preserve">against the decision </w:t>
      </w:r>
      <w:r w:rsidR="00680E6F">
        <w:rPr>
          <w:rFonts w:ascii="Book Antiqua" w:hAnsi="Book Antiqua" w:cs="Arial"/>
        </w:rPr>
        <w:t xml:space="preserve">to </w:t>
      </w:r>
      <w:r w:rsidR="00851871">
        <w:rPr>
          <w:rFonts w:ascii="Book Antiqua" w:hAnsi="Book Antiqua" w:cs="Arial"/>
        </w:rPr>
        <w:t>de</w:t>
      </w:r>
      <w:bookmarkStart w:id="0" w:name="_GoBack"/>
      <w:bookmarkEnd w:id="0"/>
      <w:r w:rsidR="00851871">
        <w:rPr>
          <w:rFonts w:ascii="Book Antiqua" w:hAnsi="Book Antiqua" w:cs="Arial"/>
        </w:rPr>
        <w:t xml:space="preserve">portation </w:t>
      </w:r>
      <w:r w:rsidR="00680E6F">
        <w:rPr>
          <w:rFonts w:ascii="Book Antiqua" w:hAnsi="Book Antiqua" w:cs="Arial"/>
        </w:rPr>
        <w:t xml:space="preserve">him </w:t>
      </w:r>
      <w:r w:rsidR="00B0278D">
        <w:rPr>
          <w:rFonts w:ascii="Book Antiqua" w:hAnsi="Book Antiqua" w:cs="Arial"/>
        </w:rPr>
        <w:t xml:space="preserve">under the Immigration (EEA) </w:t>
      </w:r>
      <w:r w:rsidR="00B0278D">
        <w:rPr>
          <w:rFonts w:ascii="Book Antiqua" w:hAnsi="Book Antiqua" w:cs="Arial"/>
        </w:rPr>
        <w:lastRenderedPageBreak/>
        <w:t>Regulations 2016</w:t>
      </w:r>
      <w:r w:rsidR="00CA5C40">
        <w:rPr>
          <w:rFonts w:ascii="Book Antiqua" w:hAnsi="Book Antiqua" w:cs="Arial"/>
        </w:rPr>
        <w:t xml:space="preserve"> [2016 Regulations]</w:t>
      </w:r>
      <w:r w:rsidR="00680E6F">
        <w:rPr>
          <w:rFonts w:ascii="Book Antiqua" w:hAnsi="Book Antiqua" w:cs="Arial"/>
        </w:rPr>
        <w:t xml:space="preserve"> was allowed by</w:t>
      </w:r>
      <w:r w:rsidR="00680E6F" w:rsidRPr="00680E6F">
        <w:rPr>
          <w:rFonts w:ascii="Book Antiqua" w:hAnsi="Book Antiqua" w:cs="Arial"/>
        </w:rPr>
        <w:t xml:space="preserve"> </w:t>
      </w:r>
      <w:r w:rsidR="00680E6F">
        <w:rPr>
          <w:rFonts w:ascii="Book Antiqua" w:hAnsi="Book Antiqua" w:cs="Arial"/>
        </w:rPr>
        <w:t>of First-tier Tribunal Judge S C Clarke on 13 January 2020.</w:t>
      </w:r>
      <w:r w:rsidR="00AD062B">
        <w:rPr>
          <w:rFonts w:ascii="Book Antiqua" w:hAnsi="Book Antiqua" w:cs="Arial"/>
        </w:rPr>
        <w:t xml:space="preserve"> </w:t>
      </w:r>
    </w:p>
    <w:p w14:paraId="7099071D" w14:textId="35000AD1" w:rsidR="00851871" w:rsidRDefault="00851871" w:rsidP="000005FD">
      <w:pPr>
        <w:jc w:val="both"/>
        <w:rPr>
          <w:rFonts w:ascii="Book Antiqua" w:hAnsi="Book Antiqua" w:cs="Arial"/>
        </w:rPr>
      </w:pPr>
    </w:p>
    <w:p w14:paraId="39B2D1C1" w14:textId="0FEDA6DA" w:rsidR="00851871" w:rsidRDefault="00851871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</w:r>
      <w:r w:rsidR="00851DCB">
        <w:rPr>
          <w:rFonts w:ascii="Book Antiqua" w:hAnsi="Book Antiqua" w:cs="Arial"/>
        </w:rPr>
        <w:t xml:space="preserve">The Secretary of State for the Home Department applied for permission </w:t>
      </w:r>
      <w:r>
        <w:rPr>
          <w:rFonts w:ascii="Book Antiqua" w:hAnsi="Book Antiqua" w:cs="Arial"/>
        </w:rPr>
        <w:t>to appeal</w:t>
      </w:r>
      <w:r w:rsidR="00851DCB">
        <w:rPr>
          <w:rFonts w:ascii="Book Antiqua" w:hAnsi="Book Antiqua" w:cs="Arial"/>
        </w:rPr>
        <w:t xml:space="preserve"> on the following grounds:</w:t>
      </w:r>
      <w:r>
        <w:rPr>
          <w:rFonts w:ascii="Book Antiqua" w:hAnsi="Book Antiqua" w:cs="Arial"/>
        </w:rPr>
        <w:t xml:space="preserve"> </w:t>
      </w:r>
    </w:p>
    <w:p w14:paraId="590F50E6" w14:textId="13FC4308" w:rsidR="00A73F60" w:rsidRDefault="00851DCB" w:rsidP="0010166A">
      <w:pPr>
        <w:ind w:left="1701" w:hanging="561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(i)</w:t>
      </w:r>
      <w:r>
        <w:rPr>
          <w:rFonts w:ascii="Book Antiqua" w:hAnsi="Book Antiqua" w:cs="Arial"/>
        </w:rPr>
        <w:tab/>
      </w:r>
      <w:r w:rsidR="00F20A66">
        <w:rPr>
          <w:rFonts w:ascii="Book Antiqua" w:hAnsi="Book Antiqua" w:cs="Arial"/>
        </w:rPr>
        <w:t xml:space="preserve">The judge failed to </w:t>
      </w:r>
      <w:r w:rsidR="0010166A">
        <w:rPr>
          <w:rFonts w:ascii="Book Antiqua" w:hAnsi="Book Antiqua" w:cs="Arial"/>
        </w:rPr>
        <w:t>have adequate regard to the Appellant’s most serious offence</w:t>
      </w:r>
      <w:r w:rsidR="00482BE6">
        <w:rPr>
          <w:rFonts w:ascii="Book Antiqua" w:hAnsi="Book Antiqua" w:cs="Arial"/>
        </w:rPr>
        <w:t xml:space="preserve"> of sexual assault of a minor for which he was convicted in Lithuania on 12 December 20</w:t>
      </w:r>
      <w:r w:rsidR="004F131C">
        <w:rPr>
          <w:rFonts w:ascii="Book Antiqua" w:hAnsi="Book Antiqua" w:cs="Arial"/>
        </w:rPr>
        <w:t>07</w:t>
      </w:r>
      <w:r w:rsidR="00D8540D">
        <w:rPr>
          <w:rFonts w:ascii="Book Antiqua" w:hAnsi="Book Antiqua" w:cs="Arial"/>
        </w:rPr>
        <w:t xml:space="preserve"> and sentenced to a term of imprisonment of six years</w:t>
      </w:r>
      <w:r w:rsidR="002C4C21">
        <w:rPr>
          <w:rFonts w:ascii="Book Antiqua" w:hAnsi="Book Antiqua" w:cs="Arial"/>
        </w:rPr>
        <w:t>;</w:t>
      </w:r>
    </w:p>
    <w:p w14:paraId="07343584" w14:textId="1B7F4038" w:rsidR="002052FE" w:rsidRDefault="00A73F60" w:rsidP="0010166A">
      <w:pPr>
        <w:ind w:left="1701" w:hanging="561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(ii)</w:t>
      </w:r>
      <w:r>
        <w:rPr>
          <w:rFonts w:ascii="Book Antiqua" w:hAnsi="Book Antiqua" w:cs="Arial"/>
        </w:rPr>
        <w:tab/>
        <w:t xml:space="preserve">The judge failed to consider the serious </w:t>
      </w:r>
      <w:r w:rsidR="00E9384C">
        <w:rPr>
          <w:rFonts w:ascii="Book Antiqua" w:hAnsi="Book Antiqua" w:cs="Arial"/>
        </w:rPr>
        <w:t xml:space="preserve">consequences of re-offending in line with </w:t>
      </w:r>
      <w:r w:rsidR="00E9384C">
        <w:rPr>
          <w:rFonts w:ascii="Book Antiqua" w:hAnsi="Book Antiqua" w:cs="Arial"/>
          <w:u w:val="single"/>
        </w:rPr>
        <w:t>Kamki</w:t>
      </w:r>
      <w:r w:rsidR="00461409">
        <w:rPr>
          <w:rFonts w:ascii="Book Antiqua" w:hAnsi="Book Antiqua" w:cs="Arial"/>
        </w:rPr>
        <w:t xml:space="preserve"> [2017] EWCA Civ 1715.</w:t>
      </w:r>
      <w:r w:rsidR="00D82CBB">
        <w:rPr>
          <w:rFonts w:ascii="Book Antiqua" w:hAnsi="Book Antiqua" w:cs="Arial"/>
        </w:rPr>
        <w:t xml:space="preserve"> Given the seriousness of the Appellant’s offending over a period of 13 years, </w:t>
      </w:r>
      <w:r w:rsidR="00D570DE">
        <w:rPr>
          <w:rFonts w:ascii="Book Antiqua" w:hAnsi="Book Antiqua" w:cs="Arial"/>
        </w:rPr>
        <w:t>the judge failed to consider why the Appellant’s lack of offending</w:t>
      </w:r>
      <w:r w:rsidR="00190ED1">
        <w:rPr>
          <w:rFonts w:ascii="Book Antiqua" w:hAnsi="Book Antiqua" w:cs="Arial"/>
        </w:rPr>
        <w:t xml:space="preserve"> since he came to </w:t>
      </w:r>
      <w:r w:rsidR="00D570DE">
        <w:rPr>
          <w:rFonts w:ascii="Book Antiqua" w:hAnsi="Book Antiqua" w:cs="Arial"/>
        </w:rPr>
        <w:t>the UK</w:t>
      </w:r>
      <w:r w:rsidR="00D8540D">
        <w:rPr>
          <w:rFonts w:ascii="Book Antiqua" w:hAnsi="Book Antiqua" w:cs="Arial"/>
        </w:rPr>
        <w:t xml:space="preserve"> </w:t>
      </w:r>
      <w:r w:rsidR="00190ED1">
        <w:rPr>
          <w:rFonts w:ascii="Book Antiqua" w:hAnsi="Book Antiqua" w:cs="Arial"/>
        </w:rPr>
        <w:t>in November 2018</w:t>
      </w:r>
      <w:r w:rsidR="002C4C21">
        <w:rPr>
          <w:rFonts w:ascii="Book Antiqua" w:hAnsi="Book Antiqua" w:cs="Arial"/>
        </w:rPr>
        <w:t xml:space="preserve"> would yield a durable change sufficient to minimise the risk of re-offending;</w:t>
      </w:r>
      <w:r w:rsidR="00D8540D">
        <w:rPr>
          <w:rFonts w:ascii="Book Antiqua" w:hAnsi="Book Antiqua" w:cs="Arial"/>
        </w:rPr>
        <w:t xml:space="preserve"> </w:t>
      </w:r>
    </w:p>
    <w:p w14:paraId="7438E80F" w14:textId="11C2526A" w:rsidR="00072FBE" w:rsidRDefault="002C4C21" w:rsidP="00B364CE">
      <w:pPr>
        <w:ind w:left="1701" w:hanging="561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(iii)</w:t>
      </w:r>
      <w:r>
        <w:rPr>
          <w:rFonts w:ascii="Book Antiqua" w:hAnsi="Book Antiqua" w:cs="Arial"/>
        </w:rPr>
        <w:tab/>
      </w:r>
      <w:r w:rsidR="00CB2B10">
        <w:rPr>
          <w:rFonts w:ascii="Book Antiqua" w:hAnsi="Book Antiqua" w:cs="Arial"/>
        </w:rPr>
        <w:t xml:space="preserve">Given the independent assessment </w:t>
      </w:r>
      <w:r w:rsidR="006A54B9">
        <w:rPr>
          <w:rFonts w:ascii="Book Antiqua" w:hAnsi="Book Antiqua" w:cs="Arial"/>
        </w:rPr>
        <w:t xml:space="preserve">of a medium risk of re-offending and in light of the serious nature and pattern </w:t>
      </w:r>
      <w:r w:rsidR="009C7B00">
        <w:rPr>
          <w:rFonts w:ascii="Book Antiqua" w:hAnsi="Book Antiqua" w:cs="Arial"/>
        </w:rPr>
        <w:t xml:space="preserve">of </w:t>
      </w:r>
      <w:r w:rsidR="006A54B9">
        <w:rPr>
          <w:rFonts w:ascii="Book Antiqua" w:hAnsi="Book Antiqua" w:cs="Arial"/>
        </w:rPr>
        <w:t>offending</w:t>
      </w:r>
      <w:r w:rsidR="009C7B00">
        <w:rPr>
          <w:rFonts w:ascii="Book Antiqua" w:hAnsi="Book Antiqua" w:cs="Arial"/>
        </w:rPr>
        <w:t xml:space="preserve"> behaviour, the judge erred in finding that the </w:t>
      </w:r>
      <w:r w:rsidR="00251E94">
        <w:rPr>
          <w:rFonts w:ascii="Book Antiqua" w:hAnsi="Book Antiqua" w:cs="Arial"/>
        </w:rPr>
        <w:t xml:space="preserve">Appellant did not represent a </w:t>
      </w:r>
      <w:r w:rsidR="00B364CE">
        <w:rPr>
          <w:rFonts w:ascii="Book Antiqua" w:hAnsi="Book Antiqua" w:cs="Arial"/>
        </w:rPr>
        <w:t xml:space="preserve">genuine present and sufficiently serious threat to </w:t>
      </w:r>
      <w:r w:rsidR="00072FBE">
        <w:rPr>
          <w:rFonts w:ascii="Book Antiqua" w:hAnsi="Book Antiqua" w:cs="Arial"/>
        </w:rPr>
        <w:t>one of the fundamental interests of society;</w:t>
      </w:r>
    </w:p>
    <w:p w14:paraId="1E18EF4A" w14:textId="217DF178" w:rsidR="00EE3CCF" w:rsidRDefault="00072FBE" w:rsidP="00B364CE">
      <w:pPr>
        <w:ind w:left="1701" w:hanging="561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(iv)</w:t>
      </w:r>
      <w:r>
        <w:rPr>
          <w:rFonts w:ascii="Book Antiqua" w:hAnsi="Book Antiqua" w:cs="Arial"/>
        </w:rPr>
        <w:tab/>
        <w:t>The judge failed to have re</w:t>
      </w:r>
      <w:r w:rsidR="00645104">
        <w:rPr>
          <w:rFonts w:ascii="Book Antiqua" w:hAnsi="Book Antiqua" w:cs="Arial"/>
        </w:rPr>
        <w:t>gard to Schedule 1 of the 2016 Regulations</w:t>
      </w:r>
      <w:r w:rsidR="002131D8">
        <w:rPr>
          <w:rFonts w:ascii="Book Antiqua" w:hAnsi="Book Antiqua" w:cs="Arial"/>
        </w:rPr>
        <w:t>;</w:t>
      </w:r>
    </w:p>
    <w:p w14:paraId="1196DB1E" w14:textId="432F2EC3" w:rsidR="002C4C21" w:rsidRDefault="00EE3CCF" w:rsidP="00B364CE">
      <w:pPr>
        <w:ind w:left="1701" w:hanging="561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(v)</w:t>
      </w:r>
      <w:r>
        <w:rPr>
          <w:rFonts w:ascii="Book Antiqua" w:hAnsi="Book Antiqua" w:cs="Arial"/>
        </w:rPr>
        <w:tab/>
      </w:r>
      <w:r w:rsidR="002131D8">
        <w:rPr>
          <w:rFonts w:ascii="Book Antiqua" w:hAnsi="Book Antiqua" w:cs="Arial"/>
        </w:rPr>
        <w:t xml:space="preserve">The judge failed to have regard to </w:t>
      </w:r>
      <w:r w:rsidR="002131D8">
        <w:rPr>
          <w:rFonts w:ascii="Book Antiqua" w:hAnsi="Book Antiqua" w:cs="Arial"/>
          <w:u w:val="single"/>
        </w:rPr>
        <w:t>Bouchereau;</w:t>
      </w:r>
      <w:r w:rsidR="006A54B9">
        <w:rPr>
          <w:rFonts w:ascii="Book Antiqua" w:hAnsi="Book Antiqua" w:cs="Arial"/>
        </w:rPr>
        <w:t xml:space="preserve"> </w:t>
      </w:r>
    </w:p>
    <w:p w14:paraId="47CF6A44" w14:textId="3E5F5728" w:rsidR="00851DCB" w:rsidRDefault="002D2CE4" w:rsidP="00564DF2">
      <w:pPr>
        <w:ind w:left="1698" w:hanging="56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(vi)</w:t>
      </w:r>
      <w:r>
        <w:rPr>
          <w:rFonts w:ascii="Book Antiqua" w:hAnsi="Book Antiqua" w:cs="Arial"/>
        </w:rPr>
        <w:tab/>
        <w:t xml:space="preserve">The judge failed to have regard to the fact that the </w:t>
      </w:r>
      <w:r w:rsidR="00564DF2">
        <w:rPr>
          <w:rFonts w:ascii="Book Antiqua" w:hAnsi="Book Antiqua" w:cs="Arial"/>
        </w:rPr>
        <w:t xml:space="preserve">Appellant continued to offend during his relationship with his </w:t>
      </w:r>
      <w:r w:rsidR="00955200">
        <w:rPr>
          <w:rFonts w:ascii="Book Antiqua" w:hAnsi="Book Antiqua" w:cs="Arial"/>
        </w:rPr>
        <w:t xml:space="preserve">current </w:t>
      </w:r>
      <w:r w:rsidR="00564DF2">
        <w:rPr>
          <w:rFonts w:ascii="Book Antiqua" w:hAnsi="Book Antiqua" w:cs="Arial"/>
        </w:rPr>
        <w:t>partner</w:t>
      </w:r>
      <w:r w:rsidR="00955200">
        <w:rPr>
          <w:rFonts w:ascii="Book Antiqua" w:hAnsi="Book Antiqua" w:cs="Arial"/>
        </w:rPr>
        <w:t xml:space="preserve"> in concluding his relationship was a protective factor against future re-offending</w:t>
      </w:r>
      <w:r w:rsidR="00564DF2">
        <w:rPr>
          <w:rFonts w:ascii="Book Antiqua" w:hAnsi="Book Antiqua" w:cs="Arial"/>
        </w:rPr>
        <w:t>.</w:t>
      </w:r>
    </w:p>
    <w:p w14:paraId="15679CE4" w14:textId="77777777" w:rsidR="002D2CE4" w:rsidRDefault="002D2CE4" w:rsidP="002D2CE4">
      <w:pPr>
        <w:ind w:left="567" w:firstLine="567"/>
        <w:jc w:val="both"/>
        <w:rPr>
          <w:rFonts w:ascii="Book Antiqua" w:hAnsi="Book Antiqua" w:cs="Arial"/>
        </w:rPr>
      </w:pPr>
    </w:p>
    <w:p w14:paraId="06984486" w14:textId="3A7A0552" w:rsidR="002052FE" w:rsidRDefault="002052FE" w:rsidP="00840BCB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  <w:t xml:space="preserve">Permission to appeal was granted by </w:t>
      </w:r>
      <w:r w:rsidR="00223AE7">
        <w:rPr>
          <w:rFonts w:ascii="Book Antiqua" w:hAnsi="Book Antiqua" w:cs="Arial"/>
        </w:rPr>
        <w:t>Designated First-tier</w:t>
      </w:r>
      <w:r w:rsidR="00FA55D4">
        <w:rPr>
          <w:rFonts w:ascii="Book Antiqua" w:hAnsi="Book Antiqua" w:cs="Arial"/>
        </w:rPr>
        <w:t xml:space="preserve"> Tribunal Judge</w:t>
      </w:r>
      <w:r w:rsidR="00223AE7">
        <w:rPr>
          <w:rFonts w:ascii="Book Antiqua" w:hAnsi="Book Antiqua" w:cs="Arial"/>
        </w:rPr>
        <w:t xml:space="preserve"> Woodcraft </w:t>
      </w:r>
      <w:r w:rsidR="00FA55D4">
        <w:rPr>
          <w:rFonts w:ascii="Book Antiqua" w:hAnsi="Book Antiqua" w:cs="Arial"/>
        </w:rPr>
        <w:t xml:space="preserve"> on</w:t>
      </w:r>
      <w:r w:rsidR="00840BCB">
        <w:rPr>
          <w:rFonts w:ascii="Book Antiqua" w:hAnsi="Book Antiqua" w:cs="Arial"/>
        </w:rPr>
        <w:t xml:space="preserve"> all grounds on 29 January 2020</w:t>
      </w:r>
      <w:r w:rsidR="00FA55D4">
        <w:rPr>
          <w:rFonts w:ascii="Book Antiqua" w:hAnsi="Book Antiqua" w:cs="Arial"/>
        </w:rPr>
        <w:t>. He state</w:t>
      </w:r>
      <w:r w:rsidR="00135ADF">
        <w:rPr>
          <w:rFonts w:ascii="Book Antiqua" w:hAnsi="Book Antiqua" w:cs="Arial"/>
        </w:rPr>
        <w:t>d</w:t>
      </w:r>
      <w:r w:rsidR="00B9738F">
        <w:rPr>
          <w:rFonts w:ascii="Book Antiqua" w:hAnsi="Book Antiqua" w:cs="Arial"/>
        </w:rPr>
        <w:t>:</w:t>
      </w:r>
      <w:r w:rsidR="00840BCB">
        <w:rPr>
          <w:rFonts w:ascii="Book Antiqua" w:hAnsi="Book Antiqua" w:cs="Arial"/>
        </w:rPr>
        <w:t xml:space="preserve"> </w:t>
      </w:r>
      <w:r w:rsidR="00B9738F">
        <w:rPr>
          <w:rFonts w:ascii="Book Antiqua" w:hAnsi="Book Antiqua" w:cs="Arial"/>
        </w:rPr>
        <w:t>“</w:t>
      </w:r>
      <w:r w:rsidR="00FA55D4">
        <w:rPr>
          <w:rFonts w:ascii="Book Antiqua" w:hAnsi="Book Antiqua" w:cs="Arial"/>
        </w:rPr>
        <w:t xml:space="preserve">It is arguable </w:t>
      </w:r>
      <w:r w:rsidR="00840BCB">
        <w:rPr>
          <w:rFonts w:ascii="Book Antiqua" w:hAnsi="Book Antiqua" w:cs="Arial"/>
        </w:rPr>
        <w:t xml:space="preserve">the judge </w:t>
      </w:r>
      <w:r w:rsidR="006B5CFD">
        <w:rPr>
          <w:rFonts w:ascii="Book Antiqua" w:hAnsi="Book Antiqua" w:cs="Arial"/>
        </w:rPr>
        <w:t>has failed to have sufficient regard to the factors set out in the 2016 Regulations.”</w:t>
      </w:r>
    </w:p>
    <w:p w14:paraId="1A896B86" w14:textId="77777777" w:rsidR="002052FE" w:rsidRDefault="002052FE" w:rsidP="00265B39">
      <w:pPr>
        <w:ind w:left="567" w:hanging="567"/>
        <w:jc w:val="both"/>
        <w:rPr>
          <w:rFonts w:ascii="Book Antiqua" w:hAnsi="Book Antiqua" w:cs="Arial"/>
        </w:rPr>
      </w:pPr>
    </w:p>
    <w:p w14:paraId="48679044" w14:textId="77777777" w:rsidR="00FC7091" w:rsidRDefault="00FC7091" w:rsidP="00265B39">
      <w:pPr>
        <w:ind w:left="567" w:hanging="567"/>
        <w:jc w:val="both"/>
        <w:rPr>
          <w:rFonts w:ascii="Book Antiqua" w:hAnsi="Book Antiqua" w:cs="Arial"/>
        </w:rPr>
      </w:pPr>
    </w:p>
    <w:p w14:paraId="4FDB042D" w14:textId="762B00EA" w:rsidR="005E2775" w:rsidRPr="00013425" w:rsidRDefault="00760EF6" w:rsidP="00265B39">
      <w:pPr>
        <w:ind w:left="567" w:hanging="567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Appellant’s conviction</w:t>
      </w:r>
      <w:r w:rsidR="00135ADF">
        <w:rPr>
          <w:rFonts w:ascii="Book Antiqua" w:hAnsi="Book Antiqua" w:cs="Arial"/>
          <w:b/>
          <w:u w:val="single"/>
        </w:rPr>
        <w:t>s</w:t>
      </w:r>
    </w:p>
    <w:p w14:paraId="65790848" w14:textId="77777777" w:rsidR="005E2775" w:rsidRDefault="005E2775" w:rsidP="00265B39">
      <w:pPr>
        <w:ind w:left="567" w:hanging="567"/>
        <w:jc w:val="both"/>
        <w:rPr>
          <w:rFonts w:ascii="Book Antiqua" w:hAnsi="Book Antiqua" w:cs="Arial"/>
        </w:rPr>
      </w:pPr>
    </w:p>
    <w:p w14:paraId="7609DA54" w14:textId="57769F8F" w:rsidR="005E2775" w:rsidRDefault="00013425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</w:r>
      <w:r w:rsidR="00135ADF">
        <w:rPr>
          <w:rFonts w:ascii="Book Antiqua" w:hAnsi="Book Antiqua" w:cs="Arial"/>
        </w:rPr>
        <w:t>The Appellant has 9 convictions for 1</w:t>
      </w:r>
      <w:r w:rsidR="00E30747">
        <w:rPr>
          <w:rFonts w:ascii="Book Antiqua" w:hAnsi="Book Antiqua" w:cs="Arial"/>
        </w:rPr>
        <w:t>1</w:t>
      </w:r>
      <w:r w:rsidR="00135ADF">
        <w:rPr>
          <w:rFonts w:ascii="Book Antiqua" w:hAnsi="Book Antiqua" w:cs="Arial"/>
        </w:rPr>
        <w:t xml:space="preserve"> offences </w:t>
      </w:r>
      <w:r w:rsidR="00997B65">
        <w:rPr>
          <w:rFonts w:ascii="Book Antiqua" w:hAnsi="Book Antiqua" w:cs="Arial"/>
        </w:rPr>
        <w:t>from 2005 to 2017</w:t>
      </w:r>
      <w:r w:rsidR="00814E2D">
        <w:rPr>
          <w:rFonts w:ascii="Book Antiqua" w:hAnsi="Book Antiqua" w:cs="Arial"/>
        </w:rPr>
        <w:t xml:space="preserve">, including </w:t>
      </w:r>
      <w:r w:rsidR="00200D4A">
        <w:rPr>
          <w:rFonts w:ascii="Book Antiqua" w:hAnsi="Book Antiqua" w:cs="Arial"/>
        </w:rPr>
        <w:t>a serio</w:t>
      </w:r>
      <w:r w:rsidR="00141796">
        <w:rPr>
          <w:rFonts w:ascii="Book Antiqua" w:hAnsi="Book Antiqua" w:cs="Arial"/>
        </w:rPr>
        <w:t>u</w:t>
      </w:r>
      <w:r w:rsidR="00200D4A">
        <w:rPr>
          <w:rFonts w:ascii="Book Antiqua" w:hAnsi="Book Antiqua" w:cs="Arial"/>
        </w:rPr>
        <w:t>s sexual assault on a minor in 2007</w:t>
      </w:r>
      <w:r w:rsidR="00814E2D">
        <w:rPr>
          <w:rFonts w:ascii="Book Antiqua" w:hAnsi="Book Antiqua" w:cs="Arial"/>
        </w:rPr>
        <w:t xml:space="preserve"> and </w:t>
      </w:r>
      <w:r w:rsidR="00AF21BA">
        <w:rPr>
          <w:rFonts w:ascii="Book Antiqua" w:hAnsi="Book Antiqua" w:cs="Arial"/>
        </w:rPr>
        <w:t>possession of a firearm and threatening behaviour in 2013</w:t>
      </w:r>
      <w:r w:rsidR="00E91227">
        <w:rPr>
          <w:rFonts w:ascii="Book Antiqua" w:hAnsi="Book Antiqua" w:cs="Arial"/>
        </w:rPr>
        <w:t xml:space="preserve">. </w:t>
      </w:r>
      <w:r w:rsidR="00814E2D">
        <w:rPr>
          <w:rFonts w:ascii="Book Antiqua" w:hAnsi="Book Antiqua" w:cs="Arial"/>
        </w:rPr>
        <w:t>His remaining convictions are for theft</w:t>
      </w:r>
      <w:r w:rsidR="00A41573">
        <w:rPr>
          <w:rFonts w:ascii="Book Antiqua" w:hAnsi="Book Antiqua" w:cs="Arial"/>
        </w:rPr>
        <w:t>,</w:t>
      </w:r>
      <w:r w:rsidR="00814E2D" w:rsidRPr="00814E2D">
        <w:rPr>
          <w:rFonts w:ascii="Book Antiqua" w:hAnsi="Book Antiqua" w:cs="Arial"/>
        </w:rPr>
        <w:t xml:space="preserve"> </w:t>
      </w:r>
      <w:r w:rsidR="00814E2D">
        <w:rPr>
          <w:rFonts w:ascii="Book Antiqua" w:hAnsi="Book Antiqua" w:cs="Arial"/>
        </w:rPr>
        <w:t>fraud and making false representations</w:t>
      </w:r>
      <w:r w:rsidR="0042220C">
        <w:rPr>
          <w:rFonts w:ascii="Book Antiqua" w:hAnsi="Book Antiqua" w:cs="Arial"/>
        </w:rPr>
        <w:t>.</w:t>
      </w:r>
      <w:r w:rsidR="00814E2D">
        <w:rPr>
          <w:rFonts w:ascii="Book Antiqua" w:hAnsi="Book Antiqua" w:cs="Arial"/>
        </w:rPr>
        <w:t xml:space="preserve"> </w:t>
      </w:r>
      <w:r w:rsidR="00E91227">
        <w:rPr>
          <w:rFonts w:ascii="Book Antiqua" w:hAnsi="Book Antiqua" w:cs="Arial"/>
        </w:rPr>
        <w:t>The offe</w:t>
      </w:r>
      <w:r w:rsidR="002A75E4">
        <w:rPr>
          <w:rFonts w:ascii="Book Antiqua" w:hAnsi="Book Antiqua" w:cs="Arial"/>
        </w:rPr>
        <w:t xml:space="preserve">nces </w:t>
      </w:r>
      <w:r w:rsidR="00441766">
        <w:rPr>
          <w:rFonts w:ascii="Book Antiqua" w:hAnsi="Book Antiqua" w:cs="Arial"/>
        </w:rPr>
        <w:t>were committed</w:t>
      </w:r>
      <w:r w:rsidR="00C006EE">
        <w:rPr>
          <w:rFonts w:ascii="Book Antiqua" w:hAnsi="Book Antiqua" w:cs="Arial"/>
        </w:rPr>
        <w:t xml:space="preserve"> before the Appellant came to the UK</w:t>
      </w:r>
      <w:r w:rsidR="0042220C">
        <w:rPr>
          <w:rFonts w:ascii="Book Antiqua" w:hAnsi="Book Antiqua" w:cs="Arial"/>
        </w:rPr>
        <w:t xml:space="preserve"> in November 2018</w:t>
      </w:r>
      <w:r w:rsidR="00C006EE">
        <w:rPr>
          <w:rFonts w:ascii="Book Antiqua" w:hAnsi="Book Antiqua" w:cs="Arial"/>
        </w:rPr>
        <w:t xml:space="preserve">. His last offence was </w:t>
      </w:r>
      <w:r w:rsidR="0042220C">
        <w:rPr>
          <w:rFonts w:ascii="Book Antiqua" w:hAnsi="Book Antiqua" w:cs="Arial"/>
        </w:rPr>
        <w:t xml:space="preserve">for </w:t>
      </w:r>
      <w:r w:rsidR="00C006EE">
        <w:rPr>
          <w:rFonts w:ascii="Book Antiqua" w:hAnsi="Book Antiqua" w:cs="Arial"/>
        </w:rPr>
        <w:t>theft of a bottle of vodka in Germany in October 2017.</w:t>
      </w:r>
    </w:p>
    <w:p w14:paraId="24EEB8EA" w14:textId="37053FFB" w:rsidR="00545DE4" w:rsidRDefault="00545DE4" w:rsidP="00D76A3A">
      <w:pPr>
        <w:jc w:val="both"/>
        <w:rPr>
          <w:rFonts w:ascii="Book Antiqua" w:hAnsi="Book Antiqua" w:cs="Arial"/>
        </w:rPr>
      </w:pPr>
    </w:p>
    <w:p w14:paraId="7538BC8D" w14:textId="736E5C79" w:rsidR="002052FE" w:rsidRDefault="000D4C2B" w:rsidP="002052FE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S</w:t>
      </w:r>
      <w:r w:rsidR="002052FE">
        <w:rPr>
          <w:rFonts w:ascii="Book Antiqua" w:hAnsi="Book Antiqua" w:cs="Arial"/>
          <w:b/>
          <w:u w:val="single"/>
        </w:rPr>
        <w:t>ubmissions</w:t>
      </w:r>
    </w:p>
    <w:p w14:paraId="1CA65B5F" w14:textId="77777777" w:rsidR="002052FE" w:rsidRDefault="002052FE" w:rsidP="00265B39">
      <w:pPr>
        <w:ind w:left="567" w:hanging="567"/>
        <w:jc w:val="both"/>
        <w:rPr>
          <w:rFonts w:ascii="Book Antiqua" w:hAnsi="Book Antiqua" w:cs="Arial"/>
        </w:rPr>
      </w:pPr>
    </w:p>
    <w:p w14:paraId="140E495A" w14:textId="00AC121C" w:rsidR="00C734EF" w:rsidRDefault="00013425" w:rsidP="0045549E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</w:t>
      </w:r>
      <w:r w:rsidR="002052FE">
        <w:rPr>
          <w:rFonts w:ascii="Book Antiqua" w:hAnsi="Book Antiqua" w:cs="Arial"/>
        </w:rPr>
        <w:t>.</w:t>
      </w:r>
      <w:r w:rsidR="002052FE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Ms </w:t>
      </w:r>
      <w:r w:rsidR="001C21B8">
        <w:rPr>
          <w:rFonts w:ascii="Book Antiqua" w:hAnsi="Book Antiqua" w:cs="Arial"/>
        </w:rPr>
        <w:t>Hirst submitted a statement of case upon which she relied. I asked Mr Lindsay to respond</w:t>
      </w:r>
      <w:r w:rsidR="000B5F2B">
        <w:rPr>
          <w:rFonts w:ascii="Book Antiqua" w:hAnsi="Book Antiqua" w:cs="Arial"/>
        </w:rPr>
        <w:t xml:space="preserve"> to the submission</w:t>
      </w:r>
      <w:r w:rsidR="006F25BA">
        <w:rPr>
          <w:rFonts w:ascii="Book Antiqua" w:hAnsi="Book Antiqua" w:cs="Arial"/>
        </w:rPr>
        <w:t>s</w:t>
      </w:r>
      <w:r w:rsidR="000B5F2B">
        <w:rPr>
          <w:rFonts w:ascii="Book Antiqua" w:hAnsi="Book Antiqua" w:cs="Arial"/>
        </w:rPr>
        <w:t xml:space="preserve"> therein before hearing from Ms Hirst.</w:t>
      </w:r>
      <w:r w:rsidR="001C21B8">
        <w:rPr>
          <w:rFonts w:ascii="Book Antiqua" w:hAnsi="Book Antiqua" w:cs="Arial"/>
        </w:rPr>
        <w:t xml:space="preserve"> </w:t>
      </w:r>
      <w:r w:rsidR="00C734EF">
        <w:rPr>
          <w:rFonts w:ascii="Book Antiqua" w:hAnsi="Book Antiqua" w:cs="Arial"/>
        </w:rPr>
        <w:t>Mr Lindsay relied on the grounds and submitted</w:t>
      </w:r>
      <w:r w:rsidR="002B4622">
        <w:rPr>
          <w:rFonts w:ascii="Book Antiqua" w:hAnsi="Book Antiqua" w:cs="Arial"/>
        </w:rPr>
        <w:t xml:space="preserve"> </w:t>
      </w:r>
      <w:r w:rsidR="00B32BA6">
        <w:rPr>
          <w:rFonts w:ascii="Book Antiqua" w:hAnsi="Book Antiqua" w:cs="Arial"/>
        </w:rPr>
        <w:t xml:space="preserve">the Appellant’s antecedents were </w:t>
      </w:r>
      <w:r w:rsidR="00C90626">
        <w:rPr>
          <w:rFonts w:ascii="Book Antiqua" w:hAnsi="Book Antiqua" w:cs="Arial"/>
        </w:rPr>
        <w:t>accepted</w:t>
      </w:r>
      <w:r w:rsidR="00B32BA6">
        <w:rPr>
          <w:rFonts w:ascii="Book Antiqua" w:hAnsi="Book Antiqua" w:cs="Arial"/>
        </w:rPr>
        <w:t xml:space="preserve"> and </w:t>
      </w:r>
      <w:r w:rsidR="00C90626">
        <w:rPr>
          <w:rFonts w:ascii="Book Antiqua" w:hAnsi="Book Antiqua" w:cs="Arial"/>
        </w:rPr>
        <w:t>the lowest level of protection</w:t>
      </w:r>
      <w:r w:rsidR="00F52923">
        <w:rPr>
          <w:rFonts w:ascii="Book Antiqua" w:hAnsi="Book Antiqua" w:cs="Arial"/>
        </w:rPr>
        <w:t xml:space="preserve"> applied</w:t>
      </w:r>
      <w:r w:rsidR="00B32BA6">
        <w:rPr>
          <w:rFonts w:ascii="Book Antiqua" w:hAnsi="Book Antiqua" w:cs="Arial"/>
        </w:rPr>
        <w:t>.</w:t>
      </w:r>
      <w:r w:rsidR="00872357">
        <w:rPr>
          <w:rFonts w:ascii="Book Antiqua" w:hAnsi="Book Antiqua" w:cs="Arial"/>
        </w:rPr>
        <w:t xml:space="preserve"> The Appellant had a lengthy and serious criminal</w:t>
      </w:r>
      <w:r w:rsidR="00EE1B20">
        <w:rPr>
          <w:rFonts w:ascii="Book Antiqua" w:hAnsi="Book Antiqua" w:cs="Arial"/>
        </w:rPr>
        <w:t xml:space="preserve"> record including a serious sexual assault.</w:t>
      </w:r>
      <w:r w:rsidR="00AD025B">
        <w:rPr>
          <w:rFonts w:ascii="Book Antiqua" w:hAnsi="Book Antiqua" w:cs="Arial"/>
        </w:rPr>
        <w:t xml:space="preserve"> The Appellant had only been in the UK a few days before deportation proceedings were commenced. He was then detained.</w:t>
      </w:r>
      <w:r w:rsidR="008C1B11">
        <w:rPr>
          <w:rFonts w:ascii="Book Antiqua" w:hAnsi="Book Antiqua" w:cs="Arial"/>
        </w:rPr>
        <w:t xml:space="preserve"> The Appellant had not demonstrated that he would not re-offend </w:t>
      </w:r>
      <w:r w:rsidR="007D38E6">
        <w:rPr>
          <w:rFonts w:ascii="Book Antiqua" w:hAnsi="Book Antiqua" w:cs="Arial"/>
        </w:rPr>
        <w:t>and</w:t>
      </w:r>
      <w:r w:rsidR="00FC44C9">
        <w:rPr>
          <w:rFonts w:ascii="Book Antiqua" w:hAnsi="Book Antiqua" w:cs="Arial"/>
        </w:rPr>
        <w:t>,</w:t>
      </w:r>
      <w:r w:rsidR="007D38E6">
        <w:rPr>
          <w:rFonts w:ascii="Book Antiqua" w:hAnsi="Book Antiqua" w:cs="Arial"/>
        </w:rPr>
        <w:t xml:space="preserve"> given the pattern and period of his previous offences</w:t>
      </w:r>
      <w:r w:rsidR="00FC44C9">
        <w:rPr>
          <w:rFonts w:ascii="Book Antiqua" w:hAnsi="Book Antiqua" w:cs="Arial"/>
        </w:rPr>
        <w:t>,</w:t>
      </w:r>
      <w:r w:rsidR="007D38E6">
        <w:rPr>
          <w:rFonts w:ascii="Book Antiqua" w:hAnsi="Book Antiqua" w:cs="Arial"/>
        </w:rPr>
        <w:t xml:space="preserve"> he </w:t>
      </w:r>
      <w:r w:rsidR="005D544B">
        <w:rPr>
          <w:rFonts w:ascii="Book Antiqua" w:hAnsi="Book Antiqua" w:cs="Arial"/>
        </w:rPr>
        <w:t>currently posed a sufficiently serious threat.</w:t>
      </w:r>
      <w:r w:rsidR="007E37D9">
        <w:rPr>
          <w:rFonts w:ascii="Book Antiqua" w:hAnsi="Book Antiqua" w:cs="Arial"/>
        </w:rPr>
        <w:t xml:space="preserve"> </w:t>
      </w:r>
      <w:r w:rsidR="007E37D9">
        <w:rPr>
          <w:rFonts w:ascii="Book Antiqua" w:hAnsi="Book Antiqua" w:cs="Arial"/>
        </w:rPr>
        <w:lastRenderedPageBreak/>
        <w:t>The judge erred in law in failing to appreciate the Appellant</w:t>
      </w:r>
      <w:r w:rsidR="00303D9E">
        <w:rPr>
          <w:rFonts w:ascii="Book Antiqua" w:hAnsi="Book Antiqua" w:cs="Arial"/>
        </w:rPr>
        <w:t xml:space="preserve"> was a persistent offender </w:t>
      </w:r>
      <w:r w:rsidR="0045549E">
        <w:rPr>
          <w:rFonts w:ascii="Book Antiqua" w:hAnsi="Book Antiqua" w:cs="Arial"/>
        </w:rPr>
        <w:t xml:space="preserve">and failed to consider the </w:t>
      </w:r>
      <w:r w:rsidR="007E37D9">
        <w:rPr>
          <w:rFonts w:ascii="Book Antiqua" w:hAnsi="Book Antiqua" w:cs="Arial"/>
        </w:rPr>
        <w:t>pattern</w:t>
      </w:r>
      <w:r w:rsidR="0045549E">
        <w:rPr>
          <w:rFonts w:ascii="Book Antiqua" w:hAnsi="Book Antiqua" w:cs="Arial"/>
        </w:rPr>
        <w:t xml:space="preserve"> and serious nature of his</w:t>
      </w:r>
      <w:r w:rsidR="007E37D9">
        <w:rPr>
          <w:rFonts w:ascii="Book Antiqua" w:hAnsi="Book Antiqua" w:cs="Arial"/>
        </w:rPr>
        <w:t xml:space="preserve"> offending</w:t>
      </w:r>
      <w:r w:rsidR="0045549E">
        <w:rPr>
          <w:rFonts w:ascii="Book Antiqua" w:hAnsi="Book Antiqua" w:cs="Arial"/>
        </w:rPr>
        <w:t xml:space="preserve"> behaviour.</w:t>
      </w:r>
      <w:r w:rsidR="009E762C">
        <w:rPr>
          <w:rFonts w:ascii="Book Antiqua" w:hAnsi="Book Antiqua" w:cs="Arial"/>
        </w:rPr>
        <w:t xml:space="preserve"> </w:t>
      </w:r>
    </w:p>
    <w:p w14:paraId="51E37945" w14:textId="1EB01FEA" w:rsidR="0045549E" w:rsidRDefault="0045549E" w:rsidP="0045549E">
      <w:pPr>
        <w:ind w:left="567" w:hanging="567"/>
        <w:jc w:val="both"/>
        <w:rPr>
          <w:rFonts w:ascii="Book Antiqua" w:hAnsi="Book Antiqua" w:cs="Arial"/>
        </w:rPr>
      </w:pPr>
    </w:p>
    <w:p w14:paraId="65C5114C" w14:textId="0814C722" w:rsidR="0045549E" w:rsidRDefault="0045549E" w:rsidP="0045549E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</w:r>
      <w:r w:rsidR="009E762C">
        <w:rPr>
          <w:rFonts w:ascii="Book Antiqua" w:hAnsi="Book Antiqua" w:cs="Arial"/>
        </w:rPr>
        <w:t xml:space="preserve">The Appellant was at medium risk of re-offending. </w:t>
      </w:r>
      <w:r w:rsidR="00C13148">
        <w:rPr>
          <w:rFonts w:ascii="Book Antiqua" w:hAnsi="Book Antiqua" w:cs="Arial"/>
        </w:rPr>
        <w:t>The protective factors referred to by the judge had not prevented him from offending in the past</w:t>
      </w:r>
      <w:r w:rsidR="008B3B72">
        <w:rPr>
          <w:rFonts w:ascii="Book Antiqua" w:hAnsi="Book Antiqua" w:cs="Arial"/>
        </w:rPr>
        <w:t xml:space="preserve">. The judge failed to consider the </w:t>
      </w:r>
      <w:r w:rsidR="008661E4">
        <w:rPr>
          <w:rFonts w:ascii="Book Antiqua" w:hAnsi="Book Antiqua" w:cs="Arial"/>
        </w:rPr>
        <w:t>serious harm to the public if the Appellant re-offends. Had he done so he would have concluded the Appellant was a genuine, present and sufficiently serious threat.</w:t>
      </w:r>
      <w:r w:rsidR="00352A39">
        <w:rPr>
          <w:rFonts w:ascii="Book Antiqua" w:hAnsi="Book Antiqua" w:cs="Arial"/>
        </w:rPr>
        <w:t xml:space="preserve"> </w:t>
      </w:r>
    </w:p>
    <w:p w14:paraId="2028055F" w14:textId="3A62D2D2" w:rsidR="00352A39" w:rsidRDefault="00352A39" w:rsidP="0045549E">
      <w:pPr>
        <w:ind w:left="567" w:hanging="567"/>
        <w:jc w:val="both"/>
        <w:rPr>
          <w:rFonts w:ascii="Book Antiqua" w:hAnsi="Book Antiqua" w:cs="Arial"/>
        </w:rPr>
      </w:pPr>
    </w:p>
    <w:p w14:paraId="7C3E9CCD" w14:textId="503B4488" w:rsidR="00352A39" w:rsidRDefault="00352A39" w:rsidP="0045549E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7.</w:t>
      </w:r>
      <w:r>
        <w:rPr>
          <w:rFonts w:ascii="Book Antiqua" w:hAnsi="Book Antiqua" w:cs="Arial"/>
        </w:rPr>
        <w:tab/>
        <w:t>Mr Lindsay submitted the judge did not engage with paragraph 2 of Schedule 1.</w:t>
      </w:r>
      <w:r w:rsidR="006201BC">
        <w:rPr>
          <w:rFonts w:ascii="Book Antiqua" w:hAnsi="Book Antiqua" w:cs="Arial"/>
        </w:rPr>
        <w:t xml:space="preserve"> Further, the judge ma</w:t>
      </w:r>
      <w:r w:rsidR="00D51886">
        <w:rPr>
          <w:rFonts w:ascii="Book Antiqua" w:hAnsi="Book Antiqua" w:cs="Arial"/>
        </w:rPr>
        <w:t>de</w:t>
      </w:r>
      <w:r w:rsidR="006201BC">
        <w:rPr>
          <w:rFonts w:ascii="Book Antiqua" w:hAnsi="Book Antiqua" w:cs="Arial"/>
        </w:rPr>
        <w:t xml:space="preserve"> no record of the Appellant’s convictions for dishonesty offences</w:t>
      </w:r>
      <w:r w:rsidR="00350F59">
        <w:rPr>
          <w:rFonts w:ascii="Book Antiqua" w:hAnsi="Book Antiqua" w:cs="Arial"/>
        </w:rPr>
        <w:t xml:space="preserve"> and fail</w:t>
      </w:r>
      <w:r w:rsidR="00782D7C">
        <w:rPr>
          <w:rFonts w:ascii="Book Antiqua" w:hAnsi="Book Antiqua" w:cs="Arial"/>
        </w:rPr>
        <w:t>ed</w:t>
      </w:r>
      <w:r w:rsidR="00350F59">
        <w:rPr>
          <w:rFonts w:ascii="Book Antiqua" w:hAnsi="Book Antiqua" w:cs="Arial"/>
        </w:rPr>
        <w:t xml:space="preserve"> to demonstrate he ha</w:t>
      </w:r>
      <w:r w:rsidR="00782D7C">
        <w:rPr>
          <w:rFonts w:ascii="Book Antiqua" w:hAnsi="Book Antiqua" w:cs="Arial"/>
        </w:rPr>
        <w:t>d</w:t>
      </w:r>
      <w:r w:rsidR="00350F59">
        <w:rPr>
          <w:rFonts w:ascii="Book Antiqua" w:hAnsi="Book Antiqua" w:cs="Arial"/>
        </w:rPr>
        <w:t xml:space="preserve"> taken them into account in finding the Appellant was a credible witness.</w:t>
      </w:r>
    </w:p>
    <w:p w14:paraId="1BCE392C" w14:textId="5173FE96" w:rsidR="007D6D02" w:rsidRDefault="007D6D02" w:rsidP="0045549E">
      <w:pPr>
        <w:ind w:left="567" w:hanging="567"/>
        <w:jc w:val="both"/>
        <w:rPr>
          <w:rFonts w:ascii="Book Antiqua" w:hAnsi="Book Antiqua" w:cs="Arial"/>
        </w:rPr>
      </w:pPr>
    </w:p>
    <w:p w14:paraId="69FAA3C5" w14:textId="24B06C30" w:rsidR="007D6D02" w:rsidRDefault="007D6D02" w:rsidP="0045549E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8.</w:t>
      </w:r>
      <w:r>
        <w:rPr>
          <w:rFonts w:ascii="Book Antiqua" w:hAnsi="Book Antiqua" w:cs="Arial"/>
        </w:rPr>
        <w:tab/>
        <w:t>Ms Hirst submitted there was no error of law in the judge’s decision and the grounds</w:t>
      </w:r>
      <w:r w:rsidR="00F05F44">
        <w:rPr>
          <w:rFonts w:ascii="Book Antiqua" w:hAnsi="Book Antiqua" w:cs="Arial"/>
        </w:rPr>
        <w:t xml:space="preserve"> amounted to disagreements with the judge’s findings</w:t>
      </w:r>
      <w:r w:rsidR="00490766">
        <w:rPr>
          <w:rFonts w:ascii="Book Antiqua" w:hAnsi="Book Antiqua" w:cs="Arial"/>
        </w:rPr>
        <w:t xml:space="preserve">. The burden was on the Respondent to show that the Appellant was a sufficiently serious </w:t>
      </w:r>
      <w:r w:rsidR="00F93660">
        <w:rPr>
          <w:rFonts w:ascii="Book Antiqua" w:hAnsi="Book Antiqua" w:cs="Arial"/>
        </w:rPr>
        <w:t xml:space="preserve">threat </w:t>
      </w:r>
      <w:r w:rsidR="0095727A">
        <w:rPr>
          <w:rFonts w:ascii="Book Antiqua" w:hAnsi="Book Antiqua" w:cs="Arial"/>
        </w:rPr>
        <w:t>and the Re</w:t>
      </w:r>
      <w:r w:rsidR="00F93660">
        <w:rPr>
          <w:rFonts w:ascii="Book Antiqua" w:hAnsi="Book Antiqua" w:cs="Arial"/>
        </w:rPr>
        <w:t>s</w:t>
      </w:r>
      <w:r w:rsidR="0095727A">
        <w:rPr>
          <w:rFonts w:ascii="Book Antiqua" w:hAnsi="Book Antiqua" w:cs="Arial"/>
        </w:rPr>
        <w:t>pondent had failed to demonstrate th</w:t>
      </w:r>
      <w:r w:rsidR="00F93660">
        <w:rPr>
          <w:rFonts w:ascii="Book Antiqua" w:hAnsi="Book Antiqua" w:cs="Arial"/>
        </w:rPr>
        <w:t>at threshold had been met</w:t>
      </w:r>
      <w:r w:rsidR="00490766">
        <w:rPr>
          <w:rFonts w:ascii="Book Antiqua" w:hAnsi="Book Antiqua" w:cs="Arial"/>
        </w:rPr>
        <w:t>.</w:t>
      </w:r>
      <w:r w:rsidR="00CC68D3">
        <w:rPr>
          <w:rFonts w:ascii="Book Antiqua" w:hAnsi="Book Antiqua" w:cs="Arial"/>
        </w:rPr>
        <w:t xml:space="preserve"> The Appellant’s previous convictions in themselves w</w:t>
      </w:r>
      <w:r w:rsidR="00F11356">
        <w:rPr>
          <w:rFonts w:ascii="Book Antiqua" w:hAnsi="Book Antiqua" w:cs="Arial"/>
        </w:rPr>
        <w:t>ere</w:t>
      </w:r>
      <w:r w:rsidR="00CC68D3">
        <w:rPr>
          <w:rFonts w:ascii="Book Antiqua" w:hAnsi="Book Antiqua" w:cs="Arial"/>
        </w:rPr>
        <w:t xml:space="preserve"> not sufficient.</w:t>
      </w:r>
      <w:r w:rsidR="00490766">
        <w:rPr>
          <w:rFonts w:ascii="Book Antiqua" w:hAnsi="Book Antiqua" w:cs="Arial"/>
        </w:rPr>
        <w:t xml:space="preserve"> </w:t>
      </w:r>
      <w:r w:rsidR="001D4663">
        <w:rPr>
          <w:rFonts w:ascii="Book Antiqua" w:hAnsi="Book Antiqua" w:cs="Arial"/>
        </w:rPr>
        <w:t>The</w:t>
      </w:r>
      <w:r w:rsidR="00F93660">
        <w:rPr>
          <w:rFonts w:ascii="Book Antiqua" w:hAnsi="Book Antiqua" w:cs="Arial"/>
        </w:rPr>
        <w:t xml:space="preserve"> judge considered the</w:t>
      </w:r>
      <w:r w:rsidR="001D4663">
        <w:rPr>
          <w:rFonts w:ascii="Book Antiqua" w:hAnsi="Book Antiqua" w:cs="Arial"/>
        </w:rPr>
        <w:t xml:space="preserve"> evidence</w:t>
      </w:r>
      <w:r w:rsidR="00F93660">
        <w:rPr>
          <w:rFonts w:ascii="Book Antiqua" w:hAnsi="Book Antiqua" w:cs="Arial"/>
        </w:rPr>
        <w:t xml:space="preserve"> in the round and her conclusions were open to her on the evidence before her.</w:t>
      </w:r>
      <w:r w:rsidR="001D4663">
        <w:rPr>
          <w:rFonts w:ascii="Book Antiqua" w:hAnsi="Book Antiqua" w:cs="Arial"/>
        </w:rPr>
        <w:t xml:space="preserve"> </w:t>
      </w:r>
    </w:p>
    <w:p w14:paraId="1968A3EF" w14:textId="3B18E2BF" w:rsidR="00C734EF" w:rsidRDefault="00C734EF" w:rsidP="000B5F2B">
      <w:pPr>
        <w:ind w:left="567" w:hanging="567"/>
        <w:jc w:val="both"/>
        <w:rPr>
          <w:rFonts w:ascii="Book Antiqua" w:hAnsi="Book Antiqua" w:cs="Calibri"/>
          <w:lang w:eastAsia="ja-JP"/>
        </w:rPr>
      </w:pPr>
    </w:p>
    <w:p w14:paraId="76534CD7" w14:textId="0791CBB0" w:rsidR="00397039" w:rsidRDefault="00385327" w:rsidP="000B5F2B">
      <w:pPr>
        <w:ind w:left="567" w:hanging="567"/>
        <w:jc w:val="both"/>
        <w:rPr>
          <w:rFonts w:ascii="Book Antiqua" w:hAnsi="Book Antiqua" w:cs="Calibri"/>
          <w:lang w:eastAsia="ja-JP"/>
        </w:rPr>
      </w:pPr>
      <w:r>
        <w:rPr>
          <w:rFonts w:ascii="Book Antiqua" w:hAnsi="Book Antiqua" w:cs="Calibri"/>
          <w:lang w:eastAsia="ja-JP"/>
        </w:rPr>
        <w:t>9.</w:t>
      </w:r>
      <w:r>
        <w:rPr>
          <w:rFonts w:ascii="Book Antiqua" w:hAnsi="Book Antiqua" w:cs="Calibri"/>
          <w:lang w:eastAsia="ja-JP"/>
        </w:rPr>
        <w:tab/>
        <w:t xml:space="preserve">There was a very detailed </w:t>
      </w:r>
      <w:r w:rsidR="00E75072">
        <w:rPr>
          <w:rFonts w:ascii="Book Antiqua" w:hAnsi="Book Antiqua" w:cs="Calibri"/>
          <w:lang w:eastAsia="ja-JP"/>
        </w:rPr>
        <w:t xml:space="preserve">clinical </w:t>
      </w:r>
      <w:r>
        <w:rPr>
          <w:rFonts w:ascii="Book Antiqua" w:hAnsi="Book Antiqua" w:cs="Calibri"/>
          <w:lang w:eastAsia="ja-JP"/>
        </w:rPr>
        <w:t>risk assessment by an independent psyc</w:t>
      </w:r>
      <w:r w:rsidR="00DC77C0">
        <w:rPr>
          <w:rFonts w:ascii="Book Antiqua" w:hAnsi="Book Antiqua" w:cs="Calibri"/>
          <w:lang w:eastAsia="ja-JP"/>
        </w:rPr>
        <w:t>h</w:t>
      </w:r>
      <w:r>
        <w:rPr>
          <w:rFonts w:ascii="Book Antiqua" w:hAnsi="Book Antiqua" w:cs="Calibri"/>
          <w:lang w:eastAsia="ja-JP"/>
        </w:rPr>
        <w:t>ologist, Mr Cordwell</w:t>
      </w:r>
      <w:r w:rsidR="00E75072">
        <w:rPr>
          <w:rFonts w:ascii="Book Antiqua" w:hAnsi="Book Antiqua" w:cs="Calibri"/>
          <w:lang w:eastAsia="ja-JP"/>
        </w:rPr>
        <w:t>, which identified protective</w:t>
      </w:r>
      <w:r w:rsidR="00035E43">
        <w:rPr>
          <w:rFonts w:ascii="Book Antiqua" w:hAnsi="Book Antiqua" w:cs="Calibri"/>
          <w:lang w:eastAsia="ja-JP"/>
        </w:rPr>
        <w:t xml:space="preserve"> factors and the lack of offending since the Appellant came to the UK.</w:t>
      </w:r>
      <w:r w:rsidR="003E3E2E">
        <w:rPr>
          <w:rFonts w:ascii="Book Antiqua" w:hAnsi="Book Antiqua" w:cs="Calibri"/>
          <w:lang w:eastAsia="ja-JP"/>
        </w:rPr>
        <w:t xml:space="preserve"> </w:t>
      </w:r>
      <w:r w:rsidR="00D677F8">
        <w:rPr>
          <w:rFonts w:ascii="Book Antiqua" w:hAnsi="Book Antiqua" w:cs="Calibri"/>
          <w:lang w:eastAsia="ja-JP"/>
        </w:rPr>
        <w:t>The judge took into account S</w:t>
      </w:r>
      <w:r w:rsidR="003E3E2E">
        <w:rPr>
          <w:rFonts w:ascii="Book Antiqua" w:hAnsi="Book Antiqua" w:cs="Calibri"/>
          <w:lang w:eastAsia="ja-JP"/>
        </w:rPr>
        <w:t>chedule 1</w:t>
      </w:r>
      <w:r w:rsidR="00553A3C">
        <w:rPr>
          <w:rFonts w:ascii="Book Antiqua" w:hAnsi="Book Antiqua" w:cs="Calibri"/>
          <w:lang w:eastAsia="ja-JP"/>
        </w:rPr>
        <w:t xml:space="preserve"> and was entitled to rely on the expert opinion that the Appellant’s medium risk of offending was reduced by </w:t>
      </w:r>
      <w:r w:rsidR="004777F9">
        <w:rPr>
          <w:rFonts w:ascii="Book Antiqua" w:hAnsi="Book Antiqua" w:cs="Calibri"/>
          <w:lang w:eastAsia="ja-JP"/>
        </w:rPr>
        <w:t>protective factors</w:t>
      </w:r>
      <w:r w:rsidR="006A3B0D">
        <w:rPr>
          <w:rFonts w:ascii="Book Antiqua" w:hAnsi="Book Antiqua" w:cs="Calibri"/>
          <w:lang w:eastAsia="ja-JP"/>
        </w:rPr>
        <w:t xml:space="preserve">. The judge considered the Appellant’s </w:t>
      </w:r>
      <w:r w:rsidR="005B45B1">
        <w:rPr>
          <w:rFonts w:ascii="Book Antiqua" w:hAnsi="Book Antiqua" w:cs="Calibri"/>
          <w:lang w:eastAsia="ja-JP"/>
        </w:rPr>
        <w:t>ackno</w:t>
      </w:r>
      <w:r w:rsidR="00CC5AF7">
        <w:rPr>
          <w:rFonts w:ascii="Book Antiqua" w:hAnsi="Book Antiqua" w:cs="Calibri"/>
          <w:lang w:eastAsia="ja-JP"/>
        </w:rPr>
        <w:t xml:space="preserve">wledgment of the factors which put him at risk of reoffending and his </w:t>
      </w:r>
      <w:r w:rsidR="006A3B0D">
        <w:rPr>
          <w:rFonts w:ascii="Book Antiqua" w:hAnsi="Book Antiqua" w:cs="Calibri"/>
          <w:lang w:eastAsia="ja-JP"/>
        </w:rPr>
        <w:t xml:space="preserve">expressed intention that he </w:t>
      </w:r>
      <w:r w:rsidR="00141638">
        <w:rPr>
          <w:rFonts w:ascii="Book Antiqua" w:hAnsi="Book Antiqua" w:cs="Calibri"/>
          <w:lang w:eastAsia="ja-JP"/>
        </w:rPr>
        <w:t xml:space="preserve">would not re-offend. The Appellant </w:t>
      </w:r>
      <w:r w:rsidR="00285645">
        <w:rPr>
          <w:rFonts w:ascii="Book Antiqua" w:hAnsi="Book Antiqua" w:cs="Calibri"/>
          <w:lang w:eastAsia="ja-JP"/>
        </w:rPr>
        <w:t xml:space="preserve">was prevented from working and was in serious financial difficulties, but he had </w:t>
      </w:r>
      <w:r w:rsidR="0005042F">
        <w:rPr>
          <w:rFonts w:ascii="Book Antiqua" w:hAnsi="Book Antiqua" w:cs="Calibri"/>
          <w:lang w:eastAsia="ja-JP"/>
        </w:rPr>
        <w:t xml:space="preserve">not </w:t>
      </w:r>
      <w:r w:rsidR="00DD5639">
        <w:rPr>
          <w:rFonts w:ascii="Book Antiqua" w:hAnsi="Book Antiqua" w:cs="Calibri"/>
          <w:lang w:eastAsia="ja-JP"/>
        </w:rPr>
        <w:t xml:space="preserve">resorted to acquisitive offending, notwithstanding </w:t>
      </w:r>
      <w:r w:rsidR="0005042F">
        <w:rPr>
          <w:rFonts w:ascii="Book Antiqua" w:hAnsi="Book Antiqua" w:cs="Calibri"/>
          <w:lang w:eastAsia="ja-JP"/>
        </w:rPr>
        <w:t xml:space="preserve">his </w:t>
      </w:r>
      <w:r w:rsidR="00DD5639">
        <w:rPr>
          <w:rFonts w:ascii="Book Antiqua" w:hAnsi="Book Antiqua" w:cs="Calibri"/>
          <w:lang w:eastAsia="ja-JP"/>
        </w:rPr>
        <w:t>numerous convictions for theft. The judge properly assessed the risk of re-offen</w:t>
      </w:r>
      <w:r w:rsidR="00264C97">
        <w:rPr>
          <w:rFonts w:ascii="Book Antiqua" w:hAnsi="Book Antiqua" w:cs="Calibri"/>
          <w:lang w:eastAsia="ja-JP"/>
        </w:rPr>
        <w:t>ding at the date of hearing.</w:t>
      </w:r>
      <w:r w:rsidR="00DD5639">
        <w:rPr>
          <w:rFonts w:ascii="Book Antiqua" w:hAnsi="Book Antiqua" w:cs="Calibri"/>
          <w:lang w:eastAsia="ja-JP"/>
        </w:rPr>
        <w:t xml:space="preserve"> </w:t>
      </w:r>
      <w:r w:rsidR="00A54972">
        <w:rPr>
          <w:rFonts w:ascii="Book Antiqua" w:hAnsi="Book Antiqua" w:cs="Calibri"/>
          <w:lang w:eastAsia="ja-JP"/>
        </w:rPr>
        <w:t>The focus of the decision to deport was the</w:t>
      </w:r>
      <w:r w:rsidR="007C14AE">
        <w:rPr>
          <w:rFonts w:ascii="Book Antiqua" w:hAnsi="Book Antiqua" w:cs="Calibri"/>
          <w:lang w:eastAsia="ja-JP"/>
        </w:rPr>
        <w:t xml:space="preserve"> commission of</w:t>
      </w:r>
      <w:r w:rsidR="00A54972">
        <w:rPr>
          <w:rFonts w:ascii="Book Antiqua" w:hAnsi="Book Antiqua" w:cs="Calibri"/>
          <w:lang w:eastAsia="ja-JP"/>
        </w:rPr>
        <w:t xml:space="preserve"> serious </w:t>
      </w:r>
      <w:r w:rsidR="007C14AE">
        <w:rPr>
          <w:rFonts w:ascii="Book Antiqua" w:hAnsi="Book Antiqua" w:cs="Calibri"/>
          <w:lang w:eastAsia="ja-JP"/>
        </w:rPr>
        <w:t>criminal</w:t>
      </w:r>
      <w:r w:rsidR="002D7DCE">
        <w:rPr>
          <w:rFonts w:ascii="Book Antiqua" w:hAnsi="Book Antiqua" w:cs="Calibri"/>
          <w:lang w:eastAsia="ja-JP"/>
        </w:rPr>
        <w:t xml:space="preserve"> of</w:t>
      </w:r>
      <w:r w:rsidR="007C14AE">
        <w:rPr>
          <w:rFonts w:ascii="Book Antiqua" w:hAnsi="Book Antiqua" w:cs="Calibri"/>
          <w:lang w:eastAsia="ja-JP"/>
        </w:rPr>
        <w:t xml:space="preserve">fences </w:t>
      </w:r>
      <w:r w:rsidR="0090378A">
        <w:rPr>
          <w:rFonts w:ascii="Book Antiqua" w:hAnsi="Book Antiqua" w:cs="Calibri"/>
          <w:lang w:eastAsia="ja-JP"/>
        </w:rPr>
        <w:t>and there was no point taken on the Appellant’s credibility at the hearing.</w:t>
      </w:r>
      <w:r w:rsidR="00397039">
        <w:rPr>
          <w:rFonts w:ascii="Book Antiqua" w:hAnsi="Book Antiqua" w:cs="Calibri"/>
          <w:lang w:eastAsia="ja-JP"/>
        </w:rPr>
        <w:t xml:space="preserve"> There was no error of law in the judge’s decision to allow the appeal.</w:t>
      </w:r>
    </w:p>
    <w:p w14:paraId="289E4828" w14:textId="53B3FC7E" w:rsidR="008526E9" w:rsidRPr="00384395" w:rsidRDefault="002D7DCE" w:rsidP="00384395">
      <w:pPr>
        <w:ind w:left="567" w:hanging="567"/>
        <w:jc w:val="both"/>
        <w:rPr>
          <w:rFonts w:ascii="Book Antiqua" w:hAnsi="Book Antiqua" w:cs="Calibri"/>
          <w:lang w:eastAsia="ja-JP"/>
        </w:rPr>
      </w:pPr>
      <w:r>
        <w:rPr>
          <w:rFonts w:ascii="Book Antiqua" w:hAnsi="Book Antiqua" w:cs="Calibri"/>
          <w:lang w:eastAsia="ja-JP"/>
        </w:rPr>
        <w:t xml:space="preserve"> </w:t>
      </w:r>
    </w:p>
    <w:p w14:paraId="158FFC9E" w14:textId="6132F53D" w:rsidR="005E2775" w:rsidRDefault="008526E9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Conclusions and reasons</w:t>
      </w:r>
    </w:p>
    <w:p w14:paraId="5F886029" w14:textId="77777777" w:rsidR="00153A4F" w:rsidRDefault="00153A4F" w:rsidP="00265B39">
      <w:pPr>
        <w:ind w:left="567" w:hanging="567"/>
        <w:jc w:val="both"/>
        <w:rPr>
          <w:rFonts w:ascii="Book Antiqua" w:hAnsi="Book Antiqua" w:cs="Arial"/>
        </w:rPr>
      </w:pPr>
    </w:p>
    <w:p w14:paraId="11EF056A" w14:textId="26A0CD8F" w:rsidR="00A223F4" w:rsidRDefault="007A7B46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10.</w:t>
      </w:r>
      <w:r>
        <w:rPr>
          <w:rFonts w:ascii="Book Antiqua" w:hAnsi="Book Antiqua" w:cs="Arial"/>
        </w:rPr>
        <w:tab/>
      </w:r>
      <w:r w:rsidR="00AC1C16">
        <w:rPr>
          <w:rFonts w:ascii="Book Antiqua" w:hAnsi="Book Antiqua" w:cs="Arial"/>
        </w:rPr>
        <w:t>It is apparent from par</w:t>
      </w:r>
      <w:r w:rsidR="00852654">
        <w:rPr>
          <w:rFonts w:ascii="Book Antiqua" w:hAnsi="Book Antiqua" w:cs="Arial"/>
        </w:rPr>
        <w:t>agraph</w:t>
      </w:r>
      <w:r w:rsidR="006476F5">
        <w:rPr>
          <w:rFonts w:ascii="Book Antiqua" w:hAnsi="Book Antiqua" w:cs="Arial"/>
        </w:rPr>
        <w:t>s 14</w:t>
      </w:r>
      <w:r w:rsidR="00CE04BE">
        <w:rPr>
          <w:rFonts w:ascii="Book Antiqua" w:hAnsi="Book Antiqua" w:cs="Arial"/>
        </w:rPr>
        <w:t>, 36</w:t>
      </w:r>
      <w:r w:rsidR="00532F07">
        <w:rPr>
          <w:rFonts w:ascii="Book Antiqua" w:hAnsi="Book Antiqua" w:cs="Arial"/>
        </w:rPr>
        <w:t xml:space="preserve"> and 37 that the judge</w:t>
      </w:r>
      <w:r w:rsidR="00852654">
        <w:rPr>
          <w:rFonts w:ascii="Book Antiqua" w:hAnsi="Book Antiqua" w:cs="Arial"/>
        </w:rPr>
        <w:t xml:space="preserve"> </w:t>
      </w:r>
      <w:r w:rsidR="003A69E1">
        <w:rPr>
          <w:rFonts w:ascii="Book Antiqua" w:hAnsi="Book Antiqua" w:cs="Arial"/>
        </w:rPr>
        <w:t>considered the Appellant’s conviction for sexual a</w:t>
      </w:r>
      <w:r w:rsidR="007A1173">
        <w:rPr>
          <w:rFonts w:ascii="Book Antiqua" w:hAnsi="Book Antiqua" w:cs="Arial"/>
        </w:rPr>
        <w:t>ssault</w:t>
      </w:r>
      <w:r w:rsidR="00EC75EC">
        <w:rPr>
          <w:rFonts w:ascii="Book Antiqua" w:hAnsi="Book Antiqua" w:cs="Arial"/>
        </w:rPr>
        <w:t xml:space="preserve"> and the serious </w:t>
      </w:r>
      <w:r w:rsidR="007935B9">
        <w:rPr>
          <w:rFonts w:ascii="Book Antiqua" w:hAnsi="Book Antiqua" w:cs="Arial"/>
        </w:rPr>
        <w:t>consequences should the Appellant re-offend. The judge was entitled to rely on the opinion of Mr Cordwell</w:t>
      </w:r>
      <w:r w:rsidR="002A0630">
        <w:rPr>
          <w:rFonts w:ascii="Book Antiqua" w:hAnsi="Book Antiqua" w:cs="Arial"/>
        </w:rPr>
        <w:t>, the Respondent having produced no evidence to contradict it,</w:t>
      </w:r>
      <w:r w:rsidR="007935B9">
        <w:rPr>
          <w:rFonts w:ascii="Book Antiqua" w:hAnsi="Book Antiqua" w:cs="Arial"/>
        </w:rPr>
        <w:t xml:space="preserve"> that the</w:t>
      </w:r>
      <w:r w:rsidR="00F124C0">
        <w:rPr>
          <w:rFonts w:ascii="Book Antiqua" w:hAnsi="Book Antiqua" w:cs="Arial"/>
        </w:rPr>
        <w:t xml:space="preserve"> Appellant</w:t>
      </w:r>
      <w:r w:rsidR="00752A54">
        <w:rPr>
          <w:rFonts w:ascii="Book Antiqua" w:hAnsi="Book Antiqua" w:cs="Arial"/>
        </w:rPr>
        <w:t xml:space="preserve"> did not have any overt or entrenched attitudes or beliefs supportive of </w:t>
      </w:r>
      <w:r w:rsidR="006D3484">
        <w:rPr>
          <w:rFonts w:ascii="Book Antiqua" w:hAnsi="Book Antiqua" w:cs="Arial"/>
        </w:rPr>
        <w:t xml:space="preserve">sexual activity with a child or non-consenting or aggressive sexual </w:t>
      </w:r>
      <w:r w:rsidR="00A0222B">
        <w:rPr>
          <w:rFonts w:ascii="Book Antiqua" w:hAnsi="Book Antiqua" w:cs="Arial"/>
        </w:rPr>
        <w:t xml:space="preserve">activity. </w:t>
      </w:r>
      <w:r w:rsidR="00F65014">
        <w:rPr>
          <w:rFonts w:ascii="Book Antiqua" w:hAnsi="Book Antiqua" w:cs="Arial"/>
        </w:rPr>
        <w:t>It is a single offence of this nature which t</w:t>
      </w:r>
      <w:r w:rsidR="00A0222B">
        <w:rPr>
          <w:rFonts w:ascii="Book Antiqua" w:hAnsi="Book Antiqua" w:cs="Arial"/>
        </w:rPr>
        <w:t>he Appellant</w:t>
      </w:r>
      <w:r w:rsidR="002E34A9">
        <w:rPr>
          <w:rFonts w:ascii="Book Antiqua" w:hAnsi="Book Antiqua" w:cs="Arial"/>
        </w:rPr>
        <w:t xml:space="preserve"> committed over 12 years ago</w:t>
      </w:r>
      <w:r w:rsidR="00F65014">
        <w:rPr>
          <w:rFonts w:ascii="Book Antiqua" w:hAnsi="Book Antiqua" w:cs="Arial"/>
        </w:rPr>
        <w:t>.</w:t>
      </w:r>
      <w:r w:rsidR="003A4191">
        <w:rPr>
          <w:rFonts w:ascii="Book Antiqua" w:hAnsi="Book Antiqua" w:cs="Arial"/>
        </w:rPr>
        <w:t xml:space="preserve"> </w:t>
      </w:r>
      <w:r w:rsidR="00CC3539">
        <w:rPr>
          <w:rFonts w:ascii="Book Antiqua" w:hAnsi="Book Antiqua" w:cs="Arial"/>
        </w:rPr>
        <w:t>The judge was entitled to rely on Mr Cordwell’s opinion that the Appellant was at low ri</w:t>
      </w:r>
      <w:r w:rsidR="006361A9">
        <w:rPr>
          <w:rFonts w:ascii="Book Antiqua" w:hAnsi="Book Antiqua" w:cs="Arial"/>
        </w:rPr>
        <w:t>sk of violence or serious harm</w:t>
      </w:r>
      <w:r w:rsidR="00316C51">
        <w:rPr>
          <w:rFonts w:ascii="Book Antiqua" w:hAnsi="Book Antiqua" w:cs="Arial"/>
        </w:rPr>
        <w:t xml:space="preserve"> to others.</w:t>
      </w:r>
    </w:p>
    <w:p w14:paraId="7E232C44" w14:textId="77777777" w:rsidR="00A83C30" w:rsidRDefault="00A83C30" w:rsidP="00265B39">
      <w:pPr>
        <w:ind w:left="567" w:hanging="567"/>
        <w:jc w:val="both"/>
        <w:rPr>
          <w:rFonts w:ascii="Book Antiqua" w:hAnsi="Book Antiqua" w:cs="Arial"/>
        </w:rPr>
      </w:pPr>
    </w:p>
    <w:p w14:paraId="243F5A23" w14:textId="48FA068E" w:rsidR="007935B9" w:rsidRDefault="00A83C30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11.</w:t>
      </w:r>
      <w:r>
        <w:rPr>
          <w:rFonts w:ascii="Book Antiqua" w:hAnsi="Book Antiqua" w:cs="Arial"/>
        </w:rPr>
        <w:tab/>
        <w:t>I am not persuaded the</w:t>
      </w:r>
      <w:r w:rsidR="00A223F4">
        <w:rPr>
          <w:rFonts w:ascii="Book Antiqua" w:hAnsi="Book Antiqua" w:cs="Arial"/>
        </w:rPr>
        <w:t xml:space="preserve"> judge</w:t>
      </w:r>
      <w:r w:rsidR="00F124C0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wrongly focussed her attention on this offence and failed to </w:t>
      </w:r>
      <w:r w:rsidR="00E72A3E">
        <w:rPr>
          <w:rFonts w:ascii="Book Antiqua" w:hAnsi="Book Antiqua" w:cs="Arial"/>
        </w:rPr>
        <w:t>record the Appellant’s conviction</w:t>
      </w:r>
      <w:r w:rsidR="00475CF8">
        <w:rPr>
          <w:rFonts w:ascii="Book Antiqua" w:hAnsi="Book Antiqua" w:cs="Arial"/>
        </w:rPr>
        <w:t>s</w:t>
      </w:r>
      <w:r w:rsidR="00E72A3E">
        <w:rPr>
          <w:rFonts w:ascii="Book Antiqua" w:hAnsi="Book Antiqua" w:cs="Arial"/>
        </w:rPr>
        <w:t xml:space="preserve"> for dishonesty</w:t>
      </w:r>
      <w:r w:rsidR="00475CF8">
        <w:rPr>
          <w:rFonts w:ascii="Book Antiqua" w:hAnsi="Book Antiqua" w:cs="Arial"/>
        </w:rPr>
        <w:t>. The judge specifically refer</w:t>
      </w:r>
      <w:r w:rsidR="00D726AA">
        <w:rPr>
          <w:rFonts w:ascii="Book Antiqua" w:hAnsi="Book Antiqua" w:cs="Arial"/>
        </w:rPr>
        <w:t>red</w:t>
      </w:r>
      <w:r w:rsidR="00475CF8">
        <w:rPr>
          <w:rFonts w:ascii="Book Antiqua" w:hAnsi="Book Antiqua" w:cs="Arial"/>
        </w:rPr>
        <w:t xml:space="preserve"> to the</w:t>
      </w:r>
      <w:r w:rsidR="005F47F3">
        <w:rPr>
          <w:rFonts w:ascii="Book Antiqua" w:hAnsi="Book Antiqua" w:cs="Arial"/>
        </w:rPr>
        <w:t>se convictions at paragraph 34</w:t>
      </w:r>
      <w:r w:rsidR="00715FE7">
        <w:rPr>
          <w:rFonts w:ascii="Book Antiqua" w:hAnsi="Book Antiqua" w:cs="Arial"/>
        </w:rPr>
        <w:t xml:space="preserve"> and to the Appellant’s oral evidence </w:t>
      </w:r>
      <w:r w:rsidR="00834059">
        <w:rPr>
          <w:rFonts w:ascii="Book Antiqua" w:hAnsi="Book Antiqua" w:cs="Arial"/>
        </w:rPr>
        <w:t>relating to these convictions.</w:t>
      </w:r>
    </w:p>
    <w:p w14:paraId="36495297" w14:textId="35F245AB" w:rsidR="00834059" w:rsidRDefault="00834059" w:rsidP="00265B39">
      <w:pPr>
        <w:ind w:left="567" w:hanging="567"/>
        <w:jc w:val="both"/>
        <w:rPr>
          <w:rFonts w:ascii="Book Antiqua" w:hAnsi="Book Antiqua" w:cs="Arial"/>
        </w:rPr>
      </w:pPr>
    </w:p>
    <w:p w14:paraId="3D4C4FBF" w14:textId="73743212" w:rsidR="00CA23D8" w:rsidRDefault="00834059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12.</w:t>
      </w:r>
      <w:r w:rsidR="00BA3FDE">
        <w:rPr>
          <w:rFonts w:ascii="Book Antiqua" w:hAnsi="Book Antiqua" w:cs="Arial"/>
        </w:rPr>
        <w:tab/>
      </w:r>
      <w:r w:rsidR="005C03D6">
        <w:rPr>
          <w:rFonts w:ascii="Book Antiqua" w:hAnsi="Book Antiqua" w:cs="Arial"/>
        </w:rPr>
        <w:t xml:space="preserve">The evidence before the judge demonstrated that the Appellant had made a decision to come to the UK and remove himself from his criminal past. He had not offended since he arrived in the UK notwithstanding the financial </w:t>
      </w:r>
      <w:r w:rsidR="00974CD1">
        <w:rPr>
          <w:rFonts w:ascii="Book Antiqua" w:hAnsi="Book Antiqua" w:cs="Arial"/>
        </w:rPr>
        <w:t>hardship caused by his inability to obtain employment.</w:t>
      </w:r>
      <w:r w:rsidR="009E3304">
        <w:rPr>
          <w:rFonts w:ascii="Book Antiqua" w:hAnsi="Book Antiqua" w:cs="Arial"/>
        </w:rPr>
        <w:t xml:space="preserve"> </w:t>
      </w:r>
      <w:r w:rsidR="00974CD1">
        <w:rPr>
          <w:rFonts w:ascii="Book Antiqua" w:hAnsi="Book Antiqua" w:cs="Arial"/>
        </w:rPr>
        <w:t xml:space="preserve"> </w:t>
      </w:r>
    </w:p>
    <w:p w14:paraId="07DE0FD1" w14:textId="77777777" w:rsidR="00CA23D8" w:rsidRDefault="00CA23D8" w:rsidP="00265B39">
      <w:pPr>
        <w:ind w:left="567" w:hanging="567"/>
        <w:jc w:val="both"/>
        <w:rPr>
          <w:rFonts w:ascii="Book Antiqua" w:hAnsi="Book Antiqua" w:cs="Arial"/>
        </w:rPr>
      </w:pPr>
    </w:p>
    <w:p w14:paraId="2A6790A8" w14:textId="6286F0D8" w:rsidR="00834059" w:rsidRDefault="005540E9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13.</w:t>
      </w:r>
      <w:r>
        <w:rPr>
          <w:rFonts w:ascii="Book Antiqua" w:hAnsi="Book Antiqua" w:cs="Arial"/>
        </w:rPr>
        <w:tab/>
      </w:r>
      <w:r w:rsidR="00BA3FDE">
        <w:rPr>
          <w:rFonts w:ascii="Book Antiqua" w:hAnsi="Book Antiqua" w:cs="Arial"/>
        </w:rPr>
        <w:t xml:space="preserve">The judge’s finding that </w:t>
      </w:r>
      <w:r w:rsidR="005D4590">
        <w:rPr>
          <w:rFonts w:ascii="Book Antiqua" w:hAnsi="Book Antiqua" w:cs="Arial"/>
        </w:rPr>
        <w:t xml:space="preserve">the protective factors identified by Mr Cordwell reduced the Appellant’s risk of </w:t>
      </w:r>
      <w:r w:rsidR="002000BA">
        <w:rPr>
          <w:rFonts w:ascii="Book Antiqua" w:hAnsi="Book Antiqua" w:cs="Arial"/>
        </w:rPr>
        <w:t>re-offending was open to h</w:t>
      </w:r>
      <w:r w:rsidR="00BB1BEC">
        <w:rPr>
          <w:rFonts w:ascii="Book Antiqua" w:hAnsi="Book Antiqua" w:cs="Arial"/>
        </w:rPr>
        <w:t>er</w:t>
      </w:r>
      <w:r w:rsidR="002000BA">
        <w:rPr>
          <w:rFonts w:ascii="Book Antiqua" w:hAnsi="Book Antiqua" w:cs="Arial"/>
        </w:rPr>
        <w:t xml:space="preserve"> on the evidence before h</w:t>
      </w:r>
      <w:r w:rsidR="00BB1BEC">
        <w:rPr>
          <w:rFonts w:ascii="Book Antiqua" w:hAnsi="Book Antiqua" w:cs="Arial"/>
        </w:rPr>
        <w:t>er</w:t>
      </w:r>
      <w:r w:rsidR="002000BA">
        <w:rPr>
          <w:rFonts w:ascii="Book Antiqua" w:hAnsi="Book Antiqua" w:cs="Arial"/>
        </w:rPr>
        <w:t xml:space="preserve">. It is apparent from paragraph </w:t>
      </w:r>
      <w:r w:rsidR="006475E9">
        <w:rPr>
          <w:rFonts w:ascii="Book Antiqua" w:hAnsi="Book Antiqua" w:cs="Arial"/>
        </w:rPr>
        <w:t>41, that the</w:t>
      </w:r>
      <w:r w:rsidR="00B66AAC">
        <w:rPr>
          <w:rFonts w:ascii="Book Antiqua" w:hAnsi="Book Antiqua" w:cs="Arial"/>
        </w:rPr>
        <w:t xml:space="preserve"> judge </w:t>
      </w:r>
      <w:r w:rsidR="00FC4D8E">
        <w:rPr>
          <w:rFonts w:ascii="Book Antiqua" w:hAnsi="Book Antiqua" w:cs="Arial"/>
        </w:rPr>
        <w:t>acknowledged the</w:t>
      </w:r>
      <w:r w:rsidR="006475E9">
        <w:rPr>
          <w:rFonts w:ascii="Book Antiqua" w:hAnsi="Book Antiqua" w:cs="Arial"/>
        </w:rPr>
        <w:t xml:space="preserve"> Appellant continued to offend after he began his relationship with his current partner. However, </w:t>
      </w:r>
      <w:r w:rsidR="00FD289C">
        <w:rPr>
          <w:rFonts w:ascii="Book Antiqua" w:hAnsi="Book Antiqua" w:cs="Arial"/>
        </w:rPr>
        <w:t>h</w:t>
      </w:r>
      <w:r w:rsidR="002F29AE">
        <w:rPr>
          <w:rFonts w:ascii="Book Antiqua" w:hAnsi="Book Antiqua" w:cs="Arial"/>
        </w:rPr>
        <w:t xml:space="preserve">e has not offended since October 2017 and he had not offended since he joined her in the UK. </w:t>
      </w:r>
    </w:p>
    <w:p w14:paraId="48A10BBE" w14:textId="7D036800" w:rsidR="00397039" w:rsidRDefault="00397039" w:rsidP="00265B39">
      <w:pPr>
        <w:ind w:left="567" w:hanging="567"/>
        <w:jc w:val="both"/>
        <w:rPr>
          <w:rFonts w:ascii="Book Antiqua" w:hAnsi="Book Antiqua" w:cs="Arial"/>
        </w:rPr>
      </w:pPr>
    </w:p>
    <w:p w14:paraId="0BE7B4A9" w14:textId="71509A4A" w:rsidR="00396033" w:rsidRDefault="005540E9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14.</w:t>
      </w:r>
      <w:r>
        <w:rPr>
          <w:rFonts w:ascii="Book Antiqua" w:hAnsi="Book Antiqua" w:cs="Arial"/>
        </w:rPr>
        <w:tab/>
        <w:t xml:space="preserve">The judge considered Schedule 1 at paragraph </w:t>
      </w:r>
      <w:r w:rsidR="00891BD9">
        <w:rPr>
          <w:rFonts w:ascii="Book Antiqua" w:hAnsi="Book Antiqua" w:cs="Arial"/>
        </w:rPr>
        <w:t xml:space="preserve">25 and she properly directed herself in law. </w:t>
      </w:r>
      <w:r w:rsidR="00A216E0">
        <w:rPr>
          <w:rFonts w:ascii="Book Antiqua" w:hAnsi="Book Antiqua" w:cs="Arial"/>
        </w:rPr>
        <w:t>There was no lack of reasoning or analysis of relevant factors.</w:t>
      </w:r>
      <w:r w:rsidR="00396033">
        <w:rPr>
          <w:rFonts w:ascii="Book Antiqua" w:hAnsi="Book Antiqua" w:cs="Arial"/>
        </w:rPr>
        <w:t xml:space="preserve"> The </w:t>
      </w:r>
      <w:r w:rsidR="00A671B6">
        <w:rPr>
          <w:rFonts w:ascii="Book Antiqua" w:hAnsi="Book Antiqua" w:cs="Arial"/>
        </w:rPr>
        <w:t xml:space="preserve">principle in </w:t>
      </w:r>
      <w:r w:rsidR="00A671B6" w:rsidRPr="00B7703F">
        <w:rPr>
          <w:rFonts w:ascii="Book Antiqua" w:hAnsi="Book Antiqua" w:cs="Arial"/>
          <w:u w:val="single"/>
        </w:rPr>
        <w:t>Bouchereau</w:t>
      </w:r>
      <w:r w:rsidR="00BA16E6">
        <w:rPr>
          <w:rFonts w:ascii="Book Antiqua" w:hAnsi="Book Antiqua" w:cs="Arial"/>
        </w:rPr>
        <w:t xml:space="preserve"> was not relied on but</w:t>
      </w:r>
      <w:r w:rsidR="00CB3B64">
        <w:rPr>
          <w:rFonts w:ascii="Book Antiqua" w:hAnsi="Book Antiqua" w:cs="Arial"/>
        </w:rPr>
        <w:t>,</w:t>
      </w:r>
      <w:r w:rsidR="00BA16E6">
        <w:rPr>
          <w:rFonts w:ascii="Book Antiqua" w:hAnsi="Book Antiqua" w:cs="Arial"/>
        </w:rPr>
        <w:t xml:space="preserve"> in any event</w:t>
      </w:r>
      <w:r w:rsidR="00CB3B64">
        <w:rPr>
          <w:rFonts w:ascii="Book Antiqua" w:hAnsi="Book Antiqua" w:cs="Arial"/>
        </w:rPr>
        <w:t>,</w:t>
      </w:r>
      <w:r w:rsidR="00BA16E6">
        <w:rPr>
          <w:rFonts w:ascii="Book Antiqua" w:hAnsi="Book Antiqua" w:cs="Arial"/>
        </w:rPr>
        <w:t xml:space="preserve"> </w:t>
      </w:r>
      <w:r w:rsidR="0032654A">
        <w:rPr>
          <w:rFonts w:ascii="Book Antiqua" w:hAnsi="Book Antiqua" w:cs="Arial"/>
        </w:rPr>
        <w:t>it</w:t>
      </w:r>
      <w:r w:rsidR="001C28B1">
        <w:rPr>
          <w:rFonts w:ascii="Book Antiqua" w:hAnsi="Book Antiqua" w:cs="Arial"/>
        </w:rPr>
        <w:t xml:space="preserve"> would not have materially affected the outcome of the appeal.</w:t>
      </w:r>
      <w:r w:rsidR="00A216E0">
        <w:rPr>
          <w:rFonts w:ascii="Book Antiqua" w:hAnsi="Book Antiqua" w:cs="Arial"/>
        </w:rPr>
        <w:t xml:space="preserve"> </w:t>
      </w:r>
    </w:p>
    <w:p w14:paraId="5236F8BC" w14:textId="77777777" w:rsidR="00396033" w:rsidRDefault="00396033" w:rsidP="00265B39">
      <w:pPr>
        <w:ind w:left="567" w:hanging="567"/>
        <w:jc w:val="both"/>
        <w:rPr>
          <w:rFonts w:ascii="Book Antiqua" w:hAnsi="Book Antiqua" w:cs="Arial"/>
        </w:rPr>
      </w:pPr>
    </w:p>
    <w:p w14:paraId="07438031" w14:textId="7D806FC9" w:rsidR="00830442" w:rsidRPr="00B7703F" w:rsidRDefault="00B7703F" w:rsidP="00B7703F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15.</w:t>
      </w:r>
      <w:r>
        <w:rPr>
          <w:rFonts w:ascii="Book Antiqua" w:hAnsi="Book Antiqua" w:cs="Arial"/>
        </w:rPr>
        <w:tab/>
      </w:r>
      <w:r w:rsidR="000332EC">
        <w:rPr>
          <w:rFonts w:ascii="Book Antiqua" w:hAnsi="Book Antiqua" w:cs="Arial"/>
        </w:rPr>
        <w:t xml:space="preserve">Reading the determination as a whole, </w:t>
      </w:r>
      <w:r w:rsidR="00726C2A">
        <w:rPr>
          <w:rFonts w:ascii="Book Antiqua" w:hAnsi="Book Antiqua" w:cs="Arial"/>
        </w:rPr>
        <w:t xml:space="preserve">I find that the judge’s approach to the evidence </w:t>
      </w:r>
      <w:r w:rsidR="00023481">
        <w:rPr>
          <w:rFonts w:ascii="Book Antiqua" w:hAnsi="Book Antiqua" w:cs="Arial"/>
        </w:rPr>
        <w:t>was balanced, fair and objective.</w:t>
      </w:r>
      <w:r w:rsidR="005B5C17">
        <w:rPr>
          <w:rFonts w:ascii="Book Antiqua" w:hAnsi="Book Antiqua" w:cs="Arial"/>
        </w:rPr>
        <w:t xml:space="preserve"> The judge</w:t>
      </w:r>
      <w:r w:rsidR="00ED46AF">
        <w:rPr>
          <w:rFonts w:ascii="Book Antiqua" w:hAnsi="Book Antiqua" w:cs="Arial"/>
        </w:rPr>
        <w:t xml:space="preserve"> considered the serious nature and pattern of the Appellant’s offending behaviour</w:t>
      </w:r>
      <w:r w:rsidR="00BE4F7C">
        <w:rPr>
          <w:rFonts w:ascii="Book Antiqua" w:hAnsi="Book Antiqua" w:cs="Arial"/>
        </w:rPr>
        <w:t xml:space="preserve"> and the risk of harm to the public.</w:t>
      </w:r>
      <w:r>
        <w:rPr>
          <w:rFonts w:ascii="Book Antiqua" w:hAnsi="Book Antiqua" w:cs="Arial"/>
        </w:rPr>
        <w:t xml:space="preserve"> </w:t>
      </w:r>
      <w:r w:rsidR="004D2205">
        <w:rPr>
          <w:rFonts w:ascii="Book Antiqua" w:hAnsi="Book Antiqua" w:cs="Arial"/>
        </w:rPr>
        <w:t>Accordingly</w:t>
      </w:r>
      <w:r w:rsidR="006142F8">
        <w:rPr>
          <w:rFonts w:ascii="Book Antiqua" w:hAnsi="Book Antiqua" w:cs="Arial"/>
        </w:rPr>
        <w:t>,</w:t>
      </w:r>
      <w:r w:rsidR="004D2205">
        <w:rPr>
          <w:rFonts w:ascii="Book Antiqua" w:hAnsi="Book Antiqua" w:cs="Arial"/>
        </w:rPr>
        <w:t xml:space="preserve"> I find that there was no material error of</w:t>
      </w:r>
      <w:r w:rsidR="0048743B">
        <w:rPr>
          <w:rFonts w:ascii="Book Antiqua" w:hAnsi="Book Antiqua" w:cs="Arial"/>
        </w:rPr>
        <w:t xml:space="preserve"> law in the judge’s decision and</w:t>
      </w:r>
      <w:r w:rsidR="004D2205">
        <w:rPr>
          <w:rFonts w:ascii="Book Antiqua" w:hAnsi="Book Antiqua" w:cs="Arial"/>
        </w:rPr>
        <w:t xml:space="preserve"> I dismiss the appeal.</w:t>
      </w:r>
    </w:p>
    <w:p w14:paraId="4399928B" w14:textId="77777777" w:rsidR="00913820" w:rsidRDefault="00913820" w:rsidP="00265B39">
      <w:pPr>
        <w:ind w:left="567" w:hanging="567"/>
        <w:jc w:val="both"/>
        <w:rPr>
          <w:rFonts w:ascii="Book Antiqua" w:hAnsi="Book Antiqua" w:cs="Arial"/>
          <w:bCs/>
        </w:rPr>
      </w:pPr>
    </w:p>
    <w:p w14:paraId="1746A113" w14:textId="77777777" w:rsidR="0048743B" w:rsidRDefault="0048743B" w:rsidP="00265B39">
      <w:pPr>
        <w:ind w:left="567" w:hanging="567"/>
        <w:jc w:val="both"/>
        <w:rPr>
          <w:rFonts w:ascii="Book Antiqua" w:hAnsi="Book Antiqua" w:cs="Arial"/>
          <w:bCs/>
        </w:rPr>
      </w:pPr>
    </w:p>
    <w:p w14:paraId="23D4E9F5" w14:textId="19CD7194" w:rsidR="0048743B" w:rsidRDefault="00D76A3A" w:rsidP="00265B39">
      <w:pPr>
        <w:ind w:left="567" w:hanging="567"/>
        <w:jc w:val="both"/>
        <w:rPr>
          <w:rFonts w:ascii="Book Antiqua" w:hAnsi="Book Antiqua" w:cs="Arial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21784A" wp14:editId="1253839C">
            <wp:simplePos x="0" y="0"/>
            <wp:positionH relativeFrom="column">
              <wp:posOffset>2952750</wp:posOffset>
            </wp:positionH>
            <wp:positionV relativeFrom="paragraph">
              <wp:posOffset>5080</wp:posOffset>
            </wp:positionV>
            <wp:extent cx="1520190" cy="1508125"/>
            <wp:effectExtent l="0" t="0" r="3810" b="0"/>
            <wp:wrapNone/>
            <wp:docPr id="11" name="Picture 11" descr="C:\Users\kie19a\AppData\Local\Microsoft\Windows\INetCache\Content.Word\cropped Upper Tribunal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ie19a\AppData\Local\Microsoft\Windows\INetCache\Content.Word\cropped Upper Tribunal sta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43B">
        <w:rPr>
          <w:rFonts w:ascii="Book Antiqua" w:hAnsi="Book Antiqua" w:cs="Arial"/>
          <w:b/>
          <w:bCs/>
          <w:u w:val="single"/>
        </w:rPr>
        <w:t>Notice of decision</w:t>
      </w:r>
    </w:p>
    <w:p w14:paraId="74821D03" w14:textId="01FF289B" w:rsidR="0048743B" w:rsidRDefault="0048743B" w:rsidP="00265B39">
      <w:pPr>
        <w:ind w:left="567" w:hanging="567"/>
        <w:jc w:val="both"/>
        <w:rPr>
          <w:rFonts w:ascii="Book Antiqua" w:hAnsi="Book Antiqua" w:cs="Arial"/>
          <w:b/>
          <w:bCs/>
          <w:u w:val="single"/>
        </w:rPr>
      </w:pPr>
    </w:p>
    <w:p w14:paraId="0B9E0603" w14:textId="36F61697" w:rsidR="0048743B" w:rsidRPr="00CA79EA" w:rsidRDefault="0048743B" w:rsidP="00CA79EA">
      <w:pPr>
        <w:ind w:left="567" w:hanging="567"/>
        <w:jc w:val="both"/>
        <w:rPr>
          <w:rFonts w:ascii="Book Antiqua" w:hAnsi="Book Antiqua" w:cs="Arial"/>
          <w:b/>
          <w:bCs/>
        </w:rPr>
      </w:pPr>
      <w:r w:rsidRPr="0048743B">
        <w:rPr>
          <w:rFonts w:ascii="Book Antiqua" w:hAnsi="Book Antiqua" w:cs="Arial"/>
          <w:b/>
          <w:bCs/>
        </w:rPr>
        <w:t>Appeal dismissed</w:t>
      </w:r>
    </w:p>
    <w:p w14:paraId="485945BB" w14:textId="77777777" w:rsidR="0048743B" w:rsidRDefault="0048743B" w:rsidP="00265B39">
      <w:pPr>
        <w:ind w:left="567" w:hanging="567"/>
        <w:jc w:val="both"/>
        <w:rPr>
          <w:rFonts w:ascii="Book Antiqua" w:hAnsi="Book Antiqua" w:cs="Arial"/>
          <w:bCs/>
        </w:rPr>
      </w:pPr>
    </w:p>
    <w:p w14:paraId="57FC4855" w14:textId="46C05D82" w:rsidR="000B5F2B" w:rsidRPr="00B7703F" w:rsidRDefault="000B5F2B" w:rsidP="00265B39">
      <w:pPr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No anonymity direction made.</w:t>
      </w:r>
    </w:p>
    <w:p w14:paraId="6AA0EEC7" w14:textId="77777777" w:rsidR="00384395" w:rsidRDefault="00384395" w:rsidP="00265B39">
      <w:pPr>
        <w:jc w:val="both"/>
        <w:rPr>
          <w:rFonts w:ascii="Book Antiqua" w:hAnsi="Book Antiqua" w:cs="Arial"/>
        </w:rPr>
      </w:pPr>
    </w:p>
    <w:p w14:paraId="56667CAF" w14:textId="6C9D0724" w:rsidR="008616F5" w:rsidRPr="0048743B" w:rsidRDefault="0048743B" w:rsidP="00265B39">
      <w:pPr>
        <w:jc w:val="both"/>
        <w:rPr>
          <w:rFonts w:ascii="Lucida Handwriting" w:hAnsi="Lucida Handwriting" w:cs="Arial"/>
          <w:b/>
          <w:sz w:val="28"/>
          <w:szCs w:val="28"/>
        </w:rPr>
      </w:pPr>
      <w:r>
        <w:rPr>
          <w:rFonts w:ascii="Lucida Handwriting" w:hAnsi="Lucida Handwriting" w:cs="Arial"/>
          <w:b/>
          <w:sz w:val="28"/>
          <w:szCs w:val="28"/>
        </w:rPr>
        <w:t>J Frances</w:t>
      </w:r>
    </w:p>
    <w:p w14:paraId="34CA2782" w14:textId="77777777" w:rsidR="00A509FA" w:rsidRPr="000704BB" w:rsidRDefault="00A509FA" w:rsidP="00265B39">
      <w:pPr>
        <w:jc w:val="both"/>
        <w:rPr>
          <w:rFonts w:ascii="Book Antiqua" w:hAnsi="Book Antiqua" w:cs="Arial"/>
        </w:rPr>
      </w:pPr>
    </w:p>
    <w:p w14:paraId="49FFCE89" w14:textId="4EF6079D" w:rsidR="00F777EB" w:rsidRDefault="00780F86" w:rsidP="00265B39">
      <w:pPr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="00384395">
        <w:rPr>
          <w:rFonts w:ascii="Book Antiqua" w:hAnsi="Book Antiqua" w:cs="Arial"/>
        </w:rPr>
        <w:tab/>
      </w:r>
      <w:r w:rsidR="00384395">
        <w:rPr>
          <w:rFonts w:ascii="Book Antiqua" w:hAnsi="Book Antiqua" w:cs="Arial"/>
        </w:rPr>
        <w:tab/>
      </w:r>
      <w:r w:rsidR="00384395">
        <w:rPr>
          <w:rFonts w:ascii="Book Antiqua" w:hAnsi="Book Antiqua" w:cs="Arial"/>
        </w:rPr>
        <w:tab/>
      </w:r>
      <w:r w:rsidR="00384395">
        <w:rPr>
          <w:rFonts w:ascii="Book Antiqua" w:hAnsi="Book Antiqua" w:cs="Arial"/>
        </w:rPr>
        <w:tab/>
      </w:r>
      <w:r w:rsidR="001F2716" w:rsidRPr="000704BB">
        <w:rPr>
          <w:rFonts w:ascii="Book Antiqua" w:hAnsi="Book Antiqua" w:cs="Arial"/>
        </w:rPr>
        <w:t>Date</w:t>
      </w:r>
      <w:r w:rsidR="0048743B">
        <w:rPr>
          <w:rFonts w:ascii="Book Antiqua" w:hAnsi="Book Antiqua" w:cs="Arial"/>
        </w:rPr>
        <w:t xml:space="preserve">: </w:t>
      </w:r>
      <w:r w:rsidR="008274DC">
        <w:rPr>
          <w:rFonts w:ascii="Book Antiqua" w:hAnsi="Book Antiqua" w:cs="Arial"/>
        </w:rPr>
        <w:t>22</w:t>
      </w:r>
      <w:r w:rsidR="002C5E29">
        <w:rPr>
          <w:rFonts w:ascii="Book Antiqua" w:hAnsi="Book Antiqua" w:cs="Arial"/>
        </w:rPr>
        <w:t xml:space="preserve"> June</w:t>
      </w:r>
      <w:r w:rsidR="0048743B">
        <w:rPr>
          <w:rFonts w:ascii="Book Antiqua" w:hAnsi="Book Antiqua" w:cs="Arial"/>
        </w:rPr>
        <w:t xml:space="preserve"> 2020</w:t>
      </w:r>
    </w:p>
    <w:p w14:paraId="32411FD8" w14:textId="0CBCA32D" w:rsidR="00F777EB" w:rsidRPr="00F777EB" w:rsidRDefault="0014366D" w:rsidP="00FD7AE5">
      <w:pPr>
        <w:jc w:val="both"/>
        <w:rPr>
          <w:rFonts w:ascii="Book Antiqua" w:hAnsi="Book Antiqua" w:cs="Arial"/>
          <w:color w:val="000000"/>
        </w:rPr>
      </w:pPr>
      <w:r w:rsidRPr="00D03807">
        <w:rPr>
          <w:rFonts w:ascii="Book Antiqua" w:hAnsi="Book Antiqua" w:cs="Arial"/>
        </w:rPr>
        <w:t>Upper Tribunal Judge Frances</w:t>
      </w:r>
    </w:p>
    <w:p w14:paraId="564B4BE0" w14:textId="21AAC14B" w:rsidR="00F777EB" w:rsidRDefault="00F777EB" w:rsidP="00FD7AE5">
      <w:pPr>
        <w:jc w:val="both"/>
        <w:rPr>
          <w:rFonts w:ascii="Book Antiqua" w:hAnsi="Book Antiqua" w:cs="Arial"/>
          <w:b/>
          <w:u w:val="single"/>
        </w:rPr>
      </w:pPr>
    </w:p>
    <w:p w14:paraId="04338524" w14:textId="078E419D" w:rsidR="00B95326" w:rsidRPr="00F777EB" w:rsidRDefault="00B95326" w:rsidP="00847320">
      <w:pPr>
        <w:jc w:val="both"/>
        <w:rPr>
          <w:rFonts w:ascii="Book Antiqua" w:hAnsi="Book Antiqua" w:cs="Arial"/>
          <w:color w:val="000000"/>
        </w:rPr>
      </w:pPr>
    </w:p>
    <w:sectPr w:rsidR="00B95326" w:rsidRPr="00F777EB" w:rsidSect="00195EB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47" w:right="1134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1C491" w14:textId="77777777" w:rsidR="00FF02E4" w:rsidRDefault="00FF02E4">
      <w:r>
        <w:separator/>
      </w:r>
    </w:p>
  </w:endnote>
  <w:endnote w:type="continuationSeparator" w:id="0">
    <w:p w14:paraId="52B396A2" w14:textId="77777777" w:rsidR="00FF02E4" w:rsidRDefault="00FF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336DF" w14:textId="46E16D58" w:rsidR="004111C2" w:rsidRPr="00195EBD" w:rsidRDefault="004111C2" w:rsidP="00593795">
    <w:pPr>
      <w:pStyle w:val="Footer"/>
      <w:jc w:val="center"/>
      <w:rPr>
        <w:rFonts w:ascii="Book Antiqua" w:hAnsi="Book Antiqua" w:cs="Arial"/>
      </w:rPr>
    </w:pPr>
    <w:r w:rsidRPr="00195EBD">
      <w:rPr>
        <w:rStyle w:val="PageNumber"/>
        <w:rFonts w:ascii="Book Antiqua" w:hAnsi="Book Antiqua" w:cs="Arial"/>
      </w:rPr>
      <w:fldChar w:fldCharType="begin"/>
    </w:r>
    <w:r w:rsidRPr="00195EBD">
      <w:rPr>
        <w:rStyle w:val="PageNumber"/>
        <w:rFonts w:ascii="Book Antiqua" w:hAnsi="Book Antiqua" w:cs="Arial"/>
      </w:rPr>
      <w:instrText xml:space="preserve"> PAGE </w:instrText>
    </w:r>
    <w:r w:rsidRPr="00195EBD">
      <w:rPr>
        <w:rStyle w:val="PageNumber"/>
        <w:rFonts w:ascii="Book Antiqua" w:hAnsi="Book Antiqua" w:cs="Arial"/>
      </w:rPr>
      <w:fldChar w:fldCharType="separate"/>
    </w:r>
    <w:r w:rsidR="009C060E">
      <w:rPr>
        <w:rStyle w:val="PageNumber"/>
        <w:rFonts w:ascii="Book Antiqua" w:hAnsi="Book Antiqua" w:cs="Arial"/>
        <w:noProof/>
      </w:rPr>
      <w:t>4</w:t>
    </w:r>
    <w:r w:rsidRPr="00195EBD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FF72" w14:textId="74FF1188" w:rsidR="004111C2" w:rsidRPr="00195EBD" w:rsidRDefault="004111C2" w:rsidP="00DE5E10">
    <w:pPr>
      <w:jc w:val="center"/>
      <w:rPr>
        <w:rFonts w:ascii="Book Antiqua" w:hAnsi="Book Antiqua" w:cs="Arial"/>
        <w:b/>
      </w:rPr>
    </w:pPr>
    <w:r w:rsidRPr="00195EBD">
      <w:rPr>
        <w:rFonts w:ascii="Book Antiqua" w:hAnsi="Book Antiqua" w:cs="Arial"/>
        <w:b/>
        <w:spacing w:val="-6"/>
      </w:rPr>
      <w:t>©</w:t>
    </w:r>
    <w:r w:rsidRPr="00195EBD">
      <w:rPr>
        <w:rFonts w:ascii="Book Antiqua" w:hAnsi="Book Antiqua" w:cs="Arial"/>
        <w:b/>
      </w:rPr>
      <w:t xml:space="preserve"> CROWN COPYRIGHT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59EB9" w14:textId="77777777" w:rsidR="00FF02E4" w:rsidRDefault="00FF02E4">
      <w:r>
        <w:separator/>
      </w:r>
    </w:p>
  </w:footnote>
  <w:footnote w:type="continuationSeparator" w:id="0">
    <w:p w14:paraId="09051D82" w14:textId="77777777" w:rsidR="00FF02E4" w:rsidRDefault="00FF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A479D" w14:textId="5FECB893" w:rsidR="004111C2" w:rsidRPr="00024D27" w:rsidRDefault="004111C2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 xml:space="preserve">Appeal Number: </w:t>
    </w:r>
    <w:r>
      <w:rPr>
        <w:rFonts w:ascii="Book Antiqua" w:hAnsi="Book Antiqua" w:cs="Arial"/>
        <w:sz w:val="16"/>
        <w:szCs w:val="16"/>
      </w:rPr>
      <w:t>DA/00</w:t>
    </w:r>
    <w:r w:rsidR="00E73C26">
      <w:rPr>
        <w:rFonts w:ascii="Book Antiqua" w:hAnsi="Book Antiqua" w:cs="Arial"/>
        <w:sz w:val="16"/>
        <w:szCs w:val="16"/>
      </w:rPr>
      <w:t>087</w:t>
    </w:r>
    <w:r>
      <w:rPr>
        <w:rFonts w:ascii="Book Antiqua" w:hAnsi="Book Antiqua" w:cs="Arial"/>
        <w:sz w:val="16"/>
        <w:szCs w:val="16"/>
      </w:rPr>
      <w:t>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8A654" w14:textId="61D8476F" w:rsidR="004111C2" w:rsidRPr="000704BB" w:rsidRDefault="004111C2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27B6"/>
    <w:multiLevelType w:val="hybridMultilevel"/>
    <w:tmpl w:val="517C74C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7555857"/>
    <w:multiLevelType w:val="hybridMultilevel"/>
    <w:tmpl w:val="E19A8DCA"/>
    <w:lvl w:ilvl="0" w:tplc="85CEAC2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D0F779E"/>
    <w:multiLevelType w:val="hybridMultilevel"/>
    <w:tmpl w:val="752C97FA"/>
    <w:lvl w:ilvl="0" w:tplc="DCD2E24E">
      <w:start w:val="1"/>
      <w:numFmt w:val="decimal"/>
      <w:lvlText w:val="(%1)"/>
      <w:lvlJc w:val="left"/>
      <w:pPr>
        <w:ind w:left="1137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8C"/>
    <w:rsid w:val="000005FD"/>
    <w:rsid w:val="00000621"/>
    <w:rsid w:val="0000309E"/>
    <w:rsid w:val="000036C2"/>
    <w:rsid w:val="00012BAF"/>
    <w:rsid w:val="00013425"/>
    <w:rsid w:val="00023481"/>
    <w:rsid w:val="00024D27"/>
    <w:rsid w:val="000332EC"/>
    <w:rsid w:val="000335DA"/>
    <w:rsid w:val="00033D3D"/>
    <w:rsid w:val="00035E43"/>
    <w:rsid w:val="00036421"/>
    <w:rsid w:val="000461BF"/>
    <w:rsid w:val="00046259"/>
    <w:rsid w:val="000472AC"/>
    <w:rsid w:val="0005042F"/>
    <w:rsid w:val="000553C8"/>
    <w:rsid w:val="00062F02"/>
    <w:rsid w:val="00064EBA"/>
    <w:rsid w:val="000704BB"/>
    <w:rsid w:val="00071A7E"/>
    <w:rsid w:val="00072FBE"/>
    <w:rsid w:val="000746C0"/>
    <w:rsid w:val="00074D1D"/>
    <w:rsid w:val="00081737"/>
    <w:rsid w:val="00092580"/>
    <w:rsid w:val="00093D4D"/>
    <w:rsid w:val="000A2B4E"/>
    <w:rsid w:val="000B14AA"/>
    <w:rsid w:val="000B5F2B"/>
    <w:rsid w:val="000D4C2B"/>
    <w:rsid w:val="000D5D94"/>
    <w:rsid w:val="000F1A0E"/>
    <w:rsid w:val="000F307F"/>
    <w:rsid w:val="0010166A"/>
    <w:rsid w:val="00113556"/>
    <w:rsid w:val="001165A7"/>
    <w:rsid w:val="00117E31"/>
    <w:rsid w:val="00130D8A"/>
    <w:rsid w:val="00135ADF"/>
    <w:rsid w:val="001361F9"/>
    <w:rsid w:val="0014065D"/>
    <w:rsid w:val="00141638"/>
    <w:rsid w:val="00141796"/>
    <w:rsid w:val="0014366D"/>
    <w:rsid w:val="00144C70"/>
    <w:rsid w:val="00150C5F"/>
    <w:rsid w:val="00153A4F"/>
    <w:rsid w:val="00167D3A"/>
    <w:rsid w:val="00185FD1"/>
    <w:rsid w:val="00190911"/>
    <w:rsid w:val="00190ED1"/>
    <w:rsid w:val="00195EBD"/>
    <w:rsid w:val="001A07E6"/>
    <w:rsid w:val="001A3082"/>
    <w:rsid w:val="001A68A3"/>
    <w:rsid w:val="001B186A"/>
    <w:rsid w:val="001B2F75"/>
    <w:rsid w:val="001C21B8"/>
    <w:rsid w:val="001C28B1"/>
    <w:rsid w:val="001C2D96"/>
    <w:rsid w:val="001C5B44"/>
    <w:rsid w:val="001C74B2"/>
    <w:rsid w:val="001D4663"/>
    <w:rsid w:val="001F2716"/>
    <w:rsid w:val="001F2E96"/>
    <w:rsid w:val="002000BA"/>
    <w:rsid w:val="00200D4A"/>
    <w:rsid w:val="002052FE"/>
    <w:rsid w:val="00207617"/>
    <w:rsid w:val="002131D8"/>
    <w:rsid w:val="0021721E"/>
    <w:rsid w:val="0022369D"/>
    <w:rsid w:val="00223AE7"/>
    <w:rsid w:val="0023134B"/>
    <w:rsid w:val="00251E94"/>
    <w:rsid w:val="00253305"/>
    <w:rsid w:val="00264C97"/>
    <w:rsid w:val="00265B39"/>
    <w:rsid w:val="00283659"/>
    <w:rsid w:val="00284F10"/>
    <w:rsid w:val="00285645"/>
    <w:rsid w:val="002A0630"/>
    <w:rsid w:val="002A0895"/>
    <w:rsid w:val="002A3175"/>
    <w:rsid w:val="002A3C45"/>
    <w:rsid w:val="002A661D"/>
    <w:rsid w:val="002A7281"/>
    <w:rsid w:val="002A75E4"/>
    <w:rsid w:val="002B4622"/>
    <w:rsid w:val="002C4C21"/>
    <w:rsid w:val="002C5E29"/>
    <w:rsid w:val="002C6BD4"/>
    <w:rsid w:val="002D2CE4"/>
    <w:rsid w:val="002D5312"/>
    <w:rsid w:val="002D68BF"/>
    <w:rsid w:val="002D7DCE"/>
    <w:rsid w:val="002E34A9"/>
    <w:rsid w:val="002F29AE"/>
    <w:rsid w:val="002F4FF0"/>
    <w:rsid w:val="002F6B98"/>
    <w:rsid w:val="0030074C"/>
    <w:rsid w:val="00303D9E"/>
    <w:rsid w:val="00305E86"/>
    <w:rsid w:val="00316C51"/>
    <w:rsid w:val="0032654A"/>
    <w:rsid w:val="0033240F"/>
    <w:rsid w:val="00336CBF"/>
    <w:rsid w:val="00343FE3"/>
    <w:rsid w:val="00350F59"/>
    <w:rsid w:val="00352A39"/>
    <w:rsid w:val="003546C8"/>
    <w:rsid w:val="00356224"/>
    <w:rsid w:val="00384395"/>
    <w:rsid w:val="00385327"/>
    <w:rsid w:val="0039262C"/>
    <w:rsid w:val="00396033"/>
    <w:rsid w:val="00397039"/>
    <w:rsid w:val="003A194F"/>
    <w:rsid w:val="003A4191"/>
    <w:rsid w:val="003A67A4"/>
    <w:rsid w:val="003A69E1"/>
    <w:rsid w:val="003A7CF2"/>
    <w:rsid w:val="003B3D71"/>
    <w:rsid w:val="003C5CE5"/>
    <w:rsid w:val="003E267B"/>
    <w:rsid w:val="003E3E2E"/>
    <w:rsid w:val="003E530F"/>
    <w:rsid w:val="003E7CD1"/>
    <w:rsid w:val="003F2954"/>
    <w:rsid w:val="003F37A8"/>
    <w:rsid w:val="00402B9E"/>
    <w:rsid w:val="004111C2"/>
    <w:rsid w:val="0042220C"/>
    <w:rsid w:val="004249CB"/>
    <w:rsid w:val="00440303"/>
    <w:rsid w:val="0044127D"/>
    <w:rsid w:val="00441766"/>
    <w:rsid w:val="004448DB"/>
    <w:rsid w:val="00446C9A"/>
    <w:rsid w:val="00452F2B"/>
    <w:rsid w:val="0045549E"/>
    <w:rsid w:val="00461409"/>
    <w:rsid w:val="00462C42"/>
    <w:rsid w:val="00475CF8"/>
    <w:rsid w:val="00477193"/>
    <w:rsid w:val="004777F9"/>
    <w:rsid w:val="00482BE6"/>
    <w:rsid w:val="0048743B"/>
    <w:rsid w:val="00490766"/>
    <w:rsid w:val="004936E2"/>
    <w:rsid w:val="004A107D"/>
    <w:rsid w:val="004A1848"/>
    <w:rsid w:val="004A3A42"/>
    <w:rsid w:val="004A6F4A"/>
    <w:rsid w:val="004B2D9F"/>
    <w:rsid w:val="004C731A"/>
    <w:rsid w:val="004C7610"/>
    <w:rsid w:val="004D2205"/>
    <w:rsid w:val="004D5558"/>
    <w:rsid w:val="004E0F3D"/>
    <w:rsid w:val="004E4717"/>
    <w:rsid w:val="004E7138"/>
    <w:rsid w:val="004F131C"/>
    <w:rsid w:val="004F4322"/>
    <w:rsid w:val="00507FEC"/>
    <w:rsid w:val="00510F0E"/>
    <w:rsid w:val="00526052"/>
    <w:rsid w:val="00532F07"/>
    <w:rsid w:val="00535861"/>
    <w:rsid w:val="00537001"/>
    <w:rsid w:val="00545DE4"/>
    <w:rsid w:val="005479E1"/>
    <w:rsid w:val="00553A3C"/>
    <w:rsid w:val="00553E0A"/>
    <w:rsid w:val="005540E9"/>
    <w:rsid w:val="00555234"/>
    <w:rsid w:val="005570FD"/>
    <w:rsid w:val="005575EA"/>
    <w:rsid w:val="00564DF2"/>
    <w:rsid w:val="00576E30"/>
    <w:rsid w:val="0057790C"/>
    <w:rsid w:val="00580FC5"/>
    <w:rsid w:val="0059181A"/>
    <w:rsid w:val="00593795"/>
    <w:rsid w:val="005A75FF"/>
    <w:rsid w:val="005B45B1"/>
    <w:rsid w:val="005B5C17"/>
    <w:rsid w:val="005C03D6"/>
    <w:rsid w:val="005C071A"/>
    <w:rsid w:val="005C2522"/>
    <w:rsid w:val="005D10AB"/>
    <w:rsid w:val="005D4590"/>
    <w:rsid w:val="005D544B"/>
    <w:rsid w:val="005E2775"/>
    <w:rsid w:val="005F47F3"/>
    <w:rsid w:val="00601D8F"/>
    <w:rsid w:val="006142F8"/>
    <w:rsid w:val="00617E8A"/>
    <w:rsid w:val="006201BC"/>
    <w:rsid w:val="0062519A"/>
    <w:rsid w:val="006361A9"/>
    <w:rsid w:val="00643BFC"/>
    <w:rsid w:val="00645104"/>
    <w:rsid w:val="006475E9"/>
    <w:rsid w:val="006476F5"/>
    <w:rsid w:val="00647A89"/>
    <w:rsid w:val="00653E97"/>
    <w:rsid w:val="006701F7"/>
    <w:rsid w:val="00680E6F"/>
    <w:rsid w:val="00684A74"/>
    <w:rsid w:val="00690B8A"/>
    <w:rsid w:val="006978BE"/>
    <w:rsid w:val="006A00E0"/>
    <w:rsid w:val="006A3B0D"/>
    <w:rsid w:val="006A54B9"/>
    <w:rsid w:val="006A6ADB"/>
    <w:rsid w:val="006B1293"/>
    <w:rsid w:val="006B31B2"/>
    <w:rsid w:val="006B5CFD"/>
    <w:rsid w:val="006C162F"/>
    <w:rsid w:val="006D3484"/>
    <w:rsid w:val="006D7E96"/>
    <w:rsid w:val="006F25BA"/>
    <w:rsid w:val="006F2CF1"/>
    <w:rsid w:val="007038ED"/>
    <w:rsid w:val="00703BC3"/>
    <w:rsid w:val="00704B61"/>
    <w:rsid w:val="0071355E"/>
    <w:rsid w:val="00715828"/>
    <w:rsid w:val="00715FE7"/>
    <w:rsid w:val="00726C2A"/>
    <w:rsid w:val="00734D01"/>
    <w:rsid w:val="00744B07"/>
    <w:rsid w:val="00750E2B"/>
    <w:rsid w:val="00752A54"/>
    <w:rsid w:val="007552A9"/>
    <w:rsid w:val="00760EF6"/>
    <w:rsid w:val="00761858"/>
    <w:rsid w:val="00767D59"/>
    <w:rsid w:val="00774169"/>
    <w:rsid w:val="00776E97"/>
    <w:rsid w:val="00780F86"/>
    <w:rsid w:val="00782D7C"/>
    <w:rsid w:val="007912AD"/>
    <w:rsid w:val="007935B9"/>
    <w:rsid w:val="007952AC"/>
    <w:rsid w:val="00797649"/>
    <w:rsid w:val="007A1173"/>
    <w:rsid w:val="007A7B46"/>
    <w:rsid w:val="007B0824"/>
    <w:rsid w:val="007B1310"/>
    <w:rsid w:val="007B5D3C"/>
    <w:rsid w:val="007C14AE"/>
    <w:rsid w:val="007D38E6"/>
    <w:rsid w:val="007D4EEC"/>
    <w:rsid w:val="007D6D02"/>
    <w:rsid w:val="007E37D9"/>
    <w:rsid w:val="007F2A46"/>
    <w:rsid w:val="00805B33"/>
    <w:rsid w:val="00806249"/>
    <w:rsid w:val="00814E2D"/>
    <w:rsid w:val="008152D0"/>
    <w:rsid w:val="00821B72"/>
    <w:rsid w:val="00823EF2"/>
    <w:rsid w:val="008274DC"/>
    <w:rsid w:val="008303B8"/>
    <w:rsid w:val="00830442"/>
    <w:rsid w:val="008338D6"/>
    <w:rsid w:val="00833DCE"/>
    <w:rsid w:val="00834059"/>
    <w:rsid w:val="00840BCB"/>
    <w:rsid w:val="00846C29"/>
    <w:rsid w:val="00847320"/>
    <w:rsid w:val="00851871"/>
    <w:rsid w:val="00851DCB"/>
    <w:rsid w:val="00852654"/>
    <w:rsid w:val="008526E9"/>
    <w:rsid w:val="008616F5"/>
    <w:rsid w:val="008661E4"/>
    <w:rsid w:val="0086734E"/>
    <w:rsid w:val="00871D34"/>
    <w:rsid w:val="00872357"/>
    <w:rsid w:val="0087299A"/>
    <w:rsid w:val="00891BD9"/>
    <w:rsid w:val="008A5D70"/>
    <w:rsid w:val="008B1ACE"/>
    <w:rsid w:val="008B270C"/>
    <w:rsid w:val="008B3B72"/>
    <w:rsid w:val="008B5078"/>
    <w:rsid w:val="008B5DE0"/>
    <w:rsid w:val="008C1B11"/>
    <w:rsid w:val="008C3D3D"/>
    <w:rsid w:val="008C61E2"/>
    <w:rsid w:val="008D4131"/>
    <w:rsid w:val="008E45AC"/>
    <w:rsid w:val="008F13B3"/>
    <w:rsid w:val="008F1932"/>
    <w:rsid w:val="008F341C"/>
    <w:rsid w:val="0090378A"/>
    <w:rsid w:val="00913820"/>
    <w:rsid w:val="00921062"/>
    <w:rsid w:val="00922C55"/>
    <w:rsid w:val="0093489E"/>
    <w:rsid w:val="00951CD0"/>
    <w:rsid w:val="00955200"/>
    <w:rsid w:val="0095727A"/>
    <w:rsid w:val="00963566"/>
    <w:rsid w:val="009722BC"/>
    <w:rsid w:val="009727A3"/>
    <w:rsid w:val="00974CD1"/>
    <w:rsid w:val="00977FC0"/>
    <w:rsid w:val="00987774"/>
    <w:rsid w:val="00997B65"/>
    <w:rsid w:val="009A11E8"/>
    <w:rsid w:val="009C060E"/>
    <w:rsid w:val="009C16A1"/>
    <w:rsid w:val="009C16B5"/>
    <w:rsid w:val="009C1A10"/>
    <w:rsid w:val="009C7B00"/>
    <w:rsid w:val="009D3D00"/>
    <w:rsid w:val="009D53F3"/>
    <w:rsid w:val="009E21C5"/>
    <w:rsid w:val="009E3304"/>
    <w:rsid w:val="009E761D"/>
    <w:rsid w:val="009E762C"/>
    <w:rsid w:val="009E78DF"/>
    <w:rsid w:val="009F4A7D"/>
    <w:rsid w:val="009F5220"/>
    <w:rsid w:val="009F5FA6"/>
    <w:rsid w:val="00A0222B"/>
    <w:rsid w:val="00A07971"/>
    <w:rsid w:val="00A15234"/>
    <w:rsid w:val="00A201AB"/>
    <w:rsid w:val="00A216E0"/>
    <w:rsid w:val="00A223F4"/>
    <w:rsid w:val="00A24F4E"/>
    <w:rsid w:val="00A31C8B"/>
    <w:rsid w:val="00A41573"/>
    <w:rsid w:val="00A509FA"/>
    <w:rsid w:val="00A54972"/>
    <w:rsid w:val="00A671B6"/>
    <w:rsid w:val="00A71C11"/>
    <w:rsid w:val="00A73F60"/>
    <w:rsid w:val="00A74A0A"/>
    <w:rsid w:val="00A75410"/>
    <w:rsid w:val="00A83C30"/>
    <w:rsid w:val="00A845DC"/>
    <w:rsid w:val="00AC1C16"/>
    <w:rsid w:val="00AD025B"/>
    <w:rsid w:val="00AD062B"/>
    <w:rsid w:val="00AD159E"/>
    <w:rsid w:val="00AF21BA"/>
    <w:rsid w:val="00AF6D00"/>
    <w:rsid w:val="00B0278D"/>
    <w:rsid w:val="00B04ED0"/>
    <w:rsid w:val="00B1111A"/>
    <w:rsid w:val="00B26AA2"/>
    <w:rsid w:val="00B32BA6"/>
    <w:rsid w:val="00B3524D"/>
    <w:rsid w:val="00B364CE"/>
    <w:rsid w:val="00B36973"/>
    <w:rsid w:val="00B40F69"/>
    <w:rsid w:val="00B46616"/>
    <w:rsid w:val="00B50656"/>
    <w:rsid w:val="00B50B64"/>
    <w:rsid w:val="00B5551E"/>
    <w:rsid w:val="00B65D5C"/>
    <w:rsid w:val="00B66AAC"/>
    <w:rsid w:val="00B7040A"/>
    <w:rsid w:val="00B7703F"/>
    <w:rsid w:val="00B81F80"/>
    <w:rsid w:val="00B83386"/>
    <w:rsid w:val="00B83391"/>
    <w:rsid w:val="00B95326"/>
    <w:rsid w:val="00B9738F"/>
    <w:rsid w:val="00BA16E6"/>
    <w:rsid w:val="00BA3FDE"/>
    <w:rsid w:val="00BB07CA"/>
    <w:rsid w:val="00BB1BEC"/>
    <w:rsid w:val="00BD02B4"/>
    <w:rsid w:val="00BD3E79"/>
    <w:rsid w:val="00BD4196"/>
    <w:rsid w:val="00BE4F7C"/>
    <w:rsid w:val="00BF22CA"/>
    <w:rsid w:val="00BF23BB"/>
    <w:rsid w:val="00C006EE"/>
    <w:rsid w:val="00C00E9F"/>
    <w:rsid w:val="00C033F5"/>
    <w:rsid w:val="00C13148"/>
    <w:rsid w:val="00C20139"/>
    <w:rsid w:val="00C26032"/>
    <w:rsid w:val="00C30E3C"/>
    <w:rsid w:val="00C345E1"/>
    <w:rsid w:val="00C43BFD"/>
    <w:rsid w:val="00C50D86"/>
    <w:rsid w:val="00C643A0"/>
    <w:rsid w:val="00C67C3B"/>
    <w:rsid w:val="00C734EF"/>
    <w:rsid w:val="00C77BDD"/>
    <w:rsid w:val="00C86051"/>
    <w:rsid w:val="00C90626"/>
    <w:rsid w:val="00C93A95"/>
    <w:rsid w:val="00CA23D8"/>
    <w:rsid w:val="00CA5C40"/>
    <w:rsid w:val="00CA76FD"/>
    <w:rsid w:val="00CA79EA"/>
    <w:rsid w:val="00CB2B10"/>
    <w:rsid w:val="00CB3B64"/>
    <w:rsid w:val="00CB6E35"/>
    <w:rsid w:val="00CC3539"/>
    <w:rsid w:val="00CC5AF7"/>
    <w:rsid w:val="00CC68D3"/>
    <w:rsid w:val="00CC6B43"/>
    <w:rsid w:val="00CD2596"/>
    <w:rsid w:val="00CD43DA"/>
    <w:rsid w:val="00CE04BE"/>
    <w:rsid w:val="00CE1A46"/>
    <w:rsid w:val="00CE2D36"/>
    <w:rsid w:val="00D14641"/>
    <w:rsid w:val="00D17CC5"/>
    <w:rsid w:val="00D20757"/>
    <w:rsid w:val="00D22636"/>
    <w:rsid w:val="00D32962"/>
    <w:rsid w:val="00D40FD9"/>
    <w:rsid w:val="00D41C8C"/>
    <w:rsid w:val="00D44EEA"/>
    <w:rsid w:val="00D51886"/>
    <w:rsid w:val="00D52CCC"/>
    <w:rsid w:val="00D53769"/>
    <w:rsid w:val="00D570DE"/>
    <w:rsid w:val="00D6169E"/>
    <w:rsid w:val="00D6640C"/>
    <w:rsid w:val="00D677F8"/>
    <w:rsid w:val="00D726AA"/>
    <w:rsid w:val="00D76911"/>
    <w:rsid w:val="00D76A3A"/>
    <w:rsid w:val="00D8248E"/>
    <w:rsid w:val="00D82CBB"/>
    <w:rsid w:val="00D8540D"/>
    <w:rsid w:val="00D85C13"/>
    <w:rsid w:val="00D90090"/>
    <w:rsid w:val="00D9111A"/>
    <w:rsid w:val="00D91BE3"/>
    <w:rsid w:val="00D94AFC"/>
    <w:rsid w:val="00DB70AE"/>
    <w:rsid w:val="00DC4FF6"/>
    <w:rsid w:val="00DC528C"/>
    <w:rsid w:val="00DC77C0"/>
    <w:rsid w:val="00DD5071"/>
    <w:rsid w:val="00DD5639"/>
    <w:rsid w:val="00DD5C39"/>
    <w:rsid w:val="00DD7CAF"/>
    <w:rsid w:val="00DE5E10"/>
    <w:rsid w:val="00DE7DB7"/>
    <w:rsid w:val="00E00A0A"/>
    <w:rsid w:val="00E066DE"/>
    <w:rsid w:val="00E07F57"/>
    <w:rsid w:val="00E21F28"/>
    <w:rsid w:val="00E30683"/>
    <w:rsid w:val="00E30747"/>
    <w:rsid w:val="00E31173"/>
    <w:rsid w:val="00E453D8"/>
    <w:rsid w:val="00E458EF"/>
    <w:rsid w:val="00E50813"/>
    <w:rsid w:val="00E50BCE"/>
    <w:rsid w:val="00E5509E"/>
    <w:rsid w:val="00E574BF"/>
    <w:rsid w:val="00E61292"/>
    <w:rsid w:val="00E63875"/>
    <w:rsid w:val="00E65853"/>
    <w:rsid w:val="00E705DF"/>
    <w:rsid w:val="00E72A3E"/>
    <w:rsid w:val="00E73C26"/>
    <w:rsid w:val="00E75072"/>
    <w:rsid w:val="00E77C4D"/>
    <w:rsid w:val="00E81D01"/>
    <w:rsid w:val="00E91227"/>
    <w:rsid w:val="00E9384C"/>
    <w:rsid w:val="00EA3675"/>
    <w:rsid w:val="00EC75EC"/>
    <w:rsid w:val="00ED46AF"/>
    <w:rsid w:val="00EE1B20"/>
    <w:rsid w:val="00EE3CCF"/>
    <w:rsid w:val="00EE45D8"/>
    <w:rsid w:val="00F05F44"/>
    <w:rsid w:val="00F11356"/>
    <w:rsid w:val="00F124C0"/>
    <w:rsid w:val="00F20A66"/>
    <w:rsid w:val="00F22EDA"/>
    <w:rsid w:val="00F26FAD"/>
    <w:rsid w:val="00F517D0"/>
    <w:rsid w:val="00F52923"/>
    <w:rsid w:val="00F65014"/>
    <w:rsid w:val="00F65575"/>
    <w:rsid w:val="00F70804"/>
    <w:rsid w:val="00F777EB"/>
    <w:rsid w:val="00F77F3F"/>
    <w:rsid w:val="00F93660"/>
    <w:rsid w:val="00F9433B"/>
    <w:rsid w:val="00FA3933"/>
    <w:rsid w:val="00FA55D4"/>
    <w:rsid w:val="00FA6AAF"/>
    <w:rsid w:val="00FB2E7F"/>
    <w:rsid w:val="00FB791E"/>
    <w:rsid w:val="00FC44C9"/>
    <w:rsid w:val="00FC4D8E"/>
    <w:rsid w:val="00FC7091"/>
    <w:rsid w:val="00FD289C"/>
    <w:rsid w:val="00FD7AE5"/>
    <w:rsid w:val="00FE46AA"/>
    <w:rsid w:val="00FF02E4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B63B7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062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6D00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D00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F6D0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F6D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110C-E81F-46D8-A15D-1A0D7B6E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1463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2020-07-14T15:50:00Z</dcterms:created>
  <dcterms:modified xsi:type="dcterms:W3CDTF">2020-07-14T15:50:00Z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