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AADB4B" w14:textId="77777777" w:rsidR="00933B65" w:rsidRPr="0059091F" w:rsidRDefault="00FE0046" w:rsidP="00933B65">
      <w:pPr>
        <w:jc w:val="center"/>
        <w:rPr>
          <w:rFonts w:ascii="Book Antiqua" w:hAnsi="Book Antiqua" w:cs="Arial"/>
          <w:color w:val="000000"/>
          <w:sz w:val="16"/>
          <w:szCs w:val="16"/>
        </w:rPr>
      </w:pPr>
      <w:r w:rsidRPr="0059091F">
        <w:rPr>
          <w:noProof/>
          <w:sz w:val="16"/>
          <w:szCs w:val="16"/>
        </w:rPr>
        <w:drawing>
          <wp:inline distT="0" distB="0" distL="0" distR="0" wp14:anchorId="66C8CB4C" wp14:editId="402C14E0">
            <wp:extent cx="1495425" cy="1133475"/>
            <wp:effectExtent l="0" t="0" r="0" b="0"/>
            <wp:docPr id="1" name="Picture 1" descr="Asylum and Immigration tribunal-b&amp;w-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sylum and Immigration tribunal-b&amp;w-tif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1482" b="-76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71FAD" w14:textId="77777777" w:rsidR="00344427" w:rsidRPr="0059091F" w:rsidRDefault="00344427" w:rsidP="00344427">
      <w:pPr>
        <w:rPr>
          <w:rFonts w:ascii="Book Antiqua" w:hAnsi="Book Antiqua" w:cs="Arial"/>
          <w:color w:val="000000"/>
          <w:sz w:val="16"/>
          <w:szCs w:val="16"/>
        </w:rPr>
      </w:pPr>
    </w:p>
    <w:p w14:paraId="49D7256E" w14:textId="77777777" w:rsidR="00933B65" w:rsidRPr="00F97703" w:rsidRDefault="00933B65" w:rsidP="00933B65">
      <w:pPr>
        <w:tabs>
          <w:tab w:val="right" w:pos="9720"/>
        </w:tabs>
        <w:ind w:right="-82"/>
        <w:rPr>
          <w:rFonts w:ascii="Book Antiqua" w:hAnsi="Book Antiqua" w:cs="Arial"/>
          <w:b/>
          <w:color w:val="000000"/>
        </w:rPr>
      </w:pPr>
      <w:r>
        <w:rPr>
          <w:rFonts w:ascii="Book Antiqua" w:hAnsi="Book Antiqua" w:cs="Arial"/>
          <w:b/>
          <w:color w:val="000000"/>
        </w:rPr>
        <w:t>Upper</w:t>
      </w:r>
      <w:r w:rsidRPr="00F97703">
        <w:rPr>
          <w:rFonts w:ascii="Book Antiqua" w:hAnsi="Book Antiqua" w:cs="Arial"/>
          <w:b/>
          <w:color w:val="000000"/>
        </w:rPr>
        <w:t xml:space="preserve"> Tribunal </w:t>
      </w:r>
    </w:p>
    <w:p w14:paraId="5DC3D4E3" w14:textId="77777777" w:rsidR="00933B65" w:rsidRDefault="00933B65" w:rsidP="008A64A7">
      <w:pPr>
        <w:tabs>
          <w:tab w:val="right" w:pos="9720"/>
        </w:tabs>
        <w:ind w:right="-82"/>
        <w:rPr>
          <w:rFonts w:ascii="Book Antiqua" w:hAnsi="Book Antiqua" w:cs="Arial"/>
          <w:color w:val="000000"/>
        </w:rPr>
      </w:pPr>
      <w:r w:rsidRPr="00F97703">
        <w:rPr>
          <w:rFonts w:ascii="Book Antiqua" w:hAnsi="Book Antiqua" w:cs="Arial"/>
          <w:b/>
          <w:color w:val="000000"/>
        </w:rPr>
        <w:t>(Immigration and Asylum Chamber)</w:t>
      </w:r>
      <w:r w:rsidRPr="00F97703">
        <w:rPr>
          <w:rFonts w:ascii="Book Antiqua" w:hAnsi="Book Antiqua" w:cs="Arial"/>
          <w:b/>
          <w:color w:val="000000"/>
        </w:rPr>
        <w:tab/>
      </w:r>
      <w:bookmarkStart w:id="0" w:name="_Hlk521593529"/>
      <w:r w:rsidRPr="00F97703">
        <w:rPr>
          <w:rFonts w:ascii="Book Antiqua" w:hAnsi="Book Antiqua" w:cs="Arial"/>
          <w:color w:val="000000"/>
        </w:rPr>
        <w:t xml:space="preserve">Appeal Number: </w:t>
      </w:r>
      <w:bookmarkStart w:id="1" w:name="_GoBack"/>
      <w:r w:rsidR="002738B1">
        <w:rPr>
          <w:rFonts w:ascii="Book Antiqua" w:hAnsi="Book Antiqua" w:cs="Arial"/>
          <w:color w:val="000000"/>
        </w:rPr>
        <w:t>D</w:t>
      </w:r>
      <w:r w:rsidR="008B3888">
        <w:rPr>
          <w:rFonts w:ascii="Book Antiqua" w:hAnsi="Book Antiqua" w:cs="Arial"/>
          <w:color w:val="000000"/>
        </w:rPr>
        <w:t>A</w:t>
      </w:r>
      <w:r w:rsidR="002738B1">
        <w:rPr>
          <w:rFonts w:ascii="Book Antiqua" w:hAnsi="Book Antiqua" w:cs="Arial"/>
          <w:color w:val="000000"/>
        </w:rPr>
        <w:t>/00092/2018</w:t>
      </w:r>
      <w:bookmarkEnd w:id="0"/>
      <w:bookmarkEnd w:id="1"/>
    </w:p>
    <w:p w14:paraId="3CCADFD5" w14:textId="77777777" w:rsidR="009E3E28" w:rsidRPr="00F97703" w:rsidRDefault="009E3E28" w:rsidP="008A64A7">
      <w:pPr>
        <w:tabs>
          <w:tab w:val="right" w:pos="9720"/>
        </w:tabs>
        <w:ind w:right="-82"/>
        <w:rPr>
          <w:rFonts w:ascii="Book Antiqua" w:hAnsi="Book Antiqua" w:cs="Arial"/>
          <w:color w:val="000000"/>
        </w:rPr>
      </w:pPr>
    </w:p>
    <w:p w14:paraId="4DF9C046" w14:textId="77777777" w:rsidR="00933B65" w:rsidRPr="00F97703" w:rsidRDefault="00933B65" w:rsidP="00933B65">
      <w:pPr>
        <w:jc w:val="center"/>
        <w:rPr>
          <w:rFonts w:ascii="Book Antiqua" w:hAnsi="Book Antiqua" w:cs="Arial"/>
          <w:color w:val="000000"/>
        </w:rPr>
      </w:pPr>
    </w:p>
    <w:p w14:paraId="01522BBA" w14:textId="77777777" w:rsidR="00933B65" w:rsidRDefault="00933B65" w:rsidP="00933B65">
      <w:pPr>
        <w:jc w:val="center"/>
        <w:rPr>
          <w:rFonts w:ascii="Book Antiqua" w:hAnsi="Book Antiqua" w:cs="Arial"/>
          <w:b/>
          <w:color w:val="000000"/>
          <w:u w:val="single"/>
        </w:rPr>
      </w:pPr>
      <w:r w:rsidRPr="00F97703">
        <w:rPr>
          <w:rFonts w:ascii="Book Antiqua" w:hAnsi="Book Antiqua" w:cs="Arial"/>
          <w:b/>
          <w:color w:val="000000"/>
          <w:u w:val="single"/>
        </w:rPr>
        <w:t>THE IMMIGRATION ACTS</w:t>
      </w:r>
    </w:p>
    <w:p w14:paraId="4864406F" w14:textId="77777777" w:rsidR="009E3E28" w:rsidRPr="00F97703" w:rsidRDefault="009E3E28" w:rsidP="00933B65">
      <w:pPr>
        <w:jc w:val="center"/>
        <w:rPr>
          <w:rFonts w:ascii="Book Antiqua" w:hAnsi="Book Antiqua" w:cs="Arial"/>
          <w:b/>
          <w:u w:val="single"/>
        </w:rPr>
      </w:pPr>
    </w:p>
    <w:p w14:paraId="4908AF34" w14:textId="77777777" w:rsidR="00933B65" w:rsidRPr="00F97703" w:rsidRDefault="00933B65" w:rsidP="00933B65">
      <w:pPr>
        <w:jc w:val="center"/>
        <w:rPr>
          <w:rFonts w:ascii="Book Antiqua" w:hAnsi="Book Antiqua" w:cs="Arial"/>
          <w:b/>
          <w:u w:val="single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4819"/>
        <w:gridCol w:w="4819"/>
      </w:tblGrid>
      <w:tr w:rsidR="00933B65" w:rsidRPr="002154EF" w14:paraId="527ACEB0" w14:textId="77777777" w:rsidTr="00344427">
        <w:trPr>
          <w:trHeight w:val="300"/>
        </w:trPr>
        <w:tc>
          <w:tcPr>
            <w:tcW w:w="2500" w:type="pct"/>
            <w:shd w:val="clear" w:color="auto" w:fill="auto"/>
          </w:tcPr>
          <w:p w14:paraId="6D362AC4" w14:textId="77777777" w:rsidR="00933B65" w:rsidRPr="002154EF" w:rsidRDefault="00933B65" w:rsidP="002154EF">
            <w:pPr>
              <w:jc w:val="both"/>
              <w:rPr>
                <w:rFonts w:ascii="Book Antiqua" w:hAnsi="Book Antiqua" w:cs="Arial"/>
                <w:b/>
              </w:rPr>
            </w:pPr>
            <w:r w:rsidRPr="002154EF">
              <w:rPr>
                <w:rFonts w:ascii="Book Antiqua" w:hAnsi="Book Antiqua" w:cs="Arial"/>
                <w:b/>
              </w:rPr>
              <w:t xml:space="preserve">Heard at </w:t>
            </w:r>
            <w:r w:rsidR="008B5B9B" w:rsidRPr="002154EF">
              <w:rPr>
                <w:rFonts w:ascii="Book Antiqua" w:hAnsi="Book Antiqua" w:cs="Arial"/>
                <w:b/>
              </w:rPr>
              <w:t xml:space="preserve">Glasgow </w:t>
            </w:r>
          </w:p>
        </w:tc>
        <w:tc>
          <w:tcPr>
            <w:tcW w:w="2500" w:type="pct"/>
            <w:shd w:val="clear" w:color="auto" w:fill="auto"/>
          </w:tcPr>
          <w:p w14:paraId="521388FA" w14:textId="77777777" w:rsidR="00933B65" w:rsidRPr="002154EF" w:rsidRDefault="00933B65" w:rsidP="00344427">
            <w:pPr>
              <w:jc w:val="right"/>
              <w:rPr>
                <w:rFonts w:ascii="Book Antiqua" w:hAnsi="Book Antiqua" w:cs="Arial"/>
                <w:b/>
                <w:color w:val="000000"/>
              </w:rPr>
            </w:pPr>
            <w:r w:rsidRPr="002154EF">
              <w:rPr>
                <w:rFonts w:ascii="Book Antiqua" w:hAnsi="Book Antiqua" w:cs="Arial"/>
                <w:b/>
                <w:color w:val="000000"/>
              </w:rPr>
              <w:t xml:space="preserve">Determination </w:t>
            </w:r>
            <w:r w:rsidR="00321C6F" w:rsidRPr="002154EF">
              <w:rPr>
                <w:rFonts w:ascii="Book Antiqua" w:hAnsi="Book Antiqua" w:cs="Arial"/>
                <w:b/>
                <w:color w:val="000000"/>
              </w:rPr>
              <w:t>issu</w:t>
            </w:r>
            <w:r w:rsidRPr="002154EF">
              <w:rPr>
                <w:rFonts w:ascii="Book Antiqua" w:hAnsi="Book Antiqua" w:cs="Arial"/>
                <w:b/>
                <w:color w:val="000000"/>
              </w:rPr>
              <w:t>ed</w:t>
            </w:r>
          </w:p>
        </w:tc>
      </w:tr>
      <w:tr w:rsidR="00933B65" w:rsidRPr="002154EF" w14:paraId="3BC5FA84" w14:textId="77777777" w:rsidTr="00344427">
        <w:trPr>
          <w:trHeight w:val="283"/>
        </w:trPr>
        <w:tc>
          <w:tcPr>
            <w:tcW w:w="2500" w:type="pct"/>
            <w:shd w:val="clear" w:color="auto" w:fill="auto"/>
          </w:tcPr>
          <w:p w14:paraId="4C58170B" w14:textId="77777777" w:rsidR="00933B65" w:rsidRPr="002154EF" w:rsidRDefault="002F0D00" w:rsidP="002154EF">
            <w:pPr>
              <w:jc w:val="both"/>
              <w:rPr>
                <w:rFonts w:ascii="Book Antiqua" w:hAnsi="Book Antiqua" w:cs="Arial"/>
                <w:b/>
              </w:rPr>
            </w:pPr>
            <w:r>
              <w:rPr>
                <w:rFonts w:ascii="Book Antiqua" w:hAnsi="Book Antiqua" w:cs="Arial"/>
                <w:b/>
              </w:rPr>
              <w:t>O</w:t>
            </w:r>
            <w:r w:rsidR="00933B65" w:rsidRPr="002154EF">
              <w:rPr>
                <w:rFonts w:ascii="Book Antiqua" w:hAnsi="Book Antiqua" w:cs="Arial"/>
                <w:b/>
              </w:rPr>
              <w:t xml:space="preserve">n </w:t>
            </w:r>
            <w:r w:rsidR="005F209E">
              <w:rPr>
                <w:rFonts w:ascii="Book Antiqua" w:hAnsi="Book Antiqua" w:cs="Arial"/>
                <w:b/>
              </w:rPr>
              <w:t>2 August 2018</w:t>
            </w:r>
          </w:p>
        </w:tc>
        <w:tc>
          <w:tcPr>
            <w:tcW w:w="2500" w:type="pct"/>
            <w:shd w:val="clear" w:color="auto" w:fill="auto"/>
          </w:tcPr>
          <w:p w14:paraId="6A78EA6B" w14:textId="77777777" w:rsidR="00933B65" w:rsidRPr="002154EF" w:rsidRDefault="002F0D00" w:rsidP="00344427">
            <w:pPr>
              <w:jc w:val="right"/>
              <w:rPr>
                <w:rFonts w:ascii="Book Antiqua" w:hAnsi="Book Antiqua" w:cs="Arial"/>
                <w:b/>
              </w:rPr>
            </w:pPr>
            <w:r>
              <w:rPr>
                <w:rFonts w:ascii="Book Antiqua" w:hAnsi="Book Antiqua" w:cs="Arial"/>
                <w:b/>
              </w:rPr>
              <w:t>On 10 August 2018</w:t>
            </w:r>
          </w:p>
        </w:tc>
      </w:tr>
      <w:tr w:rsidR="00933B65" w:rsidRPr="002154EF" w14:paraId="657A0E28" w14:textId="77777777" w:rsidTr="00344427">
        <w:trPr>
          <w:trHeight w:val="300"/>
        </w:trPr>
        <w:tc>
          <w:tcPr>
            <w:tcW w:w="2500" w:type="pct"/>
            <w:shd w:val="clear" w:color="auto" w:fill="auto"/>
          </w:tcPr>
          <w:p w14:paraId="35286628" w14:textId="77777777" w:rsidR="00933B65" w:rsidRPr="002154EF" w:rsidRDefault="00933B65" w:rsidP="002154EF">
            <w:pPr>
              <w:jc w:val="both"/>
              <w:rPr>
                <w:rFonts w:ascii="Book Antiqua" w:hAnsi="Book Antiqua" w:cs="Arial"/>
                <w:b/>
              </w:rPr>
            </w:pPr>
          </w:p>
        </w:tc>
        <w:tc>
          <w:tcPr>
            <w:tcW w:w="2500" w:type="pct"/>
            <w:shd w:val="clear" w:color="auto" w:fill="auto"/>
          </w:tcPr>
          <w:p w14:paraId="69E3DBF4" w14:textId="77777777" w:rsidR="00933B65" w:rsidRPr="002154EF" w:rsidRDefault="00933B65" w:rsidP="00344427">
            <w:pPr>
              <w:jc w:val="right"/>
              <w:rPr>
                <w:rFonts w:ascii="Book Antiqua" w:hAnsi="Book Antiqua" w:cs="Arial"/>
                <w:b/>
              </w:rPr>
            </w:pPr>
          </w:p>
        </w:tc>
      </w:tr>
    </w:tbl>
    <w:p w14:paraId="167E11AA" w14:textId="77777777" w:rsidR="009E3E28" w:rsidRDefault="009E3E28" w:rsidP="00933B65">
      <w:pPr>
        <w:jc w:val="center"/>
        <w:rPr>
          <w:rFonts w:ascii="Book Antiqua" w:hAnsi="Book Antiqua" w:cs="Arial"/>
          <w:b/>
        </w:rPr>
      </w:pPr>
    </w:p>
    <w:p w14:paraId="7D786745" w14:textId="77777777" w:rsidR="00933B65" w:rsidRPr="00F97703" w:rsidRDefault="00933B65" w:rsidP="00933B65">
      <w:pPr>
        <w:jc w:val="center"/>
        <w:rPr>
          <w:rFonts w:ascii="Book Antiqua" w:hAnsi="Book Antiqua" w:cs="Arial"/>
          <w:b/>
        </w:rPr>
      </w:pPr>
      <w:r w:rsidRPr="00F97703">
        <w:rPr>
          <w:rFonts w:ascii="Book Antiqua" w:hAnsi="Book Antiqua" w:cs="Arial"/>
          <w:b/>
        </w:rPr>
        <w:t>Before</w:t>
      </w:r>
    </w:p>
    <w:p w14:paraId="0F1EAAF8" w14:textId="77777777" w:rsidR="00933B65" w:rsidRPr="00F97703" w:rsidRDefault="00933B65" w:rsidP="00933B65">
      <w:pPr>
        <w:jc w:val="center"/>
        <w:rPr>
          <w:rFonts w:ascii="Book Antiqua" w:hAnsi="Book Antiqua" w:cs="Arial"/>
          <w:b/>
        </w:rPr>
      </w:pPr>
    </w:p>
    <w:p w14:paraId="2691AAF6" w14:textId="77777777" w:rsidR="00933B65" w:rsidRPr="00F97703" w:rsidRDefault="00933B65" w:rsidP="00933B65">
      <w:pPr>
        <w:jc w:val="center"/>
        <w:rPr>
          <w:rFonts w:ascii="Book Antiqua" w:hAnsi="Book Antiqua" w:cs="Arial"/>
          <w:b/>
          <w:color w:val="000000"/>
        </w:rPr>
      </w:pPr>
      <w:r>
        <w:rPr>
          <w:rFonts w:ascii="Book Antiqua" w:hAnsi="Book Antiqua" w:cs="Arial"/>
          <w:b/>
          <w:color w:val="000000"/>
        </w:rPr>
        <w:t xml:space="preserve">UPPER TRIBUNAL JUDGE </w:t>
      </w:r>
      <w:r w:rsidR="008B5B9B">
        <w:rPr>
          <w:rFonts w:ascii="Book Antiqua" w:hAnsi="Book Antiqua" w:cs="Arial"/>
          <w:b/>
          <w:color w:val="000000"/>
        </w:rPr>
        <w:t>MACLEMAN</w:t>
      </w:r>
    </w:p>
    <w:p w14:paraId="3D58620E" w14:textId="77777777" w:rsidR="00933B65" w:rsidRPr="00F97703" w:rsidRDefault="00933B65" w:rsidP="00933B65">
      <w:pPr>
        <w:jc w:val="center"/>
        <w:rPr>
          <w:rFonts w:ascii="Book Antiqua" w:hAnsi="Book Antiqua" w:cs="Arial"/>
          <w:b/>
        </w:rPr>
      </w:pPr>
    </w:p>
    <w:p w14:paraId="219C3A07" w14:textId="77777777" w:rsidR="00344427" w:rsidRDefault="00344427" w:rsidP="00933B65">
      <w:pPr>
        <w:jc w:val="center"/>
        <w:rPr>
          <w:rFonts w:ascii="Book Antiqua" w:hAnsi="Book Antiqua" w:cs="Arial"/>
          <w:b/>
        </w:rPr>
      </w:pPr>
    </w:p>
    <w:p w14:paraId="02B67FE4" w14:textId="0E7E62AD" w:rsidR="00933B65" w:rsidRDefault="00933B65" w:rsidP="00933B65">
      <w:pPr>
        <w:jc w:val="center"/>
        <w:rPr>
          <w:rFonts w:ascii="Book Antiqua" w:hAnsi="Book Antiqua" w:cs="Arial"/>
          <w:b/>
        </w:rPr>
      </w:pPr>
      <w:r w:rsidRPr="00F97703">
        <w:rPr>
          <w:rFonts w:ascii="Book Antiqua" w:hAnsi="Book Antiqua" w:cs="Arial"/>
          <w:b/>
        </w:rPr>
        <w:t>Between</w:t>
      </w:r>
    </w:p>
    <w:p w14:paraId="2E550846" w14:textId="77777777" w:rsidR="00933B65" w:rsidRDefault="00933B65" w:rsidP="00933B65">
      <w:pPr>
        <w:jc w:val="center"/>
        <w:rPr>
          <w:rFonts w:ascii="Book Antiqua" w:hAnsi="Book Antiqua" w:cs="Arial"/>
          <w:b/>
        </w:rPr>
      </w:pPr>
    </w:p>
    <w:p w14:paraId="0F2B32FC" w14:textId="77777777" w:rsidR="00933B65" w:rsidRPr="00F97703" w:rsidRDefault="007F0872" w:rsidP="00933B65">
      <w:pPr>
        <w:jc w:val="center"/>
        <w:rPr>
          <w:rFonts w:ascii="Book Antiqua" w:hAnsi="Book Antiqua" w:cs="Arial"/>
          <w:b/>
        </w:rPr>
      </w:pPr>
      <w:r w:rsidRPr="00F97703">
        <w:rPr>
          <w:rFonts w:ascii="Book Antiqua" w:hAnsi="Book Antiqua" w:cs="Arial"/>
          <w:b/>
        </w:rPr>
        <w:fldChar w:fldCharType="begin">
          <w:ffData>
            <w:name w:val="Text7"/>
            <w:enabled/>
            <w:calcOnExit w:val="0"/>
            <w:textInput>
              <w:default w:val="THE SECRETARY OF STATE FOR THE HOME DEPARTMENT"/>
              <w:format w:val="UPPERCASE"/>
            </w:textInput>
          </w:ffData>
        </w:fldChar>
      </w:r>
      <w:bookmarkStart w:id="2" w:name="Text7"/>
      <w:r w:rsidRPr="00F97703">
        <w:rPr>
          <w:rFonts w:ascii="Book Antiqua" w:hAnsi="Book Antiqua" w:cs="Arial"/>
          <w:b/>
        </w:rPr>
        <w:instrText xml:space="preserve"> FORMTEXT </w:instrText>
      </w:r>
      <w:r w:rsidRPr="00F97703">
        <w:rPr>
          <w:rFonts w:ascii="Book Antiqua" w:hAnsi="Book Antiqua" w:cs="Arial"/>
          <w:b/>
        </w:rPr>
      </w:r>
      <w:r w:rsidRPr="00F97703">
        <w:rPr>
          <w:rFonts w:ascii="Book Antiqua" w:hAnsi="Book Antiqua" w:cs="Arial"/>
          <w:b/>
        </w:rPr>
        <w:fldChar w:fldCharType="separate"/>
      </w:r>
      <w:r w:rsidRPr="00F97703">
        <w:rPr>
          <w:rFonts w:ascii="Book Antiqua" w:hAnsi="Book Antiqua" w:cs="Arial"/>
          <w:b/>
          <w:noProof/>
        </w:rPr>
        <w:t>THE SECRETARY OF STATE FOR THE HOME DEPARTMENT</w:t>
      </w:r>
      <w:r w:rsidRPr="00F97703">
        <w:rPr>
          <w:rFonts w:ascii="Book Antiqua" w:hAnsi="Book Antiqua" w:cs="Arial"/>
          <w:b/>
        </w:rPr>
        <w:fldChar w:fldCharType="end"/>
      </w:r>
      <w:bookmarkEnd w:id="2"/>
    </w:p>
    <w:p w14:paraId="074FB7F4" w14:textId="77777777" w:rsidR="00933B65" w:rsidRPr="00F97703" w:rsidRDefault="00933B65" w:rsidP="00933B65">
      <w:pPr>
        <w:jc w:val="right"/>
        <w:rPr>
          <w:rFonts w:ascii="Book Antiqua" w:hAnsi="Book Antiqua" w:cs="Arial"/>
          <w:u w:val="single"/>
        </w:rPr>
      </w:pPr>
      <w:r w:rsidRPr="00F97703">
        <w:rPr>
          <w:rFonts w:ascii="Book Antiqua" w:hAnsi="Book Antiqua" w:cs="Arial"/>
          <w:u w:val="single"/>
        </w:rPr>
        <w:t>Appellant</w:t>
      </w:r>
    </w:p>
    <w:p w14:paraId="1850CD48" w14:textId="77777777" w:rsidR="00D44C2B" w:rsidRDefault="00933B65" w:rsidP="00933B65">
      <w:pPr>
        <w:jc w:val="center"/>
        <w:rPr>
          <w:rFonts w:ascii="Book Antiqua" w:hAnsi="Book Antiqua" w:cs="Arial"/>
          <w:b/>
        </w:rPr>
      </w:pPr>
      <w:r w:rsidRPr="00F97703">
        <w:rPr>
          <w:rFonts w:ascii="Book Antiqua" w:hAnsi="Book Antiqua" w:cs="Arial"/>
          <w:b/>
        </w:rPr>
        <w:t>and</w:t>
      </w:r>
    </w:p>
    <w:p w14:paraId="6EDFFB20" w14:textId="77777777" w:rsidR="007F0872" w:rsidRDefault="007F0872" w:rsidP="00933B65">
      <w:pPr>
        <w:jc w:val="center"/>
        <w:rPr>
          <w:rFonts w:ascii="Book Antiqua" w:hAnsi="Book Antiqua" w:cs="Arial"/>
          <w:b/>
        </w:rPr>
      </w:pPr>
    </w:p>
    <w:p w14:paraId="21B1EEC4" w14:textId="77777777" w:rsidR="00933B65" w:rsidRPr="00F97703" w:rsidRDefault="007F0872" w:rsidP="00933B65">
      <w:pPr>
        <w:jc w:val="center"/>
        <w:rPr>
          <w:rFonts w:ascii="Book Antiqua" w:hAnsi="Book Antiqua" w:cs="Arial"/>
          <w:b/>
        </w:rPr>
      </w:pPr>
      <w:r>
        <w:rPr>
          <w:rFonts w:ascii="Book Antiqua" w:hAnsi="Book Antiqua" w:cs="Arial"/>
          <w:b/>
        </w:rPr>
        <w:t>TOMAS URBONAVICIUS</w:t>
      </w:r>
    </w:p>
    <w:p w14:paraId="42219DA9" w14:textId="77777777" w:rsidR="00933B65" w:rsidRDefault="00933B65" w:rsidP="00421E00">
      <w:pPr>
        <w:jc w:val="right"/>
        <w:rPr>
          <w:rFonts w:ascii="Book Antiqua" w:hAnsi="Book Antiqua" w:cs="Arial"/>
          <w:u w:val="single"/>
        </w:rPr>
      </w:pPr>
      <w:r w:rsidRPr="00F97703">
        <w:rPr>
          <w:rFonts w:ascii="Book Antiqua" w:hAnsi="Book Antiqua" w:cs="Arial"/>
          <w:u w:val="single"/>
        </w:rPr>
        <w:t>Respondent</w:t>
      </w:r>
    </w:p>
    <w:p w14:paraId="1EAA28AD" w14:textId="4BDF0706" w:rsidR="00421E00" w:rsidRDefault="00421E00" w:rsidP="00746F68">
      <w:pPr>
        <w:rPr>
          <w:rFonts w:ascii="Book Antiqua" w:hAnsi="Book Antiqua" w:cs="Arial"/>
        </w:rPr>
      </w:pPr>
    </w:p>
    <w:p w14:paraId="461D4BEB" w14:textId="7F5AD242" w:rsidR="00746F68" w:rsidRDefault="00746F68" w:rsidP="00746F68">
      <w:pPr>
        <w:rPr>
          <w:rFonts w:ascii="Book Antiqua" w:hAnsi="Book Antiqua" w:cs="Arial"/>
        </w:rPr>
      </w:pPr>
    </w:p>
    <w:p w14:paraId="5A41330C" w14:textId="0277FAAE" w:rsidR="00746F68" w:rsidRPr="00746F68" w:rsidRDefault="00746F68" w:rsidP="00746F68">
      <w:pPr>
        <w:rPr>
          <w:rFonts w:ascii="Book Antiqua" w:hAnsi="Book Antiqua" w:cs="Arial"/>
          <w:u w:val="single"/>
        </w:rPr>
      </w:pPr>
      <w:r>
        <w:rPr>
          <w:rFonts w:ascii="Book Antiqua" w:hAnsi="Book Antiqua" w:cs="Arial"/>
          <w:u w:val="single"/>
        </w:rPr>
        <w:t>Representation</w:t>
      </w:r>
    </w:p>
    <w:p w14:paraId="00E724E2" w14:textId="77777777" w:rsidR="00933B65" w:rsidRPr="00F97703" w:rsidRDefault="00933B65" w:rsidP="00746F68">
      <w:pPr>
        <w:tabs>
          <w:tab w:val="left" w:pos="2552"/>
        </w:tabs>
        <w:rPr>
          <w:rFonts w:ascii="Book Antiqua" w:hAnsi="Book Antiqua" w:cs="Arial"/>
        </w:rPr>
      </w:pPr>
      <w:r w:rsidRPr="00F97703">
        <w:rPr>
          <w:rFonts w:ascii="Book Antiqua" w:hAnsi="Book Antiqua" w:cs="Arial"/>
        </w:rPr>
        <w:t>For the Appellant:</w:t>
      </w:r>
      <w:r w:rsidRPr="00F97703">
        <w:rPr>
          <w:rFonts w:ascii="Book Antiqua" w:hAnsi="Book Antiqua" w:cs="Arial"/>
        </w:rPr>
        <w:tab/>
      </w:r>
      <w:r w:rsidR="005E5D0D">
        <w:rPr>
          <w:rFonts w:ascii="Book Antiqua" w:hAnsi="Book Antiqua" w:cs="Arial"/>
        </w:rPr>
        <w:t xml:space="preserve">Mrs M O’Brien, </w:t>
      </w:r>
      <w:r w:rsidR="007F0872">
        <w:rPr>
          <w:rFonts w:ascii="Book Antiqua" w:hAnsi="Book Antiqua" w:cs="Arial"/>
        </w:rPr>
        <w:t>Senior Home Office Presenting Officer</w:t>
      </w:r>
    </w:p>
    <w:p w14:paraId="3E7E8FC6" w14:textId="77777777" w:rsidR="00933B65" w:rsidRPr="00F97703" w:rsidRDefault="00933B65" w:rsidP="00746F68">
      <w:pPr>
        <w:tabs>
          <w:tab w:val="left" w:pos="2552"/>
        </w:tabs>
        <w:rPr>
          <w:rFonts w:ascii="Book Antiqua" w:hAnsi="Book Antiqua" w:cs="Arial"/>
        </w:rPr>
      </w:pPr>
      <w:r w:rsidRPr="00F97703">
        <w:rPr>
          <w:rFonts w:ascii="Book Antiqua" w:hAnsi="Book Antiqua" w:cs="Arial"/>
        </w:rPr>
        <w:t>For the Respondent:</w:t>
      </w:r>
      <w:r w:rsidRPr="00F97703">
        <w:rPr>
          <w:rFonts w:ascii="Book Antiqua" w:hAnsi="Book Antiqua" w:cs="Arial"/>
        </w:rPr>
        <w:tab/>
      </w:r>
      <w:r w:rsidR="005E5D0D">
        <w:rPr>
          <w:rFonts w:ascii="Book Antiqua" w:hAnsi="Book Antiqua" w:cs="Arial"/>
        </w:rPr>
        <w:t xml:space="preserve">Mrs F Farrell, of </w:t>
      </w:r>
      <w:r w:rsidR="007F0872">
        <w:rPr>
          <w:rFonts w:ascii="Book Antiqua" w:hAnsi="Book Antiqua" w:cs="Arial"/>
        </w:rPr>
        <w:t>Peter G Farrell, Solicitors</w:t>
      </w:r>
    </w:p>
    <w:p w14:paraId="185E7613" w14:textId="77777777" w:rsidR="00933B65" w:rsidRPr="00F97703" w:rsidRDefault="00933B65" w:rsidP="00933B65">
      <w:pPr>
        <w:tabs>
          <w:tab w:val="left" w:pos="2520"/>
        </w:tabs>
        <w:jc w:val="center"/>
        <w:rPr>
          <w:rFonts w:ascii="Book Antiqua" w:hAnsi="Book Antiqua" w:cs="Arial"/>
        </w:rPr>
      </w:pPr>
    </w:p>
    <w:p w14:paraId="15F95B12" w14:textId="77777777" w:rsidR="00746F68" w:rsidRDefault="00746F68" w:rsidP="00734D2D">
      <w:pPr>
        <w:tabs>
          <w:tab w:val="left" w:pos="2520"/>
        </w:tabs>
        <w:jc w:val="center"/>
        <w:rPr>
          <w:rFonts w:ascii="Book Antiqua" w:hAnsi="Book Antiqua" w:cs="Arial"/>
          <w:b/>
          <w:u w:val="single"/>
        </w:rPr>
      </w:pPr>
    </w:p>
    <w:p w14:paraId="7AE47F5B" w14:textId="05F15292" w:rsidR="00321C6F" w:rsidRPr="002B54F9" w:rsidRDefault="00933B65" w:rsidP="00734D2D">
      <w:pPr>
        <w:tabs>
          <w:tab w:val="left" w:pos="2520"/>
        </w:tabs>
        <w:jc w:val="center"/>
        <w:rPr>
          <w:rFonts w:ascii="Book Antiqua" w:hAnsi="Book Antiqua" w:cs="Arial"/>
          <w:sz w:val="20"/>
          <w:szCs w:val="20"/>
        </w:rPr>
      </w:pPr>
      <w:r w:rsidRPr="00F97703">
        <w:rPr>
          <w:rFonts w:ascii="Book Antiqua" w:hAnsi="Book Antiqua" w:cs="Arial"/>
          <w:b/>
          <w:u w:val="single"/>
        </w:rPr>
        <w:t>DETERMINATION AND REASONS</w:t>
      </w:r>
    </w:p>
    <w:p w14:paraId="2AF6B8B3" w14:textId="77777777" w:rsidR="007F0872" w:rsidRDefault="007F0872" w:rsidP="00007BAC">
      <w:pPr>
        <w:numPr>
          <w:ilvl w:val="0"/>
          <w:numId w:val="2"/>
        </w:numPr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Parties are as above, but the rest of this determination refers to them as they were in the FtT.</w:t>
      </w:r>
    </w:p>
    <w:p w14:paraId="56188192" w14:textId="77777777" w:rsidR="00D71C38" w:rsidRDefault="000922AC" w:rsidP="00007BAC">
      <w:pPr>
        <w:numPr>
          <w:ilvl w:val="0"/>
          <w:numId w:val="2"/>
        </w:numPr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FtT Judge Doyle allowed the appellant’s appeal against deportation </w:t>
      </w:r>
      <w:r w:rsidR="00D71C38">
        <w:rPr>
          <w:rFonts w:ascii="Book Antiqua" w:hAnsi="Book Antiqua" w:cs="Arial"/>
        </w:rPr>
        <w:t>by a decision promulgated on 18 April 2018.</w:t>
      </w:r>
    </w:p>
    <w:p w14:paraId="052F9004" w14:textId="77777777" w:rsidR="00C728DA" w:rsidRDefault="00226DDE" w:rsidP="00007BAC">
      <w:pPr>
        <w:numPr>
          <w:ilvl w:val="0"/>
          <w:numId w:val="2"/>
        </w:numPr>
        <w:spacing w:before="240"/>
        <w:jc w:val="both"/>
        <w:rPr>
          <w:rFonts w:ascii="Book Antiqua" w:hAnsi="Book Antiqua" w:cs="Arial"/>
        </w:rPr>
      </w:pPr>
      <w:r w:rsidRPr="00C728DA">
        <w:rPr>
          <w:rFonts w:ascii="Book Antiqua" w:hAnsi="Book Antiqua" w:cs="Arial"/>
        </w:rPr>
        <w:t xml:space="preserve">The SSHD’s grounds </w:t>
      </w:r>
      <w:r w:rsidR="00C728DA" w:rsidRPr="00C728DA">
        <w:rPr>
          <w:rFonts w:ascii="Book Antiqua" w:hAnsi="Book Antiqua" w:cs="Arial"/>
        </w:rPr>
        <w:t xml:space="preserve">of appeal to the UT </w:t>
      </w:r>
      <w:r w:rsidRPr="00C728DA">
        <w:rPr>
          <w:rFonts w:ascii="Book Antiqua" w:hAnsi="Book Antiqua" w:cs="Arial"/>
        </w:rPr>
        <w:t xml:space="preserve">are as attached to the application for permission </w:t>
      </w:r>
      <w:r w:rsidR="009867BA" w:rsidRPr="00C728DA">
        <w:rPr>
          <w:rFonts w:ascii="Book Antiqua" w:hAnsi="Book Antiqua" w:cs="Arial"/>
        </w:rPr>
        <w:t>filed with the FtT, dated 18 April 2018.</w:t>
      </w:r>
    </w:p>
    <w:p w14:paraId="0CB491FE" w14:textId="77777777" w:rsidR="00EF4381" w:rsidRDefault="004E506F" w:rsidP="00007BAC">
      <w:pPr>
        <w:numPr>
          <w:ilvl w:val="0"/>
          <w:numId w:val="2"/>
        </w:numPr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lastRenderedPageBreak/>
        <w:t>Mrs O’Br</w:t>
      </w:r>
      <w:r w:rsidR="00620A69">
        <w:rPr>
          <w:rFonts w:ascii="Book Antiqua" w:hAnsi="Book Antiqua" w:cs="Arial"/>
        </w:rPr>
        <w:t>i</w:t>
      </w:r>
      <w:r>
        <w:rPr>
          <w:rFonts w:ascii="Book Antiqua" w:hAnsi="Book Antiqua" w:cs="Arial"/>
        </w:rPr>
        <w:t>en</w:t>
      </w:r>
      <w:r w:rsidR="00620A69">
        <w:rPr>
          <w:rFonts w:ascii="Book Antiqua" w:hAnsi="Book Antiqua" w:cs="Arial"/>
        </w:rPr>
        <w:t xml:space="preserve"> accepted that the grounds might read in parts as insistence on the case put to th</w:t>
      </w:r>
      <w:r w:rsidR="008B1D25">
        <w:rPr>
          <w:rFonts w:ascii="Book Antiqua" w:hAnsi="Book Antiqua" w:cs="Arial"/>
        </w:rPr>
        <w:t>e</w:t>
      </w:r>
      <w:r w:rsidR="00620A69">
        <w:rPr>
          <w:rFonts w:ascii="Book Antiqua" w:hAnsi="Book Antiqua" w:cs="Arial"/>
        </w:rPr>
        <w:t xml:space="preserve"> FtT</w:t>
      </w:r>
      <w:r w:rsidR="008B1D25">
        <w:rPr>
          <w:rFonts w:ascii="Book Antiqua" w:hAnsi="Book Antiqua" w:cs="Arial"/>
        </w:rPr>
        <w:t xml:space="preserve">.  However, she argued that </w:t>
      </w:r>
      <w:r w:rsidR="00BF3FF4">
        <w:rPr>
          <w:rFonts w:ascii="Book Antiqua" w:hAnsi="Book Antiqua" w:cs="Arial"/>
        </w:rPr>
        <w:t>at botto</w:t>
      </w:r>
      <w:r w:rsidR="007450B3">
        <w:rPr>
          <w:rFonts w:ascii="Book Antiqua" w:hAnsi="Book Antiqua" w:cs="Arial"/>
        </w:rPr>
        <w:t xml:space="preserve">m they identified </w:t>
      </w:r>
      <w:r w:rsidR="00C3729A">
        <w:rPr>
          <w:rFonts w:ascii="Book Antiqua" w:hAnsi="Book Antiqua" w:cs="Arial"/>
        </w:rPr>
        <w:t>a</w:t>
      </w:r>
      <w:r w:rsidR="007450B3">
        <w:rPr>
          <w:rFonts w:ascii="Book Antiqua" w:hAnsi="Book Antiqua" w:cs="Arial"/>
        </w:rPr>
        <w:t>n</w:t>
      </w:r>
      <w:r w:rsidR="00C3729A">
        <w:rPr>
          <w:rFonts w:ascii="Book Antiqua" w:hAnsi="Book Antiqua" w:cs="Arial"/>
        </w:rPr>
        <w:t xml:space="preserve"> </w:t>
      </w:r>
      <w:r w:rsidR="007450B3">
        <w:rPr>
          <w:rFonts w:ascii="Book Antiqua" w:hAnsi="Book Antiqua" w:cs="Arial"/>
        </w:rPr>
        <w:t>essential</w:t>
      </w:r>
      <w:r w:rsidR="00C3729A">
        <w:rPr>
          <w:rFonts w:ascii="Book Antiqua" w:hAnsi="Book Antiqua" w:cs="Arial"/>
        </w:rPr>
        <w:t xml:space="preserve"> err</w:t>
      </w:r>
      <w:r w:rsidR="001E0EED">
        <w:rPr>
          <w:rFonts w:ascii="Book Antiqua" w:hAnsi="Book Antiqua" w:cs="Arial"/>
        </w:rPr>
        <w:t>or</w:t>
      </w:r>
      <w:r w:rsidR="00C3729A">
        <w:rPr>
          <w:rFonts w:ascii="Book Antiqua" w:hAnsi="Book Antiqua" w:cs="Arial"/>
        </w:rPr>
        <w:t xml:space="preserve"> of legal approach.</w:t>
      </w:r>
      <w:r w:rsidR="000121F6">
        <w:rPr>
          <w:rFonts w:ascii="Book Antiqua" w:hAnsi="Book Antiqua" w:cs="Arial"/>
        </w:rPr>
        <w:t xml:space="preserve">  The </w:t>
      </w:r>
      <w:r w:rsidR="003C0C7C">
        <w:rPr>
          <w:rFonts w:ascii="Book Antiqua" w:hAnsi="Book Antiqua" w:cs="Arial"/>
        </w:rPr>
        <w:t xml:space="preserve">application of the </w:t>
      </w:r>
      <w:r w:rsidR="000121F6">
        <w:rPr>
          <w:rFonts w:ascii="Book Antiqua" w:hAnsi="Book Antiqua" w:cs="Arial"/>
        </w:rPr>
        <w:t>principles of regulation</w:t>
      </w:r>
      <w:r w:rsidR="00C3729A">
        <w:rPr>
          <w:rFonts w:ascii="Book Antiqua" w:hAnsi="Book Antiqua" w:cs="Arial"/>
        </w:rPr>
        <w:t xml:space="preserve"> </w:t>
      </w:r>
      <w:r w:rsidR="003C0C7C">
        <w:rPr>
          <w:rFonts w:ascii="Book Antiqua" w:hAnsi="Book Antiqua" w:cs="Arial"/>
        </w:rPr>
        <w:t>2</w:t>
      </w:r>
      <w:r w:rsidR="00FF2A9F">
        <w:rPr>
          <w:rFonts w:ascii="Book Antiqua" w:hAnsi="Book Antiqua" w:cs="Arial"/>
        </w:rPr>
        <w:t>7</w:t>
      </w:r>
      <w:r w:rsidR="003C0C7C">
        <w:rPr>
          <w:rFonts w:ascii="Book Antiqua" w:hAnsi="Book Antiqua" w:cs="Arial"/>
        </w:rPr>
        <w:t xml:space="preserve"> (5), set out at paragraph 26 of the respondent’s decision, </w:t>
      </w:r>
      <w:r w:rsidR="00035959">
        <w:rPr>
          <w:rFonts w:ascii="Book Antiqua" w:hAnsi="Book Antiqua" w:cs="Arial"/>
        </w:rPr>
        <w:t xml:space="preserve">did not “stand alone” but </w:t>
      </w:r>
      <w:r w:rsidR="003C0C7C">
        <w:rPr>
          <w:rFonts w:ascii="Book Antiqua" w:hAnsi="Book Antiqua" w:cs="Arial"/>
        </w:rPr>
        <w:t>was</w:t>
      </w:r>
      <w:r w:rsidR="00FF2A9F">
        <w:rPr>
          <w:rFonts w:ascii="Book Antiqua" w:hAnsi="Book Antiqua" w:cs="Arial"/>
        </w:rPr>
        <w:t xml:space="preserve"> </w:t>
      </w:r>
      <w:r w:rsidR="008E2DC1">
        <w:rPr>
          <w:rFonts w:ascii="Book Antiqua" w:hAnsi="Book Antiqua" w:cs="Arial"/>
        </w:rPr>
        <w:t>“</w:t>
      </w:r>
      <w:r w:rsidR="00C3729A">
        <w:rPr>
          <w:rFonts w:ascii="Book Antiqua" w:hAnsi="Book Antiqua" w:cs="Arial"/>
        </w:rPr>
        <w:t>s</w:t>
      </w:r>
      <w:r w:rsidR="008E2DC1">
        <w:rPr>
          <w:rFonts w:ascii="Book Antiqua" w:hAnsi="Book Antiqua" w:cs="Arial"/>
        </w:rPr>
        <w:t>trongly signposted” by schedule 1</w:t>
      </w:r>
      <w:r w:rsidR="0018136E">
        <w:rPr>
          <w:rFonts w:ascii="Book Antiqua" w:hAnsi="Book Antiqua" w:cs="Arial"/>
        </w:rPr>
        <w:t xml:space="preserve"> to the regulations</w:t>
      </w:r>
      <w:r w:rsidR="008E2DC1">
        <w:rPr>
          <w:rFonts w:ascii="Book Antiqua" w:hAnsi="Book Antiqua" w:cs="Arial"/>
        </w:rPr>
        <w:t xml:space="preserve">, </w:t>
      </w:r>
      <w:r w:rsidR="00566429">
        <w:rPr>
          <w:rFonts w:ascii="Book Antiqua" w:hAnsi="Book Antiqua" w:cs="Arial"/>
        </w:rPr>
        <w:t xml:space="preserve">identifying the fundamental interests of society to which the appellant’s offending </w:t>
      </w:r>
      <w:r w:rsidR="00096144">
        <w:rPr>
          <w:rFonts w:ascii="Book Antiqua" w:hAnsi="Book Antiqua" w:cs="Arial"/>
        </w:rPr>
        <w:t>behaviour</w:t>
      </w:r>
      <w:r w:rsidR="00566429">
        <w:rPr>
          <w:rFonts w:ascii="Book Antiqua" w:hAnsi="Book Antiqua" w:cs="Arial"/>
        </w:rPr>
        <w:t xml:space="preserve"> was a threat</w:t>
      </w:r>
      <w:r w:rsidR="00096144">
        <w:rPr>
          <w:rFonts w:ascii="Book Antiqua" w:hAnsi="Book Antiqua" w:cs="Arial"/>
        </w:rPr>
        <w:t xml:space="preserve">, </w:t>
      </w:r>
      <w:r w:rsidR="00295C05">
        <w:rPr>
          <w:rFonts w:ascii="Book Antiqua" w:hAnsi="Book Antiqua" w:cs="Arial"/>
        </w:rPr>
        <w:t>quoted</w:t>
      </w:r>
      <w:r w:rsidR="00096144">
        <w:rPr>
          <w:rFonts w:ascii="Book Antiqua" w:hAnsi="Book Antiqua" w:cs="Arial"/>
        </w:rPr>
        <w:t xml:space="preserve"> in the respondent’s decision at paragraph 27 (a) – (g)</w:t>
      </w:r>
      <w:r w:rsidR="00F451F4">
        <w:rPr>
          <w:rFonts w:ascii="Book Antiqua" w:hAnsi="Book Antiqua" w:cs="Arial"/>
        </w:rPr>
        <w:t xml:space="preserve"> and applied at paragraphs 28 </w:t>
      </w:r>
      <w:r w:rsidR="00F451C4">
        <w:rPr>
          <w:rFonts w:ascii="Book Antiqua" w:hAnsi="Book Antiqua" w:cs="Arial"/>
        </w:rPr>
        <w:t>–</w:t>
      </w:r>
      <w:r w:rsidR="00F451F4">
        <w:rPr>
          <w:rFonts w:ascii="Book Antiqua" w:hAnsi="Book Antiqua" w:cs="Arial"/>
        </w:rPr>
        <w:t xml:space="preserve"> </w:t>
      </w:r>
      <w:r w:rsidR="00F451C4">
        <w:rPr>
          <w:rFonts w:ascii="Book Antiqua" w:hAnsi="Book Antiqua" w:cs="Arial"/>
        </w:rPr>
        <w:t>32</w:t>
      </w:r>
      <w:r w:rsidR="00096144">
        <w:rPr>
          <w:rFonts w:ascii="Book Antiqua" w:hAnsi="Book Antiqua" w:cs="Arial"/>
        </w:rPr>
        <w:t>.</w:t>
      </w:r>
      <w:r w:rsidR="00C34050">
        <w:rPr>
          <w:rFonts w:ascii="Book Antiqua" w:hAnsi="Book Antiqua" w:cs="Arial"/>
        </w:rPr>
        <w:t xml:space="preserve">  The judge failed to refer to the schedule and in effect did not apply it.  He overlooked in </w:t>
      </w:r>
      <w:r w:rsidR="0055632B">
        <w:rPr>
          <w:rFonts w:ascii="Book Antiqua" w:hAnsi="Book Antiqua" w:cs="Arial"/>
        </w:rPr>
        <w:t>particular</w:t>
      </w:r>
      <w:r w:rsidR="00C34050">
        <w:rPr>
          <w:rFonts w:ascii="Book Antiqua" w:hAnsi="Book Antiqua" w:cs="Arial"/>
        </w:rPr>
        <w:t xml:space="preserve"> (</w:t>
      </w:r>
      <w:r w:rsidR="0055632B">
        <w:rPr>
          <w:rFonts w:ascii="Book Antiqua" w:hAnsi="Book Antiqua" w:cs="Arial"/>
        </w:rPr>
        <w:t xml:space="preserve">f), the fundamental interest of society in combating the effects of persistent offending. </w:t>
      </w:r>
      <w:r w:rsidR="00E6231A">
        <w:rPr>
          <w:rFonts w:ascii="Book Antiqua" w:hAnsi="Book Antiqua" w:cs="Arial"/>
        </w:rPr>
        <w:t xml:space="preserve">  </w:t>
      </w:r>
      <w:r w:rsidR="009C23A5">
        <w:rPr>
          <w:rFonts w:ascii="Book Antiqua" w:hAnsi="Book Antiqua" w:cs="Arial"/>
        </w:rPr>
        <w:t>Failure</w:t>
      </w:r>
      <w:r w:rsidR="005E5868">
        <w:rPr>
          <w:rFonts w:ascii="Book Antiqua" w:hAnsi="Book Antiqua" w:cs="Arial"/>
        </w:rPr>
        <w:t xml:space="preserve"> to consider and apply the schedule was such an error that the decision should be set aside.  </w:t>
      </w:r>
      <w:r w:rsidR="0077355A">
        <w:rPr>
          <w:rFonts w:ascii="Book Antiqua" w:hAnsi="Book Antiqua" w:cs="Arial"/>
        </w:rPr>
        <w:t>I</w:t>
      </w:r>
      <w:r w:rsidR="00D8762C">
        <w:rPr>
          <w:rFonts w:ascii="Book Antiqua" w:hAnsi="Book Antiqua" w:cs="Arial"/>
        </w:rPr>
        <w:t xml:space="preserve">t was inherent in the grounds that </w:t>
      </w:r>
      <w:r w:rsidR="0085353A">
        <w:rPr>
          <w:rFonts w:ascii="Book Antiqua" w:hAnsi="Book Antiqua" w:cs="Arial"/>
        </w:rPr>
        <w:t xml:space="preserve">they challenged the </w:t>
      </w:r>
      <w:r w:rsidR="00AE7BF2">
        <w:rPr>
          <w:rFonts w:ascii="Book Antiqua" w:hAnsi="Book Antiqua" w:cs="Arial"/>
        </w:rPr>
        <w:t xml:space="preserve">judge’s “no risk” finding as perverse.  It was accepted that the grounds failed to specify the result </w:t>
      </w:r>
      <w:r w:rsidR="009C23A5">
        <w:rPr>
          <w:rFonts w:ascii="Book Antiqua" w:hAnsi="Book Antiqua" w:cs="Arial"/>
        </w:rPr>
        <w:t>sought</w:t>
      </w:r>
      <w:r w:rsidR="00AE7BF2">
        <w:rPr>
          <w:rFonts w:ascii="Book Antiqua" w:hAnsi="Book Antiqua" w:cs="Arial"/>
        </w:rPr>
        <w:t xml:space="preserve">.    The outcome </w:t>
      </w:r>
      <w:r w:rsidR="009C23A5">
        <w:rPr>
          <w:rFonts w:ascii="Book Antiqua" w:hAnsi="Book Antiqua" w:cs="Arial"/>
        </w:rPr>
        <w:t>s</w:t>
      </w:r>
      <w:r w:rsidR="00AE7BF2">
        <w:rPr>
          <w:rFonts w:ascii="Book Antiqua" w:hAnsi="Book Antiqua" w:cs="Arial"/>
        </w:rPr>
        <w:t xml:space="preserve">hould be reversed.  </w:t>
      </w:r>
      <w:r w:rsidR="00770DD1">
        <w:rPr>
          <w:rFonts w:ascii="Book Antiqua" w:hAnsi="Book Antiqua" w:cs="Arial"/>
        </w:rPr>
        <w:t>Alternatively, there might need to be further hearing of evidence</w:t>
      </w:r>
      <w:r w:rsidR="005D04CC">
        <w:rPr>
          <w:rFonts w:ascii="Book Antiqua" w:hAnsi="Book Antiqua" w:cs="Arial"/>
        </w:rPr>
        <w:t>, but that would be limited, and could take place in the UT.</w:t>
      </w:r>
      <w:r w:rsidR="0055632B">
        <w:rPr>
          <w:rFonts w:ascii="Book Antiqua" w:hAnsi="Book Antiqua" w:cs="Arial"/>
        </w:rPr>
        <w:t xml:space="preserve"> </w:t>
      </w:r>
    </w:p>
    <w:p w14:paraId="06517B05" w14:textId="77777777" w:rsidR="004E506F" w:rsidRDefault="00EF4381" w:rsidP="00007BAC">
      <w:pPr>
        <w:numPr>
          <w:ilvl w:val="0"/>
          <w:numId w:val="2"/>
        </w:numPr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Mrs Farrell submitted that the </w:t>
      </w:r>
      <w:r w:rsidR="004A18BF">
        <w:rPr>
          <w:rFonts w:ascii="Book Antiqua" w:hAnsi="Book Antiqua" w:cs="Arial"/>
        </w:rPr>
        <w:t xml:space="preserve">judge in his findings of fact at paragraph 9 covered all </w:t>
      </w:r>
      <w:r w:rsidR="00FD208E">
        <w:rPr>
          <w:rFonts w:ascii="Book Antiqua" w:hAnsi="Book Antiqua" w:cs="Arial"/>
        </w:rPr>
        <w:t xml:space="preserve">relevant </w:t>
      </w:r>
      <w:r w:rsidR="002C1270">
        <w:rPr>
          <w:rFonts w:ascii="Book Antiqua" w:hAnsi="Book Antiqua" w:cs="Arial"/>
        </w:rPr>
        <w:t xml:space="preserve">matters to be derived </w:t>
      </w:r>
      <w:r w:rsidR="004F5294">
        <w:rPr>
          <w:rFonts w:ascii="Book Antiqua" w:hAnsi="Book Antiqua" w:cs="Arial"/>
        </w:rPr>
        <w:t xml:space="preserve">not only from the regulations but from </w:t>
      </w:r>
      <w:r w:rsidR="002C1270">
        <w:rPr>
          <w:rFonts w:ascii="Book Antiqua" w:hAnsi="Book Antiqua" w:cs="Arial"/>
        </w:rPr>
        <w:t xml:space="preserve">schedule 1, </w:t>
      </w:r>
      <w:r w:rsidR="00527371">
        <w:rPr>
          <w:rFonts w:ascii="Book Antiqua" w:hAnsi="Book Antiqua" w:cs="Arial"/>
        </w:rPr>
        <w:t>being the substance of the case before him</w:t>
      </w:r>
      <w:r w:rsidR="001D3AFA">
        <w:rPr>
          <w:rFonts w:ascii="Book Antiqua" w:hAnsi="Book Antiqua" w:cs="Arial"/>
        </w:rPr>
        <w:t>.  A</w:t>
      </w:r>
      <w:r w:rsidR="00527371">
        <w:rPr>
          <w:rFonts w:ascii="Book Antiqua" w:hAnsi="Book Antiqua" w:cs="Arial"/>
        </w:rPr>
        <w:t>bsence of specific citation was irrelevant.</w:t>
      </w:r>
      <w:r w:rsidR="00DE6247">
        <w:rPr>
          <w:rFonts w:ascii="Book Antiqua" w:hAnsi="Book Antiqua" w:cs="Arial"/>
        </w:rPr>
        <w:t xml:space="preserve">  The grounds were only insistence on matters of fact and disagreement, f</w:t>
      </w:r>
      <w:r w:rsidR="00C72B24">
        <w:rPr>
          <w:rFonts w:ascii="Book Antiqua" w:hAnsi="Book Antiqua" w:cs="Arial"/>
        </w:rPr>
        <w:t>ounding f</w:t>
      </w:r>
      <w:r w:rsidR="00DE6247">
        <w:rPr>
          <w:rFonts w:ascii="Book Antiqua" w:hAnsi="Book Antiqua" w:cs="Arial"/>
        </w:rPr>
        <w:t>or example</w:t>
      </w:r>
      <w:r w:rsidR="00C72B24">
        <w:rPr>
          <w:rFonts w:ascii="Book Antiqua" w:hAnsi="Book Antiqua" w:cs="Arial"/>
        </w:rPr>
        <w:t xml:space="preserve"> on the non-</w:t>
      </w:r>
      <w:r w:rsidR="00AB2FD5">
        <w:rPr>
          <w:rFonts w:ascii="Book Antiqua" w:hAnsi="Book Antiqua" w:cs="Arial"/>
        </w:rPr>
        <w:t>attendance</w:t>
      </w:r>
      <w:r w:rsidR="00C72B24">
        <w:rPr>
          <w:rFonts w:ascii="Book Antiqua" w:hAnsi="Book Antiqua" w:cs="Arial"/>
        </w:rPr>
        <w:t xml:space="preserve"> of the appellant’s wife and child when the judge had accepted this was because they lived hundreds of miles from the hearing venue</w:t>
      </w:r>
      <w:r w:rsidR="00AB2FD5">
        <w:rPr>
          <w:rFonts w:ascii="Book Antiqua" w:hAnsi="Book Antiqua" w:cs="Arial"/>
        </w:rPr>
        <w:t xml:space="preserve"> (which was in turn due to the respondent detaining the appellant at a place far from his home area).</w:t>
      </w:r>
      <w:r w:rsidR="000B2FEB">
        <w:rPr>
          <w:rFonts w:ascii="Book Antiqua" w:hAnsi="Book Antiqua" w:cs="Arial"/>
        </w:rPr>
        <w:t xml:space="preserve">  To say that convictions for </w:t>
      </w:r>
      <w:r w:rsidR="00AA47CB">
        <w:rPr>
          <w:rFonts w:ascii="Book Antiqua" w:hAnsi="Book Antiqua" w:cs="Arial"/>
        </w:rPr>
        <w:t xml:space="preserve">dishonesty cast doubt on the evidence of the appellant (paragraph 4 of the grounds) was only to repeat </w:t>
      </w:r>
      <w:r w:rsidR="00DA6EC4">
        <w:rPr>
          <w:rFonts w:ascii="Book Antiqua" w:hAnsi="Book Antiqua" w:cs="Arial"/>
        </w:rPr>
        <w:t>the case put</w:t>
      </w:r>
      <w:r w:rsidR="00AA47CB">
        <w:rPr>
          <w:rFonts w:ascii="Book Antiqua" w:hAnsi="Book Antiqua" w:cs="Arial"/>
        </w:rPr>
        <w:t xml:space="preserve"> to the FtT.</w:t>
      </w:r>
      <w:r w:rsidR="00DE6247">
        <w:rPr>
          <w:rFonts w:ascii="Book Antiqua" w:hAnsi="Book Antiqua" w:cs="Arial"/>
        </w:rPr>
        <w:t xml:space="preserve"> </w:t>
      </w:r>
      <w:r w:rsidR="008F4FF5">
        <w:rPr>
          <w:rFonts w:ascii="Book Antiqua" w:hAnsi="Book Antiqua" w:cs="Arial"/>
        </w:rPr>
        <w:t xml:space="preserve"> There was no error of law </w:t>
      </w:r>
      <w:r w:rsidR="00DA6EC4">
        <w:rPr>
          <w:rFonts w:ascii="Book Antiqua" w:hAnsi="Book Antiqua" w:cs="Arial"/>
        </w:rPr>
        <w:t>by the FtT in resolving that case and its</w:t>
      </w:r>
      <w:r w:rsidR="008F4FF5">
        <w:rPr>
          <w:rFonts w:ascii="Book Antiqua" w:hAnsi="Book Antiqua" w:cs="Arial"/>
        </w:rPr>
        <w:t xml:space="preserve"> decision should stand.</w:t>
      </w:r>
      <w:r w:rsidR="00DE6247">
        <w:rPr>
          <w:rFonts w:ascii="Book Antiqua" w:hAnsi="Book Antiqua" w:cs="Arial"/>
        </w:rPr>
        <w:t xml:space="preserve">  </w:t>
      </w:r>
      <w:r w:rsidR="00C3729A">
        <w:rPr>
          <w:rFonts w:ascii="Book Antiqua" w:hAnsi="Book Antiqua" w:cs="Arial"/>
        </w:rPr>
        <w:t xml:space="preserve"> </w:t>
      </w:r>
    </w:p>
    <w:p w14:paraId="7EE915B3" w14:textId="77777777" w:rsidR="00EA0A62" w:rsidRPr="00EA0A62" w:rsidRDefault="00887812" w:rsidP="00C728DA">
      <w:pPr>
        <w:numPr>
          <w:ilvl w:val="0"/>
          <w:numId w:val="2"/>
        </w:numPr>
        <w:spacing w:before="240"/>
        <w:jc w:val="both"/>
        <w:rPr>
          <w:rFonts w:ascii="Book Antiqua" w:hAnsi="Book Antiqua"/>
        </w:rPr>
      </w:pPr>
      <w:r>
        <w:rPr>
          <w:rFonts w:ascii="Book Antiqua" w:hAnsi="Book Antiqua" w:cs="Arial"/>
        </w:rPr>
        <w:t>I reserved my decision</w:t>
      </w:r>
      <w:r w:rsidR="00EA0A62">
        <w:rPr>
          <w:rFonts w:ascii="Book Antiqua" w:hAnsi="Book Antiqua" w:cs="Arial"/>
        </w:rPr>
        <w:t>.</w:t>
      </w:r>
    </w:p>
    <w:p w14:paraId="4EF27EA5" w14:textId="77777777" w:rsidR="00A41367" w:rsidRPr="00A41367" w:rsidRDefault="00EA0A62" w:rsidP="00C728DA">
      <w:pPr>
        <w:numPr>
          <w:ilvl w:val="0"/>
          <w:numId w:val="2"/>
        </w:numPr>
        <w:spacing w:before="240"/>
        <w:jc w:val="both"/>
        <w:rPr>
          <w:rFonts w:ascii="Book Antiqua" w:hAnsi="Book Antiqua"/>
        </w:rPr>
      </w:pPr>
      <w:r>
        <w:rPr>
          <w:rFonts w:ascii="Book Antiqua" w:hAnsi="Book Antiqua" w:cs="Arial"/>
        </w:rPr>
        <w:t>Although Mrs O’Brien made valiant efforts to extract a</w:t>
      </w:r>
      <w:r w:rsidR="002C506D">
        <w:rPr>
          <w:rFonts w:ascii="Book Antiqua" w:hAnsi="Book Antiqua" w:cs="Arial"/>
        </w:rPr>
        <w:t xml:space="preserve"> proposition of</w:t>
      </w:r>
      <w:r>
        <w:rPr>
          <w:rFonts w:ascii="Book Antiqua" w:hAnsi="Book Antiqua" w:cs="Arial"/>
        </w:rPr>
        <w:t xml:space="preserve"> error on a point of law from the grounds, I prefer the submission by Mrs Farrell that </w:t>
      </w:r>
      <w:r w:rsidR="002C506D">
        <w:rPr>
          <w:rFonts w:ascii="Book Antiqua" w:hAnsi="Book Antiqua" w:cs="Arial"/>
        </w:rPr>
        <w:t>in substance they are only re-argument of the facts.</w:t>
      </w:r>
    </w:p>
    <w:p w14:paraId="47F15B47" w14:textId="77777777" w:rsidR="00B23174" w:rsidRPr="00B23174" w:rsidRDefault="00D42CF0" w:rsidP="00C728DA">
      <w:pPr>
        <w:numPr>
          <w:ilvl w:val="0"/>
          <w:numId w:val="2"/>
        </w:numPr>
        <w:spacing w:before="240"/>
        <w:jc w:val="both"/>
        <w:rPr>
          <w:rFonts w:ascii="Book Antiqua" w:hAnsi="Book Antiqua"/>
        </w:rPr>
      </w:pPr>
      <w:r>
        <w:rPr>
          <w:rFonts w:ascii="Book Antiqua" w:hAnsi="Book Antiqua" w:cs="Arial"/>
        </w:rPr>
        <w:t>One passage in the decision did give rise to concern, although not specifically targeted in the grounds</w:t>
      </w:r>
      <w:r w:rsidR="00BD02B8">
        <w:rPr>
          <w:rFonts w:ascii="Book Antiqua" w:hAnsi="Book Antiqua" w:cs="Arial"/>
        </w:rPr>
        <w:t xml:space="preserve">.  </w:t>
      </w:r>
      <w:r w:rsidR="00380D3D">
        <w:rPr>
          <w:rFonts w:ascii="Book Antiqua" w:hAnsi="Book Antiqua" w:cs="Arial"/>
        </w:rPr>
        <w:t>At</w:t>
      </w:r>
      <w:r w:rsidR="00BD02B8">
        <w:rPr>
          <w:rFonts w:ascii="Book Antiqua" w:hAnsi="Book Antiqua" w:cs="Arial"/>
        </w:rPr>
        <w:t xml:space="preserve"> paragraph 10 (k) the judge says, “… even after hearing the </w:t>
      </w:r>
      <w:r w:rsidR="00A14AD6">
        <w:rPr>
          <w:rFonts w:ascii="Book Antiqua" w:hAnsi="Book Antiqua" w:cs="Arial"/>
        </w:rPr>
        <w:t>evidence I still know nothing of the public policy which the respondent says justifies deportation</w:t>
      </w:r>
      <w:r w:rsidR="00811F67">
        <w:rPr>
          <w:rFonts w:ascii="Book Antiqua" w:hAnsi="Book Antiqua" w:cs="Arial"/>
        </w:rPr>
        <w:t>”.  However, treating the deci</w:t>
      </w:r>
      <w:r w:rsidR="00A35CBD">
        <w:rPr>
          <w:rFonts w:ascii="Book Antiqua" w:hAnsi="Book Antiqua" w:cs="Arial"/>
        </w:rPr>
        <w:t>si</w:t>
      </w:r>
      <w:r w:rsidR="00811F67">
        <w:rPr>
          <w:rFonts w:ascii="Book Antiqua" w:hAnsi="Book Antiqua" w:cs="Arial"/>
        </w:rPr>
        <w:t xml:space="preserve">on fairly and as a whole, that should be read not as showing that the judge did not </w:t>
      </w:r>
      <w:r w:rsidR="00803631">
        <w:rPr>
          <w:rFonts w:ascii="Book Antiqua" w:hAnsi="Book Antiqua" w:cs="Arial"/>
        </w:rPr>
        <w:t>se</w:t>
      </w:r>
      <w:r w:rsidR="00811F67">
        <w:rPr>
          <w:rFonts w:ascii="Book Antiqua" w:hAnsi="Book Antiqua" w:cs="Arial"/>
        </w:rPr>
        <w:t xml:space="preserve">e the legal framework </w:t>
      </w:r>
      <w:r w:rsidR="003D6BDC">
        <w:rPr>
          <w:rFonts w:ascii="Book Antiqua" w:hAnsi="Book Antiqua" w:cs="Arial"/>
        </w:rPr>
        <w:t xml:space="preserve">which was </w:t>
      </w:r>
      <w:r w:rsidR="00811F67">
        <w:rPr>
          <w:rFonts w:ascii="Book Antiqua" w:hAnsi="Book Antiqua" w:cs="Arial"/>
        </w:rPr>
        <w:t xml:space="preserve">clearly before him, </w:t>
      </w:r>
      <w:r w:rsidR="00803631">
        <w:rPr>
          <w:rFonts w:ascii="Book Antiqua" w:hAnsi="Book Antiqua" w:cs="Arial"/>
        </w:rPr>
        <w:t>which would be a surprising admission.  Rather, this</w:t>
      </w:r>
      <w:r w:rsidR="00CB0021">
        <w:rPr>
          <w:rFonts w:ascii="Book Antiqua" w:hAnsi="Book Antiqua" w:cs="Arial"/>
        </w:rPr>
        <w:t xml:space="preserve"> is</w:t>
      </w:r>
      <w:r w:rsidR="00811F67">
        <w:rPr>
          <w:rFonts w:ascii="Book Antiqua" w:hAnsi="Book Antiqua" w:cs="Arial"/>
        </w:rPr>
        <w:t xml:space="preserve"> a</w:t>
      </w:r>
      <w:r w:rsidR="003D6BDC">
        <w:rPr>
          <w:rFonts w:ascii="Book Antiqua" w:hAnsi="Book Antiqua" w:cs="Arial"/>
        </w:rPr>
        <w:t>n indication that on the facts as he found them to be,</w:t>
      </w:r>
      <w:r w:rsidR="00E22C63">
        <w:rPr>
          <w:rFonts w:ascii="Book Antiqua" w:hAnsi="Book Antiqua" w:cs="Arial"/>
        </w:rPr>
        <w:t xml:space="preserve"> public policy considerations, including </w:t>
      </w:r>
      <w:r w:rsidR="002373EB">
        <w:rPr>
          <w:rFonts w:ascii="Book Antiqua" w:hAnsi="Book Antiqua" w:cs="Arial"/>
        </w:rPr>
        <w:t xml:space="preserve">schedule 1, did not </w:t>
      </w:r>
      <w:r w:rsidR="00CB0021">
        <w:rPr>
          <w:rFonts w:ascii="Book Antiqua" w:hAnsi="Book Antiqua" w:cs="Arial"/>
        </w:rPr>
        <w:t xml:space="preserve">in this case </w:t>
      </w:r>
      <w:r w:rsidR="002373EB">
        <w:rPr>
          <w:rFonts w:ascii="Book Antiqua" w:hAnsi="Book Antiqua" w:cs="Arial"/>
        </w:rPr>
        <w:t>justify deportation.</w:t>
      </w:r>
    </w:p>
    <w:p w14:paraId="11479CBF" w14:textId="77777777" w:rsidR="00F125AD" w:rsidRDefault="002373EB" w:rsidP="00C728DA">
      <w:pPr>
        <w:numPr>
          <w:ilvl w:val="0"/>
          <w:numId w:val="2"/>
        </w:numPr>
        <w:spacing w:before="240"/>
        <w:jc w:val="both"/>
        <w:rPr>
          <w:rFonts w:ascii="Book Antiqua" w:hAnsi="Book Antiqua"/>
        </w:rPr>
      </w:pPr>
      <w:r>
        <w:rPr>
          <w:rFonts w:ascii="Book Antiqua" w:hAnsi="Book Antiqua" w:cs="Arial"/>
        </w:rPr>
        <w:t xml:space="preserve">The judge’s analysis was that the </w:t>
      </w:r>
      <w:r w:rsidR="00540EDE">
        <w:rPr>
          <w:rFonts w:ascii="Book Antiqua" w:hAnsi="Book Antiqua" w:cs="Arial"/>
        </w:rPr>
        <w:t xml:space="preserve">appellant </w:t>
      </w:r>
      <w:r w:rsidR="002A7E7B">
        <w:rPr>
          <w:rFonts w:ascii="Book Antiqua" w:hAnsi="Book Antiqua" w:cs="Arial"/>
        </w:rPr>
        <w:t>had</w:t>
      </w:r>
      <w:r w:rsidR="00540EDE">
        <w:rPr>
          <w:rFonts w:ascii="Book Antiqua" w:hAnsi="Book Antiqua" w:cs="Arial"/>
        </w:rPr>
        <w:t xml:space="preserve"> relatively late in life and for </w:t>
      </w:r>
      <w:r w:rsidR="00BC3CAF">
        <w:rPr>
          <w:rFonts w:ascii="Book Antiqua" w:hAnsi="Book Antiqua" w:cs="Arial"/>
        </w:rPr>
        <w:t>specific reasons “had a brief but intense period of criminal behaviour</w:t>
      </w:r>
      <w:r w:rsidR="00873C22">
        <w:rPr>
          <w:rFonts w:ascii="Book Antiqua" w:hAnsi="Book Antiqua" w:cs="Arial"/>
        </w:rPr>
        <w:t xml:space="preserve"> at summary level which </w:t>
      </w:r>
      <w:r w:rsidR="002A7E7B">
        <w:rPr>
          <w:rFonts w:ascii="Book Antiqua" w:hAnsi="Book Antiqua" w:cs="Arial"/>
        </w:rPr>
        <w:t>has</w:t>
      </w:r>
      <w:r w:rsidR="00873C22">
        <w:rPr>
          <w:rFonts w:ascii="Book Antiqua" w:hAnsi="Book Antiqua" w:cs="Arial"/>
        </w:rPr>
        <w:t xml:space="preserve"> culminated in a period of custodial rehabilitation”</w:t>
      </w:r>
      <w:r w:rsidR="0074642C">
        <w:rPr>
          <w:rFonts w:ascii="Book Antiqua" w:hAnsi="Book Antiqua" w:cs="Arial"/>
        </w:rPr>
        <w:t xml:space="preserve"> – 10 (g)</w:t>
      </w:r>
      <w:r w:rsidR="007C1CC2">
        <w:rPr>
          <w:rFonts w:ascii="Book Antiqua" w:hAnsi="Book Antiqua" w:cs="Arial"/>
        </w:rPr>
        <w:t xml:space="preserve">.  The </w:t>
      </w:r>
      <w:r w:rsidR="000731B3">
        <w:rPr>
          <w:rFonts w:ascii="Book Antiqua" w:hAnsi="Book Antiqua" w:cs="Arial"/>
        </w:rPr>
        <w:t>judge obviously thought that rehabilitation was ongoing and effective</w:t>
      </w:r>
      <w:r w:rsidR="007C1CC2">
        <w:rPr>
          <w:rFonts w:ascii="Book Antiqua" w:hAnsi="Book Antiqua" w:cs="Arial"/>
        </w:rPr>
        <w:t xml:space="preserve">, </w:t>
      </w:r>
      <w:r w:rsidR="00E94472">
        <w:rPr>
          <w:rFonts w:ascii="Book Antiqua" w:hAnsi="Book Antiqua" w:cs="Arial"/>
        </w:rPr>
        <w:t>and that</w:t>
      </w:r>
      <w:r w:rsidR="007C1CC2">
        <w:rPr>
          <w:rFonts w:ascii="Book Antiqua" w:hAnsi="Book Antiqua" w:cs="Arial"/>
        </w:rPr>
        <w:t xml:space="preserve"> is the </w:t>
      </w:r>
      <w:r w:rsidR="00E94472">
        <w:rPr>
          <w:rFonts w:ascii="Book Antiqua" w:hAnsi="Book Antiqua" w:cs="Arial"/>
        </w:rPr>
        <w:t xml:space="preserve">main reason for </w:t>
      </w:r>
      <w:r w:rsidR="00E94472">
        <w:rPr>
          <w:rFonts w:ascii="Book Antiqua" w:hAnsi="Book Antiqua" w:cs="Arial"/>
        </w:rPr>
        <w:lastRenderedPageBreak/>
        <w:t>his decision.</w:t>
      </w:r>
      <w:r w:rsidR="000731B3">
        <w:rPr>
          <w:rFonts w:ascii="Book Antiqua" w:hAnsi="Book Antiqua" w:cs="Arial"/>
        </w:rPr>
        <w:t xml:space="preserve">  </w:t>
      </w:r>
      <w:r w:rsidR="00811F67">
        <w:rPr>
          <w:rFonts w:ascii="Book Antiqua" w:hAnsi="Book Antiqua" w:cs="Arial"/>
        </w:rPr>
        <w:t xml:space="preserve"> </w:t>
      </w:r>
      <w:r w:rsidR="000731B3">
        <w:rPr>
          <w:rFonts w:ascii="Book Antiqua" w:hAnsi="Book Antiqua" w:cs="Arial"/>
        </w:rPr>
        <w:t>That might not have been the conclusion which all judges would have reached but it lies within reason</w:t>
      </w:r>
      <w:r w:rsidR="00DF594D">
        <w:rPr>
          <w:rFonts w:ascii="Book Antiqua" w:hAnsi="Book Antiqua" w:cs="Arial"/>
        </w:rPr>
        <w:t xml:space="preserve">.  So far as the grounds dispute it, they are only disagreement.  Standing that conclusion on the facts, the outcome is well within the scope </w:t>
      </w:r>
      <w:r w:rsidR="0074642C">
        <w:rPr>
          <w:rFonts w:ascii="Book Antiqua" w:hAnsi="Book Antiqua" w:cs="Arial"/>
        </w:rPr>
        <w:t>o</w:t>
      </w:r>
      <w:r w:rsidR="00DF594D">
        <w:rPr>
          <w:rFonts w:ascii="Book Antiqua" w:hAnsi="Book Antiqua" w:cs="Arial"/>
        </w:rPr>
        <w:t xml:space="preserve">f the law.  </w:t>
      </w:r>
    </w:p>
    <w:p w14:paraId="0354F8B9" w14:textId="77777777" w:rsidR="00B66D6C" w:rsidRPr="00B66D6C" w:rsidRDefault="00321C6F" w:rsidP="00007BAC">
      <w:pPr>
        <w:numPr>
          <w:ilvl w:val="0"/>
          <w:numId w:val="2"/>
        </w:numPr>
        <w:spacing w:before="240"/>
        <w:jc w:val="both"/>
        <w:rPr>
          <w:rFonts w:ascii="Book Antiqua" w:hAnsi="Book Antiqua"/>
        </w:rPr>
      </w:pPr>
      <w:r>
        <w:rPr>
          <w:rFonts w:ascii="Book Antiqua" w:hAnsi="Book Antiqua" w:cs="Arial"/>
        </w:rPr>
        <w:t xml:space="preserve">The </w:t>
      </w:r>
      <w:r w:rsidR="00B66D6C">
        <w:rPr>
          <w:rFonts w:ascii="Book Antiqua" w:hAnsi="Book Antiqua" w:cs="Arial"/>
        </w:rPr>
        <w:t xml:space="preserve">SSHD’s grounds, as amplified in submissions, have not shown that the making of the </w:t>
      </w:r>
      <w:r w:rsidR="008A64A7">
        <w:rPr>
          <w:rFonts w:ascii="Book Antiqua" w:hAnsi="Book Antiqua" w:cs="Arial"/>
        </w:rPr>
        <w:t>de</w:t>
      </w:r>
      <w:r w:rsidR="00DA3D04">
        <w:rPr>
          <w:rFonts w:ascii="Book Antiqua" w:hAnsi="Book Antiqua" w:cs="Arial"/>
        </w:rPr>
        <w:t>cision</w:t>
      </w:r>
      <w:r w:rsidR="008A64A7">
        <w:rPr>
          <w:rFonts w:ascii="Book Antiqua" w:hAnsi="Book Antiqua" w:cs="Arial"/>
        </w:rPr>
        <w:t xml:space="preserve"> </w:t>
      </w:r>
      <w:r>
        <w:rPr>
          <w:rFonts w:ascii="Book Antiqua" w:hAnsi="Book Antiqua" w:cs="Arial"/>
        </w:rPr>
        <w:t xml:space="preserve">of the First-tier Tribunal </w:t>
      </w:r>
      <w:r w:rsidR="00B66D6C">
        <w:rPr>
          <w:rFonts w:ascii="Book Antiqua" w:hAnsi="Book Antiqua" w:cs="Arial"/>
        </w:rPr>
        <w:t>involved the making of an error on a point of law, such that it should be set aside.</w:t>
      </w:r>
    </w:p>
    <w:p w14:paraId="6DD6808F" w14:textId="77777777" w:rsidR="00321C6F" w:rsidRPr="00321C6F" w:rsidRDefault="00B66D6C" w:rsidP="00007BAC">
      <w:pPr>
        <w:numPr>
          <w:ilvl w:val="0"/>
          <w:numId w:val="2"/>
        </w:numPr>
        <w:spacing w:before="240"/>
        <w:jc w:val="both"/>
        <w:rPr>
          <w:rFonts w:ascii="Book Antiqua" w:hAnsi="Book Antiqua"/>
        </w:rPr>
      </w:pPr>
      <w:r>
        <w:rPr>
          <w:rFonts w:ascii="Book Antiqua" w:hAnsi="Book Antiqua" w:cs="Arial"/>
        </w:rPr>
        <w:t>The decision of the FtT shall stand</w:t>
      </w:r>
      <w:r w:rsidR="00321C6F">
        <w:rPr>
          <w:rFonts w:ascii="Book Antiqua" w:hAnsi="Book Antiqua" w:cs="Arial"/>
        </w:rPr>
        <w:t>.</w:t>
      </w:r>
    </w:p>
    <w:p w14:paraId="590EE65C" w14:textId="77777777" w:rsidR="00321C6F" w:rsidRPr="005F209E" w:rsidRDefault="00321C6F" w:rsidP="00321C6F">
      <w:pPr>
        <w:numPr>
          <w:ilvl w:val="0"/>
          <w:numId w:val="2"/>
        </w:numPr>
        <w:spacing w:before="240"/>
        <w:jc w:val="both"/>
        <w:rPr>
          <w:rFonts w:ascii="Book Antiqua" w:hAnsi="Book Antiqua" w:cs="Arial"/>
        </w:rPr>
      </w:pPr>
      <w:r w:rsidRPr="005F209E">
        <w:rPr>
          <w:rFonts w:ascii="Book Antiqua" w:hAnsi="Book Antiqua" w:cs="Arial"/>
        </w:rPr>
        <w:t>No</w:t>
      </w:r>
      <w:r w:rsidRPr="005F209E">
        <w:rPr>
          <w:rFonts w:ascii="Book Antiqua" w:hAnsi="Book Antiqua"/>
        </w:rPr>
        <w:t xml:space="preserve"> anonymity direction has been requested or made.  </w:t>
      </w:r>
    </w:p>
    <w:p w14:paraId="2BA8444B" w14:textId="77777777" w:rsidR="00321C6F" w:rsidRPr="00A56832" w:rsidRDefault="00321C6F" w:rsidP="00321C6F">
      <w:pPr>
        <w:jc w:val="both"/>
        <w:rPr>
          <w:rFonts w:ascii="Book Antiqua" w:hAnsi="Book Antiqua" w:cs="Arial"/>
        </w:rPr>
      </w:pPr>
    </w:p>
    <w:p w14:paraId="7150C829" w14:textId="77777777" w:rsidR="00321C6F" w:rsidRPr="00A56832" w:rsidRDefault="00321C6F" w:rsidP="00321C6F">
      <w:pPr>
        <w:jc w:val="both"/>
        <w:rPr>
          <w:rFonts w:ascii="Book Antiqua" w:hAnsi="Book Antiqua" w:cs="Arial"/>
        </w:rPr>
      </w:pPr>
    </w:p>
    <w:p w14:paraId="431BC1B5" w14:textId="77777777" w:rsidR="00321C6F" w:rsidRPr="00A56832" w:rsidRDefault="00321C6F" w:rsidP="00321C6F">
      <w:pPr>
        <w:jc w:val="both"/>
        <w:rPr>
          <w:rFonts w:ascii="Book Antiqua" w:hAnsi="Book Antiqua" w:cs="Arial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FE0046" w:rsidRPr="009445D2">
        <w:rPr>
          <w:noProof/>
          <w:sz w:val="22"/>
          <w:szCs w:val="22"/>
        </w:rPr>
        <w:drawing>
          <wp:inline distT="0" distB="0" distL="0" distR="0" wp14:anchorId="7629AF49" wp14:editId="38368286">
            <wp:extent cx="1533525" cy="571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31D7D" w14:textId="77777777" w:rsidR="00321C6F" w:rsidRPr="00A56832" w:rsidRDefault="00321C6F" w:rsidP="00321C6F">
      <w:pPr>
        <w:jc w:val="both"/>
        <w:rPr>
          <w:rFonts w:ascii="Book Antiqua" w:hAnsi="Book Antiqua" w:cs="Arial"/>
        </w:rPr>
      </w:pPr>
    </w:p>
    <w:p w14:paraId="15EF0AFF" w14:textId="77777777" w:rsidR="00321C6F" w:rsidRPr="00A56832" w:rsidRDefault="00321C6F" w:rsidP="00321C6F">
      <w:pPr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ab/>
      </w:r>
      <w:r>
        <w:rPr>
          <w:rFonts w:ascii="Book Antiqua" w:hAnsi="Book Antiqua" w:cs="Arial"/>
        </w:rPr>
        <w:tab/>
      </w:r>
      <w:r w:rsidR="005F209E">
        <w:rPr>
          <w:rFonts w:ascii="Book Antiqua" w:hAnsi="Book Antiqua" w:cs="Arial"/>
        </w:rPr>
        <w:t xml:space="preserve">2 August </w:t>
      </w:r>
      <w:r w:rsidR="000B442A">
        <w:rPr>
          <w:rFonts w:ascii="Book Antiqua" w:hAnsi="Book Antiqua" w:cs="Arial"/>
        </w:rPr>
        <w:t>20</w:t>
      </w:r>
      <w:r w:rsidR="00A810D2">
        <w:rPr>
          <w:rFonts w:ascii="Book Antiqua" w:hAnsi="Book Antiqua" w:cs="Arial"/>
        </w:rPr>
        <w:t>1</w:t>
      </w:r>
      <w:r w:rsidR="00B170ED">
        <w:rPr>
          <w:rFonts w:ascii="Book Antiqua" w:hAnsi="Book Antiqua" w:cs="Arial"/>
        </w:rPr>
        <w:t>8</w:t>
      </w:r>
      <w:r>
        <w:rPr>
          <w:rFonts w:ascii="Book Antiqua" w:hAnsi="Book Antiqua" w:cs="Arial"/>
        </w:rPr>
        <w:t xml:space="preserve"> </w:t>
      </w:r>
    </w:p>
    <w:p w14:paraId="0E859029" w14:textId="77777777" w:rsidR="00321C6F" w:rsidRDefault="00321C6F" w:rsidP="00321C6F">
      <w:pPr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ab/>
      </w:r>
      <w:r>
        <w:rPr>
          <w:rFonts w:ascii="Book Antiqua" w:hAnsi="Book Antiqua" w:cs="Arial"/>
        </w:rPr>
        <w:tab/>
        <w:t>Upper Tribunal Judge Macleman</w:t>
      </w:r>
    </w:p>
    <w:p w14:paraId="34F83F39" w14:textId="77777777" w:rsidR="00933B65" w:rsidRPr="00F97703" w:rsidRDefault="00933B65" w:rsidP="00933B65">
      <w:pPr>
        <w:tabs>
          <w:tab w:val="left" w:pos="2520"/>
        </w:tabs>
        <w:ind w:left="4508" w:hanging="539"/>
        <w:rPr>
          <w:rFonts w:ascii="Book Antiqua" w:hAnsi="Book Antiqua" w:cs="Arial"/>
          <w:color w:val="000000"/>
        </w:rPr>
      </w:pPr>
    </w:p>
    <w:p w14:paraId="329E4EBE" w14:textId="77777777" w:rsidR="00266FFE" w:rsidRDefault="00266FFE"/>
    <w:p w14:paraId="7E3F8B1D" w14:textId="77777777" w:rsidR="006D2D9A" w:rsidRDefault="006D2D9A"/>
    <w:sectPr w:rsidR="006D2D9A" w:rsidSect="00614E94">
      <w:headerReference w:type="default" r:id="rId10"/>
      <w:footerReference w:type="default" r:id="rId11"/>
      <w:footerReference w:type="first" r:id="rId12"/>
      <w:pgSz w:w="11906" w:h="16838"/>
      <w:pgMar w:top="1440" w:right="1134" w:bottom="1440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0E63FE" w14:textId="77777777" w:rsidR="00FA087A" w:rsidRDefault="00FA087A">
      <w:r>
        <w:separator/>
      </w:r>
    </w:p>
  </w:endnote>
  <w:endnote w:type="continuationSeparator" w:id="0">
    <w:p w14:paraId="63A56E1E" w14:textId="77777777" w:rsidR="00FA087A" w:rsidRDefault="00FA08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765526" w14:textId="6DF2C9CB" w:rsidR="008D4782" w:rsidRPr="00593795" w:rsidRDefault="008D4782" w:rsidP="00614E94">
    <w:pPr>
      <w:pStyle w:val="Footer"/>
      <w:jc w:val="center"/>
      <w:rPr>
        <w:rFonts w:ascii="Arial" w:hAnsi="Arial" w:cs="Arial"/>
        <w:sz w:val="16"/>
        <w:szCs w:val="16"/>
      </w:rPr>
    </w:pPr>
    <w:r w:rsidRPr="00593795">
      <w:rPr>
        <w:rStyle w:val="PageNumber"/>
        <w:rFonts w:ascii="Arial" w:hAnsi="Arial" w:cs="Arial"/>
        <w:sz w:val="16"/>
        <w:szCs w:val="16"/>
      </w:rPr>
      <w:fldChar w:fldCharType="begin"/>
    </w:r>
    <w:r w:rsidRPr="00593795">
      <w:rPr>
        <w:rStyle w:val="PageNumber"/>
        <w:rFonts w:ascii="Arial" w:hAnsi="Arial" w:cs="Arial"/>
        <w:sz w:val="16"/>
        <w:szCs w:val="16"/>
      </w:rPr>
      <w:instrText xml:space="preserve"> PAGE </w:instrText>
    </w:r>
    <w:r w:rsidRPr="00593795">
      <w:rPr>
        <w:rStyle w:val="PageNumber"/>
        <w:rFonts w:ascii="Arial" w:hAnsi="Arial" w:cs="Arial"/>
        <w:sz w:val="16"/>
        <w:szCs w:val="16"/>
      </w:rPr>
      <w:fldChar w:fldCharType="separate"/>
    </w:r>
    <w:r w:rsidR="00314416">
      <w:rPr>
        <w:rStyle w:val="PageNumber"/>
        <w:rFonts w:ascii="Arial" w:hAnsi="Arial" w:cs="Arial"/>
        <w:noProof/>
        <w:sz w:val="16"/>
        <w:szCs w:val="16"/>
      </w:rPr>
      <w:t>3</w:t>
    </w:r>
    <w:r w:rsidRPr="00593795">
      <w:rPr>
        <w:rStyle w:val="PageNumber"/>
        <w:rFonts w:ascii="Arial" w:hAnsi="Arial" w:cs="Arial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4294BF" w14:textId="77777777" w:rsidR="008D4782" w:rsidRPr="00090CF9" w:rsidRDefault="008D4782" w:rsidP="00614E94">
    <w:pPr>
      <w:jc w:val="center"/>
      <w:rPr>
        <w:rFonts w:ascii="Arial" w:hAnsi="Arial" w:cs="Arial"/>
        <w:b/>
      </w:rPr>
    </w:pPr>
    <w:r w:rsidRPr="00090CF9">
      <w:rPr>
        <w:rFonts w:ascii="Arial" w:hAnsi="Arial" w:cs="Arial"/>
        <w:b/>
        <w:spacing w:val="-6"/>
      </w:rPr>
      <w:t>©</w:t>
    </w:r>
    <w:r>
      <w:rPr>
        <w:rFonts w:ascii="Arial" w:hAnsi="Arial" w:cs="Arial"/>
        <w:b/>
      </w:rPr>
      <w:t xml:space="preserve"> CROWN COPYRIGHT</w:t>
    </w:r>
    <w:r w:rsidR="004438FF">
      <w:rPr>
        <w:rFonts w:ascii="Arial" w:hAnsi="Arial" w:cs="Arial"/>
        <w:b/>
      </w:rPr>
      <w:t xml:space="preserve">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24FAC1" w14:textId="77777777" w:rsidR="00FA087A" w:rsidRDefault="00FA087A">
      <w:r>
        <w:separator/>
      </w:r>
    </w:p>
  </w:footnote>
  <w:footnote w:type="continuationSeparator" w:id="0">
    <w:p w14:paraId="4677AC73" w14:textId="77777777" w:rsidR="00FA087A" w:rsidRDefault="00FA08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990C8C" w14:textId="77777777" w:rsidR="008D4782" w:rsidRPr="004438FF" w:rsidRDefault="004438FF" w:rsidP="004438FF">
    <w:pPr>
      <w:pStyle w:val="Header"/>
      <w:jc w:val="right"/>
    </w:pPr>
    <w:r w:rsidRPr="004438FF">
      <w:rPr>
        <w:rFonts w:ascii="Arial" w:hAnsi="Arial" w:cs="Arial"/>
        <w:sz w:val="16"/>
        <w:szCs w:val="16"/>
      </w:rPr>
      <w:t>Appeal Number: DA/00092/2018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D60EB8"/>
    <w:multiLevelType w:val="multilevel"/>
    <w:tmpl w:val="1B54D81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 w15:restartNumberingAfterBreak="0">
    <w:nsid w:val="4F4250BF"/>
    <w:multiLevelType w:val="hybridMultilevel"/>
    <w:tmpl w:val="83FE4D62"/>
    <w:lvl w:ilvl="0" w:tplc="0809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CBAA4D2A-C319-41DE-BC2F-6E1149FFB2E7}"/>
    <w:docVar w:name="dgnword-eventsink" w:val="242408496"/>
  </w:docVars>
  <w:rsids>
    <w:rsidRoot w:val="00933B65"/>
    <w:rsid w:val="00005159"/>
    <w:rsid w:val="00007BAC"/>
    <w:rsid w:val="000121F6"/>
    <w:rsid w:val="00035959"/>
    <w:rsid w:val="00050F40"/>
    <w:rsid w:val="000731B3"/>
    <w:rsid w:val="000777B7"/>
    <w:rsid w:val="00087C41"/>
    <w:rsid w:val="0009168C"/>
    <w:rsid w:val="000922AC"/>
    <w:rsid w:val="00096144"/>
    <w:rsid w:val="000B2FEB"/>
    <w:rsid w:val="000B442A"/>
    <w:rsid w:val="001103E2"/>
    <w:rsid w:val="00117089"/>
    <w:rsid w:val="00172233"/>
    <w:rsid w:val="0018136E"/>
    <w:rsid w:val="00184269"/>
    <w:rsid w:val="001D3765"/>
    <w:rsid w:val="001D3AFA"/>
    <w:rsid w:val="001D6343"/>
    <w:rsid w:val="001E0145"/>
    <w:rsid w:val="001E0EED"/>
    <w:rsid w:val="001F287E"/>
    <w:rsid w:val="001F3A81"/>
    <w:rsid w:val="001F6F75"/>
    <w:rsid w:val="002065B8"/>
    <w:rsid w:val="002135A6"/>
    <w:rsid w:val="002154EF"/>
    <w:rsid w:val="00224440"/>
    <w:rsid w:val="00226DDE"/>
    <w:rsid w:val="002373EB"/>
    <w:rsid w:val="00266FFE"/>
    <w:rsid w:val="002738B1"/>
    <w:rsid w:val="00274F92"/>
    <w:rsid w:val="002862FC"/>
    <w:rsid w:val="00295C05"/>
    <w:rsid w:val="002A7E7B"/>
    <w:rsid w:val="002C1270"/>
    <w:rsid w:val="002C506D"/>
    <w:rsid w:val="002C683E"/>
    <w:rsid w:val="002F0D00"/>
    <w:rsid w:val="00314416"/>
    <w:rsid w:val="00321C6F"/>
    <w:rsid w:val="00344427"/>
    <w:rsid w:val="00380D3D"/>
    <w:rsid w:val="003812EE"/>
    <w:rsid w:val="003C0C7C"/>
    <w:rsid w:val="003C1934"/>
    <w:rsid w:val="003D6BDC"/>
    <w:rsid w:val="003D7D3D"/>
    <w:rsid w:val="003D7F34"/>
    <w:rsid w:val="003E6445"/>
    <w:rsid w:val="003F2EBD"/>
    <w:rsid w:val="0040510B"/>
    <w:rsid w:val="004171D0"/>
    <w:rsid w:val="00421E00"/>
    <w:rsid w:val="00441640"/>
    <w:rsid w:val="004438FF"/>
    <w:rsid w:val="004541E5"/>
    <w:rsid w:val="0046122D"/>
    <w:rsid w:val="00470675"/>
    <w:rsid w:val="004A012D"/>
    <w:rsid w:val="004A18BF"/>
    <w:rsid w:val="004E506F"/>
    <w:rsid w:val="004F5294"/>
    <w:rsid w:val="00513527"/>
    <w:rsid w:val="00527371"/>
    <w:rsid w:val="00540EDE"/>
    <w:rsid w:val="0055632B"/>
    <w:rsid w:val="00566429"/>
    <w:rsid w:val="0057020B"/>
    <w:rsid w:val="0057311B"/>
    <w:rsid w:val="0059091F"/>
    <w:rsid w:val="00590CEE"/>
    <w:rsid w:val="00594CA2"/>
    <w:rsid w:val="00595C55"/>
    <w:rsid w:val="005A1712"/>
    <w:rsid w:val="005B5540"/>
    <w:rsid w:val="005D04CC"/>
    <w:rsid w:val="005E5868"/>
    <w:rsid w:val="005E5D0D"/>
    <w:rsid w:val="005F209E"/>
    <w:rsid w:val="005F6D40"/>
    <w:rsid w:val="00614020"/>
    <w:rsid w:val="00614E94"/>
    <w:rsid w:val="00620A69"/>
    <w:rsid w:val="0063091E"/>
    <w:rsid w:val="0065091A"/>
    <w:rsid w:val="00657E4A"/>
    <w:rsid w:val="006D2D9A"/>
    <w:rsid w:val="006D7C16"/>
    <w:rsid w:val="006E3DE1"/>
    <w:rsid w:val="00734D2D"/>
    <w:rsid w:val="007412E0"/>
    <w:rsid w:val="007450B3"/>
    <w:rsid w:val="0074642C"/>
    <w:rsid w:val="00746F68"/>
    <w:rsid w:val="00770DD1"/>
    <w:rsid w:val="0077355A"/>
    <w:rsid w:val="00774C7C"/>
    <w:rsid w:val="007A712A"/>
    <w:rsid w:val="007C1CC2"/>
    <w:rsid w:val="007F0872"/>
    <w:rsid w:val="007F7538"/>
    <w:rsid w:val="0080239D"/>
    <w:rsid w:val="00803631"/>
    <w:rsid w:val="0080727A"/>
    <w:rsid w:val="00810338"/>
    <w:rsid w:val="00811F67"/>
    <w:rsid w:val="008152B9"/>
    <w:rsid w:val="0084433E"/>
    <w:rsid w:val="0085353A"/>
    <w:rsid w:val="00861DE2"/>
    <w:rsid w:val="00873C22"/>
    <w:rsid w:val="008832E8"/>
    <w:rsid w:val="00887812"/>
    <w:rsid w:val="008A64A7"/>
    <w:rsid w:val="008B1D25"/>
    <w:rsid w:val="008B3888"/>
    <w:rsid w:val="008B5B9B"/>
    <w:rsid w:val="008B7677"/>
    <w:rsid w:val="008C2761"/>
    <w:rsid w:val="008D4782"/>
    <w:rsid w:val="008E2DC1"/>
    <w:rsid w:val="008F2CE1"/>
    <w:rsid w:val="008F4FF5"/>
    <w:rsid w:val="0091696A"/>
    <w:rsid w:val="00923BA9"/>
    <w:rsid w:val="00926DE2"/>
    <w:rsid w:val="00933B65"/>
    <w:rsid w:val="0096254B"/>
    <w:rsid w:val="009701EB"/>
    <w:rsid w:val="009867BA"/>
    <w:rsid w:val="009C23A5"/>
    <w:rsid w:val="009E3D21"/>
    <w:rsid w:val="009E3E28"/>
    <w:rsid w:val="009F361B"/>
    <w:rsid w:val="00A14AD6"/>
    <w:rsid w:val="00A35CBD"/>
    <w:rsid w:val="00A41367"/>
    <w:rsid w:val="00A810D2"/>
    <w:rsid w:val="00A86A8D"/>
    <w:rsid w:val="00AA199C"/>
    <w:rsid w:val="00AA25A1"/>
    <w:rsid w:val="00AA47CB"/>
    <w:rsid w:val="00AA5502"/>
    <w:rsid w:val="00AB2FD5"/>
    <w:rsid w:val="00AE7BF2"/>
    <w:rsid w:val="00B170ED"/>
    <w:rsid w:val="00B23174"/>
    <w:rsid w:val="00B52844"/>
    <w:rsid w:val="00B66D6C"/>
    <w:rsid w:val="00BB2B34"/>
    <w:rsid w:val="00BB470C"/>
    <w:rsid w:val="00BB69F4"/>
    <w:rsid w:val="00BC0611"/>
    <w:rsid w:val="00BC220A"/>
    <w:rsid w:val="00BC3CAF"/>
    <w:rsid w:val="00BD02B8"/>
    <w:rsid w:val="00BE34CF"/>
    <w:rsid w:val="00BF3FF4"/>
    <w:rsid w:val="00C01304"/>
    <w:rsid w:val="00C01F6A"/>
    <w:rsid w:val="00C15A7E"/>
    <w:rsid w:val="00C34050"/>
    <w:rsid w:val="00C3729A"/>
    <w:rsid w:val="00C37E3A"/>
    <w:rsid w:val="00C51B29"/>
    <w:rsid w:val="00C6098F"/>
    <w:rsid w:val="00C628F1"/>
    <w:rsid w:val="00C728DA"/>
    <w:rsid w:val="00C72B24"/>
    <w:rsid w:val="00CB0021"/>
    <w:rsid w:val="00CD5AEE"/>
    <w:rsid w:val="00CF0FE6"/>
    <w:rsid w:val="00D31D54"/>
    <w:rsid w:val="00D42CF0"/>
    <w:rsid w:val="00D44C2B"/>
    <w:rsid w:val="00D71C38"/>
    <w:rsid w:val="00D8762C"/>
    <w:rsid w:val="00DA3D04"/>
    <w:rsid w:val="00DA6EC4"/>
    <w:rsid w:val="00DC699D"/>
    <w:rsid w:val="00DE6247"/>
    <w:rsid w:val="00DF594D"/>
    <w:rsid w:val="00E22C63"/>
    <w:rsid w:val="00E6231A"/>
    <w:rsid w:val="00E94472"/>
    <w:rsid w:val="00EA0A62"/>
    <w:rsid w:val="00EA3D98"/>
    <w:rsid w:val="00EE6CE7"/>
    <w:rsid w:val="00EF4381"/>
    <w:rsid w:val="00F125AD"/>
    <w:rsid w:val="00F40619"/>
    <w:rsid w:val="00F451C4"/>
    <w:rsid w:val="00F451F4"/>
    <w:rsid w:val="00F47052"/>
    <w:rsid w:val="00F648C0"/>
    <w:rsid w:val="00F85C8A"/>
    <w:rsid w:val="00FA087A"/>
    <w:rsid w:val="00FA0A2E"/>
    <w:rsid w:val="00FA2A43"/>
    <w:rsid w:val="00FA7FC0"/>
    <w:rsid w:val="00FB0516"/>
    <w:rsid w:val="00FD208E"/>
    <w:rsid w:val="00FE0046"/>
    <w:rsid w:val="00FF2A9F"/>
    <w:rsid w:val="00FF48BE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C6F7F6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33B65"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33B6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933B65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933B65"/>
  </w:style>
  <w:style w:type="table" w:styleId="TableGrid">
    <w:name w:val="Table Grid"/>
    <w:basedOn w:val="TableNormal"/>
    <w:rsid w:val="00933B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semiHidden/>
    <w:unhideWhenUsed/>
    <w:rsid w:val="009E3E2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E3E28"/>
    <w:rPr>
      <w:rFonts w:ascii="Segoe UI" w:hAnsi="Segoe UI" w:cs="Segoe UI"/>
      <w:sz w:val="18"/>
      <w:szCs w:val="18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0315D3-AFE7-4FA3-8D45-7A59BFA917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805</Words>
  <Characters>3987</Characters>
  <Application>Microsoft Office Word</Application>
  <DocSecurity>0</DocSecurity>
  <Lines>33</Lines>
  <Paragraphs>9</Paragraphs>
  <ScaleCrop>false</ScaleCrop>
  <Company/>
  <LinksUpToDate>false</LinksUpToDate>
  <CharactersWithSpaces>4783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2018-08-24T11:44:00Z</dcterms:created>
  <dcterms:modified xsi:type="dcterms:W3CDTF">2018-08-24T11:44:00Z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