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908" w:rsidRPr="00F97703" w:rsidRDefault="005F7908" w:rsidP="005F7908">
      <w:pPr>
        <w:rPr>
          <w:rFonts w:ascii="Book Antiqua" w:hAnsi="Book Antiqua" w:cs="Arial"/>
          <w:color w:val="000000"/>
          <w:sz w:val="16"/>
          <w:szCs w:val="16"/>
        </w:rPr>
      </w:pPr>
    </w:p>
    <w:p w:rsidR="005F7908" w:rsidRDefault="005F7908" w:rsidP="005F7908">
      <w:pPr>
        <w:jc w:val="center"/>
        <w:rPr>
          <w:rFonts w:ascii="Book Antiqua" w:hAnsi="Book Antiqua" w:cs="Arial"/>
          <w:color w:val="000000"/>
        </w:rPr>
      </w:pPr>
      <w:r>
        <w:rPr>
          <w:noProof/>
        </w:rPr>
        <w:drawing>
          <wp:inline distT="0" distB="0" distL="0" distR="0" wp14:anchorId="35118EFC" wp14:editId="318D6CF9">
            <wp:extent cx="1495425" cy="1133475"/>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rsidR="005F7908" w:rsidRPr="00F97703" w:rsidRDefault="005F7908" w:rsidP="005F7908">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5F7908" w:rsidRPr="00F97703" w:rsidRDefault="005F7908" w:rsidP="005F7908">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Appeal Number:</w:t>
      </w:r>
      <w:r>
        <w:rPr>
          <w:rFonts w:ascii="Book Antiqua" w:hAnsi="Book Antiqua" w:cs="Arial"/>
          <w:color w:val="000000"/>
        </w:rPr>
        <w:t xml:space="preserve"> </w:t>
      </w:r>
      <w:bookmarkStart w:id="0" w:name="_GoBack"/>
      <w:r>
        <w:rPr>
          <w:rFonts w:ascii="Book Antiqua" w:hAnsi="Book Antiqua" w:cs="Arial"/>
          <w:color w:val="000000"/>
        </w:rPr>
        <w:t>DA/00095/2017</w:t>
      </w:r>
      <w:bookmarkEnd w:id="0"/>
    </w:p>
    <w:p w:rsidR="005F7908" w:rsidRPr="00F97703" w:rsidRDefault="005F7908" w:rsidP="005F7908">
      <w:pPr>
        <w:jc w:val="center"/>
        <w:rPr>
          <w:rFonts w:ascii="Book Antiqua" w:hAnsi="Book Antiqua" w:cs="Arial"/>
          <w:color w:val="000000"/>
        </w:rPr>
      </w:pPr>
    </w:p>
    <w:p w:rsidR="005F7908" w:rsidRPr="00F97703" w:rsidRDefault="005F7908" w:rsidP="005F7908">
      <w:pPr>
        <w:jc w:val="center"/>
        <w:rPr>
          <w:rFonts w:ascii="Book Antiqua" w:hAnsi="Book Antiqua" w:cs="Arial"/>
          <w:color w:val="000000"/>
        </w:rPr>
      </w:pPr>
    </w:p>
    <w:p w:rsidR="005F7908" w:rsidRPr="00F97703" w:rsidRDefault="005F7908" w:rsidP="005F7908">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5F7908" w:rsidRPr="00F97703" w:rsidRDefault="005F7908" w:rsidP="005F7908">
      <w:pPr>
        <w:jc w:val="center"/>
        <w:rPr>
          <w:rFonts w:ascii="Book Antiqua" w:hAnsi="Book Antiqua" w:cs="Arial"/>
          <w:b/>
          <w:u w:val="single"/>
        </w:rPr>
      </w:pPr>
    </w:p>
    <w:p w:rsidR="005F7908" w:rsidRPr="00F97703" w:rsidRDefault="005F7908" w:rsidP="005F7908">
      <w:pPr>
        <w:jc w:val="center"/>
        <w:rPr>
          <w:rFonts w:ascii="Book Antiqua" w:hAnsi="Book Antiqua" w:cs="Arial"/>
          <w:b/>
          <w:u w:val="single"/>
        </w:rPr>
      </w:pPr>
    </w:p>
    <w:tbl>
      <w:tblPr>
        <w:tblW w:w="0" w:type="auto"/>
        <w:tblLook w:val="01E0" w:firstRow="1" w:lastRow="1" w:firstColumn="1" w:lastColumn="1" w:noHBand="0" w:noVBand="0"/>
      </w:tblPr>
      <w:tblGrid>
        <w:gridCol w:w="4957"/>
        <w:gridCol w:w="4671"/>
      </w:tblGrid>
      <w:tr w:rsidR="005F7908" w:rsidRPr="003B5957" w:rsidTr="000C39C2">
        <w:tc>
          <w:tcPr>
            <w:tcW w:w="4957" w:type="dxa"/>
            <w:shd w:val="clear" w:color="auto" w:fill="auto"/>
          </w:tcPr>
          <w:p w:rsidR="005F7908" w:rsidRPr="003B5957" w:rsidRDefault="005F7908" w:rsidP="00F3400B">
            <w:pPr>
              <w:jc w:val="both"/>
              <w:rPr>
                <w:rFonts w:ascii="Book Antiqua" w:hAnsi="Book Antiqua" w:cs="Arial"/>
                <w:b/>
              </w:rPr>
            </w:pPr>
            <w:r w:rsidRPr="003B5957">
              <w:rPr>
                <w:rFonts w:ascii="Book Antiqua" w:hAnsi="Book Antiqua" w:cs="Arial"/>
                <w:b/>
              </w:rPr>
              <w:t>Heard at Field House</w:t>
            </w:r>
          </w:p>
        </w:tc>
        <w:tc>
          <w:tcPr>
            <w:tcW w:w="4671" w:type="dxa"/>
            <w:shd w:val="clear" w:color="auto" w:fill="auto"/>
          </w:tcPr>
          <w:p w:rsidR="005F7908" w:rsidRPr="003B5957" w:rsidRDefault="000C39C2" w:rsidP="00F3400B">
            <w:pPr>
              <w:jc w:val="both"/>
              <w:rPr>
                <w:rFonts w:ascii="Book Antiqua" w:hAnsi="Book Antiqua" w:cs="Arial"/>
                <w:b/>
                <w:color w:val="000000"/>
              </w:rPr>
            </w:pPr>
            <w:r>
              <w:rPr>
                <w:rFonts w:ascii="Book Antiqua" w:hAnsi="Book Antiqua" w:cs="Arial"/>
                <w:b/>
                <w:color w:val="000000"/>
              </w:rPr>
              <w:t>Decision &amp; Reasons</w:t>
            </w:r>
            <w:r w:rsidR="005F7908" w:rsidRPr="003B5957">
              <w:rPr>
                <w:rFonts w:ascii="Book Antiqua" w:hAnsi="Book Antiqua" w:cs="Arial"/>
                <w:b/>
                <w:color w:val="000000"/>
              </w:rPr>
              <w:t xml:space="preserve"> Promulgated</w:t>
            </w:r>
          </w:p>
        </w:tc>
      </w:tr>
      <w:tr w:rsidR="005F7908" w:rsidRPr="003B5957" w:rsidTr="000C39C2">
        <w:tc>
          <w:tcPr>
            <w:tcW w:w="4957" w:type="dxa"/>
            <w:shd w:val="clear" w:color="auto" w:fill="auto"/>
          </w:tcPr>
          <w:p w:rsidR="005F7908" w:rsidRPr="003B5957" w:rsidRDefault="005F7908" w:rsidP="00F3400B">
            <w:pPr>
              <w:jc w:val="both"/>
              <w:rPr>
                <w:rFonts w:ascii="Book Antiqua" w:hAnsi="Book Antiqua" w:cs="Arial"/>
                <w:b/>
              </w:rPr>
            </w:pPr>
            <w:r w:rsidRPr="003B5957">
              <w:rPr>
                <w:rFonts w:ascii="Book Antiqua" w:hAnsi="Book Antiqua" w:cs="Arial"/>
                <w:b/>
              </w:rPr>
              <w:t xml:space="preserve">On </w:t>
            </w:r>
            <w:r>
              <w:rPr>
                <w:rFonts w:ascii="Book Antiqua" w:hAnsi="Book Antiqua" w:cs="Arial"/>
                <w:b/>
              </w:rPr>
              <w:t>2</w:t>
            </w:r>
            <w:r w:rsidR="0050404C">
              <w:rPr>
                <w:rFonts w:ascii="Book Antiqua" w:hAnsi="Book Antiqua" w:cs="Arial"/>
                <w:b/>
              </w:rPr>
              <w:t>6</w:t>
            </w:r>
            <w:r w:rsidR="0050404C" w:rsidRPr="0050404C">
              <w:rPr>
                <w:rFonts w:ascii="Book Antiqua" w:hAnsi="Book Antiqua" w:cs="Arial"/>
                <w:b/>
                <w:vertAlign w:val="superscript"/>
              </w:rPr>
              <w:t>th</w:t>
            </w:r>
            <w:r w:rsidR="0050404C">
              <w:rPr>
                <w:rFonts w:ascii="Book Antiqua" w:hAnsi="Book Antiqua" w:cs="Arial"/>
                <w:b/>
              </w:rPr>
              <w:t xml:space="preserve"> June</w:t>
            </w:r>
            <w:r>
              <w:rPr>
                <w:rFonts w:ascii="Book Antiqua" w:hAnsi="Book Antiqua" w:cs="Arial"/>
                <w:b/>
              </w:rPr>
              <w:t xml:space="preserve"> 2018</w:t>
            </w:r>
          </w:p>
        </w:tc>
        <w:tc>
          <w:tcPr>
            <w:tcW w:w="4671" w:type="dxa"/>
            <w:shd w:val="clear" w:color="auto" w:fill="auto"/>
          </w:tcPr>
          <w:p w:rsidR="005F7908" w:rsidRPr="003B5957" w:rsidRDefault="000C39C2" w:rsidP="00F3400B">
            <w:pPr>
              <w:jc w:val="both"/>
              <w:rPr>
                <w:rFonts w:ascii="Book Antiqua" w:hAnsi="Book Antiqua" w:cs="Arial"/>
                <w:b/>
              </w:rPr>
            </w:pPr>
            <w:r>
              <w:rPr>
                <w:rFonts w:ascii="Book Antiqua" w:hAnsi="Book Antiqua" w:cs="Arial"/>
                <w:b/>
              </w:rPr>
              <w:t>On 28</w:t>
            </w:r>
            <w:r w:rsidRPr="000C39C2">
              <w:rPr>
                <w:rFonts w:ascii="Book Antiqua" w:hAnsi="Book Antiqua" w:cs="Arial"/>
                <w:b/>
                <w:vertAlign w:val="superscript"/>
              </w:rPr>
              <w:t>th</w:t>
            </w:r>
            <w:r>
              <w:rPr>
                <w:rFonts w:ascii="Book Antiqua" w:hAnsi="Book Antiqua" w:cs="Arial"/>
                <w:b/>
              </w:rPr>
              <w:t xml:space="preserve"> June 2018</w:t>
            </w:r>
          </w:p>
        </w:tc>
      </w:tr>
      <w:tr w:rsidR="005F7908" w:rsidRPr="003B5957" w:rsidTr="000C39C2">
        <w:tc>
          <w:tcPr>
            <w:tcW w:w="4957" w:type="dxa"/>
            <w:shd w:val="clear" w:color="auto" w:fill="auto"/>
          </w:tcPr>
          <w:p w:rsidR="005F7908" w:rsidRPr="003B5957" w:rsidRDefault="005F7908" w:rsidP="00F3400B">
            <w:pPr>
              <w:jc w:val="both"/>
              <w:rPr>
                <w:rFonts w:ascii="Book Antiqua" w:hAnsi="Book Antiqua" w:cs="Arial"/>
                <w:b/>
              </w:rPr>
            </w:pPr>
          </w:p>
        </w:tc>
        <w:tc>
          <w:tcPr>
            <w:tcW w:w="4671" w:type="dxa"/>
            <w:shd w:val="clear" w:color="auto" w:fill="auto"/>
          </w:tcPr>
          <w:p w:rsidR="005F7908" w:rsidRPr="003B5957" w:rsidRDefault="005F7908" w:rsidP="00F3400B">
            <w:pPr>
              <w:jc w:val="both"/>
              <w:rPr>
                <w:rFonts w:ascii="Book Antiqua" w:hAnsi="Book Antiqua" w:cs="Arial"/>
                <w:b/>
              </w:rPr>
            </w:pPr>
          </w:p>
        </w:tc>
      </w:tr>
    </w:tbl>
    <w:p w:rsidR="005F7908" w:rsidRDefault="005F7908" w:rsidP="005F7908">
      <w:pPr>
        <w:jc w:val="center"/>
        <w:rPr>
          <w:rFonts w:ascii="Book Antiqua" w:hAnsi="Book Antiqua" w:cs="Arial"/>
          <w:b/>
        </w:rPr>
      </w:pPr>
      <w:r w:rsidRPr="00F97703">
        <w:rPr>
          <w:rFonts w:ascii="Book Antiqua" w:hAnsi="Book Antiqua" w:cs="Arial"/>
          <w:b/>
        </w:rPr>
        <w:t>Before</w:t>
      </w:r>
    </w:p>
    <w:p w:rsidR="005F7908" w:rsidRPr="00F97703" w:rsidRDefault="005F7908" w:rsidP="005F7908">
      <w:pPr>
        <w:jc w:val="center"/>
        <w:rPr>
          <w:rFonts w:ascii="Book Antiqua" w:hAnsi="Book Antiqua" w:cs="Arial"/>
          <w:b/>
        </w:rPr>
      </w:pPr>
    </w:p>
    <w:p w:rsidR="005F7908" w:rsidRPr="00F97703" w:rsidRDefault="005F7908" w:rsidP="005F7908">
      <w:pPr>
        <w:jc w:val="center"/>
        <w:rPr>
          <w:rFonts w:ascii="Book Antiqua" w:hAnsi="Book Antiqua" w:cs="Arial"/>
          <w:b/>
          <w:color w:val="000000"/>
        </w:rPr>
      </w:pPr>
      <w:r>
        <w:rPr>
          <w:rFonts w:ascii="Book Antiqua" w:hAnsi="Book Antiqua" w:cs="Arial"/>
          <w:b/>
          <w:color w:val="000000"/>
        </w:rPr>
        <w:t>UPPER TRIBUNAL JUDGE LINDSLEY</w:t>
      </w:r>
    </w:p>
    <w:p w:rsidR="005F7908" w:rsidRPr="00F97703" w:rsidRDefault="005F7908" w:rsidP="005F7908">
      <w:pPr>
        <w:jc w:val="center"/>
        <w:rPr>
          <w:rFonts w:ascii="Book Antiqua" w:hAnsi="Book Antiqua" w:cs="Arial"/>
          <w:b/>
        </w:rPr>
      </w:pPr>
    </w:p>
    <w:p w:rsidR="005F7908" w:rsidRDefault="005F7908" w:rsidP="005F7908">
      <w:pPr>
        <w:jc w:val="center"/>
        <w:rPr>
          <w:rFonts w:ascii="Book Antiqua" w:hAnsi="Book Antiqua" w:cs="Arial"/>
          <w:b/>
        </w:rPr>
      </w:pPr>
      <w:r w:rsidRPr="00F97703">
        <w:rPr>
          <w:rFonts w:ascii="Book Antiqua" w:hAnsi="Book Antiqua" w:cs="Arial"/>
          <w:b/>
        </w:rPr>
        <w:t>Between</w:t>
      </w:r>
    </w:p>
    <w:p w:rsidR="005F7908" w:rsidRDefault="005F7908" w:rsidP="005F7908">
      <w:pPr>
        <w:jc w:val="center"/>
        <w:rPr>
          <w:rFonts w:ascii="Book Antiqua" w:hAnsi="Book Antiqua" w:cs="Arial"/>
          <w:b/>
        </w:rPr>
      </w:pPr>
    </w:p>
    <w:p w:rsidR="005F7908" w:rsidRPr="00F97703" w:rsidRDefault="005F7908" w:rsidP="005F7908">
      <w:pPr>
        <w:jc w:val="center"/>
        <w:rPr>
          <w:rFonts w:ascii="Book Antiqua" w:hAnsi="Book Antiqua" w:cs="Arial"/>
          <w:b/>
        </w:rPr>
      </w:pPr>
    </w:p>
    <w:p w:rsidR="005F7908" w:rsidRDefault="005F7908" w:rsidP="005F7908">
      <w:pPr>
        <w:jc w:val="center"/>
        <w:rPr>
          <w:rFonts w:ascii="Book Antiqua" w:hAnsi="Book Antiqua" w:cs="Arial"/>
          <w:b/>
        </w:rPr>
      </w:pPr>
      <w:r>
        <w:rPr>
          <w:rFonts w:ascii="Book Antiqua" w:hAnsi="Book Antiqua" w:cs="Arial"/>
          <w:b/>
        </w:rPr>
        <w:t xml:space="preserve"> </w:t>
      </w: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5F7908" w:rsidRDefault="005F7908" w:rsidP="005F7908">
      <w:pPr>
        <w:jc w:val="center"/>
        <w:rPr>
          <w:rFonts w:ascii="Book Antiqua" w:hAnsi="Book Antiqua" w:cs="Arial"/>
          <w:b/>
        </w:rPr>
      </w:pPr>
    </w:p>
    <w:p w:rsidR="005F7908" w:rsidRPr="00F97703" w:rsidRDefault="005F7908" w:rsidP="005F7908">
      <w:pPr>
        <w:jc w:val="right"/>
        <w:rPr>
          <w:rFonts w:ascii="Book Antiqua" w:hAnsi="Book Antiqua" w:cs="Arial"/>
          <w:u w:val="single"/>
        </w:rPr>
      </w:pPr>
      <w:r w:rsidRPr="00F97703">
        <w:rPr>
          <w:rFonts w:ascii="Book Antiqua" w:hAnsi="Book Antiqua" w:cs="Arial"/>
          <w:u w:val="single"/>
        </w:rPr>
        <w:t>Appellant</w:t>
      </w:r>
    </w:p>
    <w:p w:rsidR="005F7908" w:rsidRPr="00F97703" w:rsidRDefault="005F7908" w:rsidP="005F7908">
      <w:pPr>
        <w:jc w:val="center"/>
        <w:rPr>
          <w:rFonts w:ascii="Book Antiqua" w:hAnsi="Book Antiqua" w:cs="Arial"/>
          <w:b/>
        </w:rPr>
      </w:pPr>
      <w:r w:rsidRPr="00F97703">
        <w:rPr>
          <w:rFonts w:ascii="Book Antiqua" w:hAnsi="Book Antiqua" w:cs="Arial"/>
          <w:b/>
        </w:rPr>
        <w:t>and</w:t>
      </w:r>
    </w:p>
    <w:p w:rsidR="005F7908" w:rsidRPr="00F97703" w:rsidRDefault="005F7908" w:rsidP="005F7908">
      <w:pPr>
        <w:jc w:val="center"/>
        <w:rPr>
          <w:rFonts w:ascii="Book Antiqua" w:hAnsi="Book Antiqua" w:cs="Arial"/>
          <w:b/>
        </w:rPr>
      </w:pPr>
    </w:p>
    <w:p w:rsidR="005F7908" w:rsidRDefault="005F7908" w:rsidP="005F7908">
      <w:pPr>
        <w:jc w:val="center"/>
        <w:rPr>
          <w:rFonts w:ascii="Book Antiqua" w:hAnsi="Book Antiqua" w:cs="Arial"/>
          <w:b/>
        </w:rPr>
      </w:pPr>
      <w:r>
        <w:rPr>
          <w:rFonts w:ascii="Book Antiqua" w:hAnsi="Book Antiqua" w:cs="Arial"/>
          <w:b/>
        </w:rPr>
        <w:t>HA</w:t>
      </w:r>
    </w:p>
    <w:p w:rsidR="005F7908" w:rsidRDefault="005F7908" w:rsidP="005F7908">
      <w:pPr>
        <w:jc w:val="center"/>
        <w:rPr>
          <w:rFonts w:ascii="Book Antiqua" w:hAnsi="Book Antiqua" w:cs="Arial"/>
          <w:b/>
        </w:rPr>
      </w:pPr>
      <w:r>
        <w:rPr>
          <w:rFonts w:ascii="Book Antiqua" w:hAnsi="Book Antiqua" w:cs="Arial"/>
          <w:b/>
        </w:rPr>
        <w:t xml:space="preserve"> (ANONYMITY ORDER MADE)</w:t>
      </w:r>
    </w:p>
    <w:p w:rsidR="005F7908" w:rsidRPr="00F97703" w:rsidRDefault="005F7908" w:rsidP="005F7908">
      <w:pPr>
        <w:jc w:val="center"/>
        <w:rPr>
          <w:rFonts w:ascii="Book Antiqua" w:hAnsi="Book Antiqua" w:cs="Arial"/>
          <w:b/>
        </w:rPr>
      </w:pPr>
    </w:p>
    <w:p w:rsidR="005F7908" w:rsidRPr="00F97703" w:rsidRDefault="005F7908" w:rsidP="005F7908">
      <w:pPr>
        <w:jc w:val="right"/>
        <w:rPr>
          <w:rFonts w:ascii="Book Antiqua" w:hAnsi="Book Antiqua" w:cs="Arial"/>
          <w:u w:val="single"/>
        </w:rPr>
      </w:pPr>
      <w:r w:rsidRPr="00F97703">
        <w:rPr>
          <w:rFonts w:ascii="Book Antiqua" w:hAnsi="Book Antiqua" w:cs="Arial"/>
          <w:u w:val="single"/>
        </w:rPr>
        <w:t>Respondent</w:t>
      </w:r>
    </w:p>
    <w:p w:rsidR="005F7908" w:rsidRPr="00F97703" w:rsidRDefault="005F7908" w:rsidP="005F7908">
      <w:pPr>
        <w:rPr>
          <w:rFonts w:ascii="Book Antiqua" w:hAnsi="Book Antiqua" w:cs="Arial"/>
          <w:u w:val="single"/>
        </w:rPr>
      </w:pPr>
    </w:p>
    <w:p w:rsidR="005F7908" w:rsidRPr="00F97703" w:rsidRDefault="005F7908" w:rsidP="005F7908">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5F7908" w:rsidRPr="00F97703" w:rsidRDefault="005F7908" w:rsidP="005F7908">
      <w:pPr>
        <w:rPr>
          <w:rFonts w:ascii="Book Antiqua" w:hAnsi="Book Antiqua" w:cs="Arial"/>
        </w:rPr>
      </w:pPr>
    </w:p>
    <w:p w:rsidR="005F7908" w:rsidRPr="00F97703" w:rsidRDefault="005F7908" w:rsidP="005F7908">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Pr>
          <w:rFonts w:ascii="Book Antiqua" w:hAnsi="Book Antiqua" w:cs="Arial"/>
        </w:rPr>
        <w:t xml:space="preserve">Mr </w:t>
      </w:r>
      <w:r w:rsidR="00F13576">
        <w:rPr>
          <w:rFonts w:ascii="Book Antiqua" w:hAnsi="Book Antiqua" w:cs="Arial"/>
        </w:rPr>
        <w:t>T Melvin</w:t>
      </w:r>
      <w:r>
        <w:rPr>
          <w:rFonts w:ascii="Book Antiqua" w:hAnsi="Book Antiqua" w:cs="Arial"/>
        </w:rPr>
        <w:t>, Senior Home Office Presenting Officer</w:t>
      </w:r>
    </w:p>
    <w:p w:rsidR="005F7908" w:rsidRDefault="005F7908" w:rsidP="005F7908">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Pr>
          <w:rFonts w:ascii="Book Antiqua" w:hAnsi="Book Antiqua" w:cs="Arial"/>
        </w:rPr>
        <w:t xml:space="preserve"> </w:t>
      </w:r>
      <w:r w:rsidR="00286B67">
        <w:rPr>
          <w:rFonts w:ascii="Book Antiqua" w:hAnsi="Book Antiqua" w:cs="Arial"/>
        </w:rPr>
        <w:t xml:space="preserve">Mr </w:t>
      </w:r>
      <w:r w:rsidR="00D1622A">
        <w:rPr>
          <w:rFonts w:ascii="Book Antiqua" w:hAnsi="Book Antiqua" w:cs="Arial"/>
        </w:rPr>
        <w:t>Z Khan</w:t>
      </w:r>
      <w:r w:rsidR="00286B67">
        <w:rPr>
          <w:rFonts w:ascii="Book Antiqua" w:hAnsi="Book Antiqua" w:cs="Arial"/>
        </w:rPr>
        <w:t>, of Counsel, instructed by Universal Solicitors</w:t>
      </w:r>
    </w:p>
    <w:p w:rsidR="005F7908" w:rsidRDefault="005F7908" w:rsidP="005F7908">
      <w:pPr>
        <w:tabs>
          <w:tab w:val="left" w:pos="567"/>
        </w:tabs>
        <w:ind w:left="567"/>
        <w:jc w:val="both"/>
        <w:rPr>
          <w:rFonts w:ascii="Book Antiqua" w:hAnsi="Book Antiqua" w:cs="Arial"/>
          <w:i/>
        </w:rPr>
      </w:pPr>
    </w:p>
    <w:p w:rsidR="005F7908" w:rsidRDefault="005F7908" w:rsidP="005F7908">
      <w:pPr>
        <w:tabs>
          <w:tab w:val="left" w:pos="567"/>
        </w:tabs>
        <w:ind w:left="567"/>
        <w:jc w:val="both"/>
        <w:rPr>
          <w:rFonts w:ascii="Book Antiqua" w:hAnsi="Book Antiqua" w:cs="Arial"/>
          <w:i/>
        </w:rPr>
      </w:pPr>
      <w:r>
        <w:rPr>
          <w:rFonts w:ascii="Book Antiqua" w:hAnsi="Book Antiqua" w:cs="Arial"/>
          <w:i/>
        </w:rPr>
        <w:t>Introduction</w:t>
      </w:r>
    </w:p>
    <w:p w:rsidR="005F7908" w:rsidRPr="00546523" w:rsidRDefault="005F7908" w:rsidP="005F7908">
      <w:pPr>
        <w:tabs>
          <w:tab w:val="left" w:pos="567"/>
        </w:tabs>
        <w:ind w:left="567"/>
        <w:jc w:val="both"/>
        <w:rPr>
          <w:rFonts w:ascii="Book Antiqua" w:hAnsi="Book Antiqua" w:cs="Arial"/>
          <w:i/>
        </w:rPr>
      </w:pPr>
    </w:p>
    <w:p w:rsidR="005F7908" w:rsidRPr="003B12DA" w:rsidRDefault="005F7908" w:rsidP="005F7908">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claimant is a citizen of Denmark born in 1975.  His appeal against the decision of the Secretary of State to deport him to Denmark</w:t>
      </w:r>
      <w:r w:rsidR="00613FE3">
        <w:rPr>
          <w:rFonts w:ascii="Book Antiqua" w:hAnsi="Book Antiqua" w:cs="Arial"/>
        </w:rPr>
        <w:t>,</w:t>
      </w:r>
      <w:r w:rsidR="006C6290">
        <w:rPr>
          <w:rFonts w:ascii="Book Antiqua" w:hAnsi="Book Antiqua" w:cs="Arial"/>
        </w:rPr>
        <w:t xml:space="preserve"> pursuant to Regulation 19(3)(b</w:t>
      </w:r>
      <w:r w:rsidR="00D07C9D">
        <w:rPr>
          <w:rFonts w:ascii="Book Antiqua" w:hAnsi="Book Antiqua" w:cs="Arial"/>
        </w:rPr>
        <w:t>)</w:t>
      </w:r>
      <w:r w:rsidR="006C6290">
        <w:rPr>
          <w:rFonts w:ascii="Book Antiqua" w:hAnsi="Book Antiqua" w:cs="Arial"/>
        </w:rPr>
        <w:t xml:space="preserve"> </w:t>
      </w:r>
      <w:r w:rsidR="00D07C9D">
        <w:rPr>
          <w:rFonts w:ascii="Book Antiqua" w:hAnsi="Book Antiqua" w:cs="Arial"/>
        </w:rPr>
        <w:t>o</w:t>
      </w:r>
      <w:r w:rsidR="006C6290">
        <w:rPr>
          <w:rFonts w:ascii="Book Antiqua" w:hAnsi="Book Antiqua" w:cs="Arial"/>
        </w:rPr>
        <w:t>f the</w:t>
      </w:r>
      <w:r w:rsidR="00D07C9D">
        <w:rPr>
          <w:rFonts w:ascii="Book Antiqua" w:hAnsi="Book Antiqua" w:cs="Arial"/>
        </w:rPr>
        <w:t xml:space="preserve"> Immigration (EEA) Regulations 2006</w:t>
      </w:r>
      <w:r w:rsidR="00613FE3">
        <w:rPr>
          <w:rFonts w:ascii="Book Antiqua" w:hAnsi="Book Antiqua" w:cs="Arial"/>
        </w:rPr>
        <w:t>,</w:t>
      </w:r>
      <w:r w:rsidR="006C6290">
        <w:rPr>
          <w:rFonts w:ascii="Book Antiqua" w:hAnsi="Book Antiqua" w:cs="Arial"/>
        </w:rPr>
        <w:t xml:space="preserve"> </w:t>
      </w:r>
      <w:r>
        <w:rPr>
          <w:rFonts w:ascii="Book Antiqua" w:hAnsi="Book Antiqua" w:cs="Arial"/>
        </w:rPr>
        <w:t>as a result of a number of criminal convictions was allowed by First-tier Tribunal Judge I D Boyes in a determination promulgated on the 25</w:t>
      </w:r>
      <w:r w:rsidRPr="00CA7EA3">
        <w:rPr>
          <w:rFonts w:ascii="Book Antiqua" w:hAnsi="Book Antiqua" w:cs="Arial"/>
          <w:vertAlign w:val="superscript"/>
        </w:rPr>
        <w:t>th</w:t>
      </w:r>
      <w:r>
        <w:rPr>
          <w:rFonts w:ascii="Book Antiqua" w:hAnsi="Book Antiqua" w:cs="Arial"/>
        </w:rPr>
        <w:t xml:space="preserve"> October 2017. </w:t>
      </w:r>
    </w:p>
    <w:p w:rsidR="005F7908" w:rsidRPr="00546523" w:rsidRDefault="005F7908" w:rsidP="005F7908">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Permission to appeal was granted by Upper Tribunal Judge Jordan on 15</w:t>
      </w:r>
      <w:r w:rsidRPr="00CA7EA3">
        <w:rPr>
          <w:rFonts w:ascii="Book Antiqua" w:hAnsi="Book Antiqua" w:cs="Arial"/>
          <w:vertAlign w:val="superscript"/>
        </w:rPr>
        <w:t>th</w:t>
      </w:r>
      <w:r>
        <w:rPr>
          <w:rFonts w:ascii="Book Antiqua" w:hAnsi="Book Antiqua" w:cs="Arial"/>
        </w:rPr>
        <w:t xml:space="preserve"> December 2017 on the basis that it was arguable that the First-tier judge had erred in law in finding that the claimant had permanent residence in the UK without sufficient evidence.  </w:t>
      </w:r>
    </w:p>
    <w:p w:rsidR="005F7908" w:rsidRPr="00546523" w:rsidRDefault="005F7908" w:rsidP="005F7908">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 found the First-tier Tribunal had erred in law for the reasons set out in the decision appended at Annex A. I now remake the appeal. </w:t>
      </w:r>
    </w:p>
    <w:p w:rsidR="005F7908" w:rsidRPr="00546523" w:rsidRDefault="005F7908" w:rsidP="005F7908">
      <w:pPr>
        <w:tabs>
          <w:tab w:val="left" w:pos="2520"/>
        </w:tabs>
        <w:spacing w:before="240"/>
        <w:jc w:val="both"/>
        <w:rPr>
          <w:rFonts w:ascii="Book Antiqua" w:hAnsi="Book Antiqua" w:cs="Arial"/>
          <w:i/>
        </w:rPr>
      </w:pPr>
      <w:r>
        <w:rPr>
          <w:rFonts w:ascii="Book Antiqua" w:hAnsi="Book Antiqua" w:cs="Arial"/>
          <w:i/>
        </w:rPr>
        <w:t>Evidence &amp; Submissions – Remaking</w:t>
      </w:r>
    </w:p>
    <w:p w:rsidR="003D13EB" w:rsidRDefault="001F2A7C"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 evidence of the </w:t>
      </w:r>
      <w:r w:rsidR="00C9572C">
        <w:rPr>
          <w:rFonts w:ascii="Book Antiqua" w:hAnsi="Book Antiqua" w:cs="Arial"/>
        </w:rPr>
        <w:t>claimant</w:t>
      </w:r>
      <w:r>
        <w:rPr>
          <w:rFonts w:ascii="Book Antiqua" w:hAnsi="Book Antiqua" w:cs="Arial"/>
        </w:rPr>
        <w:t xml:space="preserve"> is that he was born in Kuwait City in Kuwait</w:t>
      </w:r>
      <w:r w:rsidR="00F23E7F">
        <w:rPr>
          <w:rFonts w:ascii="Book Antiqua" w:hAnsi="Book Antiqua" w:cs="Arial"/>
        </w:rPr>
        <w:t xml:space="preserve"> in January 1975</w:t>
      </w:r>
      <w:r w:rsidR="00386AF1">
        <w:rPr>
          <w:rFonts w:ascii="Book Antiqua" w:hAnsi="Book Antiqua" w:cs="Arial"/>
        </w:rPr>
        <w:t xml:space="preserve">, but moved to Denmark in 1995 and became a Danish citizen. He says he entered the UK in June 2010 and began working </w:t>
      </w:r>
      <w:r w:rsidR="00A33CF8">
        <w:rPr>
          <w:rFonts w:ascii="Book Antiqua" w:hAnsi="Book Antiqua" w:cs="Arial"/>
        </w:rPr>
        <w:t xml:space="preserve">that month, and continued </w:t>
      </w:r>
      <w:r w:rsidR="009C491F">
        <w:rPr>
          <w:rFonts w:ascii="Book Antiqua" w:hAnsi="Book Antiqua" w:cs="Arial"/>
        </w:rPr>
        <w:t>he was imprisoned in January 2017</w:t>
      </w:r>
      <w:r w:rsidR="00A33CF8">
        <w:rPr>
          <w:rFonts w:ascii="Book Antiqua" w:hAnsi="Book Antiqua" w:cs="Arial"/>
        </w:rPr>
        <w:t>.</w:t>
      </w:r>
      <w:r w:rsidR="00111AD5">
        <w:rPr>
          <w:rFonts w:ascii="Book Antiqua" w:hAnsi="Book Antiqua" w:cs="Arial"/>
        </w:rPr>
        <w:t xml:space="preserve"> He says that he came here after the break down of his marriage and alienation from his children, which was a traumatic experience for him.</w:t>
      </w:r>
      <w:r w:rsidR="00A9339D">
        <w:rPr>
          <w:rFonts w:ascii="Book Antiqua" w:hAnsi="Book Antiqua" w:cs="Arial"/>
        </w:rPr>
        <w:t xml:space="preserve"> </w:t>
      </w:r>
      <w:r w:rsidR="00A33CF8">
        <w:rPr>
          <w:rFonts w:ascii="Book Antiqua" w:hAnsi="Book Antiqua" w:cs="Arial"/>
        </w:rPr>
        <w:t xml:space="preserve"> His father, Mr </w:t>
      </w:r>
      <w:r w:rsidR="00C320F4">
        <w:rPr>
          <w:rFonts w:ascii="Book Antiqua" w:hAnsi="Book Antiqua" w:cs="Arial"/>
        </w:rPr>
        <w:t>Z</w:t>
      </w:r>
      <w:r w:rsidR="00A33CF8">
        <w:rPr>
          <w:rFonts w:ascii="Book Antiqua" w:hAnsi="Book Antiqua" w:cs="Arial"/>
        </w:rPr>
        <w:t xml:space="preserve"> S J, arrived in the UK </w:t>
      </w:r>
      <w:r w:rsidR="00AF0403">
        <w:rPr>
          <w:rFonts w:ascii="Book Antiqua" w:hAnsi="Book Antiqua" w:cs="Arial"/>
        </w:rPr>
        <w:t>from Jordan as a refugee in 2011. He is very unwell with heart disease, having undergone a heart operation</w:t>
      </w:r>
      <w:r w:rsidR="00F94E81">
        <w:rPr>
          <w:rFonts w:ascii="Book Antiqua" w:hAnsi="Book Antiqua" w:cs="Arial"/>
        </w:rPr>
        <w:t xml:space="preserve"> in 2011</w:t>
      </w:r>
      <w:r w:rsidR="00F17C53">
        <w:rPr>
          <w:rFonts w:ascii="Book Antiqua" w:hAnsi="Book Antiqua" w:cs="Arial"/>
        </w:rPr>
        <w:t>, and has kidney problems and is overweight</w:t>
      </w:r>
      <w:r w:rsidR="00AF0403">
        <w:rPr>
          <w:rFonts w:ascii="Book Antiqua" w:hAnsi="Book Antiqua" w:cs="Arial"/>
        </w:rPr>
        <w:t xml:space="preserve">. </w:t>
      </w:r>
      <w:r w:rsidR="003441B2">
        <w:rPr>
          <w:rFonts w:ascii="Book Antiqua" w:hAnsi="Book Antiqua" w:cs="Arial"/>
        </w:rPr>
        <w:t>The claimant</w:t>
      </w:r>
      <w:r w:rsidR="007B5514">
        <w:rPr>
          <w:rFonts w:ascii="Book Antiqua" w:hAnsi="Book Antiqua" w:cs="Arial"/>
        </w:rPr>
        <w:t xml:space="preserve"> says he</w:t>
      </w:r>
      <w:r w:rsidR="00AF0403">
        <w:rPr>
          <w:rFonts w:ascii="Book Antiqua" w:hAnsi="Book Antiqua" w:cs="Arial"/>
        </w:rPr>
        <w:t xml:space="preserve"> </w:t>
      </w:r>
      <w:r w:rsidR="00BB7FEB">
        <w:rPr>
          <w:rFonts w:ascii="Book Antiqua" w:hAnsi="Book Antiqua" w:cs="Arial"/>
        </w:rPr>
        <w:t>spends a lot of time with his</w:t>
      </w:r>
      <w:r w:rsidR="00A03C13">
        <w:rPr>
          <w:rFonts w:ascii="Book Antiqua" w:hAnsi="Book Antiqua" w:cs="Arial"/>
        </w:rPr>
        <w:t xml:space="preserve"> UK based</w:t>
      </w:r>
      <w:r w:rsidR="00BB7FEB">
        <w:rPr>
          <w:rFonts w:ascii="Book Antiqua" w:hAnsi="Book Antiqua" w:cs="Arial"/>
        </w:rPr>
        <w:t xml:space="preserve"> family</w:t>
      </w:r>
      <w:r w:rsidR="007B5514">
        <w:rPr>
          <w:rFonts w:ascii="Book Antiqua" w:hAnsi="Book Antiqua" w:cs="Arial"/>
        </w:rPr>
        <w:t>, and particularly with his father</w:t>
      </w:r>
      <w:r w:rsidR="00BB7FEB">
        <w:rPr>
          <w:rFonts w:ascii="Book Antiqua" w:hAnsi="Book Antiqua" w:cs="Arial"/>
        </w:rPr>
        <w:t>.</w:t>
      </w:r>
      <w:r w:rsidR="00995421">
        <w:rPr>
          <w:rFonts w:ascii="Book Antiqua" w:hAnsi="Book Antiqua" w:cs="Arial"/>
        </w:rPr>
        <w:t xml:space="preserve"> He says he lived with his father between </w:t>
      </w:r>
      <w:r w:rsidR="002628ED">
        <w:rPr>
          <w:rFonts w:ascii="Book Antiqua" w:hAnsi="Book Antiqua" w:cs="Arial"/>
        </w:rPr>
        <w:t xml:space="preserve">2011 and 2013, and then had his own flat but visited him everyday and sometimes slept over at his father’s place from 2013 to </w:t>
      </w:r>
      <w:r w:rsidR="0054386B">
        <w:rPr>
          <w:rFonts w:ascii="Book Antiqua" w:hAnsi="Book Antiqua" w:cs="Arial"/>
        </w:rPr>
        <w:t>January 2017. He was</w:t>
      </w:r>
      <w:r w:rsidR="004D7B50">
        <w:rPr>
          <w:rFonts w:ascii="Book Antiqua" w:hAnsi="Book Antiqua" w:cs="Arial"/>
        </w:rPr>
        <w:t xml:space="preserve"> then</w:t>
      </w:r>
      <w:r w:rsidR="0054386B">
        <w:rPr>
          <w:rFonts w:ascii="Book Antiqua" w:hAnsi="Book Antiqua" w:cs="Arial"/>
        </w:rPr>
        <w:t xml:space="preserve"> in prison/ detention from January</w:t>
      </w:r>
      <w:r w:rsidR="004D7B50">
        <w:rPr>
          <w:rFonts w:ascii="Book Antiqua" w:hAnsi="Book Antiqua" w:cs="Arial"/>
        </w:rPr>
        <w:t xml:space="preserve"> 2017 until two months ago when he was released on bail to his father’s address. </w:t>
      </w:r>
      <w:r w:rsidR="00CB5E25">
        <w:rPr>
          <w:rFonts w:ascii="Book Antiqua" w:hAnsi="Book Antiqua" w:cs="Arial"/>
        </w:rPr>
        <w:t xml:space="preserve">He says that he helps his father by </w:t>
      </w:r>
      <w:r w:rsidR="002B2733">
        <w:rPr>
          <w:rFonts w:ascii="Book Antiqua" w:hAnsi="Book Antiqua" w:cs="Arial"/>
        </w:rPr>
        <w:t>taking him to medical appointments; translating for him; helping him to take his numerous medications; and doing shopping</w:t>
      </w:r>
      <w:r w:rsidR="00E72E16">
        <w:rPr>
          <w:rFonts w:ascii="Book Antiqua" w:hAnsi="Book Antiqua" w:cs="Arial"/>
        </w:rPr>
        <w:t xml:space="preserve"> and cooking</w:t>
      </w:r>
      <w:r w:rsidR="002B2733">
        <w:rPr>
          <w:rFonts w:ascii="Book Antiqua" w:hAnsi="Book Antiqua" w:cs="Arial"/>
        </w:rPr>
        <w:t>.</w:t>
      </w:r>
      <w:r w:rsidR="00E72E16">
        <w:rPr>
          <w:rFonts w:ascii="Book Antiqua" w:hAnsi="Book Antiqua" w:cs="Arial"/>
        </w:rPr>
        <w:t xml:space="preserve"> His father was very alone whilst he was in prison</w:t>
      </w:r>
      <w:r w:rsidR="00F118A6">
        <w:rPr>
          <w:rFonts w:ascii="Book Antiqua" w:hAnsi="Book Antiqua" w:cs="Arial"/>
        </w:rPr>
        <w:t>, and he believes his health deteriorated</w:t>
      </w:r>
      <w:r w:rsidR="00780306">
        <w:rPr>
          <w:rFonts w:ascii="Book Antiqua" w:hAnsi="Book Antiqua" w:cs="Arial"/>
        </w:rPr>
        <w:t xml:space="preserve"> as he did not access the health care he needed when he was alone</w:t>
      </w:r>
      <w:r w:rsidR="00F118A6">
        <w:rPr>
          <w:rFonts w:ascii="Book Antiqua" w:hAnsi="Book Antiqua" w:cs="Arial"/>
        </w:rPr>
        <w:t xml:space="preserve">. </w:t>
      </w:r>
    </w:p>
    <w:p w:rsidR="007B5514" w:rsidRDefault="003D13EB"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 </w:t>
      </w:r>
      <w:r w:rsidR="008B4E7E">
        <w:rPr>
          <w:rFonts w:ascii="Book Antiqua" w:hAnsi="Book Antiqua" w:cs="Arial"/>
        </w:rPr>
        <w:t>claim</w:t>
      </w:r>
      <w:r>
        <w:rPr>
          <w:rFonts w:ascii="Book Antiqua" w:hAnsi="Book Antiqua" w:cs="Arial"/>
        </w:rPr>
        <w:t>ant accepts that he has two sisters and a brother in the UK, but says that they cannot help with his father as they are busy with their families</w:t>
      </w:r>
      <w:r w:rsidR="00796F96">
        <w:rPr>
          <w:rFonts w:ascii="Book Antiqua" w:hAnsi="Book Antiqua" w:cs="Arial"/>
        </w:rPr>
        <w:t>, and his sister</w:t>
      </w:r>
      <w:r w:rsidR="00780306">
        <w:rPr>
          <w:rFonts w:ascii="Book Antiqua" w:hAnsi="Book Antiqua" w:cs="Arial"/>
        </w:rPr>
        <w:t>s</w:t>
      </w:r>
      <w:r w:rsidR="00796F96">
        <w:rPr>
          <w:rFonts w:ascii="Book Antiqua" w:hAnsi="Book Antiqua" w:cs="Arial"/>
        </w:rPr>
        <w:t xml:space="preserve"> </w:t>
      </w:r>
      <w:r w:rsidR="00D14917">
        <w:rPr>
          <w:rFonts w:ascii="Book Antiqua" w:hAnsi="Book Antiqua" w:cs="Arial"/>
        </w:rPr>
        <w:t xml:space="preserve">particularly </w:t>
      </w:r>
      <w:r w:rsidR="00796F96">
        <w:rPr>
          <w:rFonts w:ascii="Book Antiqua" w:hAnsi="Book Antiqua" w:cs="Arial"/>
        </w:rPr>
        <w:t>with their children. H</w:t>
      </w:r>
      <w:r w:rsidR="00A66627">
        <w:rPr>
          <w:rFonts w:ascii="Book Antiqua" w:hAnsi="Book Antiqua" w:cs="Arial"/>
        </w:rPr>
        <w:t>e</w:t>
      </w:r>
      <w:r w:rsidR="00796F96">
        <w:rPr>
          <w:rFonts w:ascii="Book Antiqua" w:hAnsi="Book Antiqua" w:cs="Arial"/>
        </w:rPr>
        <w:t xml:space="preserve"> was unclear if his father has any contact with Social Services, but if he does have it is only coming to check up on him every one to three months</w:t>
      </w:r>
      <w:r w:rsidR="00F17C53">
        <w:rPr>
          <w:rFonts w:ascii="Book Antiqua" w:hAnsi="Book Antiqua" w:cs="Arial"/>
        </w:rPr>
        <w:t>.</w:t>
      </w:r>
      <w:r w:rsidR="002B2733">
        <w:rPr>
          <w:rFonts w:ascii="Book Antiqua" w:hAnsi="Book Antiqua" w:cs="Arial"/>
        </w:rPr>
        <w:t xml:space="preserve"> </w:t>
      </w:r>
      <w:r w:rsidR="0054386B">
        <w:rPr>
          <w:rFonts w:ascii="Book Antiqua" w:hAnsi="Book Antiqua" w:cs="Arial"/>
        </w:rPr>
        <w:t xml:space="preserve"> </w:t>
      </w:r>
      <w:r w:rsidR="00F23E7F">
        <w:rPr>
          <w:rFonts w:ascii="Book Antiqua" w:hAnsi="Book Antiqua" w:cs="Arial"/>
        </w:rPr>
        <w:t xml:space="preserve"> </w:t>
      </w:r>
    </w:p>
    <w:p w:rsidR="001F2A7C" w:rsidRDefault="00A66627"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 </w:t>
      </w:r>
      <w:r w:rsidR="008B4E7E">
        <w:rPr>
          <w:rFonts w:ascii="Book Antiqua" w:hAnsi="Book Antiqua" w:cs="Arial"/>
        </w:rPr>
        <w:t>claim</w:t>
      </w:r>
      <w:r>
        <w:rPr>
          <w:rFonts w:ascii="Book Antiqua" w:hAnsi="Book Antiqua" w:cs="Arial"/>
        </w:rPr>
        <w:t>ant</w:t>
      </w:r>
      <w:r w:rsidR="00F23E7F">
        <w:rPr>
          <w:rFonts w:ascii="Book Antiqua" w:hAnsi="Book Antiqua" w:cs="Arial"/>
        </w:rPr>
        <w:t xml:space="preserve"> accepts that he has the criminal record as set out by the </w:t>
      </w:r>
      <w:r w:rsidR="00EC4565">
        <w:rPr>
          <w:rFonts w:ascii="Book Antiqua" w:hAnsi="Book Antiqua" w:cs="Arial"/>
        </w:rPr>
        <w:t xml:space="preserve">Secretary of State, and that he spent three weeks in prison with three weeks community pay back as a result of a </w:t>
      </w:r>
      <w:proofErr w:type="gramStart"/>
      <w:r w:rsidR="00EC4565">
        <w:rPr>
          <w:rFonts w:ascii="Book Antiqua" w:hAnsi="Book Antiqua" w:cs="Arial"/>
        </w:rPr>
        <w:t>6 week</w:t>
      </w:r>
      <w:proofErr w:type="gramEnd"/>
      <w:r w:rsidR="00EC4565">
        <w:rPr>
          <w:rFonts w:ascii="Book Antiqua" w:hAnsi="Book Antiqua" w:cs="Arial"/>
        </w:rPr>
        <w:t xml:space="preserve"> sentence in January 2017, and three months in prison</w:t>
      </w:r>
      <w:r w:rsidR="009C347F">
        <w:rPr>
          <w:rFonts w:ascii="Book Antiqua" w:hAnsi="Book Antiqua" w:cs="Arial"/>
        </w:rPr>
        <w:t xml:space="preserve"> between June and September 2017</w:t>
      </w:r>
      <w:r w:rsidR="00EC4565">
        <w:rPr>
          <w:rFonts w:ascii="Book Antiqua" w:hAnsi="Book Antiqua" w:cs="Arial"/>
        </w:rPr>
        <w:t xml:space="preserve"> </w:t>
      </w:r>
      <w:r w:rsidR="00C94ECC">
        <w:rPr>
          <w:rFonts w:ascii="Book Antiqua" w:hAnsi="Book Antiqua" w:cs="Arial"/>
        </w:rPr>
        <w:t xml:space="preserve">as a result of a sexual assault conviction </w:t>
      </w:r>
      <w:r w:rsidR="009C347F">
        <w:rPr>
          <w:rFonts w:ascii="Book Antiqua" w:hAnsi="Book Antiqua" w:cs="Arial"/>
        </w:rPr>
        <w:t>for which he received a six month sentence</w:t>
      </w:r>
      <w:r w:rsidR="0022401D">
        <w:rPr>
          <w:rFonts w:ascii="Book Antiqua" w:hAnsi="Book Antiqua" w:cs="Arial"/>
        </w:rPr>
        <w:t>, and that he is on the sex offender register until 2024</w:t>
      </w:r>
      <w:r w:rsidR="009C347F">
        <w:rPr>
          <w:rFonts w:ascii="Book Antiqua" w:hAnsi="Book Antiqua" w:cs="Arial"/>
        </w:rPr>
        <w:t xml:space="preserve">. </w:t>
      </w:r>
      <w:r w:rsidR="008F0D2D">
        <w:rPr>
          <w:rFonts w:ascii="Book Antiqua" w:hAnsi="Book Antiqua" w:cs="Arial"/>
        </w:rPr>
        <w:t xml:space="preserve">He says he had never had any criminal convictions in any country until </w:t>
      </w:r>
      <w:r w:rsidR="00477380">
        <w:rPr>
          <w:rFonts w:ascii="Book Antiqua" w:hAnsi="Book Antiqua" w:cs="Arial"/>
        </w:rPr>
        <w:t>2015, and all of his crimes were</w:t>
      </w:r>
      <w:r w:rsidR="00727BE5">
        <w:rPr>
          <w:rFonts w:ascii="Book Antiqua" w:hAnsi="Book Antiqua" w:cs="Arial"/>
        </w:rPr>
        <w:t xml:space="preserve"> </w:t>
      </w:r>
      <w:r w:rsidR="00477380">
        <w:rPr>
          <w:rFonts w:ascii="Book Antiqua" w:hAnsi="Book Antiqua" w:cs="Arial"/>
        </w:rPr>
        <w:t>committed in the period</w:t>
      </w:r>
      <w:r w:rsidR="00727BE5">
        <w:rPr>
          <w:rFonts w:ascii="Book Antiqua" w:hAnsi="Book Antiqua" w:cs="Arial"/>
        </w:rPr>
        <w:t xml:space="preserve"> 2014 to 2016.</w:t>
      </w:r>
      <w:r w:rsidR="00C172F2">
        <w:rPr>
          <w:rFonts w:ascii="Book Antiqua" w:hAnsi="Book Antiqua" w:cs="Arial"/>
        </w:rPr>
        <w:t xml:space="preserve"> He accepts that he did not plead guilty to the crimes</w:t>
      </w:r>
      <w:r w:rsidR="008F7988">
        <w:rPr>
          <w:rFonts w:ascii="Book Antiqua" w:hAnsi="Book Antiqua" w:cs="Arial"/>
        </w:rPr>
        <w:t>, but now says that he was wrong and broke the law</w:t>
      </w:r>
      <w:r w:rsidR="00474FDE">
        <w:rPr>
          <w:rFonts w:ascii="Book Antiqua" w:hAnsi="Book Antiqua" w:cs="Arial"/>
        </w:rPr>
        <w:t>, and</w:t>
      </w:r>
      <w:r>
        <w:rPr>
          <w:rFonts w:ascii="Book Antiqua" w:hAnsi="Book Antiqua" w:cs="Arial"/>
        </w:rPr>
        <w:t xml:space="preserve"> accepts</w:t>
      </w:r>
      <w:r w:rsidR="00474FDE">
        <w:rPr>
          <w:rFonts w:ascii="Book Antiqua" w:hAnsi="Book Antiqua" w:cs="Arial"/>
        </w:rPr>
        <w:t xml:space="preserve"> that the offending has got more serious over time</w:t>
      </w:r>
      <w:r w:rsidR="008F7988">
        <w:rPr>
          <w:rFonts w:ascii="Book Antiqua" w:hAnsi="Book Antiqua" w:cs="Arial"/>
        </w:rPr>
        <w:t>.</w:t>
      </w:r>
      <w:r w:rsidR="00477380">
        <w:rPr>
          <w:rFonts w:ascii="Book Antiqua" w:hAnsi="Book Antiqua" w:cs="Arial"/>
        </w:rPr>
        <w:t xml:space="preserve"> </w:t>
      </w:r>
      <w:r w:rsidR="00BB7FEB">
        <w:rPr>
          <w:rFonts w:ascii="Book Antiqua" w:hAnsi="Book Antiqua" w:cs="Arial"/>
        </w:rPr>
        <w:t xml:space="preserve"> His criminal convictions and imprisonment have been devastating for his family, and he has come to understand the negative impact on them and society and will not do anything against the law again. </w:t>
      </w:r>
      <w:r w:rsidR="00D378CF">
        <w:rPr>
          <w:rFonts w:ascii="Book Antiqua" w:hAnsi="Book Antiqua" w:cs="Arial"/>
        </w:rPr>
        <w:t xml:space="preserve">He does not believe his deportation would be lawful or compatible with human rights law. </w:t>
      </w:r>
      <w:r w:rsidR="00904ABC">
        <w:rPr>
          <w:rFonts w:ascii="Book Antiqua" w:hAnsi="Book Antiqua" w:cs="Arial"/>
        </w:rPr>
        <w:t>He is very remorseful</w:t>
      </w:r>
      <w:r w:rsidR="00FE3C11">
        <w:rPr>
          <w:rFonts w:ascii="Book Antiqua" w:hAnsi="Book Antiqua" w:cs="Arial"/>
        </w:rPr>
        <w:t xml:space="preserve"> and sorry</w:t>
      </w:r>
      <w:r w:rsidR="00904ABC">
        <w:rPr>
          <w:rFonts w:ascii="Book Antiqua" w:hAnsi="Book Antiqua" w:cs="Arial"/>
        </w:rPr>
        <w:t xml:space="preserve"> for </w:t>
      </w:r>
      <w:r w:rsidR="00904ABC">
        <w:rPr>
          <w:rFonts w:ascii="Book Antiqua" w:hAnsi="Book Antiqua" w:cs="Arial"/>
        </w:rPr>
        <w:lastRenderedPageBreak/>
        <w:t>his actions</w:t>
      </w:r>
      <w:r w:rsidR="00FE3C11">
        <w:rPr>
          <w:rFonts w:ascii="Book Antiqua" w:hAnsi="Book Antiqua" w:cs="Arial"/>
        </w:rPr>
        <w:t>, and</w:t>
      </w:r>
      <w:r w:rsidR="00C25E95">
        <w:rPr>
          <w:rFonts w:ascii="Book Antiqua" w:hAnsi="Book Antiqua" w:cs="Arial"/>
        </w:rPr>
        <w:t xml:space="preserve"> </w:t>
      </w:r>
      <w:r w:rsidR="00FE3C11">
        <w:rPr>
          <w:rFonts w:ascii="Book Antiqua" w:hAnsi="Book Antiqua" w:cs="Arial"/>
        </w:rPr>
        <w:t>believes he will not reoffend</w:t>
      </w:r>
      <w:r w:rsidR="00904ABC">
        <w:rPr>
          <w:rFonts w:ascii="Book Antiqua" w:hAnsi="Book Antiqua" w:cs="Arial"/>
        </w:rPr>
        <w:t>.</w:t>
      </w:r>
      <w:r w:rsidR="00E007DB">
        <w:rPr>
          <w:rFonts w:ascii="Book Antiqua" w:hAnsi="Book Antiqua" w:cs="Arial"/>
        </w:rPr>
        <w:t xml:space="preserve"> He accepts that he has not done any rehabilitative courses </w:t>
      </w:r>
      <w:r w:rsidR="00A40E2A">
        <w:rPr>
          <w:rFonts w:ascii="Book Antiqua" w:hAnsi="Book Antiqua" w:cs="Arial"/>
        </w:rPr>
        <w:t>for anger management or other matters following his convictions but he was not offered these in prison as he was not in custody for a long period of time.</w:t>
      </w:r>
      <w:r w:rsidR="003E72EA">
        <w:rPr>
          <w:rFonts w:ascii="Book Antiqua" w:hAnsi="Book Antiqua" w:cs="Arial"/>
        </w:rPr>
        <w:t xml:space="preserve"> He says he would consider doing these</w:t>
      </w:r>
      <w:r w:rsidR="00612A0C">
        <w:rPr>
          <w:rFonts w:ascii="Book Antiqua" w:hAnsi="Book Antiqua" w:cs="Arial"/>
        </w:rPr>
        <w:t xml:space="preserve"> now</w:t>
      </w:r>
      <w:r w:rsidR="003E72EA">
        <w:rPr>
          <w:rFonts w:ascii="Book Antiqua" w:hAnsi="Book Antiqua" w:cs="Arial"/>
        </w:rPr>
        <w:t xml:space="preserve">. </w:t>
      </w:r>
      <w:r w:rsidR="00A40E2A">
        <w:rPr>
          <w:rFonts w:ascii="Book Antiqua" w:hAnsi="Book Antiqua" w:cs="Arial"/>
        </w:rPr>
        <w:t xml:space="preserve"> </w:t>
      </w:r>
      <w:r w:rsidR="00904ABC">
        <w:rPr>
          <w:rFonts w:ascii="Book Antiqua" w:hAnsi="Book Antiqua" w:cs="Arial"/>
        </w:rPr>
        <w:t xml:space="preserve"> </w:t>
      </w:r>
    </w:p>
    <w:p w:rsidR="00A9339D" w:rsidRDefault="00A9339D"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The claimant says that he worked firstly for Al-</w:t>
      </w:r>
      <w:proofErr w:type="spellStart"/>
      <w:r>
        <w:rPr>
          <w:rFonts w:ascii="Book Antiqua" w:hAnsi="Book Antiqua" w:cs="Arial"/>
        </w:rPr>
        <w:t>Khayma</w:t>
      </w:r>
      <w:proofErr w:type="spellEnd"/>
      <w:r>
        <w:rPr>
          <w:rFonts w:ascii="Book Antiqua" w:hAnsi="Book Antiqua" w:cs="Arial"/>
        </w:rPr>
        <w:t xml:space="preserve"> </w:t>
      </w:r>
      <w:r w:rsidR="006A0B13">
        <w:rPr>
          <w:rFonts w:ascii="Book Antiqua" w:hAnsi="Book Antiqua" w:cs="Arial"/>
        </w:rPr>
        <w:t xml:space="preserve">Ltd as a waiter, an Arabic café on Harrow Road from June 2010 to </w:t>
      </w:r>
      <w:proofErr w:type="gramStart"/>
      <w:r w:rsidR="006A0B13">
        <w:rPr>
          <w:rFonts w:ascii="Book Antiqua" w:hAnsi="Book Antiqua" w:cs="Arial"/>
        </w:rPr>
        <w:t>June</w:t>
      </w:r>
      <w:r w:rsidR="003E1474">
        <w:rPr>
          <w:rFonts w:ascii="Book Antiqua" w:hAnsi="Book Antiqua" w:cs="Arial"/>
        </w:rPr>
        <w:t xml:space="preserve">  2011</w:t>
      </w:r>
      <w:proofErr w:type="gramEnd"/>
      <w:r w:rsidR="003E1474">
        <w:rPr>
          <w:rFonts w:ascii="Book Antiqua" w:hAnsi="Book Antiqua" w:cs="Arial"/>
        </w:rPr>
        <w:t>. At this point the owner sold this café and he went to work for him at the new one, which was Al Malaki café on Goldhawk Road</w:t>
      </w:r>
      <w:r w:rsidR="009F7123">
        <w:rPr>
          <w:rFonts w:ascii="Book Antiqua" w:hAnsi="Book Antiqua" w:cs="Arial"/>
        </w:rPr>
        <w:t>. He stayed in this employment until March 2012. At this point he worked as a van and worry driver for a number of fruit and vegetable stalls in Covent Garden market</w:t>
      </w:r>
      <w:r w:rsidR="00B925B9">
        <w:rPr>
          <w:rFonts w:ascii="Book Antiqua" w:hAnsi="Book Antiqua" w:cs="Arial"/>
        </w:rPr>
        <w:t xml:space="preserve">. His first employer was Premier Fruits in April 2012. He worked for them until February 2013, and then worked for </w:t>
      </w:r>
      <w:proofErr w:type="spellStart"/>
      <w:r w:rsidR="00B925B9">
        <w:rPr>
          <w:rFonts w:ascii="Book Antiqua" w:hAnsi="Book Antiqua" w:cs="Arial"/>
        </w:rPr>
        <w:t>Entremettier</w:t>
      </w:r>
      <w:proofErr w:type="spellEnd"/>
      <w:r w:rsidR="00E84DB9">
        <w:rPr>
          <w:rFonts w:ascii="Book Antiqua" w:hAnsi="Book Antiqua" w:cs="Arial"/>
        </w:rPr>
        <w:t xml:space="preserve"> from March 2013 until August 2013. At this p</w:t>
      </w:r>
      <w:r w:rsidR="006662C8">
        <w:rPr>
          <w:rFonts w:ascii="Book Antiqua" w:hAnsi="Book Antiqua" w:cs="Arial"/>
        </w:rPr>
        <w:t>o</w:t>
      </w:r>
      <w:r w:rsidR="00E84DB9">
        <w:rPr>
          <w:rFonts w:ascii="Book Antiqua" w:hAnsi="Book Antiqua" w:cs="Arial"/>
        </w:rPr>
        <w:t xml:space="preserve">int he worked for Chef Connected until January 2014, </w:t>
      </w:r>
      <w:r w:rsidR="00815EEF">
        <w:rPr>
          <w:rFonts w:ascii="Book Antiqua" w:hAnsi="Book Antiqua" w:cs="Arial"/>
        </w:rPr>
        <w:t>accept</w:t>
      </w:r>
      <w:r w:rsidR="00227FD0">
        <w:rPr>
          <w:rFonts w:ascii="Book Antiqua" w:hAnsi="Book Antiqua" w:cs="Arial"/>
        </w:rPr>
        <w:t xml:space="preserve"> for a brief </w:t>
      </w:r>
      <w:proofErr w:type="gramStart"/>
      <w:r w:rsidR="00227FD0">
        <w:rPr>
          <w:rFonts w:ascii="Book Antiqua" w:hAnsi="Book Antiqua" w:cs="Arial"/>
        </w:rPr>
        <w:t>two week</w:t>
      </w:r>
      <w:proofErr w:type="gramEnd"/>
      <w:r w:rsidR="00227FD0">
        <w:rPr>
          <w:rFonts w:ascii="Book Antiqua" w:hAnsi="Book Antiqua" w:cs="Arial"/>
        </w:rPr>
        <w:t xml:space="preserve"> period in December 2013 when he went back to work for Premier Fruits. </w:t>
      </w:r>
      <w:r w:rsidR="000C47BA">
        <w:rPr>
          <w:rFonts w:ascii="Book Antiqua" w:hAnsi="Book Antiqua" w:cs="Arial"/>
        </w:rPr>
        <w:t>In February 2014 he started to work for Medina Food Services where he stayed until April 2016. In April 2016 he became ill and was made redundant</w:t>
      </w:r>
      <w:r w:rsidR="00751312">
        <w:rPr>
          <w:rFonts w:ascii="Book Antiqua" w:hAnsi="Book Antiqua" w:cs="Arial"/>
        </w:rPr>
        <w:t>, he looked for other jobs and received employment support allowance until July 2016. Since July 2016 the claimant worked for Link Class London Ltd</w:t>
      </w:r>
      <w:r w:rsidR="00F12347">
        <w:rPr>
          <w:rFonts w:ascii="Book Antiqua" w:hAnsi="Book Antiqua" w:cs="Arial"/>
        </w:rPr>
        <w:t xml:space="preserve">, until November 2016 at which point he started working for MG &amp; Sons Wholesale Grocers, until he was imprisoned. </w:t>
      </w:r>
      <w:r w:rsidR="006A0B13">
        <w:rPr>
          <w:rFonts w:ascii="Book Antiqua" w:hAnsi="Book Antiqua" w:cs="Arial"/>
        </w:rPr>
        <w:t xml:space="preserve"> </w:t>
      </w:r>
    </w:p>
    <w:p w:rsidR="000B44D6" w:rsidRDefault="000B44D6"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 xml:space="preserve">The </w:t>
      </w:r>
      <w:r w:rsidR="008B4E7E">
        <w:rPr>
          <w:rFonts w:ascii="Book Antiqua" w:hAnsi="Book Antiqua" w:cs="Arial"/>
        </w:rPr>
        <w:t>claim</w:t>
      </w:r>
      <w:r>
        <w:rPr>
          <w:rFonts w:ascii="Book Antiqua" w:hAnsi="Book Antiqua" w:cs="Arial"/>
        </w:rPr>
        <w:t xml:space="preserve">ant accepts that he only has </w:t>
      </w:r>
      <w:r w:rsidR="006708CA">
        <w:rPr>
          <w:rFonts w:ascii="Book Antiqua" w:hAnsi="Book Antiqua" w:cs="Arial"/>
        </w:rPr>
        <w:t>payslips for his work with Al-</w:t>
      </w:r>
      <w:proofErr w:type="spellStart"/>
      <w:r w:rsidR="006708CA">
        <w:rPr>
          <w:rFonts w:ascii="Book Antiqua" w:hAnsi="Book Antiqua" w:cs="Arial"/>
        </w:rPr>
        <w:t>Khayma</w:t>
      </w:r>
      <w:proofErr w:type="spellEnd"/>
      <w:r w:rsidR="006708CA">
        <w:rPr>
          <w:rFonts w:ascii="Book Antiqua" w:hAnsi="Book Antiqua" w:cs="Arial"/>
        </w:rPr>
        <w:t xml:space="preserve"> and Al Malaki restaurants as there are no tax or national insurance records for this work. He says that he did have</w:t>
      </w:r>
      <w:r w:rsidR="00C355B5">
        <w:rPr>
          <w:rFonts w:ascii="Book Antiqua" w:hAnsi="Book Antiqua" w:cs="Arial"/>
        </w:rPr>
        <w:t xml:space="preserve"> employment</w:t>
      </w:r>
      <w:r w:rsidR="006708CA">
        <w:rPr>
          <w:rFonts w:ascii="Book Antiqua" w:hAnsi="Book Antiqua" w:cs="Arial"/>
        </w:rPr>
        <w:t xml:space="preserve"> contracts but these were </w:t>
      </w:r>
      <w:r w:rsidR="00A42C69">
        <w:rPr>
          <w:rFonts w:ascii="Book Antiqua" w:hAnsi="Book Antiqua" w:cs="Arial"/>
        </w:rPr>
        <w:t>thrown away by his landlord when he could not pay his rent</w:t>
      </w:r>
      <w:r w:rsidR="006708CA">
        <w:rPr>
          <w:rFonts w:ascii="Book Antiqua" w:hAnsi="Book Antiqua" w:cs="Arial"/>
        </w:rPr>
        <w:t xml:space="preserve"> when </w:t>
      </w:r>
      <w:r w:rsidR="00AB5CF1">
        <w:rPr>
          <w:rFonts w:ascii="Book Antiqua" w:hAnsi="Book Antiqua" w:cs="Arial"/>
        </w:rPr>
        <w:t>he went in</w:t>
      </w:r>
      <w:r w:rsidR="00A42C69">
        <w:rPr>
          <w:rFonts w:ascii="Book Antiqua" w:hAnsi="Book Antiqua" w:cs="Arial"/>
        </w:rPr>
        <w:t>to</w:t>
      </w:r>
      <w:r w:rsidR="00AB5CF1">
        <w:rPr>
          <w:rFonts w:ascii="Book Antiqua" w:hAnsi="Book Antiqua" w:cs="Arial"/>
        </w:rPr>
        <w:t xml:space="preserve"> prison</w:t>
      </w:r>
      <w:r w:rsidR="00A42C69">
        <w:rPr>
          <w:rFonts w:ascii="Book Antiqua" w:hAnsi="Book Antiqua" w:cs="Arial"/>
        </w:rPr>
        <w:t xml:space="preserve"> and then was held under Immigration Act powers in detention. </w:t>
      </w:r>
      <w:r w:rsidR="00AB5CF1">
        <w:rPr>
          <w:rFonts w:ascii="Book Antiqua" w:hAnsi="Book Antiqua" w:cs="Arial"/>
        </w:rPr>
        <w:t>His father went to his flat and managed to retrieve some</w:t>
      </w:r>
      <w:r w:rsidR="00A42C69">
        <w:rPr>
          <w:rFonts w:ascii="Book Antiqua" w:hAnsi="Book Antiqua" w:cs="Arial"/>
        </w:rPr>
        <w:t xml:space="preserve"> of his</w:t>
      </w:r>
      <w:r w:rsidR="00AB5CF1">
        <w:rPr>
          <w:rFonts w:ascii="Book Antiqua" w:hAnsi="Book Antiqua" w:cs="Arial"/>
        </w:rPr>
        <w:t xml:space="preserve"> documents</w:t>
      </w:r>
      <w:r w:rsidR="00A42C69">
        <w:rPr>
          <w:rFonts w:ascii="Book Antiqua" w:hAnsi="Book Antiqua" w:cs="Arial"/>
        </w:rPr>
        <w:t>,</w:t>
      </w:r>
      <w:r w:rsidR="00AB5CF1">
        <w:rPr>
          <w:rFonts w:ascii="Book Antiqua" w:hAnsi="Book Antiqua" w:cs="Arial"/>
        </w:rPr>
        <w:t xml:space="preserve"> but not all of them. His father then gave the documents</w:t>
      </w:r>
      <w:r w:rsidR="00E007DB">
        <w:rPr>
          <w:rFonts w:ascii="Book Antiqua" w:hAnsi="Book Antiqua" w:cs="Arial"/>
        </w:rPr>
        <w:t xml:space="preserve"> he managed to find</w:t>
      </w:r>
      <w:r w:rsidR="00AB5CF1">
        <w:rPr>
          <w:rFonts w:ascii="Book Antiqua" w:hAnsi="Book Antiqua" w:cs="Arial"/>
        </w:rPr>
        <w:t xml:space="preserve"> to his solicitors. </w:t>
      </w:r>
    </w:p>
    <w:p w:rsidR="00E72BE5" w:rsidRDefault="00084A16"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Mr Z</w:t>
      </w:r>
      <w:r w:rsidR="003A15F0">
        <w:rPr>
          <w:rFonts w:ascii="Book Antiqua" w:hAnsi="Book Antiqua" w:cs="Arial"/>
        </w:rPr>
        <w:t>SJ</w:t>
      </w:r>
      <w:r w:rsidR="008B4E7E">
        <w:rPr>
          <w:rFonts w:ascii="Book Antiqua" w:hAnsi="Book Antiqua" w:cs="Arial"/>
        </w:rPr>
        <w:t>, father of the claimant,</w:t>
      </w:r>
      <w:r w:rsidR="003A15F0">
        <w:rPr>
          <w:rFonts w:ascii="Book Antiqua" w:hAnsi="Book Antiqua" w:cs="Arial"/>
        </w:rPr>
        <w:t xml:space="preserve"> attended the Tribunal and gave evidence</w:t>
      </w:r>
      <w:r w:rsidR="00F04642">
        <w:rPr>
          <w:rFonts w:ascii="Book Antiqua" w:hAnsi="Book Antiqua" w:cs="Arial"/>
        </w:rPr>
        <w:t xml:space="preserve">. He says in summary that he is very close to the </w:t>
      </w:r>
      <w:r w:rsidR="007C6CA4">
        <w:rPr>
          <w:rFonts w:ascii="Book Antiqua" w:hAnsi="Book Antiqua" w:cs="Arial"/>
        </w:rPr>
        <w:t>claim</w:t>
      </w:r>
      <w:r w:rsidR="00F04642">
        <w:rPr>
          <w:rFonts w:ascii="Book Antiqua" w:hAnsi="Book Antiqua" w:cs="Arial"/>
        </w:rPr>
        <w:t>ant and always has been. He is currently very unwell with kidney and heart problems</w:t>
      </w:r>
      <w:r w:rsidR="008C506E">
        <w:rPr>
          <w:rFonts w:ascii="Book Antiqua" w:hAnsi="Book Antiqua" w:cs="Arial"/>
        </w:rPr>
        <w:t>, and also issues with his knees</w:t>
      </w:r>
      <w:r w:rsidR="00F04642">
        <w:rPr>
          <w:rFonts w:ascii="Book Antiqua" w:hAnsi="Book Antiqua" w:cs="Arial"/>
        </w:rPr>
        <w:t xml:space="preserve">. </w:t>
      </w:r>
      <w:r w:rsidR="001304E1">
        <w:rPr>
          <w:rFonts w:ascii="Book Antiqua" w:hAnsi="Book Antiqua" w:cs="Arial"/>
        </w:rPr>
        <w:t xml:space="preserve">The </w:t>
      </w:r>
      <w:r w:rsidR="007C6CA4">
        <w:rPr>
          <w:rFonts w:ascii="Book Antiqua" w:hAnsi="Book Antiqua" w:cs="Arial"/>
        </w:rPr>
        <w:t>claim</w:t>
      </w:r>
      <w:r w:rsidR="001304E1">
        <w:rPr>
          <w:rFonts w:ascii="Book Antiqua" w:hAnsi="Book Antiqua" w:cs="Arial"/>
        </w:rPr>
        <w:t>ant has always been with him since he</w:t>
      </w:r>
      <w:r w:rsidR="00960DE5">
        <w:rPr>
          <w:rFonts w:ascii="Book Antiqua" w:hAnsi="Book Antiqua" w:cs="Arial"/>
        </w:rPr>
        <w:t xml:space="preserve"> came to the UK and</w:t>
      </w:r>
      <w:r w:rsidR="001304E1">
        <w:rPr>
          <w:rFonts w:ascii="Book Antiqua" w:hAnsi="Book Antiqua" w:cs="Arial"/>
        </w:rPr>
        <w:t xml:space="preserve"> had his heart operation</w:t>
      </w:r>
      <w:r w:rsidR="00E01DC7">
        <w:rPr>
          <w:rFonts w:ascii="Book Antiqua" w:hAnsi="Book Antiqua" w:cs="Arial"/>
        </w:rPr>
        <w:t xml:space="preserve">, and they are closer than they have ever been. He is very disappointed in the </w:t>
      </w:r>
      <w:r w:rsidR="007C6CA4">
        <w:rPr>
          <w:rFonts w:ascii="Book Antiqua" w:hAnsi="Book Antiqua" w:cs="Arial"/>
        </w:rPr>
        <w:t>claim</w:t>
      </w:r>
      <w:r w:rsidR="00E01DC7">
        <w:rPr>
          <w:rFonts w:ascii="Book Antiqua" w:hAnsi="Book Antiqua" w:cs="Arial"/>
        </w:rPr>
        <w:t>ant’s behaviour that led him to be sent to prison</w:t>
      </w:r>
      <w:r w:rsidR="00C37A37">
        <w:rPr>
          <w:rFonts w:ascii="Book Antiqua" w:hAnsi="Book Antiqua" w:cs="Arial"/>
        </w:rPr>
        <w:t xml:space="preserve">, but he believes that he has learned from his mistakes and should be forgiven, and be allowed to remain in the UK. </w:t>
      </w:r>
      <w:r w:rsidR="0085142D">
        <w:rPr>
          <w:rFonts w:ascii="Book Antiqua" w:hAnsi="Book Antiqua" w:cs="Arial"/>
        </w:rPr>
        <w:t xml:space="preserve">If he were deported it would destroy him as the </w:t>
      </w:r>
      <w:r w:rsidR="008B4E7E">
        <w:rPr>
          <w:rFonts w:ascii="Book Antiqua" w:hAnsi="Book Antiqua" w:cs="Arial"/>
        </w:rPr>
        <w:t>claim</w:t>
      </w:r>
      <w:r w:rsidR="0085142D">
        <w:rPr>
          <w:rFonts w:ascii="Book Antiqua" w:hAnsi="Book Antiqua" w:cs="Arial"/>
        </w:rPr>
        <w:t>ant is the one who cares for him</w:t>
      </w:r>
      <w:r w:rsidR="00E70505">
        <w:rPr>
          <w:rFonts w:ascii="Book Antiqua" w:hAnsi="Book Antiqua" w:cs="Arial"/>
        </w:rPr>
        <w:t xml:space="preserve"> by organising his medicines and </w:t>
      </w:r>
      <w:r w:rsidR="008B4E7E">
        <w:rPr>
          <w:rFonts w:ascii="Book Antiqua" w:hAnsi="Book Antiqua" w:cs="Arial"/>
        </w:rPr>
        <w:t>ensures he</w:t>
      </w:r>
      <w:r w:rsidR="00E70505">
        <w:rPr>
          <w:rFonts w:ascii="Book Antiqua" w:hAnsi="Book Antiqua" w:cs="Arial"/>
        </w:rPr>
        <w:t xml:space="preserve"> attends all his different medical appointments</w:t>
      </w:r>
      <w:r w:rsidR="0085142D">
        <w:rPr>
          <w:rFonts w:ascii="Book Antiqua" w:hAnsi="Book Antiqua" w:cs="Arial"/>
        </w:rPr>
        <w:t xml:space="preserve">. </w:t>
      </w:r>
      <w:r w:rsidR="007C6506">
        <w:rPr>
          <w:rFonts w:ascii="Book Antiqua" w:hAnsi="Book Antiqua" w:cs="Arial"/>
        </w:rPr>
        <w:t>He also does his shopping and cleaning.</w:t>
      </w:r>
      <w:r w:rsidR="00513607">
        <w:rPr>
          <w:rFonts w:ascii="Book Antiqua" w:hAnsi="Book Antiqua" w:cs="Arial"/>
        </w:rPr>
        <w:t xml:space="preserve"> He is sure that the </w:t>
      </w:r>
      <w:r w:rsidR="007C6CA4">
        <w:rPr>
          <w:rFonts w:ascii="Book Antiqua" w:hAnsi="Book Antiqua" w:cs="Arial"/>
        </w:rPr>
        <w:t>claim</w:t>
      </w:r>
      <w:r w:rsidR="00513607">
        <w:rPr>
          <w:rFonts w:ascii="Book Antiqua" w:hAnsi="Book Antiqua" w:cs="Arial"/>
        </w:rPr>
        <w:t>ant won</w:t>
      </w:r>
      <w:r w:rsidR="00886A9A">
        <w:rPr>
          <w:rFonts w:ascii="Book Antiqua" w:hAnsi="Book Antiqua" w:cs="Arial"/>
        </w:rPr>
        <w:t>’</w:t>
      </w:r>
      <w:r w:rsidR="00513607">
        <w:rPr>
          <w:rFonts w:ascii="Book Antiqua" w:hAnsi="Book Antiqua" w:cs="Arial"/>
        </w:rPr>
        <w:t>t reoffend as he knows he regrets what he did</w:t>
      </w:r>
      <w:r w:rsidR="00080087">
        <w:rPr>
          <w:rFonts w:ascii="Book Antiqua" w:hAnsi="Book Antiqua" w:cs="Arial"/>
        </w:rPr>
        <w:t xml:space="preserve">, and he was imprisoned and detained for a whole year. He believes the </w:t>
      </w:r>
      <w:r w:rsidR="007C6CA4">
        <w:rPr>
          <w:rFonts w:ascii="Book Antiqua" w:hAnsi="Book Antiqua" w:cs="Arial"/>
        </w:rPr>
        <w:t>claim</w:t>
      </w:r>
      <w:r w:rsidR="00080087">
        <w:rPr>
          <w:rFonts w:ascii="Book Antiqua" w:hAnsi="Book Antiqua" w:cs="Arial"/>
        </w:rPr>
        <w:t>ant made mistakes but that he has changed</w:t>
      </w:r>
      <w:r w:rsidR="00886A9A">
        <w:rPr>
          <w:rFonts w:ascii="Book Antiqua" w:hAnsi="Book Antiqua" w:cs="Arial"/>
        </w:rPr>
        <w:t>.</w:t>
      </w:r>
      <w:r w:rsidR="00766A59">
        <w:rPr>
          <w:rFonts w:ascii="Book Antiqua" w:hAnsi="Book Antiqua" w:cs="Arial"/>
        </w:rPr>
        <w:t xml:space="preserve"> He believes his influence will also help him not to reoffend.</w:t>
      </w:r>
      <w:r w:rsidR="00886A9A">
        <w:rPr>
          <w:rFonts w:ascii="Book Antiqua" w:hAnsi="Book Antiqua" w:cs="Arial"/>
        </w:rPr>
        <w:t xml:space="preserve"> </w:t>
      </w:r>
      <w:r w:rsidR="00766A59">
        <w:rPr>
          <w:rFonts w:ascii="Book Antiqua" w:hAnsi="Book Antiqua" w:cs="Arial"/>
        </w:rPr>
        <w:t xml:space="preserve">The </w:t>
      </w:r>
      <w:r w:rsidR="007C6CA4">
        <w:rPr>
          <w:rFonts w:ascii="Book Antiqua" w:hAnsi="Book Antiqua" w:cs="Arial"/>
        </w:rPr>
        <w:t>claim</w:t>
      </w:r>
      <w:r w:rsidR="00766A59">
        <w:rPr>
          <w:rFonts w:ascii="Book Antiqua" w:hAnsi="Book Antiqua" w:cs="Arial"/>
        </w:rPr>
        <w:t>ant</w:t>
      </w:r>
      <w:r w:rsidR="00886A9A">
        <w:rPr>
          <w:rFonts w:ascii="Book Antiqua" w:hAnsi="Book Antiqua" w:cs="Arial"/>
        </w:rPr>
        <w:t xml:space="preserve"> is a hard</w:t>
      </w:r>
      <w:r w:rsidR="00960DE5">
        <w:rPr>
          <w:rFonts w:ascii="Book Antiqua" w:hAnsi="Book Antiqua" w:cs="Arial"/>
        </w:rPr>
        <w:t>-</w:t>
      </w:r>
      <w:r w:rsidR="00886A9A">
        <w:rPr>
          <w:rFonts w:ascii="Book Antiqua" w:hAnsi="Book Antiqua" w:cs="Arial"/>
        </w:rPr>
        <w:t xml:space="preserve">working person who works from 7am until the afternoon distributing vegetables.  </w:t>
      </w:r>
    </w:p>
    <w:p w:rsidR="00084A16" w:rsidRDefault="00E72BE5" w:rsidP="005F7908">
      <w:pPr>
        <w:numPr>
          <w:ilvl w:val="0"/>
          <w:numId w:val="2"/>
        </w:numPr>
        <w:tabs>
          <w:tab w:val="clear" w:pos="851"/>
          <w:tab w:val="num" w:pos="900"/>
          <w:tab w:val="left" w:pos="2520"/>
        </w:tabs>
        <w:spacing w:before="240"/>
        <w:ind w:left="900" w:hanging="559"/>
        <w:jc w:val="both"/>
        <w:rPr>
          <w:rFonts w:ascii="Book Antiqua" w:hAnsi="Book Antiqua" w:cs="Arial"/>
        </w:rPr>
      </w:pPr>
      <w:r>
        <w:rPr>
          <w:rFonts w:ascii="Book Antiqua" w:hAnsi="Book Antiqua" w:cs="Arial"/>
        </w:rPr>
        <w:t>Mr ZSJ</w:t>
      </w:r>
      <w:r w:rsidR="00CF7FD0">
        <w:rPr>
          <w:rFonts w:ascii="Book Antiqua" w:hAnsi="Book Antiqua" w:cs="Arial"/>
        </w:rPr>
        <w:t xml:space="preserve"> accepts that his daughter BS </w:t>
      </w:r>
      <w:r w:rsidR="008C506E">
        <w:rPr>
          <w:rFonts w:ascii="Book Antiqua" w:hAnsi="Book Antiqua" w:cs="Arial"/>
        </w:rPr>
        <w:t xml:space="preserve">did come and clean his home on Sundays when the </w:t>
      </w:r>
      <w:r w:rsidR="007C6CA4">
        <w:rPr>
          <w:rFonts w:ascii="Book Antiqua" w:hAnsi="Book Antiqua" w:cs="Arial"/>
        </w:rPr>
        <w:t>claim</w:t>
      </w:r>
      <w:r w:rsidR="008C506E">
        <w:rPr>
          <w:rFonts w:ascii="Book Antiqua" w:hAnsi="Book Antiqua" w:cs="Arial"/>
        </w:rPr>
        <w:t>ant was in prison and detained</w:t>
      </w:r>
      <w:r w:rsidR="00C355B5">
        <w:rPr>
          <w:rFonts w:ascii="Book Antiqua" w:hAnsi="Book Antiqua" w:cs="Arial"/>
        </w:rPr>
        <w:t>,</w:t>
      </w:r>
      <w:r w:rsidR="00236E24">
        <w:rPr>
          <w:rFonts w:ascii="Book Antiqua" w:hAnsi="Book Antiqua" w:cs="Arial"/>
        </w:rPr>
        <w:t xml:space="preserve"> but she could only spare this amount of </w:t>
      </w:r>
      <w:r w:rsidR="00236E24">
        <w:rPr>
          <w:rFonts w:ascii="Book Antiqua" w:hAnsi="Book Antiqua" w:cs="Arial"/>
        </w:rPr>
        <w:lastRenderedPageBreak/>
        <w:t>time and he</w:t>
      </w:r>
      <w:r w:rsidR="00F518DD">
        <w:rPr>
          <w:rFonts w:ascii="Book Antiqua" w:hAnsi="Book Antiqua" w:cs="Arial"/>
        </w:rPr>
        <w:t xml:space="preserve"> knows he</w:t>
      </w:r>
      <w:r w:rsidR="00236E24">
        <w:rPr>
          <w:rFonts w:ascii="Book Antiqua" w:hAnsi="Book Antiqua" w:cs="Arial"/>
        </w:rPr>
        <w:t xml:space="preserve"> missed medical appointments</w:t>
      </w:r>
      <w:r w:rsidR="002C79FC">
        <w:rPr>
          <w:rFonts w:ascii="Book Antiqua" w:hAnsi="Book Antiqua" w:cs="Arial"/>
        </w:rPr>
        <w:t xml:space="preserve"> as interpreters rang him to tell him so</w:t>
      </w:r>
      <w:r w:rsidR="00236E24">
        <w:rPr>
          <w:rFonts w:ascii="Book Antiqua" w:hAnsi="Book Antiqua" w:cs="Arial"/>
        </w:rPr>
        <w:t>. H</w:t>
      </w:r>
      <w:r w:rsidR="00D01422">
        <w:rPr>
          <w:rFonts w:ascii="Book Antiqua" w:hAnsi="Book Antiqua" w:cs="Arial"/>
        </w:rPr>
        <w:t>is other children (a daughter and a son) only</w:t>
      </w:r>
      <w:r w:rsidR="00F518DD">
        <w:rPr>
          <w:rFonts w:ascii="Book Antiqua" w:hAnsi="Book Antiqua" w:cs="Arial"/>
        </w:rPr>
        <w:t xml:space="preserve"> manage</w:t>
      </w:r>
      <w:r w:rsidR="00D82107">
        <w:rPr>
          <w:rFonts w:ascii="Book Antiqua" w:hAnsi="Book Antiqua" w:cs="Arial"/>
        </w:rPr>
        <w:t xml:space="preserve"> to</w:t>
      </w:r>
      <w:r w:rsidR="00D01422">
        <w:rPr>
          <w:rFonts w:ascii="Book Antiqua" w:hAnsi="Book Antiqua" w:cs="Arial"/>
        </w:rPr>
        <w:t xml:space="preserve"> come and see him every two or three weeks. This daughter has three </w:t>
      </w:r>
      <w:r>
        <w:rPr>
          <w:rFonts w:ascii="Book Antiqua" w:hAnsi="Book Antiqua" w:cs="Arial"/>
        </w:rPr>
        <w:t xml:space="preserve">girls herself </w:t>
      </w:r>
      <w:r w:rsidR="004D22A4">
        <w:rPr>
          <w:rFonts w:ascii="Book Antiqua" w:hAnsi="Book Antiqua" w:cs="Arial"/>
        </w:rPr>
        <w:t xml:space="preserve">to care for </w:t>
      </w:r>
      <w:r>
        <w:rPr>
          <w:rFonts w:ascii="Book Antiqua" w:hAnsi="Book Antiqua" w:cs="Arial"/>
        </w:rPr>
        <w:t>and his son looks after his mother</w:t>
      </w:r>
      <w:r w:rsidR="00F518DD">
        <w:rPr>
          <w:rFonts w:ascii="Book Antiqua" w:hAnsi="Book Antiqua" w:cs="Arial"/>
        </w:rPr>
        <w:t xml:space="preserve"> (from whom he is separated)</w:t>
      </w:r>
      <w:r>
        <w:rPr>
          <w:rFonts w:ascii="Book Antiqua" w:hAnsi="Book Antiqua" w:cs="Arial"/>
        </w:rPr>
        <w:t xml:space="preserve"> who has had a stroke and is </w:t>
      </w:r>
      <w:proofErr w:type="gramStart"/>
      <w:r>
        <w:rPr>
          <w:rFonts w:ascii="Book Antiqua" w:hAnsi="Book Antiqua" w:cs="Arial"/>
        </w:rPr>
        <w:t>a disabled women</w:t>
      </w:r>
      <w:proofErr w:type="gramEnd"/>
      <w:r>
        <w:rPr>
          <w:rFonts w:ascii="Book Antiqua" w:hAnsi="Book Antiqua" w:cs="Arial"/>
        </w:rPr>
        <w:t xml:space="preserve">. </w:t>
      </w:r>
      <w:r w:rsidR="00D01422">
        <w:rPr>
          <w:rFonts w:ascii="Book Antiqua" w:hAnsi="Book Antiqua" w:cs="Arial"/>
        </w:rPr>
        <w:t xml:space="preserve"> </w:t>
      </w:r>
      <w:r w:rsidR="00C10101">
        <w:rPr>
          <w:rFonts w:ascii="Book Antiqua" w:hAnsi="Book Antiqua" w:cs="Arial"/>
        </w:rPr>
        <w:t>He did not believe he had any help from Social Services at the current time, or know what this would be</w:t>
      </w:r>
      <w:r w:rsidR="00EA64EC">
        <w:rPr>
          <w:rFonts w:ascii="Book Antiqua" w:hAnsi="Book Antiqua" w:cs="Arial"/>
        </w:rPr>
        <w:t xml:space="preserve">, but he does see his GP every 21 days and his GP has said he does not need mobility care. </w:t>
      </w:r>
    </w:p>
    <w:p w:rsidR="009B22E2" w:rsidRPr="009B22E2" w:rsidRDefault="009B64C0" w:rsidP="009B64C0">
      <w:pPr>
        <w:numPr>
          <w:ilvl w:val="0"/>
          <w:numId w:val="2"/>
        </w:numPr>
        <w:tabs>
          <w:tab w:val="clear" w:pos="851"/>
          <w:tab w:val="num" w:pos="900"/>
          <w:tab w:val="left" w:pos="2520"/>
        </w:tabs>
        <w:spacing w:before="240"/>
        <w:ind w:left="900" w:hanging="559"/>
        <w:jc w:val="both"/>
        <w:rPr>
          <w:rFonts w:ascii="Book Antiqua" w:hAnsi="Book Antiqua" w:cs="Arial"/>
          <w:i/>
        </w:rPr>
      </w:pPr>
      <w:r w:rsidRPr="00B860D5">
        <w:rPr>
          <w:rFonts w:ascii="Book Antiqua" w:hAnsi="Book Antiqua" w:cs="Arial"/>
        </w:rPr>
        <w:t xml:space="preserve">The </w:t>
      </w:r>
      <w:r w:rsidR="00226DE2">
        <w:rPr>
          <w:rFonts w:ascii="Book Antiqua" w:hAnsi="Book Antiqua" w:cs="Arial"/>
        </w:rPr>
        <w:t>Secretary of State</w:t>
      </w:r>
      <w:r w:rsidRPr="00B860D5">
        <w:rPr>
          <w:rFonts w:ascii="Book Antiqua" w:hAnsi="Book Antiqua" w:cs="Arial"/>
        </w:rPr>
        <w:t xml:space="preserve"> argues that the claimant is not entitled to permanent residence as there is insufficient evidence to show he had worked for continuous period of five years prior to his imprisonment before January 2017.</w:t>
      </w:r>
      <w:r w:rsidR="008E4422">
        <w:rPr>
          <w:rFonts w:ascii="Book Antiqua" w:hAnsi="Book Antiqua" w:cs="Arial"/>
        </w:rPr>
        <w:t xml:space="preserve"> In particular it is noted that there are only payslips as evidence of working between </w:t>
      </w:r>
      <w:r w:rsidR="00251A96">
        <w:rPr>
          <w:rFonts w:ascii="Book Antiqua" w:hAnsi="Book Antiqua" w:cs="Arial"/>
        </w:rPr>
        <w:t>2010 and March 2013</w:t>
      </w:r>
      <w:r w:rsidR="00226DE2">
        <w:rPr>
          <w:rFonts w:ascii="Book Antiqua" w:hAnsi="Book Antiqua" w:cs="Arial"/>
        </w:rPr>
        <w:t xml:space="preserve"> </w:t>
      </w:r>
      <w:r w:rsidR="00F518DD">
        <w:rPr>
          <w:rFonts w:ascii="Book Antiqua" w:hAnsi="Book Antiqua" w:cs="Arial"/>
        </w:rPr>
        <w:t>and</w:t>
      </w:r>
      <w:r w:rsidR="00226DE2">
        <w:rPr>
          <w:rFonts w:ascii="Book Antiqua" w:hAnsi="Book Antiqua" w:cs="Arial"/>
        </w:rPr>
        <w:t xml:space="preserve"> there is no National Insurance Record of HMRC evidence for this period</w:t>
      </w:r>
      <w:r w:rsidR="00251A96">
        <w:rPr>
          <w:rFonts w:ascii="Book Antiqua" w:hAnsi="Book Antiqua" w:cs="Arial"/>
        </w:rPr>
        <w:t>.</w:t>
      </w:r>
      <w:r w:rsidR="00F94E3B">
        <w:rPr>
          <w:rFonts w:ascii="Book Antiqua" w:hAnsi="Book Antiqua" w:cs="Arial"/>
        </w:rPr>
        <w:t xml:space="preserve"> It is not accepted that there are no HMRC records going back more than five years. </w:t>
      </w:r>
      <w:r w:rsidR="00494CE8">
        <w:rPr>
          <w:rFonts w:ascii="Book Antiqua" w:hAnsi="Book Antiqua" w:cs="Arial"/>
        </w:rPr>
        <w:t xml:space="preserve">It is </w:t>
      </w:r>
      <w:r w:rsidR="00F765FB">
        <w:rPr>
          <w:rFonts w:ascii="Book Antiqua" w:hAnsi="Book Antiqua" w:cs="Arial"/>
        </w:rPr>
        <w:t xml:space="preserve">accepted that the claimant told the Probation Service he moved to the UK in 2010/2011, and said he moved to the UK in June </w:t>
      </w:r>
      <w:r w:rsidR="00F80041">
        <w:rPr>
          <w:rFonts w:ascii="Book Antiqua" w:hAnsi="Book Antiqua" w:cs="Arial"/>
        </w:rPr>
        <w:t xml:space="preserve">2010 on his </w:t>
      </w:r>
      <w:r w:rsidR="002C0A9A">
        <w:rPr>
          <w:rFonts w:ascii="Book Antiqua" w:hAnsi="Book Antiqua" w:cs="Arial"/>
        </w:rPr>
        <w:t>“</w:t>
      </w:r>
      <w:r w:rsidR="00F80041">
        <w:rPr>
          <w:rFonts w:ascii="Book Antiqua" w:hAnsi="Book Antiqua" w:cs="Arial"/>
        </w:rPr>
        <w:t>Addition</w:t>
      </w:r>
      <w:r w:rsidR="002C0A9A">
        <w:rPr>
          <w:rFonts w:ascii="Book Antiqua" w:hAnsi="Book Antiqua" w:cs="Arial"/>
        </w:rPr>
        <w:t>a</w:t>
      </w:r>
      <w:r w:rsidR="00F80041">
        <w:rPr>
          <w:rFonts w:ascii="Book Antiqua" w:hAnsi="Book Antiqua" w:cs="Arial"/>
        </w:rPr>
        <w:t>l Questionnaire</w:t>
      </w:r>
      <w:r w:rsidR="002C0A9A">
        <w:rPr>
          <w:rFonts w:ascii="Book Antiqua" w:hAnsi="Book Antiqua" w:cs="Arial"/>
        </w:rPr>
        <w:t>”</w:t>
      </w:r>
      <w:r w:rsidR="00F80041">
        <w:rPr>
          <w:rFonts w:ascii="Book Antiqua" w:hAnsi="Book Antiqua" w:cs="Arial"/>
        </w:rPr>
        <w:t>, but he also had said that he lived in Denmark for 18 years</w:t>
      </w:r>
      <w:r w:rsidR="00A84EF5">
        <w:rPr>
          <w:rFonts w:ascii="Book Antiqua" w:hAnsi="Book Antiqua" w:cs="Arial"/>
        </w:rPr>
        <w:t xml:space="preserve"> in this questionnaire,</w:t>
      </w:r>
      <w:r w:rsidR="00F80041">
        <w:rPr>
          <w:rFonts w:ascii="Book Antiqua" w:hAnsi="Book Antiqua" w:cs="Arial"/>
        </w:rPr>
        <w:t xml:space="preserve"> which would have meant he moved to the UK in 20</w:t>
      </w:r>
      <w:r w:rsidR="00BD22E5">
        <w:rPr>
          <w:rFonts w:ascii="Book Antiqua" w:hAnsi="Book Antiqua" w:cs="Arial"/>
        </w:rPr>
        <w:t xml:space="preserve">13 as he went to Denmark in 1995 at the age of 20 years. </w:t>
      </w:r>
      <w:r w:rsidR="00F80041">
        <w:rPr>
          <w:rFonts w:ascii="Book Antiqua" w:hAnsi="Book Antiqua" w:cs="Arial"/>
        </w:rPr>
        <w:t xml:space="preserve"> </w:t>
      </w:r>
    </w:p>
    <w:p w:rsidR="00162FBF" w:rsidRPr="00162FBF" w:rsidRDefault="009B64C0" w:rsidP="009B64C0">
      <w:pPr>
        <w:numPr>
          <w:ilvl w:val="0"/>
          <w:numId w:val="2"/>
        </w:numPr>
        <w:tabs>
          <w:tab w:val="clear" w:pos="851"/>
          <w:tab w:val="num" w:pos="900"/>
          <w:tab w:val="left" w:pos="2520"/>
        </w:tabs>
        <w:spacing w:before="240"/>
        <w:ind w:left="900" w:hanging="559"/>
        <w:jc w:val="both"/>
        <w:rPr>
          <w:rFonts w:ascii="Book Antiqua" w:hAnsi="Book Antiqua" w:cs="Arial"/>
          <w:i/>
        </w:rPr>
      </w:pPr>
      <w:r w:rsidRPr="00B860D5">
        <w:rPr>
          <w:rFonts w:ascii="Book Antiqua" w:hAnsi="Book Antiqua" w:cs="Arial"/>
        </w:rPr>
        <w:t xml:space="preserve">It is argued that the claimant </w:t>
      </w:r>
      <w:r w:rsidR="00C33995">
        <w:rPr>
          <w:rFonts w:ascii="Book Antiqua" w:hAnsi="Book Antiqua" w:cs="Arial"/>
        </w:rPr>
        <w:t>poses</w:t>
      </w:r>
      <w:r w:rsidRPr="00B860D5">
        <w:rPr>
          <w:rFonts w:ascii="Book Antiqua" w:hAnsi="Book Antiqua" w:cs="Arial"/>
        </w:rPr>
        <w:t xml:space="preserve"> a </w:t>
      </w:r>
      <w:r w:rsidR="002D6FB8" w:rsidRPr="00B860D5">
        <w:rPr>
          <w:rFonts w:ascii="Book Antiqua" w:hAnsi="Book Antiqua" w:cs="Arial"/>
        </w:rPr>
        <w:t>genuine risk</w:t>
      </w:r>
      <w:r w:rsidR="00C33995">
        <w:rPr>
          <w:rFonts w:ascii="Book Antiqua" w:hAnsi="Book Antiqua" w:cs="Arial"/>
        </w:rPr>
        <w:t xml:space="preserve"> of serious harm to the public</w:t>
      </w:r>
      <w:r w:rsidR="002C0A9A">
        <w:rPr>
          <w:rFonts w:ascii="Book Antiqua" w:hAnsi="Book Antiqua" w:cs="Arial"/>
        </w:rPr>
        <w:t>, and falls to be deported even if he has permanent residence,</w:t>
      </w:r>
      <w:r w:rsidR="002D6FB8" w:rsidRPr="00B860D5">
        <w:rPr>
          <w:rFonts w:ascii="Book Antiqua" w:hAnsi="Book Antiqua" w:cs="Arial"/>
        </w:rPr>
        <w:t xml:space="preserve"> as he committed his most recent offence, a sexual assault</w:t>
      </w:r>
      <w:r w:rsidR="00194BD6">
        <w:rPr>
          <w:rFonts w:ascii="Book Antiqua" w:hAnsi="Book Antiqua" w:cs="Arial"/>
        </w:rPr>
        <w:t xml:space="preserve"> for which he is on the sex offenders register until 2024</w:t>
      </w:r>
      <w:r w:rsidR="002D6FB8" w:rsidRPr="00B860D5">
        <w:rPr>
          <w:rFonts w:ascii="Book Antiqua" w:hAnsi="Book Antiqua" w:cs="Arial"/>
        </w:rPr>
        <w:t>, whilst he was under a suspended sentence for a previous offence</w:t>
      </w:r>
      <w:r w:rsidR="00F85854" w:rsidRPr="00B860D5">
        <w:rPr>
          <w:rFonts w:ascii="Book Antiqua" w:hAnsi="Book Antiqua" w:cs="Arial"/>
        </w:rPr>
        <w:t xml:space="preserve"> and is on the sex offenders register until 2024 and on licence until September 2018. The claimant did not plead guilty and has shown no remorse for his actions. </w:t>
      </w:r>
      <w:r w:rsidR="005C5771" w:rsidRPr="00B860D5">
        <w:rPr>
          <w:rFonts w:ascii="Book Antiqua" w:hAnsi="Book Antiqua" w:cs="Arial"/>
        </w:rPr>
        <w:t>He shows an anti-social attitude to the public and community. His offending has become more se</w:t>
      </w:r>
      <w:r w:rsidR="00194BD6">
        <w:rPr>
          <w:rFonts w:ascii="Book Antiqua" w:hAnsi="Book Antiqua" w:cs="Arial"/>
        </w:rPr>
        <w:t>rious</w:t>
      </w:r>
      <w:r w:rsidR="005C5771" w:rsidRPr="00B860D5">
        <w:rPr>
          <w:rFonts w:ascii="Book Antiqua" w:hAnsi="Book Antiqua" w:cs="Arial"/>
        </w:rPr>
        <w:t xml:space="preserve"> over time. He has not shown any efforts at rehabilitation</w:t>
      </w:r>
      <w:r w:rsidR="00054D5F" w:rsidRPr="00B860D5">
        <w:rPr>
          <w:rFonts w:ascii="Book Antiqua" w:hAnsi="Book Antiqua" w:cs="Arial"/>
        </w:rPr>
        <w:t xml:space="preserve">, and his offender manager notes that he needs to address behavioural skills, problem solving and temper control. </w:t>
      </w:r>
      <w:r w:rsidR="00FA3C65">
        <w:rPr>
          <w:rFonts w:ascii="Book Antiqua" w:hAnsi="Book Antiqua" w:cs="Arial"/>
        </w:rPr>
        <w:t xml:space="preserve">He seems to lack understanding that he </w:t>
      </w:r>
      <w:r w:rsidR="00885CD9">
        <w:rPr>
          <w:rFonts w:ascii="Book Antiqua" w:hAnsi="Book Antiqua" w:cs="Arial"/>
        </w:rPr>
        <w:t xml:space="preserve">has committed the criminal offences and to be bemused by his convictions and prison sentences. </w:t>
      </w:r>
      <w:r w:rsidR="001711FC">
        <w:rPr>
          <w:rFonts w:ascii="Book Antiqua" w:hAnsi="Book Antiqua" w:cs="Arial"/>
        </w:rPr>
        <w:t>Despite what is said about a low risk of reoffending in the OASys report it is not believ</w:t>
      </w:r>
      <w:r w:rsidR="00305336">
        <w:rPr>
          <w:rFonts w:ascii="Book Antiqua" w:hAnsi="Book Antiqua" w:cs="Arial"/>
        </w:rPr>
        <w:t xml:space="preserve">able that he will not reoffend as the claimant has given no reason for this period of reoffending and so there is no reason why it would stop. </w:t>
      </w:r>
      <w:r w:rsidR="00162FBF">
        <w:rPr>
          <w:rFonts w:ascii="Book Antiqua" w:hAnsi="Book Antiqua" w:cs="Arial"/>
        </w:rPr>
        <w:t xml:space="preserve">It cannot be argued that the claimant’s prospects of rehabilitation will be damaged by </w:t>
      </w:r>
      <w:r w:rsidR="005F3B2C">
        <w:rPr>
          <w:rFonts w:ascii="Book Antiqua" w:hAnsi="Book Antiqua" w:cs="Arial"/>
        </w:rPr>
        <w:t xml:space="preserve">his deportation as he has not undertaken any rehabilitative work. </w:t>
      </w:r>
      <w:r w:rsidR="00162FBF">
        <w:rPr>
          <w:rFonts w:ascii="Book Antiqua" w:hAnsi="Book Antiqua" w:cs="Arial"/>
        </w:rPr>
        <w:t xml:space="preserve"> </w:t>
      </w:r>
    </w:p>
    <w:p w:rsidR="009B64C0" w:rsidRPr="00B860D5" w:rsidRDefault="00305336" w:rsidP="009B64C0">
      <w:pPr>
        <w:numPr>
          <w:ilvl w:val="0"/>
          <w:numId w:val="2"/>
        </w:numPr>
        <w:tabs>
          <w:tab w:val="clear" w:pos="851"/>
          <w:tab w:val="num" w:pos="900"/>
          <w:tab w:val="left" w:pos="2520"/>
        </w:tabs>
        <w:spacing w:before="240"/>
        <w:ind w:left="900" w:hanging="559"/>
        <w:jc w:val="both"/>
        <w:rPr>
          <w:rFonts w:ascii="Book Antiqua" w:hAnsi="Book Antiqua" w:cs="Arial"/>
          <w:i/>
        </w:rPr>
      </w:pPr>
      <w:r>
        <w:rPr>
          <w:rFonts w:ascii="Book Antiqua" w:hAnsi="Book Antiqua" w:cs="Arial"/>
        </w:rPr>
        <w:t>Whilst</w:t>
      </w:r>
      <w:r w:rsidR="00D95C99">
        <w:rPr>
          <w:rFonts w:ascii="Book Antiqua" w:hAnsi="Book Antiqua" w:cs="Arial"/>
        </w:rPr>
        <w:t xml:space="preserve"> it may be that</w:t>
      </w:r>
      <w:r>
        <w:rPr>
          <w:rFonts w:ascii="Book Antiqua" w:hAnsi="Book Antiqua" w:cs="Arial"/>
        </w:rPr>
        <w:t xml:space="preserve"> he is a good son who cares for his father</w:t>
      </w:r>
      <w:r w:rsidR="00C33995">
        <w:rPr>
          <w:rFonts w:ascii="Book Antiqua" w:hAnsi="Book Antiqua" w:cs="Arial"/>
        </w:rPr>
        <w:t xml:space="preserve"> the claimant’s deportation would be </w:t>
      </w:r>
      <w:r w:rsidR="004616E7">
        <w:rPr>
          <w:rFonts w:ascii="Book Antiqua" w:hAnsi="Book Antiqua" w:cs="Arial"/>
        </w:rPr>
        <w:t>proportionate as he has siblings in the UK, one of who</w:t>
      </w:r>
      <w:r w:rsidR="00E810F6">
        <w:rPr>
          <w:rFonts w:ascii="Book Antiqua" w:hAnsi="Book Antiqua" w:cs="Arial"/>
        </w:rPr>
        <w:t>m (BS)</w:t>
      </w:r>
      <w:r w:rsidR="004616E7">
        <w:rPr>
          <w:rFonts w:ascii="Book Antiqua" w:hAnsi="Book Antiqua" w:cs="Arial"/>
        </w:rPr>
        <w:t xml:space="preserve"> cared for their father whilst </w:t>
      </w:r>
      <w:r w:rsidR="00E810F6">
        <w:rPr>
          <w:rFonts w:ascii="Book Antiqua" w:hAnsi="Book Antiqua" w:cs="Arial"/>
        </w:rPr>
        <w:t>the claimant</w:t>
      </w:r>
      <w:r w:rsidR="004616E7">
        <w:rPr>
          <w:rFonts w:ascii="Book Antiqua" w:hAnsi="Book Antiqua" w:cs="Arial"/>
        </w:rPr>
        <w:t xml:space="preserve"> was in prison</w:t>
      </w:r>
      <w:r w:rsidR="00D95C99">
        <w:rPr>
          <w:rFonts w:ascii="Book Antiqua" w:hAnsi="Book Antiqua" w:cs="Arial"/>
        </w:rPr>
        <w:t>,</w:t>
      </w:r>
      <w:r w:rsidR="004616E7">
        <w:rPr>
          <w:rFonts w:ascii="Book Antiqua" w:hAnsi="Book Antiqua" w:cs="Arial"/>
        </w:rPr>
        <w:t xml:space="preserve"> and</w:t>
      </w:r>
      <w:r w:rsidR="00D95C99">
        <w:rPr>
          <w:rFonts w:ascii="Book Antiqua" w:hAnsi="Book Antiqua" w:cs="Arial"/>
        </w:rPr>
        <w:t xml:space="preserve"> BS</w:t>
      </w:r>
      <w:r w:rsidR="004616E7">
        <w:rPr>
          <w:rFonts w:ascii="Book Antiqua" w:hAnsi="Book Antiqua" w:cs="Arial"/>
        </w:rPr>
        <w:t xml:space="preserve"> says that they are close family in her statement.</w:t>
      </w:r>
      <w:r w:rsidR="00E810F6">
        <w:rPr>
          <w:rFonts w:ascii="Book Antiqua" w:hAnsi="Book Antiqua" w:cs="Arial"/>
        </w:rPr>
        <w:t xml:space="preserve"> The other siblings also visit their father every few weeks, and Social Services could be involved if need</w:t>
      </w:r>
      <w:r w:rsidR="00CB1EDF">
        <w:rPr>
          <w:rFonts w:ascii="Book Antiqua" w:hAnsi="Book Antiqua" w:cs="Arial"/>
        </w:rPr>
        <w:t>s</w:t>
      </w:r>
      <w:r w:rsidR="00E810F6">
        <w:rPr>
          <w:rFonts w:ascii="Book Antiqua" w:hAnsi="Book Antiqua" w:cs="Arial"/>
        </w:rPr>
        <w:t xml:space="preserve"> be.</w:t>
      </w:r>
      <w:r w:rsidR="00F56F4A">
        <w:rPr>
          <w:rFonts w:ascii="Book Antiqua" w:hAnsi="Book Antiqua" w:cs="Arial"/>
        </w:rPr>
        <w:t xml:space="preserve"> </w:t>
      </w:r>
      <w:r w:rsidR="00D95C99">
        <w:rPr>
          <w:rFonts w:ascii="Book Antiqua" w:hAnsi="Book Antiqua" w:cs="Arial"/>
        </w:rPr>
        <w:t>The claimant</w:t>
      </w:r>
      <w:r w:rsidR="00F56F4A">
        <w:rPr>
          <w:rFonts w:ascii="Book Antiqua" w:hAnsi="Book Antiqua" w:cs="Arial"/>
        </w:rPr>
        <w:t xml:space="preserve"> could keep in contact with his</w:t>
      </w:r>
      <w:r w:rsidR="00944F7B">
        <w:rPr>
          <w:rFonts w:ascii="Book Antiqua" w:hAnsi="Book Antiqua" w:cs="Arial"/>
        </w:rPr>
        <w:t xml:space="preserve"> UK</w:t>
      </w:r>
      <w:r w:rsidR="00F56F4A">
        <w:rPr>
          <w:rFonts w:ascii="Book Antiqua" w:hAnsi="Book Antiqua" w:cs="Arial"/>
        </w:rPr>
        <w:t xml:space="preserve"> family</w:t>
      </w:r>
      <w:r w:rsidR="00944F7B">
        <w:rPr>
          <w:rFonts w:ascii="Book Antiqua" w:hAnsi="Book Antiqua" w:cs="Arial"/>
        </w:rPr>
        <w:t xml:space="preserve"> members</w:t>
      </w:r>
      <w:r w:rsidR="00F56F4A">
        <w:rPr>
          <w:rFonts w:ascii="Book Antiqua" w:hAnsi="Book Antiqua" w:cs="Arial"/>
        </w:rPr>
        <w:t xml:space="preserve"> through</w:t>
      </w:r>
      <w:r w:rsidR="00944F7B">
        <w:rPr>
          <w:rFonts w:ascii="Book Antiqua" w:hAnsi="Book Antiqua" w:cs="Arial"/>
        </w:rPr>
        <w:t xml:space="preserve"> communication methods</w:t>
      </w:r>
      <w:r w:rsidR="00F56F4A">
        <w:rPr>
          <w:rFonts w:ascii="Book Antiqua" w:hAnsi="Book Antiqua" w:cs="Arial"/>
        </w:rPr>
        <w:t xml:space="preserve"> </w:t>
      </w:r>
      <w:r w:rsidR="00484B36">
        <w:rPr>
          <w:rFonts w:ascii="Book Antiqua" w:hAnsi="Book Antiqua" w:cs="Arial"/>
        </w:rPr>
        <w:t xml:space="preserve">such as </w:t>
      </w:r>
      <w:r w:rsidR="00F56F4A">
        <w:rPr>
          <w:rFonts w:ascii="Book Antiqua" w:hAnsi="Book Antiqua" w:cs="Arial"/>
        </w:rPr>
        <w:t>telephone, email and Skype</w:t>
      </w:r>
      <w:r w:rsidR="00944F7B">
        <w:rPr>
          <w:rFonts w:ascii="Book Antiqua" w:hAnsi="Book Antiqua" w:cs="Arial"/>
        </w:rPr>
        <w:t>.</w:t>
      </w:r>
      <w:r w:rsidR="00860DD6">
        <w:rPr>
          <w:rFonts w:ascii="Book Antiqua" w:hAnsi="Book Antiqua" w:cs="Arial"/>
        </w:rPr>
        <w:t xml:space="preserve"> His family have not been shown to have any sufficient control over him to stop him reoffending in the past</w:t>
      </w:r>
      <w:r w:rsidR="00357437">
        <w:rPr>
          <w:rFonts w:ascii="Book Antiqua" w:hAnsi="Book Antiqua" w:cs="Arial"/>
        </w:rPr>
        <w:t>, and so would not do so in the future.</w:t>
      </w:r>
      <w:r w:rsidR="00F36E3D">
        <w:rPr>
          <w:rFonts w:ascii="Book Antiqua" w:hAnsi="Book Antiqua" w:cs="Arial"/>
        </w:rPr>
        <w:t xml:space="preserve"> It is also noted that the claimant has three children in Denmark, although </w:t>
      </w:r>
      <w:r w:rsidR="0030315A">
        <w:rPr>
          <w:rFonts w:ascii="Book Antiqua" w:hAnsi="Book Antiqua" w:cs="Arial"/>
        </w:rPr>
        <w:t>he says he has no contact with them, so it cannot be said that he has no family there</w:t>
      </w:r>
      <w:r w:rsidR="00357437">
        <w:rPr>
          <w:rFonts w:ascii="Book Antiqua" w:hAnsi="Book Antiqua" w:cs="Arial"/>
        </w:rPr>
        <w:t xml:space="preserve">, </w:t>
      </w:r>
      <w:r w:rsidR="00357437">
        <w:rPr>
          <w:rFonts w:ascii="Book Antiqua" w:hAnsi="Book Antiqua" w:cs="Arial"/>
        </w:rPr>
        <w:lastRenderedPageBreak/>
        <w:t>and</w:t>
      </w:r>
      <w:r w:rsidR="00484B36">
        <w:rPr>
          <w:rFonts w:ascii="Book Antiqua" w:hAnsi="Book Antiqua" w:cs="Arial"/>
        </w:rPr>
        <w:t xml:space="preserve"> he</w:t>
      </w:r>
      <w:r w:rsidR="00357437">
        <w:rPr>
          <w:rFonts w:ascii="Book Antiqua" w:hAnsi="Book Antiqua" w:cs="Arial"/>
        </w:rPr>
        <w:t xml:space="preserve"> would be able to work to towards his rehabilitation in that country</w:t>
      </w:r>
      <w:r w:rsidR="00CC3E60">
        <w:rPr>
          <w:rFonts w:ascii="Book Antiqua" w:hAnsi="Book Antiqua" w:cs="Arial"/>
        </w:rPr>
        <w:t xml:space="preserve"> due to his past period of residence</w:t>
      </w:r>
      <w:r w:rsidR="0030315A">
        <w:rPr>
          <w:rFonts w:ascii="Book Antiqua" w:hAnsi="Book Antiqua" w:cs="Arial"/>
        </w:rPr>
        <w:t>.</w:t>
      </w:r>
      <w:r w:rsidR="006D23FA">
        <w:rPr>
          <w:rFonts w:ascii="Book Antiqua" w:hAnsi="Book Antiqua" w:cs="Arial"/>
        </w:rPr>
        <w:t xml:space="preserve"> His deportation is also said to be </w:t>
      </w:r>
      <w:r w:rsidR="0004203B">
        <w:rPr>
          <w:rFonts w:ascii="Book Antiqua" w:hAnsi="Book Antiqua" w:cs="Arial"/>
        </w:rPr>
        <w:t xml:space="preserve">compliant with Article 8 ECHR and the domestic Immigration Rules on deportation. </w:t>
      </w:r>
      <w:r w:rsidR="0030315A">
        <w:rPr>
          <w:rFonts w:ascii="Book Antiqua" w:hAnsi="Book Antiqua" w:cs="Arial"/>
        </w:rPr>
        <w:t xml:space="preserve"> </w:t>
      </w:r>
      <w:r w:rsidR="00E810F6">
        <w:rPr>
          <w:rFonts w:ascii="Book Antiqua" w:hAnsi="Book Antiqua" w:cs="Arial"/>
        </w:rPr>
        <w:t xml:space="preserve"> </w:t>
      </w:r>
      <w:r w:rsidR="009B22E2">
        <w:rPr>
          <w:rFonts w:ascii="Book Antiqua" w:hAnsi="Book Antiqua" w:cs="Arial"/>
        </w:rPr>
        <w:t>The appeal should</w:t>
      </w:r>
      <w:r w:rsidR="002D1EA3">
        <w:rPr>
          <w:rFonts w:ascii="Book Antiqua" w:hAnsi="Book Antiqua" w:cs="Arial"/>
        </w:rPr>
        <w:t xml:space="preserve"> therefore</w:t>
      </w:r>
      <w:r w:rsidR="009B22E2">
        <w:rPr>
          <w:rFonts w:ascii="Book Antiqua" w:hAnsi="Book Antiqua" w:cs="Arial"/>
        </w:rPr>
        <w:t xml:space="preserve"> be dismissed.</w:t>
      </w:r>
      <w:r w:rsidR="004616E7">
        <w:rPr>
          <w:rFonts w:ascii="Book Antiqua" w:hAnsi="Book Antiqua" w:cs="Arial"/>
        </w:rPr>
        <w:t xml:space="preserve"> </w:t>
      </w:r>
    </w:p>
    <w:p w:rsidR="005569A2" w:rsidRPr="005569A2" w:rsidRDefault="00A943A7" w:rsidP="005F7908">
      <w:pPr>
        <w:numPr>
          <w:ilvl w:val="0"/>
          <w:numId w:val="2"/>
        </w:numPr>
        <w:tabs>
          <w:tab w:val="clear" w:pos="851"/>
          <w:tab w:val="num" w:pos="900"/>
          <w:tab w:val="left" w:pos="2520"/>
        </w:tabs>
        <w:spacing w:before="240"/>
        <w:ind w:left="900" w:hanging="559"/>
        <w:jc w:val="both"/>
        <w:rPr>
          <w:rFonts w:ascii="Book Antiqua" w:hAnsi="Book Antiqua" w:cs="Arial"/>
          <w:u w:val="single"/>
        </w:rPr>
      </w:pPr>
      <w:r w:rsidRPr="00084A16">
        <w:rPr>
          <w:rFonts w:ascii="Book Antiqua" w:hAnsi="Book Antiqua" w:cs="Arial"/>
        </w:rPr>
        <w:t xml:space="preserve">The </w:t>
      </w:r>
      <w:r w:rsidR="004C68F8" w:rsidRPr="00084A16">
        <w:rPr>
          <w:rFonts w:ascii="Book Antiqua" w:hAnsi="Book Antiqua" w:cs="Arial"/>
        </w:rPr>
        <w:t>claim</w:t>
      </w:r>
      <w:r w:rsidRPr="00084A16">
        <w:rPr>
          <w:rFonts w:ascii="Book Antiqua" w:hAnsi="Book Antiqua" w:cs="Arial"/>
        </w:rPr>
        <w:t xml:space="preserve">ant submits that he holds permanent residence as he has been </w:t>
      </w:r>
      <w:r w:rsidR="000500B2" w:rsidRPr="00084A16">
        <w:rPr>
          <w:rFonts w:ascii="Book Antiqua" w:hAnsi="Book Antiqua" w:cs="Arial"/>
        </w:rPr>
        <w:t>exercising Treaty rights as a worker for</w:t>
      </w:r>
      <w:r w:rsidR="00294385" w:rsidRPr="00084A16">
        <w:rPr>
          <w:rFonts w:ascii="Book Antiqua" w:hAnsi="Book Antiqua" w:cs="Arial"/>
        </w:rPr>
        <w:t xml:space="preserve"> more than</w:t>
      </w:r>
      <w:r w:rsidR="000500B2" w:rsidRPr="00084A16">
        <w:rPr>
          <w:rFonts w:ascii="Book Antiqua" w:hAnsi="Book Antiqua" w:cs="Arial"/>
        </w:rPr>
        <w:t xml:space="preserve"> five years between June 2010 and J</w:t>
      </w:r>
      <w:r w:rsidR="005569A2">
        <w:rPr>
          <w:rFonts w:ascii="Book Antiqua" w:hAnsi="Book Antiqua" w:cs="Arial"/>
        </w:rPr>
        <w:t>anuary 2017</w:t>
      </w:r>
      <w:r w:rsidR="000500B2" w:rsidRPr="00084A16">
        <w:rPr>
          <w:rFonts w:ascii="Book Antiqua" w:hAnsi="Book Antiqua" w:cs="Arial"/>
        </w:rPr>
        <w:t>.</w:t>
      </w:r>
      <w:r w:rsidR="005569A2">
        <w:rPr>
          <w:rFonts w:ascii="Book Antiqua" w:hAnsi="Book Antiqua" w:cs="Arial"/>
        </w:rPr>
        <w:t xml:space="preserve"> </w:t>
      </w:r>
      <w:r w:rsidR="00BD69C6">
        <w:rPr>
          <w:rFonts w:ascii="Book Antiqua" w:hAnsi="Book Antiqua" w:cs="Arial"/>
        </w:rPr>
        <w:t>He claims that it is</w:t>
      </w:r>
      <w:r w:rsidR="005569A2">
        <w:rPr>
          <w:rFonts w:ascii="Book Antiqua" w:hAnsi="Book Antiqua" w:cs="Arial"/>
        </w:rPr>
        <w:t xml:space="preserve"> clear that there are national insurance and tax records to support </w:t>
      </w:r>
      <w:r w:rsidR="00BD69C6">
        <w:rPr>
          <w:rFonts w:ascii="Book Antiqua" w:hAnsi="Book Antiqua" w:cs="Arial"/>
        </w:rPr>
        <w:t>hi</w:t>
      </w:r>
      <w:r w:rsidR="005569A2">
        <w:rPr>
          <w:rFonts w:ascii="Book Antiqua" w:hAnsi="Book Antiqua" w:cs="Arial"/>
        </w:rPr>
        <w:t>s statement</w:t>
      </w:r>
      <w:r w:rsidR="00BD69C6">
        <w:rPr>
          <w:rFonts w:ascii="Book Antiqua" w:hAnsi="Book Antiqua" w:cs="Arial"/>
        </w:rPr>
        <w:t>,</w:t>
      </w:r>
      <w:r w:rsidR="005569A2">
        <w:rPr>
          <w:rFonts w:ascii="Book Antiqua" w:hAnsi="Book Antiqua" w:cs="Arial"/>
        </w:rPr>
        <w:t xml:space="preserve"> and</w:t>
      </w:r>
      <w:r w:rsidR="00BD69C6">
        <w:rPr>
          <w:rFonts w:ascii="Book Antiqua" w:hAnsi="Book Antiqua" w:cs="Arial"/>
        </w:rPr>
        <w:t xml:space="preserve"> also</w:t>
      </w:r>
      <w:r w:rsidR="005569A2">
        <w:rPr>
          <w:rFonts w:ascii="Book Antiqua" w:hAnsi="Book Antiqua" w:cs="Arial"/>
        </w:rPr>
        <w:t xml:space="preserve"> other documents from March 2013 to January 2017. For the period </w:t>
      </w:r>
      <w:r w:rsidR="00E3711F">
        <w:rPr>
          <w:rFonts w:ascii="Book Antiqua" w:hAnsi="Book Antiqua" w:cs="Arial"/>
        </w:rPr>
        <w:t>April</w:t>
      </w:r>
      <w:r w:rsidR="005569A2">
        <w:rPr>
          <w:rFonts w:ascii="Book Antiqua" w:hAnsi="Book Antiqua" w:cs="Arial"/>
        </w:rPr>
        <w:t xml:space="preserve"> 2012 to </w:t>
      </w:r>
      <w:r w:rsidR="00E3711F">
        <w:rPr>
          <w:rFonts w:ascii="Book Antiqua" w:hAnsi="Book Antiqua" w:cs="Arial"/>
        </w:rPr>
        <w:t>April</w:t>
      </w:r>
      <w:r w:rsidR="005569A2">
        <w:rPr>
          <w:rFonts w:ascii="Book Antiqua" w:hAnsi="Book Antiqua" w:cs="Arial"/>
        </w:rPr>
        <w:t xml:space="preserve"> 2013</w:t>
      </w:r>
      <w:r w:rsidR="001B2FF5">
        <w:rPr>
          <w:rFonts w:ascii="Book Antiqua" w:hAnsi="Book Antiqua" w:cs="Arial"/>
        </w:rPr>
        <w:t>,</w:t>
      </w:r>
      <w:r w:rsidR="00E3711F">
        <w:rPr>
          <w:rFonts w:ascii="Book Antiqua" w:hAnsi="Book Antiqua" w:cs="Arial"/>
        </w:rPr>
        <w:t xml:space="preserve"> </w:t>
      </w:r>
      <w:r w:rsidR="005569A2">
        <w:rPr>
          <w:rFonts w:ascii="Book Antiqua" w:hAnsi="Book Antiqua" w:cs="Arial"/>
        </w:rPr>
        <w:t xml:space="preserve">there </w:t>
      </w:r>
      <w:r w:rsidR="00E3711F">
        <w:rPr>
          <w:rFonts w:ascii="Book Antiqua" w:hAnsi="Book Antiqua" w:cs="Arial"/>
        </w:rPr>
        <w:t>is an amount of</w:t>
      </w:r>
      <w:r w:rsidR="00B94443">
        <w:rPr>
          <w:rFonts w:ascii="Book Antiqua" w:hAnsi="Book Antiqua" w:cs="Arial"/>
        </w:rPr>
        <w:t xml:space="preserve"> £74</w:t>
      </w:r>
      <w:r w:rsidR="006C0F2C">
        <w:rPr>
          <w:rFonts w:ascii="Book Antiqua" w:hAnsi="Book Antiqua" w:cs="Arial"/>
        </w:rPr>
        <w:t xml:space="preserve"> of</w:t>
      </w:r>
      <w:r w:rsidR="005569A2">
        <w:rPr>
          <w:rFonts w:ascii="Book Antiqua" w:hAnsi="Book Antiqua" w:cs="Arial"/>
        </w:rPr>
        <w:t xml:space="preserve"> national insurance contributions recorded</w:t>
      </w:r>
      <w:r w:rsidR="00E3711F">
        <w:rPr>
          <w:rFonts w:ascii="Book Antiqua" w:hAnsi="Book Antiqua" w:cs="Arial"/>
        </w:rPr>
        <w:t xml:space="preserve"> as having been paid</w:t>
      </w:r>
      <w:r w:rsidR="001E606A">
        <w:rPr>
          <w:rFonts w:ascii="Book Antiqua" w:hAnsi="Book Antiqua" w:cs="Arial"/>
        </w:rPr>
        <w:t>. This only leaves the period January 2012 to March 2012 for which there are no tax and national insurance records, but it is contended this fits with the payslip evidence which shows the claimant did not earn enough to pay tax and national insurance during that time</w:t>
      </w:r>
      <w:r w:rsidR="006C0F2C">
        <w:rPr>
          <w:rFonts w:ascii="Book Antiqua" w:hAnsi="Book Antiqua" w:cs="Arial"/>
        </w:rPr>
        <w:t>, and the other</w:t>
      </w:r>
      <w:r w:rsidR="003C4417">
        <w:rPr>
          <w:rFonts w:ascii="Book Antiqua" w:hAnsi="Book Antiqua" w:cs="Arial"/>
        </w:rPr>
        <w:t xml:space="preserve"> HMRC</w:t>
      </w:r>
      <w:r w:rsidR="006C0F2C">
        <w:rPr>
          <w:rFonts w:ascii="Book Antiqua" w:hAnsi="Book Antiqua" w:cs="Arial"/>
        </w:rPr>
        <w:t xml:space="preserve"> documentation shows that the claimant could be earning up to £107 a week without </w:t>
      </w:r>
      <w:r w:rsidR="003A78A1">
        <w:rPr>
          <w:rFonts w:ascii="Book Antiqua" w:hAnsi="Book Antiqua" w:cs="Arial"/>
        </w:rPr>
        <w:t>being liable to make such payments</w:t>
      </w:r>
      <w:r w:rsidR="001E606A">
        <w:rPr>
          <w:rFonts w:ascii="Book Antiqua" w:hAnsi="Book Antiqua" w:cs="Arial"/>
        </w:rPr>
        <w:t>.</w:t>
      </w:r>
      <w:r w:rsidR="00652C3C" w:rsidRPr="00084A16">
        <w:rPr>
          <w:rFonts w:ascii="Book Antiqua" w:hAnsi="Book Antiqua" w:cs="Arial"/>
        </w:rPr>
        <w:t xml:space="preserve"> As a </w:t>
      </w:r>
      <w:proofErr w:type="gramStart"/>
      <w:r w:rsidR="00652C3C" w:rsidRPr="00084A16">
        <w:rPr>
          <w:rFonts w:ascii="Book Antiqua" w:hAnsi="Book Antiqua" w:cs="Arial"/>
        </w:rPr>
        <w:t>result</w:t>
      </w:r>
      <w:proofErr w:type="gramEnd"/>
      <w:r w:rsidR="00652C3C" w:rsidRPr="00084A16">
        <w:rPr>
          <w:rFonts w:ascii="Book Antiqua" w:hAnsi="Book Antiqua" w:cs="Arial"/>
        </w:rPr>
        <w:t xml:space="preserve"> </w:t>
      </w:r>
      <w:r w:rsidR="00B94443">
        <w:rPr>
          <w:rFonts w:ascii="Book Antiqua" w:hAnsi="Book Antiqua" w:cs="Arial"/>
        </w:rPr>
        <w:t>the claimant</w:t>
      </w:r>
      <w:r w:rsidR="00652C3C" w:rsidRPr="00084A16">
        <w:rPr>
          <w:rFonts w:ascii="Book Antiqua" w:hAnsi="Book Antiqua" w:cs="Arial"/>
        </w:rPr>
        <w:t xml:space="preserve"> argues that </w:t>
      </w:r>
      <w:r w:rsidR="00E208FE" w:rsidRPr="00084A16">
        <w:rPr>
          <w:rFonts w:ascii="Book Antiqua" w:hAnsi="Book Antiqua" w:cs="Arial"/>
        </w:rPr>
        <w:t>he</w:t>
      </w:r>
      <w:r w:rsidR="003A78A1">
        <w:rPr>
          <w:rFonts w:ascii="Book Antiqua" w:hAnsi="Book Antiqua" w:cs="Arial"/>
        </w:rPr>
        <w:t xml:space="preserve"> is a permanent resident, and thus</w:t>
      </w:r>
      <w:r w:rsidR="00E208FE" w:rsidRPr="00084A16">
        <w:rPr>
          <w:rFonts w:ascii="Book Antiqua" w:hAnsi="Book Antiqua" w:cs="Arial"/>
        </w:rPr>
        <w:t xml:space="preserve"> may only be deported on serious grounds of public policy or public security. </w:t>
      </w:r>
    </w:p>
    <w:p w:rsidR="00026DEC" w:rsidRPr="00026DEC" w:rsidRDefault="00756AE5" w:rsidP="005F7908">
      <w:pPr>
        <w:numPr>
          <w:ilvl w:val="0"/>
          <w:numId w:val="2"/>
        </w:numPr>
        <w:tabs>
          <w:tab w:val="clear" w:pos="851"/>
          <w:tab w:val="num" w:pos="900"/>
          <w:tab w:val="left" w:pos="2520"/>
        </w:tabs>
        <w:spacing w:before="240"/>
        <w:ind w:left="900" w:hanging="559"/>
        <w:jc w:val="both"/>
        <w:rPr>
          <w:rFonts w:ascii="Book Antiqua" w:hAnsi="Book Antiqua" w:cs="Arial"/>
          <w:u w:val="single"/>
        </w:rPr>
      </w:pPr>
      <w:r w:rsidRPr="00084A16">
        <w:rPr>
          <w:rFonts w:ascii="Book Antiqua" w:hAnsi="Book Antiqua" w:cs="Arial"/>
        </w:rPr>
        <w:t xml:space="preserve">The </w:t>
      </w:r>
      <w:r w:rsidR="004C68F8" w:rsidRPr="00084A16">
        <w:rPr>
          <w:rFonts w:ascii="Book Antiqua" w:hAnsi="Book Antiqua" w:cs="Arial"/>
        </w:rPr>
        <w:t>claim</w:t>
      </w:r>
      <w:r w:rsidRPr="00084A16">
        <w:rPr>
          <w:rFonts w:ascii="Book Antiqua" w:hAnsi="Book Antiqua" w:cs="Arial"/>
        </w:rPr>
        <w:t xml:space="preserve">ant </w:t>
      </w:r>
      <w:r w:rsidR="00652C3C" w:rsidRPr="00084A16">
        <w:rPr>
          <w:rFonts w:ascii="Book Antiqua" w:hAnsi="Book Antiqua" w:cs="Arial"/>
        </w:rPr>
        <w:t xml:space="preserve">argues that he does not pose </w:t>
      </w:r>
      <w:r w:rsidR="00B35972" w:rsidRPr="00084A16">
        <w:rPr>
          <w:rFonts w:ascii="Book Antiqua" w:hAnsi="Book Antiqua" w:cs="Arial"/>
        </w:rPr>
        <w:t xml:space="preserve">a threat </w:t>
      </w:r>
      <w:r w:rsidR="0039376C" w:rsidRPr="00084A16">
        <w:rPr>
          <w:rFonts w:ascii="Book Antiqua" w:hAnsi="Book Antiqua" w:cs="Arial"/>
        </w:rPr>
        <w:t>of re-offending, despite the OASys report which states that he is a medium risk of reoffending to the community, public and staff</w:t>
      </w:r>
      <w:r w:rsidR="009A502F" w:rsidRPr="00084A16">
        <w:rPr>
          <w:rFonts w:ascii="Book Antiqua" w:hAnsi="Book Antiqua" w:cs="Arial"/>
        </w:rPr>
        <w:t>, as that report only assesses that he is a low risk of reoffending</w:t>
      </w:r>
      <w:r w:rsidR="00FE3A38">
        <w:rPr>
          <w:rFonts w:ascii="Book Antiqua" w:hAnsi="Book Antiqua" w:cs="Arial"/>
        </w:rPr>
        <w:t xml:space="preserve"> despite it being clear that he had been charged with the sexual assault a</w:t>
      </w:r>
      <w:r w:rsidR="00442296">
        <w:rPr>
          <w:rFonts w:ascii="Book Antiqua" w:hAnsi="Book Antiqua" w:cs="Arial"/>
        </w:rPr>
        <w:t>t</w:t>
      </w:r>
      <w:r w:rsidR="00FE3A38">
        <w:rPr>
          <w:rFonts w:ascii="Book Antiqua" w:hAnsi="Book Antiqua" w:cs="Arial"/>
        </w:rPr>
        <w:t xml:space="preserve"> the time of writing of that report</w:t>
      </w:r>
      <w:r w:rsidR="0039376C" w:rsidRPr="00084A16">
        <w:rPr>
          <w:rFonts w:ascii="Book Antiqua" w:hAnsi="Book Antiqua" w:cs="Arial"/>
        </w:rPr>
        <w:t>.</w:t>
      </w:r>
      <w:r w:rsidR="00442296">
        <w:rPr>
          <w:rFonts w:ascii="Book Antiqua" w:hAnsi="Book Antiqua" w:cs="Arial"/>
        </w:rPr>
        <w:t xml:space="preserve"> It is argued that all of his period of offending took place prior to his being in prison/detained and </w:t>
      </w:r>
      <w:r w:rsidR="008D12B1">
        <w:rPr>
          <w:rFonts w:ascii="Book Antiqua" w:hAnsi="Book Antiqua" w:cs="Arial"/>
        </w:rPr>
        <w:t>that this has had the effect of meaning he will not reoffend</w:t>
      </w:r>
      <w:r w:rsidR="00CB07F5">
        <w:rPr>
          <w:rFonts w:ascii="Book Antiqua" w:hAnsi="Book Antiqua" w:cs="Arial"/>
        </w:rPr>
        <w:t>, and he has also stated that he has realised the consequences of his behaviour and is willing to do courses to rehabilitate himself</w:t>
      </w:r>
      <w:r w:rsidR="008D12B1">
        <w:rPr>
          <w:rFonts w:ascii="Book Antiqua" w:hAnsi="Book Antiqua" w:cs="Arial"/>
        </w:rPr>
        <w:t>.</w:t>
      </w:r>
      <w:r w:rsidR="00DB0D6B" w:rsidRPr="00084A16">
        <w:rPr>
          <w:rFonts w:ascii="Book Antiqua" w:hAnsi="Book Antiqua" w:cs="Arial"/>
        </w:rPr>
        <w:t xml:space="preserve"> The </w:t>
      </w:r>
      <w:r w:rsidR="004C68F8" w:rsidRPr="00084A16">
        <w:rPr>
          <w:rFonts w:ascii="Book Antiqua" w:hAnsi="Book Antiqua" w:cs="Arial"/>
        </w:rPr>
        <w:t>claim</w:t>
      </w:r>
      <w:r w:rsidR="00DB0D6B" w:rsidRPr="00084A16">
        <w:rPr>
          <w:rFonts w:ascii="Book Antiqua" w:hAnsi="Book Antiqua" w:cs="Arial"/>
        </w:rPr>
        <w:t>ant also argues that he does not pose a</w:t>
      </w:r>
      <w:r w:rsidR="007D2F48" w:rsidRPr="00084A16">
        <w:rPr>
          <w:rFonts w:ascii="Book Antiqua" w:hAnsi="Book Antiqua" w:cs="Arial"/>
        </w:rPr>
        <w:t xml:space="preserve"> sufficiently ser</w:t>
      </w:r>
      <w:r w:rsidR="003D1529">
        <w:rPr>
          <w:rFonts w:ascii="Book Antiqua" w:hAnsi="Book Antiqua" w:cs="Arial"/>
        </w:rPr>
        <w:t>i</w:t>
      </w:r>
      <w:r w:rsidR="007D2F48" w:rsidRPr="00084A16">
        <w:rPr>
          <w:rFonts w:ascii="Book Antiqua" w:hAnsi="Book Antiqua" w:cs="Arial"/>
        </w:rPr>
        <w:t>ous threat as the offences</w:t>
      </w:r>
      <w:r w:rsidR="008D12B1">
        <w:rPr>
          <w:rFonts w:ascii="Book Antiqua" w:hAnsi="Book Antiqua" w:cs="Arial"/>
        </w:rPr>
        <w:t xml:space="preserve"> whilst unpleasant</w:t>
      </w:r>
      <w:r w:rsidR="007D2F48" w:rsidRPr="00084A16">
        <w:rPr>
          <w:rFonts w:ascii="Book Antiqua" w:hAnsi="Book Antiqua" w:cs="Arial"/>
        </w:rPr>
        <w:t xml:space="preserve"> have all been minor.</w:t>
      </w:r>
      <w:r w:rsidR="00084A16">
        <w:rPr>
          <w:rFonts w:ascii="Book Antiqua" w:hAnsi="Book Antiqua" w:cs="Arial"/>
        </w:rPr>
        <w:t xml:space="preserve"> </w:t>
      </w:r>
      <w:r w:rsidR="007D2F48" w:rsidRPr="00084A16">
        <w:rPr>
          <w:rFonts w:ascii="Book Antiqua" w:hAnsi="Book Antiqua" w:cs="Arial"/>
        </w:rPr>
        <w:t xml:space="preserve">The </w:t>
      </w:r>
      <w:r w:rsidR="008D12B1">
        <w:rPr>
          <w:rFonts w:ascii="Book Antiqua" w:hAnsi="Book Antiqua" w:cs="Arial"/>
        </w:rPr>
        <w:t>claim</w:t>
      </w:r>
      <w:r w:rsidR="007D2F48" w:rsidRPr="00084A16">
        <w:rPr>
          <w:rFonts w:ascii="Book Antiqua" w:hAnsi="Book Antiqua" w:cs="Arial"/>
        </w:rPr>
        <w:t xml:space="preserve">ant argues that </w:t>
      </w:r>
      <w:r w:rsidR="00014ABE" w:rsidRPr="00084A16">
        <w:rPr>
          <w:rFonts w:ascii="Book Antiqua" w:hAnsi="Book Antiqua" w:cs="Arial"/>
        </w:rPr>
        <w:t xml:space="preserve">his deportation would also not be proportionate as he has very close relationships with family members, </w:t>
      </w:r>
      <w:r w:rsidR="00FE6BF6">
        <w:rPr>
          <w:rFonts w:ascii="Book Antiqua" w:hAnsi="Book Antiqua" w:cs="Arial"/>
        </w:rPr>
        <w:t>particularly with his unwell father for whom he is the main carer</w:t>
      </w:r>
      <w:r w:rsidR="001F2A7C" w:rsidRPr="00084A16">
        <w:rPr>
          <w:rFonts w:ascii="Book Antiqua" w:hAnsi="Book Antiqua" w:cs="Arial"/>
        </w:rPr>
        <w:t>, and</w:t>
      </w:r>
      <w:r w:rsidR="0050241E" w:rsidRPr="00084A16">
        <w:rPr>
          <w:rFonts w:ascii="Book Antiqua" w:hAnsi="Book Antiqua" w:cs="Arial"/>
        </w:rPr>
        <w:t xml:space="preserve"> he has</w:t>
      </w:r>
      <w:r w:rsidR="001F2A7C" w:rsidRPr="00084A16">
        <w:rPr>
          <w:rFonts w:ascii="Book Antiqua" w:hAnsi="Book Antiqua" w:cs="Arial"/>
        </w:rPr>
        <w:t xml:space="preserve"> no family or friends in Denmark. </w:t>
      </w:r>
      <w:r w:rsidR="00CB07F5">
        <w:rPr>
          <w:rFonts w:ascii="Book Antiqua" w:hAnsi="Book Antiqua" w:cs="Arial"/>
        </w:rPr>
        <w:t>He is integrated in the UK as he speaks English, works,</w:t>
      </w:r>
      <w:r w:rsidR="00374AAB">
        <w:rPr>
          <w:rFonts w:ascii="Book Antiqua" w:hAnsi="Book Antiqua" w:cs="Arial"/>
        </w:rPr>
        <w:t xml:space="preserve"> and</w:t>
      </w:r>
      <w:r w:rsidR="00CB07F5">
        <w:rPr>
          <w:rFonts w:ascii="Book Antiqua" w:hAnsi="Book Antiqua" w:cs="Arial"/>
        </w:rPr>
        <w:t xml:space="preserve"> has most of his family her</w:t>
      </w:r>
      <w:r w:rsidR="00026DEC">
        <w:rPr>
          <w:rFonts w:ascii="Book Antiqua" w:hAnsi="Book Antiqua" w:cs="Arial"/>
        </w:rPr>
        <w:t xml:space="preserve">e. </w:t>
      </w:r>
    </w:p>
    <w:p w:rsidR="005F7908" w:rsidRPr="00084A16" w:rsidRDefault="00026DEC" w:rsidP="005F7908">
      <w:pPr>
        <w:numPr>
          <w:ilvl w:val="0"/>
          <w:numId w:val="2"/>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At the end of the hearing I reserved my decision. </w:t>
      </w:r>
      <w:r w:rsidR="000500B2" w:rsidRPr="00084A16">
        <w:rPr>
          <w:rFonts w:ascii="Book Antiqua" w:hAnsi="Book Antiqua" w:cs="Arial"/>
        </w:rPr>
        <w:t xml:space="preserve"> </w:t>
      </w:r>
    </w:p>
    <w:p w:rsidR="005F7908" w:rsidRPr="00546523" w:rsidRDefault="005F7908" w:rsidP="005F7908">
      <w:pPr>
        <w:tabs>
          <w:tab w:val="left" w:pos="2520"/>
        </w:tabs>
        <w:spacing w:before="240"/>
        <w:jc w:val="both"/>
        <w:rPr>
          <w:rFonts w:ascii="Book Antiqua" w:hAnsi="Book Antiqua" w:cs="Arial"/>
          <w:i/>
        </w:rPr>
      </w:pPr>
      <w:r>
        <w:rPr>
          <w:rFonts w:ascii="Book Antiqua" w:hAnsi="Book Antiqua" w:cs="Arial"/>
          <w:i/>
        </w:rPr>
        <w:t xml:space="preserve">Conclusions – </w:t>
      </w:r>
      <w:r w:rsidR="002E76E6">
        <w:rPr>
          <w:rFonts w:ascii="Book Antiqua" w:hAnsi="Book Antiqua" w:cs="Arial"/>
          <w:i/>
        </w:rPr>
        <w:t>Remaking</w:t>
      </w:r>
    </w:p>
    <w:p w:rsidR="00612A0C" w:rsidRPr="00894546" w:rsidRDefault="00612A0C" w:rsidP="00612A0C">
      <w:pPr>
        <w:numPr>
          <w:ilvl w:val="0"/>
          <w:numId w:val="4"/>
        </w:numPr>
        <w:tabs>
          <w:tab w:val="left" w:pos="2520"/>
        </w:tabs>
        <w:spacing w:before="240"/>
        <w:jc w:val="both"/>
        <w:rPr>
          <w:rFonts w:ascii="Book Antiqua" w:hAnsi="Book Antiqua" w:cs="Arial"/>
          <w:i/>
        </w:rPr>
      </w:pPr>
      <w:r>
        <w:rPr>
          <w:rFonts w:ascii="Book Antiqua" w:hAnsi="Book Antiqua" w:cs="Arial"/>
        </w:rPr>
        <w:t xml:space="preserve">The first issue for me to determine is whether the </w:t>
      </w:r>
      <w:r w:rsidR="001018EC">
        <w:rPr>
          <w:rFonts w:ascii="Book Antiqua" w:hAnsi="Book Antiqua" w:cs="Arial"/>
        </w:rPr>
        <w:t>claim</w:t>
      </w:r>
      <w:r>
        <w:rPr>
          <w:rFonts w:ascii="Book Antiqua" w:hAnsi="Book Antiqua" w:cs="Arial"/>
        </w:rPr>
        <w:t>ant has permanent residence in accordance with Regulation 15</w:t>
      </w:r>
      <w:r w:rsidR="001018EC">
        <w:rPr>
          <w:rFonts w:ascii="Book Antiqua" w:hAnsi="Book Antiqua" w:cs="Arial"/>
        </w:rPr>
        <w:t>(1)(a)</w:t>
      </w:r>
      <w:r>
        <w:rPr>
          <w:rFonts w:ascii="Book Antiqua" w:hAnsi="Book Antiqua" w:cs="Arial"/>
        </w:rPr>
        <w:t xml:space="preserve"> of the</w:t>
      </w:r>
      <w:r w:rsidR="004565D8">
        <w:rPr>
          <w:rFonts w:ascii="Book Antiqua" w:hAnsi="Book Antiqua" w:cs="Arial"/>
        </w:rPr>
        <w:t xml:space="preserve"> Immigration</w:t>
      </w:r>
      <w:r>
        <w:rPr>
          <w:rFonts w:ascii="Book Antiqua" w:hAnsi="Book Antiqua" w:cs="Arial"/>
        </w:rPr>
        <w:t xml:space="preserve"> </w:t>
      </w:r>
      <w:r w:rsidR="004565D8">
        <w:rPr>
          <w:rFonts w:ascii="Book Antiqua" w:hAnsi="Book Antiqua" w:cs="Arial"/>
        </w:rPr>
        <w:t>(</w:t>
      </w:r>
      <w:r>
        <w:rPr>
          <w:rFonts w:ascii="Book Antiqua" w:hAnsi="Book Antiqua" w:cs="Arial"/>
        </w:rPr>
        <w:t>EEA</w:t>
      </w:r>
      <w:r w:rsidR="004565D8">
        <w:rPr>
          <w:rFonts w:ascii="Book Antiqua" w:hAnsi="Book Antiqua" w:cs="Arial"/>
        </w:rPr>
        <w:t>)</w:t>
      </w:r>
      <w:r>
        <w:rPr>
          <w:rFonts w:ascii="Book Antiqua" w:hAnsi="Book Antiqua" w:cs="Arial"/>
        </w:rPr>
        <w:t xml:space="preserve"> Regulations 2006 and is</w:t>
      </w:r>
      <w:r w:rsidR="001018EC">
        <w:rPr>
          <w:rFonts w:ascii="Book Antiqua" w:hAnsi="Book Antiqua" w:cs="Arial"/>
        </w:rPr>
        <w:t xml:space="preserve"> thereby</w:t>
      </w:r>
      <w:r>
        <w:rPr>
          <w:rFonts w:ascii="Book Antiqua" w:hAnsi="Book Antiqua" w:cs="Arial"/>
        </w:rPr>
        <w:t xml:space="preserve"> entitled to enhanced protection against deportation so he can only be deported if the </w:t>
      </w:r>
      <w:r w:rsidR="00E80A43">
        <w:rPr>
          <w:rFonts w:ascii="Book Antiqua" w:hAnsi="Book Antiqua" w:cs="Arial"/>
        </w:rPr>
        <w:t>Secretary of State</w:t>
      </w:r>
      <w:r>
        <w:rPr>
          <w:rFonts w:ascii="Book Antiqua" w:hAnsi="Book Antiqua" w:cs="Arial"/>
        </w:rPr>
        <w:t xml:space="preserve"> can show serious grounds of public policy or public security.</w:t>
      </w:r>
      <w:r w:rsidR="001018EC">
        <w:rPr>
          <w:rFonts w:ascii="Book Antiqua" w:hAnsi="Book Antiqua" w:cs="Arial"/>
        </w:rPr>
        <w:t xml:space="preserve"> The burden of proof is on the claimant</w:t>
      </w:r>
      <w:r w:rsidR="00E119BC">
        <w:rPr>
          <w:rFonts w:ascii="Book Antiqua" w:hAnsi="Book Antiqua" w:cs="Arial"/>
        </w:rPr>
        <w:t xml:space="preserve"> and he must prove his contention that he is entitled to permanent residence on the balance of probabilit</w:t>
      </w:r>
      <w:r w:rsidR="00D96A4A">
        <w:rPr>
          <w:rFonts w:ascii="Book Antiqua" w:hAnsi="Book Antiqua" w:cs="Arial"/>
        </w:rPr>
        <w:t>ies</w:t>
      </w:r>
      <w:r w:rsidR="00E119BC">
        <w:rPr>
          <w:rFonts w:ascii="Book Antiqua" w:hAnsi="Book Antiqua" w:cs="Arial"/>
        </w:rPr>
        <w:t>.</w:t>
      </w:r>
      <w:r>
        <w:rPr>
          <w:rFonts w:ascii="Book Antiqua" w:hAnsi="Book Antiqua" w:cs="Arial"/>
        </w:rPr>
        <w:t xml:space="preserve">  </w:t>
      </w:r>
      <w:r w:rsidR="00D95670">
        <w:rPr>
          <w:rFonts w:ascii="Book Antiqua" w:hAnsi="Book Antiqua" w:cs="Arial"/>
        </w:rPr>
        <w:t xml:space="preserve">It was accepted by Mr </w:t>
      </w:r>
      <w:r w:rsidR="00385D1B">
        <w:rPr>
          <w:rFonts w:ascii="Book Antiqua" w:hAnsi="Book Antiqua" w:cs="Arial"/>
        </w:rPr>
        <w:t>Melvin and Mr Khan that the relevant five</w:t>
      </w:r>
      <w:r w:rsidR="00111A3D">
        <w:rPr>
          <w:rFonts w:ascii="Book Antiqua" w:hAnsi="Book Antiqua" w:cs="Arial"/>
        </w:rPr>
        <w:t>-</w:t>
      </w:r>
      <w:r w:rsidR="00385D1B">
        <w:rPr>
          <w:rFonts w:ascii="Book Antiqua" w:hAnsi="Book Antiqua" w:cs="Arial"/>
        </w:rPr>
        <w:t xml:space="preserve"> year period was</w:t>
      </w:r>
      <w:r w:rsidR="00111A3D">
        <w:rPr>
          <w:rFonts w:ascii="Book Antiqua" w:hAnsi="Book Antiqua" w:cs="Arial"/>
        </w:rPr>
        <w:t xml:space="preserve"> from</w:t>
      </w:r>
      <w:r w:rsidR="00385D1B">
        <w:rPr>
          <w:rFonts w:ascii="Book Antiqua" w:hAnsi="Book Antiqua" w:cs="Arial"/>
        </w:rPr>
        <w:t xml:space="preserve"> </w:t>
      </w:r>
      <w:r w:rsidR="00A243AF">
        <w:rPr>
          <w:rFonts w:ascii="Book Antiqua" w:hAnsi="Book Antiqua" w:cs="Arial"/>
        </w:rPr>
        <w:t xml:space="preserve">January 2012 to January 2017. </w:t>
      </w:r>
    </w:p>
    <w:p w:rsidR="00AB7A6C" w:rsidRPr="00AB7A6C" w:rsidRDefault="00612A0C" w:rsidP="00612A0C">
      <w:pPr>
        <w:numPr>
          <w:ilvl w:val="0"/>
          <w:numId w:val="4"/>
        </w:numPr>
        <w:tabs>
          <w:tab w:val="left" w:pos="2520"/>
        </w:tabs>
        <w:spacing w:before="240"/>
        <w:jc w:val="both"/>
        <w:rPr>
          <w:rFonts w:ascii="Book Antiqua" w:hAnsi="Book Antiqua" w:cs="Arial"/>
          <w:i/>
        </w:rPr>
      </w:pPr>
      <w:r>
        <w:rPr>
          <w:rFonts w:ascii="Book Antiqua" w:hAnsi="Book Antiqua" w:cs="Arial"/>
        </w:rPr>
        <w:lastRenderedPageBreak/>
        <w:t>National Insurance Records</w:t>
      </w:r>
      <w:r w:rsidR="008D35DC">
        <w:rPr>
          <w:rFonts w:ascii="Book Antiqua" w:hAnsi="Book Antiqua" w:cs="Arial"/>
        </w:rPr>
        <w:t xml:space="preserve"> set out in the HMRC letter of 17</w:t>
      </w:r>
      <w:r w:rsidR="008D35DC" w:rsidRPr="008D35DC">
        <w:rPr>
          <w:rFonts w:ascii="Book Antiqua" w:hAnsi="Book Antiqua" w:cs="Arial"/>
          <w:vertAlign w:val="superscript"/>
        </w:rPr>
        <w:t>th</w:t>
      </w:r>
      <w:r w:rsidR="008D35DC">
        <w:rPr>
          <w:rFonts w:ascii="Book Antiqua" w:hAnsi="Book Antiqua" w:cs="Arial"/>
        </w:rPr>
        <w:t xml:space="preserve"> April 2018</w:t>
      </w:r>
      <w:r w:rsidR="00D95670">
        <w:rPr>
          <w:rFonts w:ascii="Book Antiqua" w:hAnsi="Book Antiqua" w:cs="Arial"/>
        </w:rPr>
        <w:t xml:space="preserve"> indicate that the </w:t>
      </w:r>
      <w:r w:rsidR="006C6BC2">
        <w:rPr>
          <w:rFonts w:ascii="Book Antiqua" w:hAnsi="Book Antiqua" w:cs="Arial"/>
        </w:rPr>
        <w:t>claim</w:t>
      </w:r>
      <w:r w:rsidR="00D95670">
        <w:rPr>
          <w:rFonts w:ascii="Book Antiqua" w:hAnsi="Book Antiqua" w:cs="Arial"/>
        </w:rPr>
        <w:t xml:space="preserve">ant was employed from </w:t>
      </w:r>
      <w:r w:rsidR="00A243AF">
        <w:rPr>
          <w:rFonts w:ascii="Book Antiqua" w:hAnsi="Book Antiqua" w:cs="Arial"/>
        </w:rPr>
        <w:t>April</w:t>
      </w:r>
      <w:r w:rsidR="00D95670">
        <w:rPr>
          <w:rFonts w:ascii="Book Antiqua" w:hAnsi="Book Antiqua" w:cs="Arial"/>
        </w:rPr>
        <w:t xml:space="preserve"> 2012 to </w:t>
      </w:r>
      <w:r w:rsidR="00A243AF">
        <w:rPr>
          <w:rFonts w:ascii="Book Antiqua" w:hAnsi="Book Antiqua" w:cs="Arial"/>
        </w:rPr>
        <w:t>April</w:t>
      </w:r>
      <w:r w:rsidR="00D95670">
        <w:rPr>
          <w:rFonts w:ascii="Book Antiqua" w:hAnsi="Book Antiqua" w:cs="Arial"/>
        </w:rPr>
        <w:t xml:space="preserve"> 2017, although the record is not complete for the year</w:t>
      </w:r>
      <w:r w:rsidR="00A243AF">
        <w:rPr>
          <w:rFonts w:ascii="Book Antiqua" w:hAnsi="Book Antiqua" w:cs="Arial"/>
        </w:rPr>
        <w:t xml:space="preserve"> April 2012 to April 2013</w:t>
      </w:r>
      <w:r w:rsidR="005051B4">
        <w:rPr>
          <w:rFonts w:ascii="Book Antiqua" w:hAnsi="Book Antiqua" w:cs="Arial"/>
        </w:rPr>
        <w:t xml:space="preserve"> indicated a level of earnings</w:t>
      </w:r>
      <w:r w:rsidR="004A60D6">
        <w:rPr>
          <w:rFonts w:ascii="Book Antiqua" w:hAnsi="Book Antiqua" w:cs="Arial"/>
        </w:rPr>
        <w:t xml:space="preserve"> below £107 for part of that year. </w:t>
      </w:r>
      <w:r w:rsidR="00A243AF">
        <w:rPr>
          <w:rFonts w:ascii="Book Antiqua" w:hAnsi="Book Antiqua" w:cs="Arial"/>
        </w:rPr>
        <w:t xml:space="preserve"> </w:t>
      </w:r>
      <w:r w:rsidR="00DF100A">
        <w:rPr>
          <w:rFonts w:ascii="Book Antiqua" w:hAnsi="Book Antiqua" w:cs="Arial"/>
        </w:rPr>
        <w:t xml:space="preserve">The </w:t>
      </w:r>
      <w:r w:rsidR="00ED3655">
        <w:rPr>
          <w:rFonts w:ascii="Book Antiqua" w:hAnsi="Book Antiqua" w:cs="Arial"/>
        </w:rPr>
        <w:t>tax records set out in the HMRC let</w:t>
      </w:r>
      <w:r w:rsidR="0083149A">
        <w:rPr>
          <w:rFonts w:ascii="Book Antiqua" w:hAnsi="Book Antiqua" w:cs="Arial"/>
        </w:rPr>
        <w:t xml:space="preserve">ter regarding Pay </w:t>
      </w:r>
      <w:proofErr w:type="gramStart"/>
      <w:r w:rsidR="0083149A">
        <w:rPr>
          <w:rFonts w:ascii="Book Antiqua" w:hAnsi="Book Antiqua" w:cs="Arial"/>
        </w:rPr>
        <w:t>As</w:t>
      </w:r>
      <w:proofErr w:type="gramEnd"/>
      <w:r w:rsidR="0083149A">
        <w:rPr>
          <w:rFonts w:ascii="Book Antiqua" w:hAnsi="Book Antiqua" w:cs="Arial"/>
        </w:rPr>
        <w:t xml:space="preserve"> You Earn and </w:t>
      </w:r>
      <w:proofErr w:type="spellStart"/>
      <w:r w:rsidR="0083149A">
        <w:rPr>
          <w:rFonts w:ascii="Book Antiqua" w:hAnsi="Book Antiqua" w:cs="Arial"/>
        </w:rPr>
        <w:t>Self Assessment</w:t>
      </w:r>
      <w:proofErr w:type="spellEnd"/>
      <w:r w:rsidR="0083149A">
        <w:rPr>
          <w:rFonts w:ascii="Book Antiqua" w:hAnsi="Book Antiqua" w:cs="Arial"/>
        </w:rPr>
        <w:t xml:space="preserve"> dated 11</w:t>
      </w:r>
      <w:r w:rsidR="0083149A" w:rsidRPr="0083149A">
        <w:rPr>
          <w:rFonts w:ascii="Book Antiqua" w:hAnsi="Book Antiqua" w:cs="Arial"/>
          <w:vertAlign w:val="superscript"/>
        </w:rPr>
        <w:t>th</w:t>
      </w:r>
      <w:r w:rsidR="0083149A">
        <w:rPr>
          <w:rFonts w:ascii="Book Antiqua" w:hAnsi="Book Antiqua" w:cs="Arial"/>
        </w:rPr>
        <w:t xml:space="preserve"> June 2018</w:t>
      </w:r>
      <w:r w:rsidR="009C0A0C">
        <w:rPr>
          <w:rFonts w:ascii="Book Antiqua" w:hAnsi="Book Antiqua" w:cs="Arial"/>
        </w:rPr>
        <w:t xml:space="preserve"> show records of the </w:t>
      </w:r>
      <w:r w:rsidR="006C6BC2">
        <w:rPr>
          <w:rFonts w:ascii="Book Antiqua" w:hAnsi="Book Antiqua" w:cs="Arial"/>
        </w:rPr>
        <w:t>claim</w:t>
      </w:r>
      <w:r w:rsidR="009C0A0C">
        <w:rPr>
          <w:rFonts w:ascii="Book Antiqua" w:hAnsi="Book Antiqua" w:cs="Arial"/>
        </w:rPr>
        <w:t>ant working from</w:t>
      </w:r>
      <w:r w:rsidR="003C1906">
        <w:rPr>
          <w:rFonts w:ascii="Book Antiqua" w:hAnsi="Book Antiqua" w:cs="Arial"/>
        </w:rPr>
        <w:t xml:space="preserve"> March 2013 starting with the job with </w:t>
      </w:r>
      <w:proofErr w:type="spellStart"/>
      <w:r w:rsidR="003C1906">
        <w:rPr>
          <w:rFonts w:ascii="Book Antiqua" w:hAnsi="Book Antiqua" w:cs="Arial"/>
        </w:rPr>
        <w:t>Entremettier</w:t>
      </w:r>
      <w:proofErr w:type="spellEnd"/>
      <w:r w:rsidR="003C1906">
        <w:rPr>
          <w:rFonts w:ascii="Book Antiqua" w:hAnsi="Book Antiqua" w:cs="Arial"/>
        </w:rPr>
        <w:t xml:space="preserve"> Ltd through to work </w:t>
      </w:r>
      <w:r w:rsidR="00AF6E0E">
        <w:rPr>
          <w:rFonts w:ascii="Book Antiqua" w:hAnsi="Book Antiqua" w:cs="Arial"/>
        </w:rPr>
        <w:t xml:space="preserve">ending in April 2017. </w:t>
      </w:r>
    </w:p>
    <w:p w:rsidR="00FE0EF2" w:rsidRPr="00FE0EF2" w:rsidRDefault="00AB7A6C" w:rsidP="00612A0C">
      <w:pPr>
        <w:numPr>
          <w:ilvl w:val="0"/>
          <w:numId w:val="4"/>
        </w:numPr>
        <w:tabs>
          <w:tab w:val="left" w:pos="2520"/>
        </w:tabs>
        <w:spacing w:before="240"/>
        <w:jc w:val="both"/>
        <w:rPr>
          <w:rFonts w:ascii="Book Antiqua" w:hAnsi="Book Antiqua" w:cs="Arial"/>
          <w:i/>
        </w:rPr>
      </w:pPr>
      <w:r>
        <w:rPr>
          <w:rFonts w:ascii="Book Antiqua" w:hAnsi="Book Antiqua" w:cs="Arial"/>
        </w:rPr>
        <w:t>On the basis of this evidence, which is supported by further documentation from the claimant</w:t>
      </w:r>
      <w:r w:rsidR="00B24ACD">
        <w:rPr>
          <w:rFonts w:ascii="Book Antiqua" w:hAnsi="Book Antiqua" w:cs="Arial"/>
        </w:rPr>
        <w:t xml:space="preserve">, in the form of payslips, </w:t>
      </w:r>
      <w:r w:rsidR="00E44F9B">
        <w:rPr>
          <w:rFonts w:ascii="Book Antiqua" w:hAnsi="Book Antiqua" w:cs="Arial"/>
        </w:rPr>
        <w:t xml:space="preserve">tax documents, job descriptions and terms and conditions documents, P60 and job-seekers allowance documents I am more than satisfied on the balance of probabilities that the claimant was a worker </w:t>
      </w:r>
      <w:r w:rsidR="00FE0EF2">
        <w:rPr>
          <w:rFonts w:ascii="Book Antiqua" w:hAnsi="Book Antiqua" w:cs="Arial"/>
        </w:rPr>
        <w:t xml:space="preserve">for the period April 2013 to January 2017. </w:t>
      </w:r>
    </w:p>
    <w:p w:rsidR="009F0A93" w:rsidRPr="009F0A93" w:rsidRDefault="00FE0EF2" w:rsidP="00612A0C">
      <w:pPr>
        <w:numPr>
          <w:ilvl w:val="0"/>
          <w:numId w:val="4"/>
        </w:numPr>
        <w:tabs>
          <w:tab w:val="left" w:pos="2520"/>
        </w:tabs>
        <w:spacing w:before="240"/>
        <w:jc w:val="both"/>
        <w:rPr>
          <w:rFonts w:ascii="Book Antiqua" w:hAnsi="Book Antiqua" w:cs="Arial"/>
          <w:i/>
        </w:rPr>
      </w:pPr>
      <w:r>
        <w:rPr>
          <w:rFonts w:ascii="Book Antiqua" w:hAnsi="Book Antiqua" w:cs="Arial"/>
        </w:rPr>
        <w:t xml:space="preserve">The evidence for the period January 2012 to </w:t>
      </w:r>
      <w:r w:rsidR="004871AD">
        <w:rPr>
          <w:rFonts w:ascii="Book Antiqua" w:hAnsi="Book Antiqua" w:cs="Arial"/>
        </w:rPr>
        <w:t xml:space="preserve">March 2013 is less complete. </w:t>
      </w:r>
      <w:r w:rsidR="00395E08">
        <w:rPr>
          <w:rFonts w:ascii="Book Antiqua" w:hAnsi="Book Antiqua" w:cs="Arial"/>
        </w:rPr>
        <w:t>The claimant</w:t>
      </w:r>
      <w:r w:rsidR="004871AD">
        <w:rPr>
          <w:rFonts w:ascii="Book Antiqua" w:hAnsi="Book Antiqua" w:cs="Arial"/>
        </w:rPr>
        <w:t xml:space="preserve"> has said that he worked</w:t>
      </w:r>
      <w:r w:rsidR="00816747">
        <w:rPr>
          <w:rFonts w:ascii="Book Antiqua" w:hAnsi="Book Antiqua" w:cs="Arial"/>
        </w:rPr>
        <w:t xml:space="preserve"> for the </w:t>
      </w:r>
      <w:r w:rsidR="004871AD">
        <w:rPr>
          <w:rFonts w:ascii="Book Antiqua" w:hAnsi="Book Antiqua" w:cs="Arial"/>
        </w:rPr>
        <w:t>for</w:t>
      </w:r>
      <w:r w:rsidR="00935CE9">
        <w:rPr>
          <w:rFonts w:ascii="Book Antiqua" w:hAnsi="Book Antiqua" w:cs="Arial"/>
        </w:rPr>
        <w:t xml:space="preserve"> the</w:t>
      </w:r>
      <w:r w:rsidR="004871AD">
        <w:rPr>
          <w:rFonts w:ascii="Book Antiqua" w:hAnsi="Book Antiqua" w:cs="Arial"/>
        </w:rPr>
        <w:t xml:space="preserve"> Al Malaki Café Ltd from June 2011 until March 2012</w:t>
      </w:r>
      <w:r w:rsidR="00395E08">
        <w:rPr>
          <w:rFonts w:ascii="Book Antiqua" w:hAnsi="Book Antiqua" w:cs="Arial"/>
        </w:rPr>
        <w:t xml:space="preserve"> as a waiter for a Mr Kamran Naser working at 141 Goldhawk Road in </w:t>
      </w:r>
      <w:r w:rsidR="007046AB">
        <w:rPr>
          <w:rFonts w:ascii="Book Antiqua" w:hAnsi="Book Antiqua" w:cs="Arial"/>
        </w:rPr>
        <w:t>Shepherds Bush</w:t>
      </w:r>
      <w:r w:rsidR="00A70739">
        <w:rPr>
          <w:rFonts w:ascii="Book Antiqua" w:hAnsi="Book Antiqua" w:cs="Arial"/>
        </w:rPr>
        <w:t xml:space="preserve">, and then for Premier </w:t>
      </w:r>
      <w:r w:rsidR="002D0AB1">
        <w:rPr>
          <w:rFonts w:ascii="Book Antiqua" w:hAnsi="Book Antiqua" w:cs="Arial"/>
        </w:rPr>
        <w:t>Fruits</w:t>
      </w:r>
      <w:r w:rsidR="007046AB">
        <w:rPr>
          <w:rFonts w:ascii="Book Antiqua" w:hAnsi="Book Antiqua" w:cs="Arial"/>
        </w:rPr>
        <w:t xml:space="preserve"> as a packer and van driver/deliverer of fresh fruits and vegetables </w:t>
      </w:r>
      <w:r w:rsidR="008B63E0">
        <w:rPr>
          <w:rFonts w:ascii="Book Antiqua" w:hAnsi="Book Antiqua" w:cs="Arial"/>
        </w:rPr>
        <w:t>at Covent Garden market</w:t>
      </w:r>
      <w:r w:rsidR="002D0AB1">
        <w:rPr>
          <w:rFonts w:ascii="Book Antiqua" w:hAnsi="Book Antiqua" w:cs="Arial"/>
        </w:rPr>
        <w:t xml:space="preserve"> from April </w:t>
      </w:r>
      <w:r w:rsidR="008B63E0">
        <w:rPr>
          <w:rFonts w:ascii="Book Antiqua" w:hAnsi="Book Antiqua" w:cs="Arial"/>
        </w:rPr>
        <w:t>2012 to February 2013</w:t>
      </w:r>
      <w:r w:rsidR="000F4820">
        <w:rPr>
          <w:rFonts w:ascii="Book Antiqua" w:hAnsi="Book Antiqua" w:cs="Arial"/>
        </w:rPr>
        <w:t xml:space="preserve">. </w:t>
      </w:r>
    </w:p>
    <w:p w:rsidR="00DD2DE7" w:rsidRPr="00DD2DE7" w:rsidRDefault="005A4A68" w:rsidP="00612A0C">
      <w:pPr>
        <w:numPr>
          <w:ilvl w:val="0"/>
          <w:numId w:val="4"/>
        </w:numPr>
        <w:tabs>
          <w:tab w:val="left" w:pos="2520"/>
        </w:tabs>
        <w:spacing w:before="240"/>
        <w:jc w:val="both"/>
        <w:rPr>
          <w:rFonts w:ascii="Book Antiqua" w:hAnsi="Book Antiqua" w:cs="Arial"/>
          <w:i/>
        </w:rPr>
      </w:pPr>
      <w:r>
        <w:rPr>
          <w:rFonts w:ascii="Book Antiqua" w:hAnsi="Book Antiqua" w:cs="Arial"/>
        </w:rPr>
        <w:t>In terms of documentary evidence supporting the claimant’s history there are</w:t>
      </w:r>
      <w:r w:rsidR="00612A0C">
        <w:rPr>
          <w:rFonts w:ascii="Book Antiqua" w:hAnsi="Book Antiqua" w:cs="Arial"/>
        </w:rPr>
        <w:t xml:space="preserve"> </w:t>
      </w:r>
      <w:r>
        <w:rPr>
          <w:rFonts w:ascii="Book Antiqua" w:hAnsi="Book Antiqua" w:cs="Arial"/>
        </w:rPr>
        <w:t>payslips for Al Malaki Café Ltd from June 2011 until March 2012</w:t>
      </w:r>
      <w:r w:rsidR="00385BB6">
        <w:rPr>
          <w:rFonts w:ascii="Book Antiqua" w:hAnsi="Book Antiqua" w:cs="Arial"/>
        </w:rPr>
        <w:t>, which do show that no tax or national insurance was paid during this time</w:t>
      </w:r>
      <w:r w:rsidR="00EC6E52">
        <w:rPr>
          <w:rFonts w:ascii="Book Antiqua" w:hAnsi="Book Antiqua" w:cs="Arial"/>
        </w:rPr>
        <w:t xml:space="preserve"> and thus are consistent with the </w:t>
      </w:r>
      <w:r w:rsidR="005E4AF5">
        <w:rPr>
          <w:rFonts w:ascii="Book Antiqua" w:hAnsi="Book Antiqua" w:cs="Arial"/>
        </w:rPr>
        <w:t xml:space="preserve">fact that the claimant has no tax or national insurance payment record during this period of time. </w:t>
      </w:r>
      <w:r w:rsidR="00CC2C14">
        <w:rPr>
          <w:rFonts w:ascii="Book Antiqua" w:hAnsi="Book Antiqua" w:cs="Arial"/>
        </w:rPr>
        <w:t>T</w:t>
      </w:r>
      <w:r w:rsidR="004C54B5">
        <w:rPr>
          <w:rFonts w:ascii="Book Antiqua" w:hAnsi="Book Antiqua" w:cs="Arial"/>
        </w:rPr>
        <w:t xml:space="preserve">he </w:t>
      </w:r>
      <w:r w:rsidR="00CC2C14">
        <w:rPr>
          <w:rFonts w:ascii="Book Antiqua" w:hAnsi="Book Antiqua" w:cs="Arial"/>
        </w:rPr>
        <w:t>claim</w:t>
      </w:r>
      <w:r w:rsidR="004C54B5">
        <w:rPr>
          <w:rFonts w:ascii="Book Antiqua" w:hAnsi="Book Antiqua" w:cs="Arial"/>
        </w:rPr>
        <w:t>ant could</w:t>
      </w:r>
      <w:r w:rsidR="009A7BB8">
        <w:rPr>
          <w:rFonts w:ascii="Book Antiqua" w:hAnsi="Book Antiqua" w:cs="Arial"/>
        </w:rPr>
        <w:t xml:space="preserve"> have</w:t>
      </w:r>
      <w:r w:rsidR="004C54B5">
        <w:rPr>
          <w:rFonts w:ascii="Book Antiqua" w:hAnsi="Book Antiqua" w:cs="Arial"/>
        </w:rPr>
        <w:t xml:space="preserve"> lawfully </w:t>
      </w:r>
      <w:proofErr w:type="gramStart"/>
      <w:r w:rsidR="004C54B5">
        <w:rPr>
          <w:rFonts w:ascii="Book Antiqua" w:hAnsi="Book Antiqua" w:cs="Arial"/>
        </w:rPr>
        <w:t>earn</w:t>
      </w:r>
      <w:proofErr w:type="gramEnd"/>
      <w:r w:rsidR="004C54B5">
        <w:rPr>
          <w:rFonts w:ascii="Book Antiqua" w:hAnsi="Book Antiqua" w:cs="Arial"/>
        </w:rPr>
        <w:t xml:space="preserve"> up to £10</w:t>
      </w:r>
      <w:r w:rsidR="00CC2C14">
        <w:rPr>
          <w:rFonts w:ascii="Book Antiqua" w:hAnsi="Book Antiqua" w:cs="Arial"/>
        </w:rPr>
        <w:t>2</w:t>
      </w:r>
      <w:r w:rsidR="004C54B5">
        <w:rPr>
          <w:rFonts w:ascii="Book Antiqua" w:hAnsi="Book Antiqua" w:cs="Arial"/>
        </w:rPr>
        <w:t xml:space="preserve"> a week without being liable to pay tax or nat</w:t>
      </w:r>
      <w:r w:rsidR="00DA60CA">
        <w:rPr>
          <w:rFonts w:ascii="Book Antiqua" w:hAnsi="Book Antiqua" w:cs="Arial"/>
        </w:rPr>
        <w:t>ional</w:t>
      </w:r>
      <w:r w:rsidR="004C54B5">
        <w:rPr>
          <w:rFonts w:ascii="Book Antiqua" w:hAnsi="Book Antiqua" w:cs="Arial"/>
        </w:rPr>
        <w:t xml:space="preserve"> insurance</w:t>
      </w:r>
      <w:r w:rsidR="00A84EF6">
        <w:rPr>
          <w:rFonts w:ascii="Book Antiqua" w:hAnsi="Book Antiqua" w:cs="Arial"/>
        </w:rPr>
        <w:t xml:space="preserve"> during this period</w:t>
      </w:r>
      <w:r w:rsidR="004C54B5">
        <w:rPr>
          <w:rFonts w:ascii="Book Antiqua" w:hAnsi="Book Antiqua" w:cs="Arial"/>
        </w:rPr>
        <w:t xml:space="preserve">. </w:t>
      </w:r>
      <w:r w:rsidR="00DA60CA">
        <w:rPr>
          <w:rFonts w:ascii="Book Antiqua" w:hAnsi="Book Antiqua" w:cs="Arial"/>
        </w:rPr>
        <w:t>There is also a letter from the accountants of Al Malaki Ltd which state</w:t>
      </w:r>
      <w:r w:rsidR="00E846D1">
        <w:rPr>
          <w:rFonts w:ascii="Book Antiqua" w:hAnsi="Book Antiqua" w:cs="Arial"/>
        </w:rPr>
        <w:t>s</w:t>
      </w:r>
      <w:r w:rsidR="00DA60CA">
        <w:rPr>
          <w:rFonts w:ascii="Book Antiqua" w:hAnsi="Book Antiqua" w:cs="Arial"/>
        </w:rPr>
        <w:t xml:space="preserve"> that the claimant had worked there from June 2011 until March 2012.</w:t>
      </w:r>
    </w:p>
    <w:p w:rsidR="00BD12C9" w:rsidRPr="00BD12C9" w:rsidRDefault="0061251C" w:rsidP="00612A0C">
      <w:pPr>
        <w:numPr>
          <w:ilvl w:val="0"/>
          <w:numId w:val="4"/>
        </w:numPr>
        <w:tabs>
          <w:tab w:val="left" w:pos="2520"/>
        </w:tabs>
        <w:spacing w:before="240"/>
        <w:jc w:val="both"/>
        <w:rPr>
          <w:rFonts w:ascii="Book Antiqua" w:hAnsi="Book Antiqua" w:cs="Arial"/>
          <w:i/>
        </w:rPr>
      </w:pPr>
      <w:r>
        <w:rPr>
          <w:rFonts w:ascii="Book Antiqua" w:hAnsi="Book Antiqua" w:cs="Arial"/>
        </w:rPr>
        <w:t xml:space="preserve"> I acknowledge that the Secretary of State has suggested that the claimant may not even have been in the UK at this time</w:t>
      </w:r>
      <w:r w:rsidR="005D4FC4">
        <w:rPr>
          <w:rFonts w:ascii="Book Antiqua" w:hAnsi="Book Antiqua" w:cs="Arial"/>
        </w:rPr>
        <w:t xml:space="preserve"> based on a questionnaire </w:t>
      </w:r>
      <w:r w:rsidR="00DD2DE7">
        <w:rPr>
          <w:rFonts w:ascii="Book Antiqua" w:hAnsi="Book Antiqua" w:cs="Arial"/>
        </w:rPr>
        <w:t>he completed for them</w:t>
      </w:r>
      <w:r>
        <w:rPr>
          <w:rFonts w:ascii="Book Antiqua" w:hAnsi="Book Antiqua" w:cs="Arial"/>
        </w:rPr>
        <w:t>, but I find that he</w:t>
      </w:r>
      <w:r w:rsidR="005D4FC4">
        <w:rPr>
          <w:rFonts w:ascii="Book Antiqua" w:hAnsi="Book Antiqua" w:cs="Arial"/>
        </w:rPr>
        <w:t xml:space="preserve"> has been consistent</w:t>
      </w:r>
      <w:r w:rsidR="00DD2DE7">
        <w:rPr>
          <w:rFonts w:ascii="Book Antiqua" w:hAnsi="Book Antiqua" w:cs="Arial"/>
        </w:rPr>
        <w:t xml:space="preserve"> in asserting that he entered the UK in June 2010</w:t>
      </w:r>
      <w:r w:rsidR="0094491C">
        <w:rPr>
          <w:rFonts w:ascii="Book Antiqua" w:hAnsi="Book Antiqua" w:cs="Arial"/>
        </w:rPr>
        <w:t xml:space="preserve">, and consistent with his having been present for his father when he had his heart operation (which is </w:t>
      </w:r>
      <w:r w:rsidR="00647320">
        <w:rPr>
          <w:rFonts w:ascii="Book Antiqua" w:hAnsi="Book Antiqua" w:cs="Arial"/>
        </w:rPr>
        <w:t>supported by medical documents in the bundle) in November 2011</w:t>
      </w:r>
      <w:r w:rsidR="00DD2DE7">
        <w:rPr>
          <w:rFonts w:ascii="Book Antiqua" w:hAnsi="Book Antiqua" w:cs="Arial"/>
        </w:rPr>
        <w:t>.</w:t>
      </w:r>
      <w:r w:rsidR="00DD2DE7" w:rsidRPr="00DD2DE7">
        <w:rPr>
          <w:rFonts w:ascii="Book Antiqua" w:hAnsi="Book Antiqua" w:cs="Arial"/>
        </w:rPr>
        <w:t xml:space="preserve"> </w:t>
      </w:r>
      <w:r w:rsidR="00DD2DE7">
        <w:rPr>
          <w:rFonts w:ascii="Book Antiqua" w:hAnsi="Book Antiqua" w:cs="Arial"/>
        </w:rPr>
        <w:t>I am satisfied that the claimant gave honest testimony before me. He did not attempt to defend his criminal behaviour and has no convictions for dishonesty. I found that he lacked insight into his criminal behaviour</w:t>
      </w:r>
      <w:r w:rsidR="00C31B09">
        <w:rPr>
          <w:rFonts w:ascii="Book Antiqua" w:hAnsi="Book Antiqua" w:cs="Arial"/>
        </w:rPr>
        <w:t xml:space="preserve"> as he could not explain why between 2014 and 2014 in middle age</w:t>
      </w:r>
      <w:r w:rsidR="00DC1192">
        <w:rPr>
          <w:rFonts w:ascii="Book Antiqua" w:hAnsi="Book Antiqua" w:cs="Arial"/>
        </w:rPr>
        <w:t>,</w:t>
      </w:r>
      <w:r w:rsidR="008C35C5">
        <w:rPr>
          <w:rFonts w:ascii="Book Antiqua" w:hAnsi="Book Antiqua" w:cs="Arial"/>
        </w:rPr>
        <w:t xml:space="preserve"> with no particular or new difficulties</w:t>
      </w:r>
      <w:r w:rsidR="00DC1192">
        <w:rPr>
          <w:rFonts w:ascii="Book Antiqua" w:hAnsi="Book Antiqua" w:cs="Arial"/>
        </w:rPr>
        <w:t>,</w:t>
      </w:r>
      <w:r w:rsidR="00C31B09">
        <w:rPr>
          <w:rFonts w:ascii="Book Antiqua" w:hAnsi="Book Antiqua" w:cs="Arial"/>
        </w:rPr>
        <w:t xml:space="preserve"> he </w:t>
      </w:r>
      <w:r w:rsidR="00DC1192">
        <w:rPr>
          <w:rFonts w:ascii="Book Antiqua" w:hAnsi="Book Antiqua" w:cs="Arial"/>
        </w:rPr>
        <w:t>had committed</w:t>
      </w:r>
      <w:r w:rsidR="00C31B09">
        <w:rPr>
          <w:rFonts w:ascii="Book Antiqua" w:hAnsi="Book Antiqua" w:cs="Arial"/>
        </w:rPr>
        <w:t xml:space="preserve"> th</w:t>
      </w:r>
      <w:r w:rsidR="008C35C5">
        <w:rPr>
          <w:rFonts w:ascii="Book Antiqua" w:hAnsi="Book Antiqua" w:cs="Arial"/>
        </w:rPr>
        <w:t>ese wrongful</w:t>
      </w:r>
      <w:r w:rsidR="00C31B09">
        <w:rPr>
          <w:rFonts w:ascii="Book Antiqua" w:hAnsi="Book Antiqua" w:cs="Arial"/>
        </w:rPr>
        <w:t xml:space="preserve"> acts</w:t>
      </w:r>
      <w:r w:rsidR="00DD2DE7">
        <w:rPr>
          <w:rFonts w:ascii="Book Antiqua" w:hAnsi="Book Antiqua" w:cs="Arial"/>
        </w:rPr>
        <w:t xml:space="preserve"> but that he did not attempt to diminish the seriousness of what he had done</w:t>
      </w:r>
      <w:r w:rsidR="00054AAD">
        <w:rPr>
          <w:rFonts w:ascii="Book Antiqua" w:hAnsi="Book Antiqua" w:cs="Arial"/>
        </w:rPr>
        <w:t xml:space="preserve"> and was sincere in his regret at having broken the law</w:t>
      </w:r>
      <w:r w:rsidR="00C31518">
        <w:rPr>
          <w:rFonts w:ascii="Book Antiqua" w:hAnsi="Book Antiqua" w:cs="Arial"/>
        </w:rPr>
        <w:t>.</w:t>
      </w:r>
      <w:r w:rsidR="00DD2DE7">
        <w:rPr>
          <w:rFonts w:ascii="Book Antiqua" w:hAnsi="Book Antiqua" w:cs="Arial"/>
        </w:rPr>
        <w:t xml:space="preserve"> </w:t>
      </w:r>
      <w:r w:rsidR="00DA60CA">
        <w:rPr>
          <w:rFonts w:ascii="Book Antiqua" w:hAnsi="Book Antiqua" w:cs="Arial"/>
        </w:rPr>
        <w:t xml:space="preserve"> </w:t>
      </w:r>
      <w:r w:rsidR="00ED6455">
        <w:rPr>
          <w:rFonts w:ascii="Book Antiqua" w:hAnsi="Book Antiqua" w:cs="Arial"/>
        </w:rPr>
        <w:t>On the basis of th</w:t>
      </w:r>
      <w:r w:rsidR="00054AAD">
        <w:rPr>
          <w:rFonts w:ascii="Book Antiqua" w:hAnsi="Book Antiqua" w:cs="Arial"/>
        </w:rPr>
        <w:t>e complete</w:t>
      </w:r>
      <w:r w:rsidR="00ED6455">
        <w:rPr>
          <w:rFonts w:ascii="Book Antiqua" w:hAnsi="Book Antiqua" w:cs="Arial"/>
        </w:rPr>
        <w:t xml:space="preserve"> evidence</w:t>
      </w:r>
      <w:r w:rsidR="00054AAD">
        <w:rPr>
          <w:rFonts w:ascii="Book Antiqua" w:hAnsi="Book Antiqua" w:cs="Arial"/>
        </w:rPr>
        <w:t>, witness evidence and supporting documents,</w:t>
      </w:r>
      <w:r w:rsidR="00ED6455">
        <w:rPr>
          <w:rFonts w:ascii="Book Antiqua" w:hAnsi="Book Antiqua" w:cs="Arial"/>
        </w:rPr>
        <w:t xml:space="preserve"> I am satisfied</w:t>
      </w:r>
      <w:r w:rsidR="002F4E34">
        <w:rPr>
          <w:rFonts w:ascii="Book Antiqua" w:hAnsi="Book Antiqua" w:cs="Arial"/>
        </w:rPr>
        <w:t xml:space="preserve"> on the balance of probabilities</w:t>
      </w:r>
      <w:r w:rsidR="00ED6455">
        <w:rPr>
          <w:rFonts w:ascii="Book Antiqua" w:hAnsi="Book Antiqua" w:cs="Arial"/>
        </w:rPr>
        <w:t xml:space="preserve"> that the claimant worked for the Al Malaki café during the </w:t>
      </w:r>
      <w:r w:rsidR="002C339C">
        <w:rPr>
          <w:rFonts w:ascii="Book Antiqua" w:hAnsi="Book Antiqua" w:cs="Arial"/>
        </w:rPr>
        <w:t>months of</w:t>
      </w:r>
      <w:r w:rsidR="00ED6455">
        <w:rPr>
          <w:rFonts w:ascii="Book Antiqua" w:hAnsi="Book Antiqua" w:cs="Arial"/>
        </w:rPr>
        <w:t xml:space="preserve"> January 2012</w:t>
      </w:r>
      <w:r w:rsidR="002C339C">
        <w:rPr>
          <w:rFonts w:ascii="Book Antiqua" w:hAnsi="Book Antiqua" w:cs="Arial"/>
        </w:rPr>
        <w:t xml:space="preserve"> to March 2012 </w:t>
      </w:r>
      <w:r w:rsidR="002F4E34">
        <w:rPr>
          <w:rFonts w:ascii="Book Antiqua" w:hAnsi="Book Antiqua" w:cs="Arial"/>
        </w:rPr>
        <w:t>as he has claimed.</w:t>
      </w:r>
    </w:p>
    <w:p w:rsidR="00287E76" w:rsidRPr="00287E76" w:rsidRDefault="002F4E34" w:rsidP="00612A0C">
      <w:pPr>
        <w:numPr>
          <w:ilvl w:val="0"/>
          <w:numId w:val="4"/>
        </w:numPr>
        <w:tabs>
          <w:tab w:val="left" w:pos="2520"/>
        </w:tabs>
        <w:spacing w:before="240"/>
        <w:jc w:val="both"/>
        <w:rPr>
          <w:rFonts w:ascii="Book Antiqua" w:hAnsi="Book Antiqua" w:cs="Arial"/>
          <w:i/>
        </w:rPr>
      </w:pPr>
      <w:r>
        <w:rPr>
          <w:rFonts w:ascii="Book Antiqua" w:hAnsi="Book Antiqua" w:cs="Arial"/>
        </w:rPr>
        <w:lastRenderedPageBreak/>
        <w:t xml:space="preserve"> </w:t>
      </w:r>
      <w:r w:rsidR="00023260">
        <w:rPr>
          <w:rFonts w:ascii="Book Antiqua" w:hAnsi="Book Antiqua" w:cs="Arial"/>
        </w:rPr>
        <w:t xml:space="preserve">With respect to the work for Premier Fruits between April 2012 and </w:t>
      </w:r>
      <w:r w:rsidR="00883E46">
        <w:rPr>
          <w:rFonts w:ascii="Book Antiqua" w:hAnsi="Book Antiqua" w:cs="Arial"/>
        </w:rPr>
        <w:t>February</w:t>
      </w:r>
      <w:r w:rsidR="00023260">
        <w:rPr>
          <w:rFonts w:ascii="Book Antiqua" w:hAnsi="Book Antiqua" w:cs="Arial"/>
        </w:rPr>
        <w:t xml:space="preserve"> 2013 the only supporting documentary evidence is the</w:t>
      </w:r>
      <w:r w:rsidR="00BD12C9">
        <w:rPr>
          <w:rFonts w:ascii="Book Antiqua" w:hAnsi="Book Antiqua" w:cs="Arial"/>
        </w:rPr>
        <w:t xml:space="preserve"> during this period</w:t>
      </w:r>
      <w:r w:rsidR="00023260">
        <w:rPr>
          <w:rFonts w:ascii="Book Antiqua" w:hAnsi="Book Antiqua" w:cs="Arial"/>
        </w:rPr>
        <w:t xml:space="preserve"> </w:t>
      </w:r>
      <w:r w:rsidR="00544282">
        <w:rPr>
          <w:rFonts w:ascii="Book Antiqua" w:hAnsi="Book Antiqua" w:cs="Arial"/>
        </w:rPr>
        <w:t xml:space="preserve">31 national insurance </w:t>
      </w:r>
      <w:r w:rsidR="00E15EBD">
        <w:rPr>
          <w:rFonts w:ascii="Book Antiqua" w:hAnsi="Book Antiqua" w:cs="Arial"/>
        </w:rPr>
        <w:t>class 1 credits</w:t>
      </w:r>
      <w:r w:rsidR="00476881">
        <w:rPr>
          <w:rFonts w:ascii="Book Antiqua" w:hAnsi="Book Antiqua" w:cs="Arial"/>
        </w:rPr>
        <w:t xml:space="preserve"> (which would indicate receipt of </w:t>
      </w:r>
      <w:proofErr w:type="gramStart"/>
      <w:r w:rsidR="00476881">
        <w:rPr>
          <w:rFonts w:ascii="Book Antiqua" w:hAnsi="Book Antiqua" w:cs="Arial"/>
        </w:rPr>
        <w:t>jobseekers</w:t>
      </w:r>
      <w:proofErr w:type="gramEnd"/>
      <w:r w:rsidR="00476881">
        <w:rPr>
          <w:rFonts w:ascii="Book Antiqua" w:hAnsi="Book Antiqua" w:cs="Arial"/>
        </w:rPr>
        <w:t xml:space="preserve"> allowance</w:t>
      </w:r>
      <w:r w:rsidR="0028246E">
        <w:rPr>
          <w:rFonts w:ascii="Book Antiqua" w:hAnsi="Book Antiqua" w:cs="Arial"/>
        </w:rPr>
        <w:t>)</w:t>
      </w:r>
      <w:r w:rsidR="00E15EBD">
        <w:rPr>
          <w:rFonts w:ascii="Book Antiqua" w:hAnsi="Book Antiqua" w:cs="Arial"/>
        </w:rPr>
        <w:t xml:space="preserve"> were paid for the claimant in this tax year</w:t>
      </w:r>
      <w:r w:rsidR="00720FB4">
        <w:rPr>
          <w:rFonts w:ascii="Book Antiqua" w:hAnsi="Book Antiqua" w:cs="Arial"/>
        </w:rPr>
        <w:t xml:space="preserve"> </w:t>
      </w:r>
      <w:r w:rsidR="00333D12">
        <w:rPr>
          <w:rFonts w:ascii="Book Antiqua" w:hAnsi="Book Antiqua" w:cs="Arial"/>
        </w:rPr>
        <w:t>along with £74.32 of national insurance contributions</w:t>
      </w:r>
      <w:r w:rsidR="00BD12C9">
        <w:rPr>
          <w:rFonts w:ascii="Book Antiqua" w:hAnsi="Book Antiqua" w:cs="Arial"/>
        </w:rPr>
        <w:t xml:space="preserve"> which would indicate a period of time where </w:t>
      </w:r>
      <w:r w:rsidR="00D21321">
        <w:rPr>
          <w:rFonts w:ascii="Book Antiqua" w:hAnsi="Book Antiqua" w:cs="Arial"/>
        </w:rPr>
        <w:t xml:space="preserve">the claimant worked and earned more than </w:t>
      </w:r>
      <w:r w:rsidR="0026520D">
        <w:rPr>
          <w:rFonts w:ascii="Book Antiqua" w:hAnsi="Book Antiqua" w:cs="Arial"/>
        </w:rPr>
        <w:t>£107 a week and thus paid</w:t>
      </w:r>
      <w:r w:rsidR="004965A1">
        <w:rPr>
          <w:rFonts w:ascii="Book Antiqua" w:hAnsi="Book Antiqua" w:cs="Arial"/>
        </w:rPr>
        <w:t xml:space="preserve"> </w:t>
      </w:r>
      <w:r w:rsidR="0026520D">
        <w:rPr>
          <w:rFonts w:ascii="Book Antiqua" w:hAnsi="Book Antiqua" w:cs="Arial"/>
        </w:rPr>
        <w:t>national insurance.</w:t>
      </w:r>
      <w:r w:rsidR="00E25EC9">
        <w:rPr>
          <w:rFonts w:ascii="Book Antiqua" w:hAnsi="Book Antiqua" w:cs="Arial"/>
        </w:rPr>
        <w:t xml:space="preserve"> Looking at the evidence as a whole, including the credible</w:t>
      </w:r>
      <w:r w:rsidR="00054AAD">
        <w:rPr>
          <w:rFonts w:ascii="Book Antiqua" w:hAnsi="Book Antiqua" w:cs="Arial"/>
        </w:rPr>
        <w:t xml:space="preserve"> witness</w:t>
      </w:r>
      <w:r w:rsidR="00E25EC9">
        <w:rPr>
          <w:rFonts w:ascii="Book Antiqua" w:hAnsi="Book Antiqua" w:cs="Arial"/>
        </w:rPr>
        <w:t xml:space="preserve"> </w:t>
      </w:r>
      <w:r w:rsidR="00B24EB8">
        <w:rPr>
          <w:rFonts w:ascii="Book Antiqua" w:hAnsi="Book Antiqua" w:cs="Arial"/>
        </w:rPr>
        <w:t>evidence of</w:t>
      </w:r>
      <w:r w:rsidR="00647320">
        <w:rPr>
          <w:rFonts w:ascii="Book Antiqua" w:hAnsi="Book Antiqua" w:cs="Arial"/>
        </w:rPr>
        <w:t xml:space="preserve"> the claimant,</w:t>
      </w:r>
      <w:r w:rsidR="0026520D">
        <w:rPr>
          <w:rFonts w:ascii="Book Antiqua" w:hAnsi="Book Antiqua" w:cs="Arial"/>
        </w:rPr>
        <w:t xml:space="preserve"> </w:t>
      </w:r>
      <w:r w:rsidR="00E25EC9">
        <w:rPr>
          <w:rFonts w:ascii="Book Antiqua" w:hAnsi="Book Antiqua" w:cs="Arial"/>
        </w:rPr>
        <w:t>I am satisfied, on the balance</w:t>
      </w:r>
      <w:r w:rsidR="00647320">
        <w:rPr>
          <w:rFonts w:ascii="Book Antiqua" w:hAnsi="Book Antiqua" w:cs="Arial"/>
        </w:rPr>
        <w:t xml:space="preserve"> of probabilities that the claimant was also a worker during this period of time. </w:t>
      </w:r>
      <w:r w:rsidR="00A97613">
        <w:rPr>
          <w:rFonts w:ascii="Book Antiqua" w:hAnsi="Book Antiqua" w:cs="Arial"/>
        </w:rPr>
        <w:t>As a result</w:t>
      </w:r>
      <w:r w:rsidR="00054AAD">
        <w:rPr>
          <w:rFonts w:ascii="Book Antiqua" w:hAnsi="Book Antiqua" w:cs="Arial"/>
        </w:rPr>
        <w:t>,</w:t>
      </w:r>
      <w:r w:rsidR="00A97613">
        <w:rPr>
          <w:rFonts w:ascii="Book Antiqua" w:hAnsi="Book Antiqua" w:cs="Arial"/>
        </w:rPr>
        <w:t xml:space="preserve"> the claimant may only, in accordance with Regulation 21(</w:t>
      </w:r>
      <w:r w:rsidR="009979E2">
        <w:rPr>
          <w:rFonts w:ascii="Book Antiqua" w:hAnsi="Book Antiqua" w:cs="Arial"/>
        </w:rPr>
        <w:t>3</w:t>
      </w:r>
      <w:r w:rsidR="00A97613">
        <w:rPr>
          <w:rFonts w:ascii="Book Antiqua" w:hAnsi="Book Antiqua" w:cs="Arial"/>
        </w:rPr>
        <w:t xml:space="preserve">) of the </w:t>
      </w:r>
      <w:r w:rsidR="004965A1">
        <w:rPr>
          <w:rFonts w:ascii="Book Antiqua" w:hAnsi="Book Antiqua" w:cs="Arial"/>
        </w:rPr>
        <w:t>Immigration</w:t>
      </w:r>
      <w:r w:rsidR="00A97613">
        <w:rPr>
          <w:rFonts w:ascii="Book Antiqua" w:hAnsi="Book Antiqua" w:cs="Arial"/>
        </w:rPr>
        <w:t xml:space="preserve"> </w:t>
      </w:r>
      <w:r w:rsidR="004965A1">
        <w:rPr>
          <w:rFonts w:ascii="Book Antiqua" w:hAnsi="Book Antiqua" w:cs="Arial"/>
        </w:rPr>
        <w:t>(</w:t>
      </w:r>
      <w:r w:rsidR="00A97613">
        <w:rPr>
          <w:rFonts w:ascii="Book Antiqua" w:hAnsi="Book Antiqua" w:cs="Arial"/>
        </w:rPr>
        <w:t>EEA</w:t>
      </w:r>
      <w:r w:rsidR="004965A1">
        <w:rPr>
          <w:rFonts w:ascii="Book Antiqua" w:hAnsi="Book Antiqua" w:cs="Arial"/>
        </w:rPr>
        <w:t>)</w:t>
      </w:r>
      <w:r w:rsidR="00A97613">
        <w:rPr>
          <w:rFonts w:ascii="Book Antiqua" w:hAnsi="Book Antiqua" w:cs="Arial"/>
        </w:rPr>
        <w:t xml:space="preserve"> Regulations</w:t>
      </w:r>
      <w:r w:rsidR="004965A1">
        <w:rPr>
          <w:rFonts w:ascii="Book Antiqua" w:hAnsi="Book Antiqua" w:cs="Arial"/>
        </w:rPr>
        <w:t xml:space="preserve"> 2006</w:t>
      </w:r>
      <w:r w:rsidR="0007186F">
        <w:rPr>
          <w:rFonts w:ascii="Book Antiqua" w:hAnsi="Book Antiqua" w:cs="Arial"/>
        </w:rPr>
        <w:t>,</w:t>
      </w:r>
      <w:r w:rsidR="00A97613">
        <w:rPr>
          <w:rFonts w:ascii="Book Antiqua" w:hAnsi="Book Antiqua" w:cs="Arial"/>
        </w:rPr>
        <w:t xml:space="preserve"> be </w:t>
      </w:r>
      <w:r w:rsidR="0007186F">
        <w:rPr>
          <w:rFonts w:ascii="Book Antiqua" w:hAnsi="Book Antiqua" w:cs="Arial"/>
        </w:rPr>
        <w:t>deported on serious grounds of public policy or public security.</w:t>
      </w:r>
    </w:p>
    <w:p w:rsidR="00D55EC2" w:rsidRPr="0007186F" w:rsidRDefault="00E25EC9" w:rsidP="00CB2E36">
      <w:pPr>
        <w:numPr>
          <w:ilvl w:val="0"/>
          <w:numId w:val="4"/>
        </w:numPr>
        <w:tabs>
          <w:tab w:val="left" w:pos="2520"/>
        </w:tabs>
        <w:spacing w:before="240"/>
        <w:jc w:val="both"/>
        <w:rPr>
          <w:rFonts w:ascii="Book Antiqua" w:hAnsi="Book Antiqua" w:cs="Arial"/>
          <w:i/>
        </w:rPr>
      </w:pPr>
      <w:r w:rsidRPr="0007186F">
        <w:rPr>
          <w:rFonts w:ascii="Book Antiqua" w:hAnsi="Book Antiqua" w:cs="Arial"/>
        </w:rPr>
        <w:t xml:space="preserve"> </w:t>
      </w:r>
      <w:r w:rsidR="006D2C20" w:rsidRPr="0007186F">
        <w:rPr>
          <w:rFonts w:ascii="Book Antiqua" w:hAnsi="Book Antiqua" w:cs="Arial"/>
        </w:rPr>
        <w:t xml:space="preserve">The Secretary of State made a decision under Regulation 19(3)(b) of the Immigration (EEA) 2006 Regulations to deport the </w:t>
      </w:r>
      <w:r w:rsidR="006C6BC2">
        <w:rPr>
          <w:rFonts w:ascii="Book Antiqua" w:hAnsi="Book Antiqua" w:cs="Arial"/>
        </w:rPr>
        <w:t>claim</w:t>
      </w:r>
      <w:r w:rsidR="006D2C20" w:rsidRPr="0007186F">
        <w:rPr>
          <w:rFonts w:ascii="Book Antiqua" w:hAnsi="Book Antiqua" w:cs="Arial"/>
        </w:rPr>
        <w:t>ant on 31</w:t>
      </w:r>
      <w:r w:rsidR="006D2C20" w:rsidRPr="0007186F">
        <w:rPr>
          <w:rFonts w:ascii="Book Antiqua" w:hAnsi="Book Antiqua" w:cs="Arial"/>
          <w:vertAlign w:val="superscript"/>
        </w:rPr>
        <w:t>st</w:t>
      </w:r>
      <w:r w:rsidR="006D2C20" w:rsidRPr="0007186F">
        <w:rPr>
          <w:rFonts w:ascii="Book Antiqua" w:hAnsi="Book Antiqua" w:cs="Arial"/>
        </w:rPr>
        <w:t xml:space="preserve"> January 2017 because he had been convicted on 3 occasions of 8 offences between 5</w:t>
      </w:r>
      <w:r w:rsidR="006D2C20" w:rsidRPr="0007186F">
        <w:rPr>
          <w:rFonts w:ascii="Book Antiqua" w:hAnsi="Book Antiqua" w:cs="Arial"/>
          <w:vertAlign w:val="superscript"/>
        </w:rPr>
        <w:t>th</w:t>
      </w:r>
      <w:r w:rsidR="006D2C20" w:rsidRPr="0007186F">
        <w:rPr>
          <w:rFonts w:ascii="Book Antiqua" w:hAnsi="Book Antiqua" w:cs="Arial"/>
        </w:rPr>
        <w:t xml:space="preserve"> March 2015 and 11</w:t>
      </w:r>
      <w:r w:rsidR="006D2C20" w:rsidRPr="0007186F">
        <w:rPr>
          <w:rFonts w:ascii="Book Antiqua" w:hAnsi="Book Antiqua" w:cs="Arial"/>
          <w:vertAlign w:val="superscript"/>
        </w:rPr>
        <w:t>th</w:t>
      </w:r>
      <w:r w:rsidR="006D2C20" w:rsidRPr="0007186F">
        <w:rPr>
          <w:rFonts w:ascii="Book Antiqua" w:hAnsi="Book Antiqua" w:cs="Arial"/>
        </w:rPr>
        <w:t xml:space="preserve"> January 2017. The offences were one offence against the person; one offence against property; one public order offence; three offences relating to the police/courts and prison; and two miscellaneous offences. As a </w:t>
      </w:r>
      <w:proofErr w:type="gramStart"/>
      <w:r w:rsidR="006D2C20" w:rsidRPr="0007186F">
        <w:rPr>
          <w:rFonts w:ascii="Book Antiqua" w:hAnsi="Book Antiqua" w:cs="Arial"/>
        </w:rPr>
        <w:t>result</w:t>
      </w:r>
      <w:proofErr w:type="gramEnd"/>
      <w:r w:rsidR="006D2C20" w:rsidRPr="0007186F">
        <w:rPr>
          <w:rFonts w:ascii="Book Antiqua" w:hAnsi="Book Antiqua" w:cs="Arial"/>
        </w:rPr>
        <w:t xml:space="preserve"> the </w:t>
      </w:r>
      <w:r w:rsidR="006C6BC2">
        <w:rPr>
          <w:rFonts w:ascii="Book Antiqua" w:hAnsi="Book Antiqua" w:cs="Arial"/>
        </w:rPr>
        <w:t>claim</w:t>
      </w:r>
      <w:r w:rsidR="006D2C20" w:rsidRPr="0007186F">
        <w:rPr>
          <w:rFonts w:ascii="Book Antiqua" w:hAnsi="Book Antiqua" w:cs="Arial"/>
        </w:rPr>
        <w:t xml:space="preserve">ant had received a community service order, a suspended sentence and a 6 week prison sentence in January 2017. </w:t>
      </w:r>
    </w:p>
    <w:p w:rsidR="00D41C7D" w:rsidRPr="00D41C7D" w:rsidRDefault="006D2C20" w:rsidP="00CB2E36">
      <w:pPr>
        <w:numPr>
          <w:ilvl w:val="0"/>
          <w:numId w:val="4"/>
        </w:numPr>
        <w:tabs>
          <w:tab w:val="left" w:pos="2520"/>
        </w:tabs>
        <w:spacing w:before="240"/>
        <w:jc w:val="both"/>
        <w:rPr>
          <w:rFonts w:ascii="Book Antiqua" w:hAnsi="Book Antiqua" w:cs="Arial"/>
          <w:i/>
        </w:rPr>
      </w:pPr>
      <w:r>
        <w:rPr>
          <w:rFonts w:ascii="Book Antiqua" w:hAnsi="Book Antiqua" w:cs="Arial"/>
        </w:rPr>
        <w:t>The index offence was one</w:t>
      </w:r>
      <w:r w:rsidR="00B25D7A">
        <w:rPr>
          <w:rFonts w:ascii="Book Antiqua" w:hAnsi="Book Antiqua" w:cs="Arial"/>
        </w:rPr>
        <w:t xml:space="preserve"> which took place in September 2016</w:t>
      </w:r>
      <w:r>
        <w:rPr>
          <w:rFonts w:ascii="Book Antiqua" w:hAnsi="Book Antiqua" w:cs="Arial"/>
        </w:rPr>
        <w:t xml:space="preserve"> where by the </w:t>
      </w:r>
      <w:r w:rsidR="006C6BC2">
        <w:rPr>
          <w:rFonts w:ascii="Book Antiqua" w:hAnsi="Book Antiqua" w:cs="Arial"/>
        </w:rPr>
        <w:t>claim</w:t>
      </w:r>
      <w:r>
        <w:rPr>
          <w:rFonts w:ascii="Book Antiqua" w:hAnsi="Book Antiqua" w:cs="Arial"/>
        </w:rPr>
        <w:t xml:space="preserve">ant was convicted of two counts of assault of a policeman in the course of his duty and assault by beating for which he was sentenced to one month and 14 days imprisonment. </w:t>
      </w:r>
      <w:r w:rsidR="007C5309">
        <w:rPr>
          <w:rFonts w:ascii="Book Antiqua" w:hAnsi="Book Antiqua" w:cs="Arial"/>
        </w:rPr>
        <w:t>The claimant assault</w:t>
      </w:r>
      <w:r w:rsidR="007C1EC9">
        <w:rPr>
          <w:rFonts w:ascii="Book Antiqua" w:hAnsi="Book Antiqua" w:cs="Arial"/>
        </w:rPr>
        <w:t>ed</w:t>
      </w:r>
      <w:r w:rsidR="007C5309">
        <w:rPr>
          <w:rFonts w:ascii="Book Antiqua" w:hAnsi="Book Antiqua" w:cs="Arial"/>
        </w:rPr>
        <w:t xml:space="preserve"> the police officers when they tried to speak to him without provocation</w:t>
      </w:r>
      <w:r w:rsidR="00C81C2D">
        <w:rPr>
          <w:rFonts w:ascii="Book Antiqua" w:hAnsi="Book Antiqua" w:cs="Arial"/>
        </w:rPr>
        <w:t xml:space="preserve"> or justification</w:t>
      </w:r>
      <w:r w:rsidR="007C5309">
        <w:rPr>
          <w:rFonts w:ascii="Book Antiqua" w:hAnsi="Book Antiqua" w:cs="Arial"/>
        </w:rPr>
        <w:t>.</w:t>
      </w:r>
      <w:r>
        <w:rPr>
          <w:rFonts w:ascii="Book Antiqua" w:hAnsi="Book Antiqua" w:cs="Arial"/>
        </w:rPr>
        <w:t xml:space="preserve"> As a </w:t>
      </w:r>
      <w:proofErr w:type="gramStart"/>
      <w:r>
        <w:rPr>
          <w:rFonts w:ascii="Book Antiqua" w:hAnsi="Book Antiqua" w:cs="Arial"/>
        </w:rPr>
        <w:t>result</w:t>
      </w:r>
      <w:proofErr w:type="gramEnd"/>
      <w:r>
        <w:rPr>
          <w:rFonts w:ascii="Book Antiqua" w:hAnsi="Book Antiqua" w:cs="Arial"/>
        </w:rPr>
        <w:t xml:space="preserve"> the Secretary of State found that the claimant posed a genuine, present and sufficiently serious threat to the interests of public policy and thus that his deportation was justified under Regulation 21 of the EEA Regulations</w:t>
      </w:r>
      <w:r w:rsidR="0006339C">
        <w:rPr>
          <w:rFonts w:ascii="Book Antiqua" w:hAnsi="Book Antiqua" w:cs="Arial"/>
        </w:rPr>
        <w:t xml:space="preserve"> 2006</w:t>
      </w:r>
      <w:r w:rsidR="003644F5">
        <w:rPr>
          <w:rFonts w:ascii="Book Antiqua" w:hAnsi="Book Antiqua" w:cs="Arial"/>
        </w:rPr>
        <w:t xml:space="preserve">. </w:t>
      </w:r>
    </w:p>
    <w:p w:rsidR="006D2C20" w:rsidRPr="006D2C20" w:rsidRDefault="002F1EDD" w:rsidP="00CB2E36">
      <w:pPr>
        <w:numPr>
          <w:ilvl w:val="0"/>
          <w:numId w:val="4"/>
        </w:numPr>
        <w:tabs>
          <w:tab w:val="left" w:pos="2520"/>
        </w:tabs>
        <w:spacing w:before="240"/>
        <w:jc w:val="both"/>
        <w:rPr>
          <w:rFonts w:ascii="Book Antiqua" w:hAnsi="Book Antiqua" w:cs="Arial"/>
          <w:i/>
        </w:rPr>
      </w:pPr>
      <w:r>
        <w:rPr>
          <w:rFonts w:ascii="Book Antiqua" w:hAnsi="Book Antiqua" w:cs="Arial"/>
        </w:rPr>
        <w:t xml:space="preserve"> After these proceedings were commenced</w:t>
      </w:r>
      <w:r w:rsidR="00360D6E">
        <w:rPr>
          <w:rFonts w:ascii="Book Antiqua" w:hAnsi="Book Antiqua" w:cs="Arial"/>
        </w:rPr>
        <w:t>, on 19</w:t>
      </w:r>
      <w:r w:rsidR="00360D6E" w:rsidRPr="00360D6E">
        <w:rPr>
          <w:rFonts w:ascii="Book Antiqua" w:hAnsi="Book Antiqua" w:cs="Arial"/>
          <w:vertAlign w:val="superscript"/>
        </w:rPr>
        <w:t>th</w:t>
      </w:r>
      <w:r w:rsidR="00360D6E">
        <w:rPr>
          <w:rFonts w:ascii="Book Antiqua" w:hAnsi="Book Antiqua" w:cs="Arial"/>
        </w:rPr>
        <w:t xml:space="preserve"> June 2017</w:t>
      </w:r>
      <w:r w:rsidR="00D41C7D">
        <w:rPr>
          <w:rFonts w:ascii="Book Antiqua" w:hAnsi="Book Antiqua" w:cs="Arial"/>
        </w:rPr>
        <w:t>.</w:t>
      </w:r>
      <w:r>
        <w:rPr>
          <w:rFonts w:ascii="Book Antiqua" w:hAnsi="Book Antiqua" w:cs="Arial"/>
        </w:rPr>
        <w:t xml:space="preserve"> the claimant was also convicted of </w:t>
      </w:r>
      <w:r w:rsidR="00610786">
        <w:rPr>
          <w:rFonts w:ascii="Book Antiqua" w:hAnsi="Book Antiqua" w:cs="Arial"/>
        </w:rPr>
        <w:t>a sexual assault</w:t>
      </w:r>
      <w:r w:rsidR="00360D6E">
        <w:rPr>
          <w:rFonts w:ascii="Book Antiqua" w:hAnsi="Book Antiqua" w:cs="Arial"/>
        </w:rPr>
        <w:t>,</w:t>
      </w:r>
      <w:r w:rsidR="00610786">
        <w:rPr>
          <w:rFonts w:ascii="Book Antiqua" w:hAnsi="Book Antiqua" w:cs="Arial"/>
        </w:rPr>
        <w:t xml:space="preserve"> where</w:t>
      </w:r>
      <w:r w:rsidR="00360D6E">
        <w:rPr>
          <w:rFonts w:ascii="Book Antiqua" w:hAnsi="Book Antiqua" w:cs="Arial"/>
        </w:rPr>
        <w:t>by</w:t>
      </w:r>
      <w:r w:rsidR="00610786">
        <w:rPr>
          <w:rFonts w:ascii="Book Antiqua" w:hAnsi="Book Antiqua" w:cs="Arial"/>
        </w:rPr>
        <w:t xml:space="preserve"> he intentionally touched a female person with no penetration</w:t>
      </w:r>
      <w:r w:rsidR="00360D6E">
        <w:rPr>
          <w:rFonts w:ascii="Book Antiqua" w:hAnsi="Book Antiqua" w:cs="Arial"/>
        </w:rPr>
        <w:t xml:space="preserve"> on 2</w:t>
      </w:r>
      <w:r w:rsidR="00360D6E" w:rsidRPr="00360D6E">
        <w:rPr>
          <w:rFonts w:ascii="Book Antiqua" w:hAnsi="Book Antiqua" w:cs="Arial"/>
          <w:vertAlign w:val="superscript"/>
        </w:rPr>
        <w:t>nd</w:t>
      </w:r>
      <w:r w:rsidR="00360D6E">
        <w:rPr>
          <w:rFonts w:ascii="Book Antiqua" w:hAnsi="Book Antiqua" w:cs="Arial"/>
        </w:rPr>
        <w:t xml:space="preserve"> November 2016, and was sentenced to </w:t>
      </w:r>
      <w:r w:rsidR="00FE1D0D">
        <w:rPr>
          <w:rFonts w:ascii="Book Antiqua" w:hAnsi="Book Antiqua" w:cs="Arial"/>
        </w:rPr>
        <w:t>six months in prison</w:t>
      </w:r>
      <w:r w:rsidR="00360D6E">
        <w:rPr>
          <w:rFonts w:ascii="Book Antiqua" w:hAnsi="Book Antiqua" w:cs="Arial"/>
        </w:rPr>
        <w:t xml:space="preserve">. </w:t>
      </w:r>
      <w:r w:rsidR="00B25D7A">
        <w:rPr>
          <w:rFonts w:ascii="Book Antiqua" w:hAnsi="Book Antiqua" w:cs="Arial"/>
        </w:rPr>
        <w:t>Prior to the</w:t>
      </w:r>
      <w:r w:rsidR="008D6393">
        <w:rPr>
          <w:rFonts w:ascii="Book Antiqua" w:hAnsi="Book Antiqua" w:cs="Arial"/>
        </w:rPr>
        <w:t xml:space="preserve"> index offence</w:t>
      </w:r>
      <w:r w:rsidR="00B25D7A">
        <w:rPr>
          <w:rFonts w:ascii="Book Antiqua" w:hAnsi="Book Antiqua" w:cs="Arial"/>
        </w:rPr>
        <w:t xml:space="preserve"> the</w:t>
      </w:r>
      <w:r w:rsidR="00D41C7D">
        <w:rPr>
          <w:rFonts w:ascii="Book Antiqua" w:hAnsi="Book Antiqua" w:cs="Arial"/>
        </w:rPr>
        <w:t xml:space="preserve"> </w:t>
      </w:r>
      <w:r w:rsidR="00136E3C">
        <w:rPr>
          <w:rFonts w:ascii="Book Antiqua" w:hAnsi="Book Antiqua" w:cs="Arial"/>
        </w:rPr>
        <w:t>most significant instances</w:t>
      </w:r>
      <w:r w:rsidR="00D41C7D">
        <w:rPr>
          <w:rFonts w:ascii="Book Antiqua" w:hAnsi="Book Antiqua" w:cs="Arial"/>
        </w:rPr>
        <w:t xml:space="preserve"> of the</w:t>
      </w:r>
      <w:r w:rsidR="00B25D7A">
        <w:rPr>
          <w:rFonts w:ascii="Book Antiqua" w:hAnsi="Book Antiqua" w:cs="Arial"/>
        </w:rPr>
        <w:t xml:space="preserve"> claimant</w:t>
      </w:r>
      <w:r w:rsidR="00136E3C">
        <w:rPr>
          <w:rFonts w:ascii="Book Antiqua" w:hAnsi="Book Antiqua" w:cs="Arial"/>
        </w:rPr>
        <w:t>’s criminal behaviour are that he</w:t>
      </w:r>
      <w:r w:rsidR="00B25D7A">
        <w:rPr>
          <w:rFonts w:ascii="Book Antiqua" w:hAnsi="Book Antiqua" w:cs="Arial"/>
        </w:rPr>
        <w:t xml:space="preserve"> had used </w:t>
      </w:r>
      <w:r w:rsidR="00073084">
        <w:rPr>
          <w:rFonts w:ascii="Book Antiqua" w:hAnsi="Book Antiqua" w:cs="Arial"/>
        </w:rPr>
        <w:t>racial aggravated threatening behaviour on a tube train in September 2014</w:t>
      </w:r>
      <w:r w:rsidR="00FC171C">
        <w:rPr>
          <w:rFonts w:ascii="Book Antiqua" w:hAnsi="Book Antiqua" w:cs="Arial"/>
        </w:rPr>
        <w:t xml:space="preserve">; and committed a battery by way of punching in the face and kicking </w:t>
      </w:r>
      <w:r w:rsidR="00E42C88">
        <w:rPr>
          <w:rFonts w:ascii="Book Antiqua" w:hAnsi="Book Antiqua" w:cs="Arial"/>
        </w:rPr>
        <w:t>when he had a driving accident with the victim in February 2016.</w:t>
      </w:r>
    </w:p>
    <w:p w:rsidR="005F7908" w:rsidRDefault="00786D9A" w:rsidP="00CB2E36">
      <w:pPr>
        <w:numPr>
          <w:ilvl w:val="0"/>
          <w:numId w:val="4"/>
        </w:numPr>
        <w:tabs>
          <w:tab w:val="left" w:pos="2520"/>
        </w:tabs>
        <w:spacing w:before="240"/>
        <w:ind w:left="900" w:hanging="559"/>
        <w:jc w:val="both"/>
        <w:rPr>
          <w:rFonts w:ascii="Book Antiqua" w:hAnsi="Book Antiqua" w:cs="Arial"/>
        </w:rPr>
      </w:pPr>
      <w:r>
        <w:rPr>
          <w:rFonts w:ascii="Book Antiqua" w:hAnsi="Book Antiqua" w:cs="Arial"/>
        </w:rPr>
        <w:t>The OASys</w:t>
      </w:r>
      <w:r w:rsidR="00A95041">
        <w:rPr>
          <w:rFonts w:ascii="Book Antiqua" w:hAnsi="Book Antiqua" w:cs="Arial"/>
        </w:rPr>
        <w:t xml:space="preserve"> </w:t>
      </w:r>
      <w:r w:rsidR="00ED1E98">
        <w:rPr>
          <w:rFonts w:ascii="Book Antiqua" w:hAnsi="Book Antiqua" w:cs="Arial"/>
        </w:rPr>
        <w:t>Report dated 22</w:t>
      </w:r>
      <w:r w:rsidR="00ED1E98" w:rsidRPr="00ED1E98">
        <w:rPr>
          <w:rFonts w:ascii="Book Antiqua" w:hAnsi="Book Antiqua" w:cs="Arial"/>
          <w:vertAlign w:val="superscript"/>
        </w:rPr>
        <w:t>nd</w:t>
      </w:r>
      <w:r w:rsidR="00ED1E98">
        <w:rPr>
          <w:rFonts w:ascii="Book Antiqua" w:hAnsi="Book Antiqua" w:cs="Arial"/>
        </w:rPr>
        <w:t xml:space="preserve"> March 2017</w:t>
      </w:r>
      <w:r>
        <w:rPr>
          <w:rFonts w:ascii="Book Antiqua" w:hAnsi="Book Antiqua" w:cs="Arial"/>
        </w:rPr>
        <w:t xml:space="preserve"> </w:t>
      </w:r>
      <w:r w:rsidR="00935C37">
        <w:rPr>
          <w:rFonts w:ascii="Book Antiqua" w:hAnsi="Book Antiqua" w:cs="Arial"/>
        </w:rPr>
        <w:t>assesses the claimant as being a low risk of reoffending</w:t>
      </w:r>
      <w:r w:rsidR="00C301B5">
        <w:rPr>
          <w:rFonts w:ascii="Book Antiqua" w:hAnsi="Book Antiqua" w:cs="Arial"/>
        </w:rPr>
        <w:t xml:space="preserve"> for both violent and non-violent type</w:t>
      </w:r>
      <w:r w:rsidR="00314192">
        <w:rPr>
          <w:rFonts w:ascii="Book Antiqua" w:hAnsi="Book Antiqua" w:cs="Arial"/>
        </w:rPr>
        <w:t>s of</w:t>
      </w:r>
      <w:r w:rsidR="00C301B5">
        <w:rPr>
          <w:rFonts w:ascii="Book Antiqua" w:hAnsi="Book Antiqua" w:cs="Arial"/>
        </w:rPr>
        <w:t xml:space="preserve"> reoffending. The risk to the community of serious harm if he were to </w:t>
      </w:r>
      <w:r w:rsidR="00786101">
        <w:rPr>
          <w:rFonts w:ascii="Book Antiqua" w:hAnsi="Book Antiqua" w:cs="Arial"/>
        </w:rPr>
        <w:t>reoffend is low with respect to known adults and children, but medium in relation to the public and staff</w:t>
      </w:r>
      <w:r w:rsidR="00071B0F">
        <w:rPr>
          <w:rFonts w:ascii="Book Antiqua" w:hAnsi="Book Antiqua" w:cs="Arial"/>
        </w:rPr>
        <w:t xml:space="preserve"> (police)</w:t>
      </w:r>
      <w:r w:rsidR="00786101">
        <w:rPr>
          <w:rFonts w:ascii="Book Antiqua" w:hAnsi="Book Antiqua" w:cs="Arial"/>
        </w:rPr>
        <w:t xml:space="preserve">. </w:t>
      </w:r>
      <w:r w:rsidR="005A6B0A">
        <w:rPr>
          <w:rFonts w:ascii="Book Antiqua" w:hAnsi="Book Antiqua" w:cs="Arial"/>
        </w:rPr>
        <w:t xml:space="preserve">As </w:t>
      </w:r>
      <w:r w:rsidR="00542A4C">
        <w:rPr>
          <w:rFonts w:ascii="Book Antiqua" w:hAnsi="Book Antiqua" w:cs="Arial"/>
        </w:rPr>
        <w:t xml:space="preserve">the report sets out </w:t>
      </w:r>
      <w:r w:rsidR="0077698E">
        <w:rPr>
          <w:rFonts w:ascii="Book Antiqua" w:hAnsi="Book Antiqua" w:cs="Arial"/>
        </w:rPr>
        <w:t>the claimant needs to work on his attitudes and thinking</w:t>
      </w:r>
      <w:r w:rsidR="006720EB">
        <w:rPr>
          <w:rFonts w:ascii="Book Antiqua" w:hAnsi="Book Antiqua" w:cs="Arial"/>
        </w:rPr>
        <w:t xml:space="preserve"> to address his propensity to offend</w:t>
      </w:r>
      <w:r w:rsidR="0099033C">
        <w:rPr>
          <w:rFonts w:ascii="Book Antiqua" w:hAnsi="Book Antiqua" w:cs="Arial"/>
        </w:rPr>
        <w:t>, and</w:t>
      </w:r>
      <w:r w:rsidR="00245E78">
        <w:rPr>
          <w:rFonts w:ascii="Book Antiqua" w:hAnsi="Book Antiqua" w:cs="Arial"/>
        </w:rPr>
        <w:t xml:space="preserve"> there is</w:t>
      </w:r>
      <w:r w:rsidR="0099033C">
        <w:rPr>
          <w:rFonts w:ascii="Book Antiqua" w:hAnsi="Book Antiqua" w:cs="Arial"/>
        </w:rPr>
        <w:t xml:space="preserve"> an indication that poor mental health may have contributed to his aggressive behaviour</w:t>
      </w:r>
      <w:r w:rsidR="006720EB">
        <w:rPr>
          <w:rFonts w:ascii="Book Antiqua" w:hAnsi="Book Antiqua" w:cs="Arial"/>
        </w:rPr>
        <w:t xml:space="preserve">. </w:t>
      </w:r>
      <w:r w:rsidR="009D0705">
        <w:rPr>
          <w:rFonts w:ascii="Book Antiqua" w:hAnsi="Book Antiqua" w:cs="Arial"/>
        </w:rPr>
        <w:t>The claimant’s evidence before the Upper Tribunal did</w:t>
      </w:r>
      <w:r w:rsidR="00B908F4">
        <w:rPr>
          <w:rFonts w:ascii="Book Antiqua" w:hAnsi="Book Antiqua" w:cs="Arial"/>
        </w:rPr>
        <w:t>, I find,</w:t>
      </w:r>
      <w:r w:rsidR="009D0705">
        <w:rPr>
          <w:rFonts w:ascii="Book Antiqua" w:hAnsi="Book Antiqua" w:cs="Arial"/>
        </w:rPr>
        <w:t xml:space="preserve"> indicate an element of taking responsibility</w:t>
      </w:r>
      <w:r w:rsidR="00501755">
        <w:rPr>
          <w:rFonts w:ascii="Book Antiqua" w:hAnsi="Book Antiqua" w:cs="Arial"/>
        </w:rPr>
        <w:t>,</w:t>
      </w:r>
      <w:r w:rsidR="00ED1E98">
        <w:rPr>
          <w:rFonts w:ascii="Book Antiqua" w:hAnsi="Book Antiqua" w:cs="Arial"/>
        </w:rPr>
        <w:t xml:space="preserve"> in that he </w:t>
      </w:r>
      <w:r w:rsidR="00ED1E98">
        <w:rPr>
          <w:rFonts w:ascii="Book Antiqua" w:hAnsi="Book Antiqua" w:cs="Arial"/>
        </w:rPr>
        <w:lastRenderedPageBreak/>
        <w:t>was sorry for what he had done and acknowledged that he had not been right and made no attempt to justify his behaviour</w:t>
      </w:r>
      <w:r w:rsidR="00B908F4">
        <w:rPr>
          <w:rFonts w:ascii="Book Antiqua" w:hAnsi="Book Antiqua" w:cs="Arial"/>
        </w:rPr>
        <w:t>.</w:t>
      </w:r>
      <w:r w:rsidR="00501755">
        <w:rPr>
          <w:rFonts w:ascii="Book Antiqua" w:hAnsi="Book Antiqua" w:cs="Arial"/>
        </w:rPr>
        <w:t xml:space="preserve"> </w:t>
      </w:r>
      <w:r w:rsidR="00B908F4">
        <w:rPr>
          <w:rFonts w:ascii="Book Antiqua" w:hAnsi="Book Antiqua" w:cs="Arial"/>
        </w:rPr>
        <w:t>This understanding</w:t>
      </w:r>
      <w:r w:rsidR="00501755">
        <w:rPr>
          <w:rFonts w:ascii="Book Antiqua" w:hAnsi="Book Antiqua" w:cs="Arial"/>
        </w:rPr>
        <w:t xml:space="preserve"> appeared to have been reinforced by his having spent a long period in prison/detention</w:t>
      </w:r>
      <w:r w:rsidR="00E10FCB">
        <w:rPr>
          <w:rFonts w:ascii="Book Antiqua" w:hAnsi="Book Antiqua" w:cs="Arial"/>
        </w:rPr>
        <w:t>,</w:t>
      </w:r>
      <w:r w:rsidR="00A248C6">
        <w:rPr>
          <w:rFonts w:ascii="Book Antiqua" w:hAnsi="Book Antiqua" w:cs="Arial"/>
        </w:rPr>
        <w:t xml:space="preserve"> and what I assessed to be a genuine decision not to have that happened to him again </w:t>
      </w:r>
      <w:r w:rsidR="00C46CBC">
        <w:rPr>
          <w:rFonts w:ascii="Book Antiqua" w:hAnsi="Book Antiqua" w:cs="Arial"/>
        </w:rPr>
        <w:t>not just due to the personal impact but also due to the impact on his family and particularly his father with whom he undoubtedly has a deep and loving father son relationship</w:t>
      </w:r>
      <w:r w:rsidR="00501755">
        <w:rPr>
          <w:rFonts w:ascii="Book Antiqua" w:hAnsi="Book Antiqua" w:cs="Arial"/>
        </w:rPr>
        <w:t>.</w:t>
      </w:r>
      <w:r w:rsidR="004F0B3C">
        <w:rPr>
          <w:rFonts w:ascii="Book Antiqua" w:hAnsi="Book Antiqua" w:cs="Arial"/>
        </w:rPr>
        <w:t xml:space="preserve"> It remained concerning that the claimant did not insight as to what had led him into criminal behaviour at this juncture in his life</w:t>
      </w:r>
      <w:r w:rsidR="00373723">
        <w:rPr>
          <w:rFonts w:ascii="Book Antiqua" w:hAnsi="Book Antiqua" w:cs="Arial"/>
        </w:rPr>
        <w:t xml:space="preserve"> when there appeared to be no external trigger</w:t>
      </w:r>
      <w:r w:rsidR="00245E78">
        <w:rPr>
          <w:rFonts w:ascii="Book Antiqua" w:hAnsi="Book Antiqua" w:cs="Arial"/>
        </w:rPr>
        <w:t xml:space="preserve"> or </w:t>
      </w:r>
      <w:r w:rsidR="006133DD">
        <w:rPr>
          <w:rFonts w:ascii="Book Antiqua" w:hAnsi="Book Antiqua" w:cs="Arial"/>
        </w:rPr>
        <w:t>stressor</w:t>
      </w:r>
      <w:r w:rsidR="00373723">
        <w:rPr>
          <w:rFonts w:ascii="Book Antiqua" w:hAnsi="Book Antiqua" w:cs="Arial"/>
        </w:rPr>
        <w:t xml:space="preserve">. </w:t>
      </w:r>
      <w:r w:rsidR="00B734E4">
        <w:rPr>
          <w:rFonts w:ascii="Book Antiqua" w:hAnsi="Book Antiqua" w:cs="Arial"/>
        </w:rPr>
        <w:t xml:space="preserve">It </w:t>
      </w:r>
      <w:r w:rsidR="0003357F">
        <w:rPr>
          <w:rFonts w:ascii="Book Antiqua" w:hAnsi="Book Antiqua" w:cs="Arial"/>
        </w:rPr>
        <w:t>was</w:t>
      </w:r>
      <w:r w:rsidR="00DE276B">
        <w:rPr>
          <w:rFonts w:ascii="Book Antiqua" w:hAnsi="Book Antiqua" w:cs="Arial"/>
        </w:rPr>
        <w:t xml:space="preserve"> also</w:t>
      </w:r>
      <w:r w:rsidR="0003357F">
        <w:rPr>
          <w:rFonts w:ascii="Book Antiqua" w:hAnsi="Book Antiqua" w:cs="Arial"/>
        </w:rPr>
        <w:t xml:space="preserve"> the case that he had no undertaken any courses or done any other type of work on his thinking or mental health condition</w:t>
      </w:r>
      <w:r w:rsidR="00DE276B">
        <w:rPr>
          <w:rFonts w:ascii="Book Antiqua" w:hAnsi="Book Antiqua" w:cs="Arial"/>
        </w:rPr>
        <w:t>.</w:t>
      </w:r>
      <w:r w:rsidR="00EE527A">
        <w:rPr>
          <w:rFonts w:ascii="Book Antiqua" w:hAnsi="Book Antiqua" w:cs="Arial"/>
        </w:rPr>
        <w:t xml:space="preserve"> </w:t>
      </w:r>
      <w:r w:rsidR="005274AE">
        <w:rPr>
          <w:rFonts w:ascii="Book Antiqua" w:hAnsi="Book Antiqua" w:cs="Arial"/>
        </w:rPr>
        <w:t>It would</w:t>
      </w:r>
      <w:r w:rsidR="006133DD">
        <w:rPr>
          <w:rFonts w:ascii="Book Antiqua" w:hAnsi="Book Antiqua" w:cs="Arial"/>
        </w:rPr>
        <w:t xml:space="preserve"> of course</w:t>
      </w:r>
      <w:r w:rsidR="005274AE">
        <w:rPr>
          <w:rFonts w:ascii="Book Antiqua" w:hAnsi="Book Antiqua" w:cs="Arial"/>
        </w:rPr>
        <w:t xml:space="preserve"> be highly advisable for the claimant to undertake such courses</w:t>
      </w:r>
      <w:r w:rsidR="006133DD">
        <w:rPr>
          <w:rFonts w:ascii="Book Antiqua" w:hAnsi="Book Antiqua" w:cs="Arial"/>
        </w:rPr>
        <w:t xml:space="preserve"> to reduce further the possibility of reoffending</w:t>
      </w:r>
      <w:r w:rsidR="005274AE">
        <w:rPr>
          <w:rFonts w:ascii="Book Antiqua" w:hAnsi="Book Antiqua" w:cs="Arial"/>
        </w:rPr>
        <w:t>.</w:t>
      </w:r>
      <w:r w:rsidR="00501755">
        <w:rPr>
          <w:rFonts w:ascii="Book Antiqua" w:hAnsi="Book Antiqua" w:cs="Arial"/>
        </w:rPr>
        <w:t xml:space="preserve"> </w:t>
      </w:r>
      <w:r w:rsidR="00C46CBC">
        <w:rPr>
          <w:rFonts w:ascii="Book Antiqua" w:hAnsi="Book Antiqua" w:cs="Arial"/>
        </w:rPr>
        <w:t>I find</w:t>
      </w:r>
      <w:r w:rsidR="005274AE">
        <w:rPr>
          <w:rFonts w:ascii="Book Antiqua" w:hAnsi="Book Antiqua" w:cs="Arial"/>
        </w:rPr>
        <w:t xml:space="preserve"> however</w:t>
      </w:r>
      <w:r w:rsidR="002A2099">
        <w:rPr>
          <w:rFonts w:ascii="Book Antiqua" w:hAnsi="Book Antiqua" w:cs="Arial"/>
        </w:rPr>
        <w:t xml:space="preserve"> that</w:t>
      </w:r>
      <w:r w:rsidR="00C46CBC">
        <w:rPr>
          <w:rFonts w:ascii="Book Antiqua" w:hAnsi="Book Antiqua" w:cs="Arial"/>
        </w:rPr>
        <w:t xml:space="preserve"> </w:t>
      </w:r>
      <w:r w:rsidR="00824EAF">
        <w:rPr>
          <w:rFonts w:ascii="Book Antiqua" w:hAnsi="Book Antiqua" w:cs="Arial"/>
        </w:rPr>
        <w:t>the oral evidence of the claimant was</w:t>
      </w:r>
      <w:r w:rsidR="002A2099">
        <w:rPr>
          <w:rFonts w:ascii="Book Antiqua" w:hAnsi="Book Antiqua" w:cs="Arial"/>
        </w:rPr>
        <w:t xml:space="preserve"> ultimately</w:t>
      </w:r>
      <w:r w:rsidR="00824EAF">
        <w:rPr>
          <w:rFonts w:ascii="Book Antiqua" w:hAnsi="Book Antiqua" w:cs="Arial"/>
        </w:rPr>
        <w:t xml:space="preserve"> consistent with the OASys assessment</w:t>
      </w:r>
      <w:r w:rsidR="002A2099">
        <w:rPr>
          <w:rFonts w:ascii="Book Antiqua" w:hAnsi="Book Antiqua" w:cs="Arial"/>
        </w:rPr>
        <w:t xml:space="preserve">, and that there is a low risk of recidivism for the claimant. </w:t>
      </w:r>
      <w:r w:rsidR="009D0705">
        <w:rPr>
          <w:rFonts w:ascii="Book Antiqua" w:hAnsi="Book Antiqua" w:cs="Arial"/>
        </w:rPr>
        <w:t xml:space="preserve"> </w:t>
      </w:r>
    </w:p>
    <w:p w:rsidR="00AD3303" w:rsidRDefault="00E72680" w:rsidP="00CB2E36">
      <w:pPr>
        <w:numPr>
          <w:ilvl w:val="0"/>
          <w:numId w:val="4"/>
        </w:numPr>
        <w:tabs>
          <w:tab w:val="left" w:pos="2520"/>
        </w:tabs>
        <w:spacing w:before="240"/>
        <w:ind w:left="900" w:hanging="559"/>
        <w:jc w:val="both"/>
        <w:rPr>
          <w:rFonts w:ascii="Book Antiqua" w:hAnsi="Book Antiqua" w:cs="Arial"/>
        </w:rPr>
      </w:pPr>
      <w:r>
        <w:rPr>
          <w:rFonts w:ascii="Book Antiqua" w:hAnsi="Book Antiqua" w:cs="Arial"/>
        </w:rPr>
        <w:t xml:space="preserve">On consideration of the claimant’s criminal </w:t>
      </w:r>
      <w:r w:rsidR="005274AE">
        <w:rPr>
          <w:rFonts w:ascii="Book Antiqua" w:hAnsi="Book Antiqua" w:cs="Arial"/>
        </w:rPr>
        <w:t xml:space="preserve">record, which </w:t>
      </w:r>
      <w:r w:rsidR="00836B7D">
        <w:rPr>
          <w:rFonts w:ascii="Book Antiqua" w:hAnsi="Book Antiqua" w:cs="Arial"/>
        </w:rPr>
        <w:t>is unpleasant and repugnant but not in the context of such records a serious one</w:t>
      </w:r>
      <w:r w:rsidR="00336E6E">
        <w:rPr>
          <w:rFonts w:ascii="Book Antiqua" w:hAnsi="Book Antiqua" w:cs="Arial"/>
        </w:rPr>
        <w:t xml:space="preserve"> as is reflected</w:t>
      </w:r>
      <w:r w:rsidR="002864B4">
        <w:rPr>
          <w:rFonts w:ascii="Book Antiqua" w:hAnsi="Book Antiqua" w:cs="Arial"/>
        </w:rPr>
        <w:t xml:space="preserve"> in the nature of the charges and</w:t>
      </w:r>
      <w:r w:rsidR="00336E6E">
        <w:rPr>
          <w:rFonts w:ascii="Book Antiqua" w:hAnsi="Book Antiqua" w:cs="Arial"/>
        </w:rPr>
        <w:t xml:space="preserve"> the length of his sentences</w:t>
      </w:r>
      <w:r w:rsidR="00836B7D">
        <w:rPr>
          <w:rFonts w:ascii="Book Antiqua" w:hAnsi="Book Antiqua" w:cs="Arial"/>
        </w:rPr>
        <w:t>,</w:t>
      </w:r>
      <w:r>
        <w:rPr>
          <w:rFonts w:ascii="Book Antiqua" w:hAnsi="Book Antiqua" w:cs="Arial"/>
        </w:rPr>
        <w:t xml:space="preserve"> and the</w:t>
      </w:r>
      <w:r w:rsidR="008C793B">
        <w:rPr>
          <w:rFonts w:ascii="Book Antiqua" w:hAnsi="Book Antiqua" w:cs="Arial"/>
        </w:rPr>
        <w:t xml:space="preserve"> low</w:t>
      </w:r>
      <w:r>
        <w:rPr>
          <w:rFonts w:ascii="Book Antiqua" w:hAnsi="Book Antiqua" w:cs="Arial"/>
        </w:rPr>
        <w:t xml:space="preserve"> likelihood of his reoffending</w:t>
      </w:r>
      <w:r w:rsidR="008C793B">
        <w:rPr>
          <w:rFonts w:ascii="Book Antiqua" w:hAnsi="Book Antiqua" w:cs="Arial"/>
        </w:rPr>
        <w:t xml:space="preserve"> my </w:t>
      </w:r>
      <w:r w:rsidR="002864B4">
        <w:rPr>
          <w:rFonts w:ascii="Book Antiqua" w:hAnsi="Book Antiqua" w:cs="Arial"/>
        </w:rPr>
        <w:t>ultimate</w:t>
      </w:r>
      <w:r w:rsidR="008C793B">
        <w:rPr>
          <w:rFonts w:ascii="Book Antiqua" w:hAnsi="Book Antiqua" w:cs="Arial"/>
        </w:rPr>
        <w:t xml:space="preserve"> conclusion is that</w:t>
      </w:r>
      <w:r w:rsidR="002864B4">
        <w:rPr>
          <w:rFonts w:ascii="Book Antiqua" w:hAnsi="Book Antiqua" w:cs="Arial"/>
        </w:rPr>
        <w:t xml:space="preserve"> the Secretary of State has not shown that</w:t>
      </w:r>
      <w:r w:rsidR="008C793B">
        <w:rPr>
          <w:rFonts w:ascii="Book Antiqua" w:hAnsi="Book Antiqua" w:cs="Arial"/>
        </w:rPr>
        <w:t xml:space="preserve"> </w:t>
      </w:r>
      <w:r w:rsidR="00667087">
        <w:rPr>
          <w:rFonts w:ascii="Book Antiqua" w:hAnsi="Book Antiqua" w:cs="Arial"/>
        </w:rPr>
        <w:t>there is a</w:t>
      </w:r>
      <w:r w:rsidR="00A94A7F">
        <w:rPr>
          <w:rFonts w:ascii="Book Antiqua" w:hAnsi="Book Antiqua" w:cs="Arial"/>
        </w:rPr>
        <w:t xml:space="preserve"> present,</w:t>
      </w:r>
      <w:r w:rsidR="00667087">
        <w:rPr>
          <w:rFonts w:ascii="Book Antiqua" w:hAnsi="Book Antiqua" w:cs="Arial"/>
        </w:rPr>
        <w:t xml:space="preserve"> real and sufficiently serious threat to a fundamental interest of society </w:t>
      </w:r>
      <w:r w:rsidR="002864B4">
        <w:rPr>
          <w:rFonts w:ascii="Book Antiqua" w:hAnsi="Book Antiqua" w:cs="Arial"/>
        </w:rPr>
        <w:t xml:space="preserve">justifying </w:t>
      </w:r>
      <w:r w:rsidR="00A94A7F">
        <w:rPr>
          <w:rFonts w:ascii="Book Antiqua" w:hAnsi="Book Antiqua" w:cs="Arial"/>
        </w:rPr>
        <w:t>the claimant’s</w:t>
      </w:r>
      <w:r w:rsidR="002864B4">
        <w:rPr>
          <w:rFonts w:ascii="Book Antiqua" w:hAnsi="Book Antiqua" w:cs="Arial"/>
        </w:rPr>
        <w:t xml:space="preserve"> deportation on</w:t>
      </w:r>
      <w:r w:rsidR="00667087">
        <w:rPr>
          <w:rFonts w:ascii="Book Antiqua" w:hAnsi="Book Antiqua" w:cs="Arial"/>
        </w:rPr>
        <w:t xml:space="preserve"> serious groun</w:t>
      </w:r>
      <w:r w:rsidR="00CD3CB0">
        <w:rPr>
          <w:rFonts w:ascii="Book Antiqua" w:hAnsi="Book Antiqua" w:cs="Arial"/>
        </w:rPr>
        <w:t>d</w:t>
      </w:r>
      <w:r w:rsidR="00667087">
        <w:rPr>
          <w:rFonts w:ascii="Book Antiqua" w:hAnsi="Book Antiqua" w:cs="Arial"/>
        </w:rPr>
        <w:t xml:space="preserve">s </w:t>
      </w:r>
      <w:r w:rsidR="00AC2E82">
        <w:rPr>
          <w:rFonts w:ascii="Book Antiqua" w:hAnsi="Book Antiqua" w:cs="Arial"/>
        </w:rPr>
        <w:t>of</w:t>
      </w:r>
      <w:r w:rsidR="00667087">
        <w:rPr>
          <w:rFonts w:ascii="Book Antiqua" w:hAnsi="Book Antiqua" w:cs="Arial"/>
        </w:rPr>
        <w:t xml:space="preserve"> p</w:t>
      </w:r>
      <w:r w:rsidR="00AC2E82">
        <w:rPr>
          <w:rFonts w:ascii="Book Antiqua" w:hAnsi="Book Antiqua" w:cs="Arial"/>
        </w:rPr>
        <w:t>ublic policy</w:t>
      </w:r>
      <w:r w:rsidR="007152E9">
        <w:rPr>
          <w:rFonts w:ascii="Book Antiqua" w:hAnsi="Book Antiqua" w:cs="Arial"/>
        </w:rPr>
        <w:t xml:space="preserve"> and security</w:t>
      </w:r>
      <w:r w:rsidR="00AC2E82">
        <w:rPr>
          <w:rFonts w:ascii="Book Antiqua" w:hAnsi="Book Antiqua" w:cs="Arial"/>
        </w:rPr>
        <w:t>.</w:t>
      </w:r>
      <w:r w:rsidR="00606ED8">
        <w:rPr>
          <w:rFonts w:ascii="Book Antiqua" w:hAnsi="Book Antiqua" w:cs="Arial"/>
        </w:rPr>
        <w:t xml:space="preserve"> As such</w:t>
      </w:r>
      <w:r w:rsidR="00336E6E">
        <w:rPr>
          <w:rFonts w:ascii="Book Antiqua" w:hAnsi="Book Antiqua" w:cs="Arial"/>
        </w:rPr>
        <w:t xml:space="preserve"> the </w:t>
      </w:r>
      <w:r w:rsidR="007152E9">
        <w:rPr>
          <w:rFonts w:ascii="Book Antiqua" w:hAnsi="Book Antiqua" w:cs="Arial"/>
        </w:rPr>
        <w:t>Secretary of State</w:t>
      </w:r>
      <w:r w:rsidR="00336E6E">
        <w:rPr>
          <w:rFonts w:ascii="Book Antiqua" w:hAnsi="Book Antiqua" w:cs="Arial"/>
        </w:rPr>
        <w:t xml:space="preserve"> has not shown that </w:t>
      </w:r>
      <w:r w:rsidR="007152E9">
        <w:rPr>
          <w:rFonts w:ascii="Book Antiqua" w:hAnsi="Book Antiqua" w:cs="Arial"/>
        </w:rPr>
        <w:t>t</w:t>
      </w:r>
      <w:r w:rsidR="00336E6E">
        <w:rPr>
          <w:rFonts w:ascii="Book Antiqua" w:hAnsi="Book Antiqua" w:cs="Arial"/>
        </w:rPr>
        <w:t>he</w:t>
      </w:r>
      <w:r w:rsidR="007152E9">
        <w:rPr>
          <w:rFonts w:ascii="Book Antiqua" w:hAnsi="Book Antiqua" w:cs="Arial"/>
        </w:rPr>
        <w:t xml:space="preserve"> claimant</w:t>
      </w:r>
      <w:r w:rsidR="00336E6E">
        <w:rPr>
          <w:rFonts w:ascii="Book Antiqua" w:hAnsi="Book Antiqua" w:cs="Arial"/>
        </w:rPr>
        <w:t xml:space="preserve"> falls to be deported under the</w:t>
      </w:r>
      <w:r w:rsidR="00A94A7F">
        <w:rPr>
          <w:rFonts w:ascii="Book Antiqua" w:hAnsi="Book Antiqua" w:cs="Arial"/>
        </w:rPr>
        <w:t xml:space="preserve"> Immigration</w:t>
      </w:r>
      <w:r w:rsidR="00336E6E">
        <w:rPr>
          <w:rFonts w:ascii="Book Antiqua" w:hAnsi="Book Antiqua" w:cs="Arial"/>
        </w:rPr>
        <w:t xml:space="preserve"> </w:t>
      </w:r>
      <w:r w:rsidR="00A94A7F">
        <w:rPr>
          <w:rFonts w:ascii="Book Antiqua" w:hAnsi="Book Antiqua" w:cs="Arial"/>
        </w:rPr>
        <w:t>(</w:t>
      </w:r>
      <w:r w:rsidR="00336E6E">
        <w:rPr>
          <w:rFonts w:ascii="Book Antiqua" w:hAnsi="Book Antiqua" w:cs="Arial"/>
        </w:rPr>
        <w:t>EEA</w:t>
      </w:r>
      <w:r w:rsidR="00A94A7F">
        <w:rPr>
          <w:rFonts w:ascii="Book Antiqua" w:hAnsi="Book Antiqua" w:cs="Arial"/>
        </w:rPr>
        <w:t>)</w:t>
      </w:r>
      <w:r w:rsidR="00336E6E">
        <w:rPr>
          <w:rFonts w:ascii="Book Antiqua" w:hAnsi="Book Antiqua" w:cs="Arial"/>
        </w:rPr>
        <w:t xml:space="preserve"> Regulations</w:t>
      </w:r>
      <w:r w:rsidR="00A94A7F">
        <w:rPr>
          <w:rFonts w:ascii="Book Antiqua" w:hAnsi="Book Antiqua" w:cs="Arial"/>
        </w:rPr>
        <w:t xml:space="preserve"> 2006</w:t>
      </w:r>
      <w:r w:rsidR="00336E6E">
        <w:rPr>
          <w:rFonts w:ascii="Book Antiqua" w:hAnsi="Book Antiqua" w:cs="Arial"/>
        </w:rPr>
        <w:t xml:space="preserve">. </w:t>
      </w:r>
      <w:r w:rsidR="00606ED8">
        <w:rPr>
          <w:rFonts w:ascii="Book Antiqua" w:hAnsi="Book Antiqua" w:cs="Arial"/>
        </w:rPr>
        <w:t xml:space="preserve"> </w:t>
      </w:r>
    </w:p>
    <w:p w:rsidR="00040CB2" w:rsidRDefault="005F7908" w:rsidP="005F7908">
      <w:pPr>
        <w:tabs>
          <w:tab w:val="left" w:pos="567"/>
        </w:tabs>
        <w:jc w:val="both"/>
        <w:rPr>
          <w:rFonts w:ascii="Book Antiqua" w:hAnsi="Book Antiqua" w:cs="Arial"/>
        </w:rPr>
      </w:pPr>
      <w:r>
        <w:rPr>
          <w:rFonts w:ascii="Book Antiqua" w:hAnsi="Book Antiqua" w:cs="Arial"/>
        </w:rPr>
        <w:t xml:space="preserve">         </w:t>
      </w:r>
    </w:p>
    <w:p w:rsidR="005F7908" w:rsidRPr="00270D89" w:rsidRDefault="005F7908" w:rsidP="005F7908">
      <w:pPr>
        <w:tabs>
          <w:tab w:val="left" w:pos="567"/>
        </w:tabs>
        <w:jc w:val="both"/>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rsidR="005F7908" w:rsidRDefault="005F7908" w:rsidP="005F7908">
      <w:pPr>
        <w:tabs>
          <w:tab w:val="left" w:pos="567"/>
        </w:tabs>
        <w:jc w:val="both"/>
        <w:rPr>
          <w:rFonts w:ascii="Book Antiqua" w:hAnsi="Book Antiqua" w:cs="Arial"/>
        </w:rPr>
      </w:pPr>
    </w:p>
    <w:p w:rsidR="005F7908" w:rsidRDefault="005F7908" w:rsidP="005F7908">
      <w:pPr>
        <w:numPr>
          <w:ilvl w:val="0"/>
          <w:numId w:val="1"/>
        </w:numPr>
        <w:tabs>
          <w:tab w:val="left" w:pos="567"/>
        </w:tabs>
        <w:jc w:val="both"/>
        <w:rPr>
          <w:rFonts w:ascii="Book Antiqua" w:hAnsi="Book Antiqua" w:cs="Arial"/>
        </w:rPr>
      </w:pPr>
      <w:r>
        <w:rPr>
          <w:rFonts w:ascii="Book Antiqua" w:hAnsi="Book Antiqua" w:cs="Arial"/>
        </w:rPr>
        <w:t>The making of the decision of the First-tier Tribunal did involve the making of an error on a point of law.</w:t>
      </w:r>
    </w:p>
    <w:p w:rsidR="005F7908" w:rsidRDefault="005F7908" w:rsidP="005F7908">
      <w:pPr>
        <w:tabs>
          <w:tab w:val="left" w:pos="567"/>
        </w:tabs>
        <w:jc w:val="both"/>
        <w:rPr>
          <w:rFonts w:ascii="Book Antiqua" w:hAnsi="Book Antiqua" w:cs="Arial"/>
        </w:rPr>
      </w:pPr>
    </w:p>
    <w:p w:rsidR="005F7908" w:rsidRDefault="005F7908" w:rsidP="005F7908">
      <w:pPr>
        <w:numPr>
          <w:ilvl w:val="0"/>
          <w:numId w:val="1"/>
        </w:numPr>
        <w:tabs>
          <w:tab w:val="left" w:pos="567"/>
        </w:tabs>
        <w:jc w:val="both"/>
        <w:rPr>
          <w:rFonts w:ascii="Book Antiqua" w:hAnsi="Book Antiqua" w:cs="Arial"/>
        </w:rPr>
      </w:pPr>
      <w:r>
        <w:rPr>
          <w:rFonts w:ascii="Book Antiqua" w:hAnsi="Book Antiqua" w:cs="Arial"/>
        </w:rPr>
        <w:t xml:space="preserve">I set aside the decision of the First-tier Tribunal. </w:t>
      </w:r>
    </w:p>
    <w:p w:rsidR="005F7908" w:rsidRDefault="005F7908" w:rsidP="005F7908">
      <w:pPr>
        <w:tabs>
          <w:tab w:val="left" w:pos="567"/>
        </w:tabs>
        <w:jc w:val="both"/>
        <w:rPr>
          <w:rFonts w:ascii="Book Antiqua" w:hAnsi="Book Antiqua" w:cs="Arial"/>
        </w:rPr>
      </w:pPr>
    </w:p>
    <w:p w:rsidR="005F7908" w:rsidRDefault="005F7908" w:rsidP="005F7908">
      <w:pPr>
        <w:numPr>
          <w:ilvl w:val="0"/>
          <w:numId w:val="1"/>
        </w:numPr>
        <w:tabs>
          <w:tab w:val="left" w:pos="567"/>
        </w:tabs>
        <w:jc w:val="both"/>
        <w:rPr>
          <w:rFonts w:ascii="Book Antiqua" w:hAnsi="Book Antiqua" w:cs="Arial"/>
        </w:rPr>
      </w:pPr>
      <w:r>
        <w:rPr>
          <w:rFonts w:ascii="Book Antiqua" w:hAnsi="Book Antiqua" w:cs="Arial"/>
        </w:rPr>
        <w:t xml:space="preserve">I </w:t>
      </w:r>
      <w:r w:rsidR="00C875CB">
        <w:rPr>
          <w:rFonts w:ascii="Book Antiqua" w:hAnsi="Book Antiqua" w:cs="Arial"/>
        </w:rPr>
        <w:t>remake the appeal by</w:t>
      </w:r>
      <w:r w:rsidR="0050241E">
        <w:rPr>
          <w:rFonts w:ascii="Book Antiqua" w:hAnsi="Book Antiqua" w:cs="Arial"/>
        </w:rPr>
        <w:t xml:space="preserve"> </w:t>
      </w:r>
      <w:r w:rsidR="00EA32F1">
        <w:rPr>
          <w:rFonts w:ascii="Book Antiqua" w:hAnsi="Book Antiqua" w:cs="Arial"/>
        </w:rPr>
        <w:t xml:space="preserve">allowing </w:t>
      </w:r>
      <w:r w:rsidR="00522FAB">
        <w:rPr>
          <w:rFonts w:ascii="Book Antiqua" w:hAnsi="Book Antiqua" w:cs="Arial"/>
        </w:rPr>
        <w:t>it under the</w:t>
      </w:r>
      <w:r w:rsidR="00A94A7F">
        <w:rPr>
          <w:rFonts w:ascii="Book Antiqua" w:hAnsi="Book Antiqua" w:cs="Arial"/>
        </w:rPr>
        <w:t xml:space="preserve"> Immigration</w:t>
      </w:r>
      <w:r w:rsidR="00522FAB">
        <w:rPr>
          <w:rFonts w:ascii="Book Antiqua" w:hAnsi="Book Antiqua" w:cs="Arial"/>
        </w:rPr>
        <w:t xml:space="preserve"> </w:t>
      </w:r>
      <w:r w:rsidR="00A94A7F">
        <w:rPr>
          <w:rFonts w:ascii="Book Antiqua" w:hAnsi="Book Antiqua" w:cs="Arial"/>
        </w:rPr>
        <w:t>(</w:t>
      </w:r>
      <w:r w:rsidR="00522FAB">
        <w:rPr>
          <w:rFonts w:ascii="Book Antiqua" w:hAnsi="Book Antiqua" w:cs="Arial"/>
        </w:rPr>
        <w:t>EEA</w:t>
      </w:r>
      <w:r w:rsidR="00A94A7F">
        <w:rPr>
          <w:rFonts w:ascii="Book Antiqua" w:hAnsi="Book Antiqua" w:cs="Arial"/>
        </w:rPr>
        <w:t>)</w:t>
      </w:r>
      <w:r w:rsidR="00522FAB">
        <w:rPr>
          <w:rFonts w:ascii="Book Antiqua" w:hAnsi="Book Antiqua" w:cs="Arial"/>
        </w:rPr>
        <w:t xml:space="preserve"> Regulations</w:t>
      </w:r>
      <w:r w:rsidR="00A94A7F">
        <w:rPr>
          <w:rFonts w:ascii="Book Antiqua" w:hAnsi="Book Antiqua" w:cs="Arial"/>
        </w:rPr>
        <w:t xml:space="preserve"> 2006</w:t>
      </w:r>
      <w:r w:rsidR="00522FAB">
        <w:rPr>
          <w:rFonts w:ascii="Book Antiqua" w:hAnsi="Book Antiqua" w:cs="Arial"/>
        </w:rPr>
        <w:t>.</w:t>
      </w:r>
    </w:p>
    <w:p w:rsidR="005F7908" w:rsidRDefault="005F7908" w:rsidP="005F7908">
      <w:pPr>
        <w:tabs>
          <w:tab w:val="left" w:pos="567"/>
        </w:tabs>
        <w:jc w:val="both"/>
        <w:rPr>
          <w:rFonts w:ascii="Book Antiqua" w:hAnsi="Book Antiqua" w:cs="Arial"/>
        </w:rPr>
      </w:pPr>
    </w:p>
    <w:p w:rsidR="005F7908" w:rsidRPr="00270D89" w:rsidRDefault="005F7908" w:rsidP="005F7908">
      <w:pPr>
        <w:tabs>
          <w:tab w:val="left" w:pos="567"/>
        </w:tabs>
        <w:ind w:left="567"/>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 xml:space="preserve">directly identify the original </w:t>
      </w:r>
      <w:r w:rsidR="006C6BC2">
        <w:rPr>
          <w:rFonts w:ascii="Book Antiqua" w:hAnsi="Book Antiqua"/>
          <w:bCs/>
        </w:rPr>
        <w:t>claim</w:t>
      </w:r>
      <w:r w:rsidRPr="00397258">
        <w:rPr>
          <w:rFonts w:ascii="Book Antiqua" w:hAnsi="Book Antiqua"/>
          <w:bCs/>
        </w:rPr>
        <w:t>ant. This direction applies to, amongst others, all parties. Any failure to comply with this direction could give rise to contempt of court proceedings.</w:t>
      </w:r>
      <w:r>
        <w:rPr>
          <w:rFonts w:ascii="Book Antiqua" w:hAnsi="Book Antiqua"/>
          <w:bCs/>
        </w:rPr>
        <w:t xml:space="preserve"> </w:t>
      </w:r>
      <w:r>
        <w:rPr>
          <w:rFonts w:ascii="Book Antiqua" w:hAnsi="Book Antiqua" w:cs="Arial"/>
        </w:rPr>
        <w:t xml:space="preserve">I do so in order to avoid a likelihood of serious harm arising to the </w:t>
      </w:r>
      <w:r w:rsidR="00115957">
        <w:rPr>
          <w:rFonts w:ascii="Book Antiqua" w:hAnsi="Book Antiqua" w:cs="Arial"/>
        </w:rPr>
        <w:t>claim</w:t>
      </w:r>
      <w:r>
        <w:rPr>
          <w:rFonts w:ascii="Book Antiqua" w:hAnsi="Book Antiqua" w:cs="Arial"/>
        </w:rPr>
        <w:t xml:space="preserve">ant’s family. </w:t>
      </w:r>
    </w:p>
    <w:p w:rsidR="005F7908" w:rsidRDefault="005F7908" w:rsidP="005F7908">
      <w:pPr>
        <w:tabs>
          <w:tab w:val="left" w:pos="567"/>
        </w:tabs>
        <w:jc w:val="both"/>
        <w:rPr>
          <w:rFonts w:ascii="Book Antiqua" w:hAnsi="Book Antiqua" w:cs="Arial"/>
        </w:rPr>
      </w:pPr>
    </w:p>
    <w:p w:rsidR="005F7908" w:rsidRDefault="005F7908" w:rsidP="005F7908">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C875CB">
        <w:rPr>
          <w:rFonts w:ascii="Book Antiqua" w:hAnsi="Book Antiqua" w:cs="Arial"/>
        </w:rPr>
        <w:t>2</w:t>
      </w:r>
      <w:r w:rsidR="00EA32F1">
        <w:rPr>
          <w:rFonts w:ascii="Book Antiqua" w:hAnsi="Book Antiqua" w:cs="Arial"/>
        </w:rPr>
        <w:t>7</w:t>
      </w:r>
      <w:r w:rsidR="00C875CB" w:rsidRPr="00C875CB">
        <w:rPr>
          <w:rFonts w:ascii="Book Antiqua" w:hAnsi="Book Antiqua" w:cs="Arial"/>
          <w:vertAlign w:val="superscript"/>
        </w:rPr>
        <w:t>th</w:t>
      </w:r>
      <w:r w:rsidR="00C875CB">
        <w:rPr>
          <w:rFonts w:ascii="Book Antiqua" w:hAnsi="Book Antiqua" w:cs="Arial"/>
        </w:rPr>
        <w:t xml:space="preserve"> June</w:t>
      </w:r>
      <w:r>
        <w:rPr>
          <w:rFonts w:ascii="Book Antiqua" w:hAnsi="Book Antiqua" w:cs="Arial"/>
        </w:rPr>
        <w:t xml:space="preserve"> 2018</w:t>
      </w:r>
    </w:p>
    <w:p w:rsidR="005F7908" w:rsidRDefault="005F7908" w:rsidP="005F7908">
      <w:pPr>
        <w:tabs>
          <w:tab w:val="left" w:pos="567"/>
        </w:tabs>
        <w:jc w:val="both"/>
        <w:rPr>
          <w:rFonts w:ascii="Book Antiqua" w:hAnsi="Book Antiqua" w:cs="Arial"/>
        </w:rPr>
      </w:pPr>
      <w:r>
        <w:rPr>
          <w:rFonts w:ascii="Book Antiqua" w:hAnsi="Book Antiqua" w:cs="Arial"/>
        </w:rPr>
        <w:t>Upper Tribunal Judge Lindsley</w:t>
      </w:r>
    </w:p>
    <w:p w:rsidR="00F15802" w:rsidRDefault="00F15802">
      <w:pPr>
        <w:spacing w:after="160" w:line="259" w:lineRule="auto"/>
        <w:rPr>
          <w:rFonts w:ascii="Book Antiqua" w:hAnsi="Book Antiqua" w:cs="Arial"/>
        </w:rPr>
      </w:pPr>
      <w:r>
        <w:rPr>
          <w:rFonts w:ascii="Book Antiqua" w:hAnsi="Book Antiqua" w:cs="Arial"/>
        </w:rPr>
        <w:br w:type="page"/>
      </w:r>
    </w:p>
    <w:p w:rsidR="005F7908" w:rsidRDefault="005F7908" w:rsidP="005F7908">
      <w:pPr>
        <w:tabs>
          <w:tab w:val="left" w:pos="2520"/>
        </w:tabs>
        <w:rPr>
          <w:rFonts w:ascii="Book Antiqua" w:hAnsi="Book Antiqua" w:cs="Arial"/>
          <w:b/>
          <w:u w:val="single"/>
        </w:rPr>
      </w:pPr>
    </w:p>
    <w:p w:rsidR="005F7908" w:rsidRPr="005F7908" w:rsidRDefault="005F7908" w:rsidP="005F7908">
      <w:pPr>
        <w:tabs>
          <w:tab w:val="left" w:pos="2520"/>
        </w:tabs>
        <w:rPr>
          <w:rFonts w:ascii="Book Antiqua" w:hAnsi="Book Antiqua" w:cs="Arial"/>
          <w:b/>
          <w:u w:val="single"/>
        </w:rPr>
      </w:pPr>
      <w:r>
        <w:rPr>
          <w:rFonts w:ascii="Book Antiqua" w:hAnsi="Book Antiqua" w:cs="Arial"/>
          <w:b/>
          <w:u w:val="single"/>
        </w:rPr>
        <w:t>Annex A</w:t>
      </w:r>
    </w:p>
    <w:p w:rsidR="005F7908" w:rsidRPr="00F97703" w:rsidRDefault="005F7908" w:rsidP="005F7908">
      <w:pPr>
        <w:tabs>
          <w:tab w:val="left" w:pos="2520"/>
        </w:tabs>
        <w:jc w:val="center"/>
        <w:rPr>
          <w:rFonts w:ascii="Book Antiqua" w:hAnsi="Book Antiqua" w:cs="Arial"/>
        </w:rPr>
      </w:pPr>
    </w:p>
    <w:p w:rsidR="005F7908" w:rsidRPr="00F97703" w:rsidRDefault="005F7908" w:rsidP="005F7908">
      <w:pPr>
        <w:tabs>
          <w:tab w:val="left" w:pos="2520"/>
        </w:tabs>
        <w:jc w:val="center"/>
        <w:rPr>
          <w:rFonts w:ascii="Book Antiqua" w:hAnsi="Book Antiqua" w:cs="Arial"/>
        </w:rPr>
      </w:pPr>
    </w:p>
    <w:p w:rsidR="005F7908" w:rsidRPr="00F97703" w:rsidRDefault="005F7908" w:rsidP="005F7908">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rsidR="005F7908" w:rsidRPr="00F97703" w:rsidRDefault="005F7908" w:rsidP="005F7908">
      <w:pPr>
        <w:tabs>
          <w:tab w:val="left" w:pos="2520"/>
        </w:tabs>
        <w:jc w:val="both"/>
        <w:rPr>
          <w:rFonts w:ascii="Book Antiqua" w:hAnsi="Book Antiqua" w:cs="Arial"/>
        </w:rPr>
      </w:pPr>
    </w:p>
    <w:p w:rsidR="005F7908" w:rsidRDefault="005F7908" w:rsidP="005F7908">
      <w:pPr>
        <w:tabs>
          <w:tab w:val="left" w:pos="567"/>
        </w:tabs>
        <w:ind w:left="567"/>
        <w:jc w:val="both"/>
        <w:rPr>
          <w:rFonts w:ascii="Book Antiqua" w:hAnsi="Book Antiqua" w:cs="Arial"/>
          <w:i/>
        </w:rPr>
      </w:pPr>
      <w:r>
        <w:rPr>
          <w:rFonts w:ascii="Book Antiqua" w:hAnsi="Book Antiqua" w:cs="Arial"/>
          <w:i/>
        </w:rPr>
        <w:t>Introduction</w:t>
      </w:r>
    </w:p>
    <w:p w:rsidR="005F7908" w:rsidRPr="00546523" w:rsidRDefault="005F7908" w:rsidP="005F7908">
      <w:pPr>
        <w:tabs>
          <w:tab w:val="left" w:pos="567"/>
        </w:tabs>
        <w:ind w:left="567"/>
        <w:jc w:val="both"/>
        <w:rPr>
          <w:rFonts w:ascii="Book Antiqua" w:hAnsi="Book Antiqua" w:cs="Arial"/>
          <w:i/>
        </w:rPr>
      </w:pPr>
    </w:p>
    <w:p w:rsidR="005F7908" w:rsidRPr="003B12DA" w:rsidRDefault="005F7908" w:rsidP="00F15802">
      <w:pPr>
        <w:numPr>
          <w:ilvl w:val="0"/>
          <w:numId w:val="5"/>
        </w:numPr>
        <w:tabs>
          <w:tab w:val="left" w:pos="2520"/>
        </w:tabs>
        <w:spacing w:before="240"/>
        <w:jc w:val="both"/>
        <w:rPr>
          <w:rFonts w:ascii="Book Antiqua" w:hAnsi="Book Antiqua" w:cs="Arial"/>
          <w:u w:val="single"/>
        </w:rPr>
      </w:pPr>
      <w:r>
        <w:rPr>
          <w:rFonts w:ascii="Book Antiqua" w:hAnsi="Book Antiqua" w:cs="Arial"/>
        </w:rPr>
        <w:t>The claimant is a citizen of Denmark born in 1975.  His appeal against the decision of the Secretary of State to deport him to Denmark as a result of a number of criminal convictions was allowed by First-tier Tribunal Judge I D Boyes in a determination promulgated on the 25</w:t>
      </w:r>
      <w:r w:rsidRPr="00CA7EA3">
        <w:rPr>
          <w:rFonts w:ascii="Book Antiqua" w:hAnsi="Book Antiqua" w:cs="Arial"/>
          <w:vertAlign w:val="superscript"/>
        </w:rPr>
        <w:t>th</w:t>
      </w:r>
      <w:r>
        <w:rPr>
          <w:rFonts w:ascii="Book Antiqua" w:hAnsi="Book Antiqua" w:cs="Arial"/>
        </w:rPr>
        <w:t xml:space="preserve"> October 2017. </w:t>
      </w:r>
    </w:p>
    <w:p w:rsidR="005F7908" w:rsidRPr="00546523"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Permission to appeal was granted by Upper Tribunal Judge Jordan on 15</w:t>
      </w:r>
      <w:r w:rsidRPr="00CA7EA3">
        <w:rPr>
          <w:rFonts w:ascii="Book Antiqua" w:hAnsi="Book Antiqua" w:cs="Arial"/>
          <w:vertAlign w:val="superscript"/>
        </w:rPr>
        <w:t>th</w:t>
      </w:r>
      <w:r>
        <w:rPr>
          <w:rFonts w:ascii="Book Antiqua" w:hAnsi="Book Antiqua" w:cs="Arial"/>
        </w:rPr>
        <w:t xml:space="preserve"> December 2017 on the basis that it was arguable that the First-tier judge had erred in law in finding that the claimant had permanent residence in the UK without sufficient evidence.  </w:t>
      </w:r>
    </w:p>
    <w:p w:rsidR="005F7908" w:rsidRPr="00546523"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p>
    <w:p w:rsidR="005F7908" w:rsidRPr="00546523" w:rsidRDefault="005F7908" w:rsidP="005F7908">
      <w:pPr>
        <w:tabs>
          <w:tab w:val="left" w:pos="2520"/>
        </w:tabs>
        <w:spacing w:before="240"/>
        <w:jc w:val="both"/>
        <w:rPr>
          <w:rFonts w:ascii="Book Antiqua" w:hAnsi="Book Antiqua" w:cs="Arial"/>
          <w:i/>
        </w:rPr>
      </w:pPr>
      <w:r>
        <w:rPr>
          <w:rFonts w:ascii="Book Antiqua" w:hAnsi="Book Antiqua" w:cs="Arial"/>
          <w:i/>
        </w:rPr>
        <w:t>Submissions – Error of Law</w:t>
      </w:r>
    </w:p>
    <w:p w:rsidR="005F7908" w:rsidRPr="00AA790D"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Mr Lindsay argued on behalf of the Secretary of State that the finding of the First-tier Tribunal that the claimant has permanent residence is infected by error due to a wrong legal direction on the burden of proof; due to inadequate reasoning; and due to being irrational. It states at paragraph 14, immediately before dealing with the issue of permanent residence, that the burden of proof is on the respondent, which is incorrect with respect to this issue. It was accepted by the First-tier Tribunal that the claimant had not been able to provide complete documentary evidence pertaining to his work history as he was only assisted by his non-English speaking father but in fact the claimant had had legal representation, and this finding was part of the credibility assessment in the claimant’s favour. The decision that the claimant had been present for five years was therefore inadequately reasoned, and absent a complete record of his work over the </w:t>
      </w:r>
      <w:proofErr w:type="gramStart"/>
      <w:r>
        <w:rPr>
          <w:rFonts w:ascii="Book Antiqua" w:hAnsi="Book Antiqua" w:cs="Arial"/>
        </w:rPr>
        <w:t>five year</w:t>
      </w:r>
      <w:proofErr w:type="gramEnd"/>
      <w:r>
        <w:rPr>
          <w:rFonts w:ascii="Book Antiqua" w:hAnsi="Book Antiqua" w:cs="Arial"/>
        </w:rPr>
        <w:t xml:space="preserve"> period materially wrong. It was argued by Mr Lindsay that the documents only showed a period of 1 year and 9 months continuous employment from June 2015 to March 2016.  </w:t>
      </w:r>
    </w:p>
    <w:p w:rsidR="005F7908" w:rsidRPr="00AA790D"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Further Mr Lindsay argued for the Secretary of State that the decision errs in finding that the claimant had not shown he had a propensity to reoffend and thus was not a danger to society as when the predictor scores and risk category are examined in the OASys report they indicate the claimant is a medium risk of harm to the public, see the information provided in </w:t>
      </w:r>
      <w:r>
        <w:rPr>
          <w:rFonts w:ascii="Book Antiqua" w:hAnsi="Book Antiqua" w:cs="Arial"/>
          <w:u w:val="single"/>
        </w:rPr>
        <w:t>Vasconcelos (risk – rehabilitation) Portugal</w:t>
      </w:r>
      <w:r>
        <w:rPr>
          <w:rFonts w:ascii="Book Antiqua" w:hAnsi="Book Antiqua" w:cs="Arial"/>
        </w:rPr>
        <w:t xml:space="preserve"> [2013] UKUT 378. The OASys report also records the fact that the claimant has either denied or justified his offending behaviour and thus must remain a risk to society. A failure to properly set out the complete conclusions of the OASys report means </w:t>
      </w:r>
      <w:r>
        <w:rPr>
          <w:rFonts w:ascii="Book Antiqua" w:hAnsi="Book Antiqua" w:cs="Arial"/>
        </w:rPr>
        <w:lastRenderedPageBreak/>
        <w:t>that all material factors were not considered when concluding that there were no serious grounds of public policy justifying the claimant’s deportation.  The finding that the deportation was not proportionate at paragraph 21 was also contaminated by the findings with respect to risk as there must have been a consideration of risk in this exercise too.</w:t>
      </w:r>
    </w:p>
    <w:p w:rsidR="005F7908" w:rsidRPr="00AA790D"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The First-tier Tribunal is therefore said to have erred in finding that the claimant should not be deported.</w:t>
      </w:r>
    </w:p>
    <w:p w:rsidR="005F7908" w:rsidRPr="00212924"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There was no Rule 24 notice from the claimant but in oral submissions Ms Ferguson argued as follows with respect to the issue of contended errors over the findings of permanent residence. Firstly, with respect to the error regarding the findings of permanent residence and the standard of proof at paragraph 14, it is said that this relates to the deportation issue and not the question of whether the claimant had permanent residence. Secondly, it is said that there was a separate finding at paragraph 16 that the claimant was a credible witness so it was not material why he had produced only a certain amount of evidence as it was open to the First-tier Tribunal simply to believe the claimant, and perfectly lawful if there was no or little documentary evidence supporting this issue. Thirdly a very substantial amount of evidence had been produced so it was not material if the First-tier Tribunal had said it was not complete due to his father as it was in fact sufficient to prove his period of residence on the balance of probabilities.  </w:t>
      </w:r>
    </w:p>
    <w:p w:rsidR="005F7908"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Regarding the contention of there being an incomplete summary of the OASys report Ms Ferguson argued that a medium risk of serious harm was not enough alone to meet the serious grounds test given the low risk of reoffending so failure to set this out was not a material error; and the appeal had been allowed in the alternative on grounds of proportionality at paragraph 21 of the decision.  </w:t>
      </w:r>
    </w:p>
    <w:p w:rsidR="005F7908" w:rsidRPr="00546523" w:rsidRDefault="005F7908" w:rsidP="005F7908">
      <w:pPr>
        <w:tabs>
          <w:tab w:val="left" w:pos="2520"/>
        </w:tabs>
        <w:spacing w:before="240"/>
        <w:jc w:val="both"/>
        <w:rPr>
          <w:rFonts w:ascii="Book Antiqua" w:hAnsi="Book Antiqua" w:cs="Arial"/>
          <w:i/>
        </w:rPr>
      </w:pPr>
      <w:r>
        <w:rPr>
          <w:rFonts w:ascii="Book Antiqua" w:hAnsi="Book Antiqua" w:cs="Arial"/>
          <w:i/>
        </w:rPr>
        <w:t>Conclusions – Error of Law</w:t>
      </w:r>
    </w:p>
    <w:p w:rsidR="005F7908" w:rsidRPr="00DF3699" w:rsidRDefault="005F7908" w:rsidP="00F15802">
      <w:pPr>
        <w:numPr>
          <w:ilvl w:val="0"/>
          <w:numId w:val="5"/>
        </w:numPr>
        <w:tabs>
          <w:tab w:val="left" w:pos="2520"/>
        </w:tabs>
        <w:spacing w:before="240"/>
        <w:ind w:left="900" w:hanging="559"/>
        <w:jc w:val="both"/>
        <w:rPr>
          <w:rFonts w:ascii="Book Antiqua" w:hAnsi="Book Antiqua" w:cs="Arial"/>
          <w:u w:val="single"/>
        </w:rPr>
      </w:pPr>
      <w:r>
        <w:rPr>
          <w:rFonts w:ascii="Book Antiqua" w:hAnsi="Book Antiqua" w:cs="Arial"/>
        </w:rPr>
        <w:t xml:space="preserve">I find that it is not clear that the First-tier Tribunal had applied the correct standard of proof when considering the issue of permanent residence. There is a burden of proof statement which places this on the respondent at paragraph 14 of the decision which is in the paragraph before permanent residence is considered and it is not stated that this does not apply to the issue of permanent residence, where clearly the burden is on the claimant. The combination of paragraphs 7 and 16 does imply that the inability of the appellant to obtain a complete set of papers relating to his work was due to his detention and his father being ill and not speaking English. This does omit a material factor from consideration, namely that the claimant was legally represented for his appeal. I find that this makes the finding that the appellant was credible and therefore to be believed in his period of residence absent a complete set of documents for the whole period unreliable as the material matter of his legal representation was not considered. The findings of the First-tier Tribunal do not rely upon the documentary evidence which was submitted, and Ms Ferguson did not show me that this evidence was in fact complete in evidencing a continuous period of five </w:t>
      </w:r>
      <w:proofErr w:type="spellStart"/>
      <w:r>
        <w:rPr>
          <w:rFonts w:ascii="Book Antiqua" w:hAnsi="Book Antiqua" w:cs="Arial"/>
        </w:rPr>
        <w:t>years</w:t>
      </w:r>
      <w:proofErr w:type="spellEnd"/>
      <w:r>
        <w:rPr>
          <w:rFonts w:ascii="Book Antiqua" w:hAnsi="Book Antiqua" w:cs="Arial"/>
        </w:rPr>
        <w:t xml:space="preserve"> work, and thus I find that errors relating to the </w:t>
      </w:r>
      <w:r>
        <w:rPr>
          <w:rFonts w:ascii="Book Antiqua" w:hAnsi="Book Antiqua" w:cs="Arial"/>
        </w:rPr>
        <w:lastRenderedPageBreak/>
        <w:t xml:space="preserve">burden of proof and lack of consideration of the claimant’s legal representation were potentially material ones, and make the finding that the claimant had permanent residence unreliable.  </w:t>
      </w:r>
    </w:p>
    <w:p w:rsidR="005F7908" w:rsidRPr="00E56309" w:rsidRDefault="005F7908" w:rsidP="00F15802">
      <w:pPr>
        <w:numPr>
          <w:ilvl w:val="0"/>
          <w:numId w:val="5"/>
        </w:numPr>
        <w:tabs>
          <w:tab w:val="left" w:pos="2520"/>
        </w:tabs>
        <w:spacing w:before="240"/>
        <w:ind w:left="900" w:hanging="559"/>
        <w:jc w:val="both"/>
        <w:rPr>
          <w:rFonts w:ascii="Book Antiqua" w:hAnsi="Book Antiqua" w:cs="Arial"/>
          <w:color w:val="000000"/>
        </w:rPr>
      </w:pPr>
      <w:r>
        <w:rPr>
          <w:rFonts w:ascii="Book Antiqua" w:hAnsi="Book Antiqua" w:cs="Arial"/>
        </w:rPr>
        <w:t>The OASys a</w:t>
      </w:r>
      <w:r w:rsidRPr="00E214C4">
        <w:rPr>
          <w:rFonts w:ascii="Book Antiqua" w:hAnsi="Book Antiqua" w:cs="Arial"/>
        </w:rPr>
        <w:t>ssessment paints a picture of a man who struggles to cope with difficult situations and has a deficit in problem solving, possibly due to mental health problems, and that this leads him to have a pattern of threatening and violent behaviour. The report indicates that the claimant is likely to continue to offend due to his denial of wrong doing and attempts to justify his behaviour, and thus he could potentially cause harm to others. The summary of his risk is that he poses a medium risk of serious harm to the public and staff but otherwise a low risk</w:t>
      </w:r>
      <w:r>
        <w:rPr>
          <w:rFonts w:ascii="Book Antiqua" w:hAnsi="Book Antiqua" w:cs="Arial"/>
        </w:rPr>
        <w:t xml:space="preserve"> of such harm</w:t>
      </w:r>
      <w:r w:rsidRPr="00E214C4">
        <w:rPr>
          <w:rFonts w:ascii="Book Antiqua" w:hAnsi="Book Antiqua" w:cs="Arial"/>
        </w:rPr>
        <w:t>, and that his overall re</w:t>
      </w:r>
      <w:r>
        <w:rPr>
          <w:rFonts w:ascii="Book Antiqua" w:hAnsi="Book Antiqua" w:cs="Arial"/>
        </w:rPr>
        <w:t>offending risk was low, as</w:t>
      </w:r>
      <w:r w:rsidRPr="00E214C4">
        <w:rPr>
          <w:rFonts w:ascii="Book Antiqua" w:hAnsi="Book Antiqua" w:cs="Arial"/>
        </w:rPr>
        <w:t xml:space="preserve"> he was quite motivated and capable of reducing his offending. The First-tier Tribunal has not put a full picture of this report in the decision at paragraph 19 of the decision</w:t>
      </w:r>
      <w:r>
        <w:rPr>
          <w:rFonts w:ascii="Book Antiqua" w:hAnsi="Book Antiqua" w:cs="Arial"/>
        </w:rPr>
        <w:t>, and this evidence was clearly material</w:t>
      </w:r>
      <w:r w:rsidRPr="00E214C4">
        <w:rPr>
          <w:rFonts w:ascii="Book Antiqua" w:hAnsi="Book Antiqua" w:cs="Arial"/>
        </w:rPr>
        <w:t xml:space="preserve">. </w:t>
      </w:r>
      <w:r>
        <w:rPr>
          <w:rFonts w:ascii="Book Antiqua" w:hAnsi="Book Antiqua" w:cs="Arial"/>
        </w:rPr>
        <w:t xml:space="preserve">Ms Ferguson was not able to show me that if the full conclusions had been considered that the outcome of the appeal would inevitably have been the same. </w:t>
      </w:r>
    </w:p>
    <w:p w:rsidR="005F7908" w:rsidRDefault="005F7908" w:rsidP="00F15802">
      <w:pPr>
        <w:numPr>
          <w:ilvl w:val="0"/>
          <w:numId w:val="5"/>
        </w:numPr>
        <w:tabs>
          <w:tab w:val="left" w:pos="2520"/>
        </w:tabs>
        <w:spacing w:before="240"/>
        <w:ind w:left="900" w:hanging="559"/>
        <w:jc w:val="both"/>
        <w:rPr>
          <w:rFonts w:ascii="Book Antiqua" w:hAnsi="Book Antiqua" w:cs="Arial"/>
          <w:color w:val="000000"/>
        </w:rPr>
      </w:pPr>
      <w:r>
        <w:rPr>
          <w:rFonts w:ascii="Book Antiqua" w:hAnsi="Book Antiqua" w:cs="Arial"/>
        </w:rPr>
        <w:t xml:space="preserve">In these circumstances I set aside the decision and all of the findings of the First-tier Tribunal and adjourned the remaking to come back before me at the earliest possible date in light of the claimant’s detention. </w:t>
      </w:r>
    </w:p>
    <w:p w:rsidR="005F7908" w:rsidRPr="003124B2" w:rsidRDefault="005F7908" w:rsidP="005F7908">
      <w:pPr>
        <w:tabs>
          <w:tab w:val="left" w:pos="567"/>
        </w:tabs>
        <w:ind w:left="567"/>
        <w:jc w:val="both"/>
        <w:rPr>
          <w:rFonts w:ascii="Book Antiqua" w:hAnsi="Book Antiqua" w:cs="Arial"/>
          <w:color w:val="000000"/>
        </w:rPr>
      </w:pPr>
    </w:p>
    <w:p w:rsidR="005F7908" w:rsidRPr="00270D89" w:rsidRDefault="005F7908" w:rsidP="005F7908">
      <w:pPr>
        <w:tabs>
          <w:tab w:val="left" w:pos="567"/>
        </w:tabs>
        <w:jc w:val="both"/>
        <w:rPr>
          <w:rFonts w:ascii="Book Antiqua" w:hAnsi="Book Antiqua" w:cs="Arial"/>
          <w:u w:val="single"/>
        </w:rPr>
      </w:pPr>
      <w:r>
        <w:rPr>
          <w:rFonts w:ascii="Book Antiqua" w:hAnsi="Book Antiqua" w:cs="Arial"/>
        </w:rPr>
        <w:t xml:space="preserve">          </w:t>
      </w:r>
      <w:r w:rsidRPr="00270D89">
        <w:rPr>
          <w:rFonts w:ascii="Book Antiqua" w:hAnsi="Book Antiqua" w:cs="Arial"/>
          <w:u w:val="single"/>
        </w:rPr>
        <w:t>Decision:</w:t>
      </w:r>
    </w:p>
    <w:p w:rsidR="005F7908" w:rsidRDefault="005F7908" w:rsidP="005F7908">
      <w:pPr>
        <w:tabs>
          <w:tab w:val="left" w:pos="567"/>
        </w:tabs>
        <w:jc w:val="both"/>
        <w:rPr>
          <w:rFonts w:ascii="Book Antiqua" w:hAnsi="Book Antiqua" w:cs="Arial"/>
        </w:rPr>
      </w:pPr>
    </w:p>
    <w:p w:rsidR="005F7908" w:rsidRDefault="005F7908" w:rsidP="00F15802">
      <w:pPr>
        <w:numPr>
          <w:ilvl w:val="0"/>
          <w:numId w:val="6"/>
        </w:numPr>
        <w:tabs>
          <w:tab w:val="left" w:pos="567"/>
        </w:tabs>
        <w:jc w:val="both"/>
        <w:rPr>
          <w:rFonts w:ascii="Book Antiqua" w:hAnsi="Book Antiqua" w:cs="Arial"/>
        </w:rPr>
      </w:pPr>
      <w:r>
        <w:rPr>
          <w:rFonts w:ascii="Book Antiqua" w:hAnsi="Book Antiqua" w:cs="Arial"/>
        </w:rPr>
        <w:t>The making of the decision of the First-tier Tribunal did involve the making of an error on a point of law.</w:t>
      </w:r>
    </w:p>
    <w:p w:rsidR="005F7908" w:rsidRDefault="005F7908" w:rsidP="005F7908">
      <w:pPr>
        <w:tabs>
          <w:tab w:val="left" w:pos="567"/>
        </w:tabs>
        <w:jc w:val="both"/>
        <w:rPr>
          <w:rFonts w:ascii="Book Antiqua" w:hAnsi="Book Antiqua" w:cs="Arial"/>
        </w:rPr>
      </w:pPr>
    </w:p>
    <w:p w:rsidR="005F7908" w:rsidRDefault="005F7908" w:rsidP="00F15802">
      <w:pPr>
        <w:numPr>
          <w:ilvl w:val="0"/>
          <w:numId w:val="6"/>
        </w:numPr>
        <w:tabs>
          <w:tab w:val="left" w:pos="567"/>
        </w:tabs>
        <w:jc w:val="both"/>
        <w:rPr>
          <w:rFonts w:ascii="Book Antiqua" w:hAnsi="Book Antiqua" w:cs="Arial"/>
        </w:rPr>
      </w:pPr>
      <w:r>
        <w:rPr>
          <w:rFonts w:ascii="Book Antiqua" w:hAnsi="Book Antiqua" w:cs="Arial"/>
        </w:rPr>
        <w:t xml:space="preserve">I set aside the decision of the First-tier Tribunal. </w:t>
      </w:r>
    </w:p>
    <w:p w:rsidR="005F7908" w:rsidRDefault="005F7908" w:rsidP="005F7908">
      <w:pPr>
        <w:tabs>
          <w:tab w:val="left" w:pos="567"/>
        </w:tabs>
        <w:jc w:val="both"/>
        <w:rPr>
          <w:rFonts w:ascii="Book Antiqua" w:hAnsi="Book Antiqua" w:cs="Arial"/>
        </w:rPr>
      </w:pPr>
    </w:p>
    <w:p w:rsidR="005F7908" w:rsidRDefault="005F7908" w:rsidP="00F15802">
      <w:pPr>
        <w:numPr>
          <w:ilvl w:val="0"/>
          <w:numId w:val="6"/>
        </w:numPr>
        <w:tabs>
          <w:tab w:val="left" w:pos="567"/>
        </w:tabs>
        <w:jc w:val="both"/>
        <w:rPr>
          <w:rFonts w:ascii="Book Antiqua" w:hAnsi="Book Antiqua" w:cs="Arial"/>
        </w:rPr>
      </w:pPr>
      <w:r>
        <w:rPr>
          <w:rFonts w:ascii="Book Antiqua" w:hAnsi="Book Antiqua" w:cs="Arial"/>
        </w:rPr>
        <w:t>I adjourn the remaking hearing as the claimant had not been produced and needed to give witness evidence.</w:t>
      </w:r>
    </w:p>
    <w:p w:rsidR="005F7908" w:rsidRDefault="005F7908" w:rsidP="005F7908">
      <w:pPr>
        <w:pStyle w:val="ListParagraph"/>
        <w:rPr>
          <w:rFonts w:ascii="Book Antiqua" w:hAnsi="Book Antiqua" w:cs="Arial"/>
        </w:rPr>
      </w:pPr>
    </w:p>
    <w:p w:rsidR="005F7908" w:rsidRDefault="005F7908" w:rsidP="005F7908">
      <w:pPr>
        <w:tabs>
          <w:tab w:val="left" w:pos="567"/>
        </w:tabs>
        <w:ind w:left="360"/>
        <w:jc w:val="both"/>
        <w:rPr>
          <w:rFonts w:ascii="Book Antiqua" w:hAnsi="Book Antiqua" w:cs="Arial"/>
          <w:b/>
          <w:u w:val="single"/>
        </w:rPr>
      </w:pPr>
      <w:r>
        <w:rPr>
          <w:rFonts w:ascii="Book Antiqua" w:hAnsi="Book Antiqua" w:cs="Arial"/>
          <w:b/>
          <w:u w:val="single"/>
        </w:rPr>
        <w:t>Directions:</w:t>
      </w:r>
    </w:p>
    <w:p w:rsidR="005F7908" w:rsidRDefault="005F7908" w:rsidP="005F7908">
      <w:pPr>
        <w:tabs>
          <w:tab w:val="left" w:pos="567"/>
        </w:tabs>
        <w:ind w:left="360"/>
        <w:jc w:val="both"/>
        <w:rPr>
          <w:rFonts w:ascii="Book Antiqua" w:hAnsi="Book Antiqua" w:cs="Arial"/>
          <w:b/>
          <w:u w:val="single"/>
        </w:rPr>
      </w:pPr>
    </w:p>
    <w:p w:rsidR="005F7908" w:rsidRPr="00E56309" w:rsidRDefault="005F7908" w:rsidP="005F7908">
      <w:pPr>
        <w:numPr>
          <w:ilvl w:val="0"/>
          <w:numId w:val="3"/>
        </w:numPr>
        <w:tabs>
          <w:tab w:val="left" w:pos="567"/>
        </w:tabs>
        <w:jc w:val="both"/>
        <w:rPr>
          <w:rFonts w:ascii="Book Antiqua" w:hAnsi="Book Antiqua" w:cs="Arial"/>
        </w:rPr>
      </w:pPr>
      <w:r>
        <w:rPr>
          <w:rFonts w:ascii="Book Antiqua" w:hAnsi="Book Antiqua" w:cs="Arial"/>
        </w:rPr>
        <w:t xml:space="preserve">Any further evidence upon which a party seeks to rely for the remaking hearing is to be filed and served on the other party 10 days prior to the hearing date. </w:t>
      </w:r>
    </w:p>
    <w:p w:rsidR="005F7908" w:rsidRDefault="005F7908" w:rsidP="005F7908">
      <w:pPr>
        <w:tabs>
          <w:tab w:val="left" w:pos="567"/>
        </w:tabs>
        <w:jc w:val="both"/>
        <w:rPr>
          <w:rFonts w:ascii="Book Antiqua" w:hAnsi="Book Antiqua" w:cs="Arial"/>
        </w:rPr>
      </w:pPr>
    </w:p>
    <w:p w:rsidR="005F7908" w:rsidRPr="00270D89" w:rsidRDefault="005F7908" w:rsidP="005F7908">
      <w:pPr>
        <w:tabs>
          <w:tab w:val="left" w:pos="567"/>
        </w:tabs>
        <w:ind w:left="567"/>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Pr>
          <w:rFonts w:ascii="Book Antiqua" w:hAnsi="Book Antiqua" w:cs="Arial"/>
        </w:rPr>
        <w:t xml:space="preserve">I do so in order to avoid a likelihood of serious harm arising to the appellant’s family. </w:t>
      </w:r>
    </w:p>
    <w:p w:rsidR="005F7908" w:rsidRDefault="005F7908" w:rsidP="005F7908">
      <w:pPr>
        <w:tabs>
          <w:tab w:val="left" w:pos="567"/>
        </w:tabs>
        <w:jc w:val="both"/>
        <w:rPr>
          <w:rFonts w:ascii="Book Antiqua" w:hAnsi="Book Antiqua" w:cs="Arial"/>
        </w:rPr>
      </w:pPr>
    </w:p>
    <w:p w:rsidR="005F7908" w:rsidRDefault="005F7908" w:rsidP="005F7908">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27</w:t>
      </w:r>
      <w:r w:rsidRPr="00FE3D7D">
        <w:rPr>
          <w:rFonts w:ascii="Book Antiqua" w:hAnsi="Book Antiqua" w:cs="Arial"/>
          <w:vertAlign w:val="superscript"/>
        </w:rPr>
        <w:t>th</w:t>
      </w:r>
      <w:r>
        <w:rPr>
          <w:rFonts w:ascii="Book Antiqua" w:hAnsi="Book Antiqua" w:cs="Arial"/>
        </w:rPr>
        <w:t xml:space="preserve"> February 2018</w:t>
      </w:r>
    </w:p>
    <w:p w:rsidR="005F7908" w:rsidRDefault="005F7908" w:rsidP="005F7908">
      <w:pPr>
        <w:tabs>
          <w:tab w:val="left" w:pos="567"/>
        </w:tabs>
        <w:jc w:val="both"/>
        <w:rPr>
          <w:rFonts w:ascii="Book Antiqua" w:hAnsi="Book Antiqua" w:cs="Arial"/>
        </w:rPr>
      </w:pPr>
      <w:r>
        <w:rPr>
          <w:rFonts w:ascii="Book Antiqua" w:hAnsi="Book Antiqua" w:cs="Arial"/>
        </w:rPr>
        <w:t>Upper Tribunal Judge Lindsley</w:t>
      </w:r>
    </w:p>
    <w:sectPr w:rsidR="005F7908" w:rsidSect="00614E94">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8F2" w:rsidRDefault="007078F2" w:rsidP="0050241E">
      <w:r>
        <w:separator/>
      </w:r>
    </w:p>
  </w:endnote>
  <w:endnote w:type="continuationSeparator" w:id="0">
    <w:p w:rsidR="007078F2" w:rsidRDefault="007078F2" w:rsidP="00502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699" w:rsidRPr="00593795" w:rsidRDefault="00022EBD"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981832">
      <w:rPr>
        <w:rStyle w:val="PageNumber"/>
        <w:rFonts w:ascii="Arial" w:hAnsi="Arial" w:cs="Arial"/>
        <w:noProof/>
        <w:sz w:val="16"/>
        <w:szCs w:val="16"/>
      </w:rPr>
      <w:t>12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699" w:rsidRPr="00090CF9" w:rsidRDefault="00022EBD"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8F2" w:rsidRDefault="007078F2" w:rsidP="0050241E">
      <w:r>
        <w:separator/>
      </w:r>
    </w:p>
  </w:footnote>
  <w:footnote w:type="continuationSeparator" w:id="0">
    <w:p w:rsidR="007078F2" w:rsidRDefault="007078F2" w:rsidP="00502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699" w:rsidRPr="003C5CE5" w:rsidRDefault="00022EBD" w:rsidP="00614E94">
    <w:pPr>
      <w:pStyle w:val="Header"/>
      <w:jc w:val="right"/>
      <w:rPr>
        <w:rFonts w:ascii="Arial" w:hAnsi="Arial" w:cs="Arial"/>
        <w:sz w:val="16"/>
        <w:szCs w:val="16"/>
      </w:rPr>
    </w:pPr>
    <w:r>
      <w:rPr>
        <w:rFonts w:ascii="Arial" w:hAnsi="Arial" w:cs="Arial"/>
        <w:sz w:val="16"/>
        <w:szCs w:val="16"/>
      </w:rPr>
      <w:t>Appeal Number: DA/00095/2017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F26"/>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1" w15:restartNumberingAfterBreak="0">
    <w:nsid w:val="209D4CB7"/>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8A43474"/>
    <w:multiLevelType w:val="hybridMultilevel"/>
    <w:tmpl w:val="E9060B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abstractNum w:abstractNumId="5" w15:restartNumberingAfterBreak="0">
    <w:nsid w:val="75587A99"/>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908"/>
    <w:rsid w:val="00014ABE"/>
    <w:rsid w:val="00022EBD"/>
    <w:rsid w:val="00023260"/>
    <w:rsid w:val="00026DEC"/>
    <w:rsid w:val="0003357F"/>
    <w:rsid w:val="00040CB2"/>
    <w:rsid w:val="0004203B"/>
    <w:rsid w:val="000500B2"/>
    <w:rsid w:val="00054AAD"/>
    <w:rsid w:val="00054D5F"/>
    <w:rsid w:val="0006339C"/>
    <w:rsid w:val="0006564E"/>
    <w:rsid w:val="00071007"/>
    <w:rsid w:val="0007186F"/>
    <w:rsid w:val="00071B0F"/>
    <w:rsid w:val="00073084"/>
    <w:rsid w:val="00080087"/>
    <w:rsid w:val="00084A16"/>
    <w:rsid w:val="000B44D6"/>
    <w:rsid w:val="000C39C2"/>
    <w:rsid w:val="000C47BA"/>
    <w:rsid w:val="000F4820"/>
    <w:rsid w:val="000F6D82"/>
    <w:rsid w:val="001018EC"/>
    <w:rsid w:val="00111A3D"/>
    <w:rsid w:val="00111AD5"/>
    <w:rsid w:val="00115957"/>
    <w:rsid w:val="001304E1"/>
    <w:rsid w:val="00136E3C"/>
    <w:rsid w:val="00162FBF"/>
    <w:rsid w:val="001711FC"/>
    <w:rsid w:val="00194BD6"/>
    <w:rsid w:val="001B2FF5"/>
    <w:rsid w:val="001E606A"/>
    <w:rsid w:val="001F2A7C"/>
    <w:rsid w:val="002058C7"/>
    <w:rsid w:val="0022401D"/>
    <w:rsid w:val="00226DE2"/>
    <w:rsid w:val="00227FD0"/>
    <w:rsid w:val="00236E24"/>
    <w:rsid w:val="00245E78"/>
    <w:rsid w:val="00251A96"/>
    <w:rsid w:val="002628ED"/>
    <w:rsid w:val="0026520D"/>
    <w:rsid w:val="0028246E"/>
    <w:rsid w:val="0028409E"/>
    <w:rsid w:val="002864B4"/>
    <w:rsid w:val="00286B67"/>
    <w:rsid w:val="00287E76"/>
    <w:rsid w:val="00294385"/>
    <w:rsid w:val="002A2099"/>
    <w:rsid w:val="002B2733"/>
    <w:rsid w:val="002C0A9A"/>
    <w:rsid w:val="002C339C"/>
    <w:rsid w:val="002C79FC"/>
    <w:rsid w:val="002D0AB1"/>
    <w:rsid w:val="002D1EA3"/>
    <w:rsid w:val="002D6FB8"/>
    <w:rsid w:val="002E76E6"/>
    <w:rsid w:val="002F1EDD"/>
    <w:rsid w:val="002F4E34"/>
    <w:rsid w:val="0030315A"/>
    <w:rsid w:val="00305336"/>
    <w:rsid w:val="00314192"/>
    <w:rsid w:val="0032665E"/>
    <w:rsid w:val="00333D12"/>
    <w:rsid w:val="00336E6E"/>
    <w:rsid w:val="003441B2"/>
    <w:rsid w:val="00357437"/>
    <w:rsid w:val="00360D6E"/>
    <w:rsid w:val="003644F5"/>
    <w:rsid w:val="00373723"/>
    <w:rsid w:val="00374AAB"/>
    <w:rsid w:val="00377C4F"/>
    <w:rsid w:val="00385BB6"/>
    <w:rsid w:val="00385D1B"/>
    <w:rsid w:val="00386AF1"/>
    <w:rsid w:val="0039376C"/>
    <w:rsid w:val="00395E08"/>
    <w:rsid w:val="003A15F0"/>
    <w:rsid w:val="003A5C9E"/>
    <w:rsid w:val="003A78A1"/>
    <w:rsid w:val="003C1906"/>
    <w:rsid w:val="003C4417"/>
    <w:rsid w:val="003D13EB"/>
    <w:rsid w:val="003D1529"/>
    <w:rsid w:val="003E1474"/>
    <w:rsid w:val="003E72EA"/>
    <w:rsid w:val="00400EB1"/>
    <w:rsid w:val="00442296"/>
    <w:rsid w:val="00455850"/>
    <w:rsid w:val="004565D8"/>
    <w:rsid w:val="004616E7"/>
    <w:rsid w:val="00474FDE"/>
    <w:rsid w:val="00476881"/>
    <w:rsid w:val="00477380"/>
    <w:rsid w:val="00484B36"/>
    <w:rsid w:val="004871AD"/>
    <w:rsid w:val="00487F0C"/>
    <w:rsid w:val="00494CE8"/>
    <w:rsid w:val="004965A1"/>
    <w:rsid w:val="004A60D6"/>
    <w:rsid w:val="004C54B5"/>
    <w:rsid w:val="004C68F8"/>
    <w:rsid w:val="004D22A4"/>
    <w:rsid w:val="004D7B50"/>
    <w:rsid w:val="004F0B3C"/>
    <w:rsid w:val="00501755"/>
    <w:rsid w:val="0050241E"/>
    <w:rsid w:val="0050404C"/>
    <w:rsid w:val="005051B4"/>
    <w:rsid w:val="005077FF"/>
    <w:rsid w:val="00513607"/>
    <w:rsid w:val="00522FAB"/>
    <w:rsid w:val="005274AE"/>
    <w:rsid w:val="005355F3"/>
    <w:rsid w:val="00542A4C"/>
    <w:rsid w:val="0054386B"/>
    <w:rsid w:val="00544282"/>
    <w:rsid w:val="005569A2"/>
    <w:rsid w:val="00567683"/>
    <w:rsid w:val="005A4A68"/>
    <w:rsid w:val="005A6B0A"/>
    <w:rsid w:val="005C5771"/>
    <w:rsid w:val="005D4FC4"/>
    <w:rsid w:val="005E0828"/>
    <w:rsid w:val="005E4AF5"/>
    <w:rsid w:val="005F3B2C"/>
    <w:rsid w:val="005F7908"/>
    <w:rsid w:val="00606ED8"/>
    <w:rsid w:val="00610786"/>
    <w:rsid w:val="0061251C"/>
    <w:rsid w:val="00612A0C"/>
    <w:rsid w:val="006133DD"/>
    <w:rsid w:val="00613FE3"/>
    <w:rsid w:val="00647320"/>
    <w:rsid w:val="00652C3C"/>
    <w:rsid w:val="00652D1F"/>
    <w:rsid w:val="006662C8"/>
    <w:rsid w:val="00667087"/>
    <w:rsid w:val="006708CA"/>
    <w:rsid w:val="006720EB"/>
    <w:rsid w:val="006A0B13"/>
    <w:rsid w:val="006B301D"/>
    <w:rsid w:val="006C0F2C"/>
    <w:rsid w:val="006C6290"/>
    <w:rsid w:val="006C6BC2"/>
    <w:rsid w:val="006D23FA"/>
    <w:rsid w:val="006D2C20"/>
    <w:rsid w:val="007046AB"/>
    <w:rsid w:val="007078F2"/>
    <w:rsid w:val="007152E9"/>
    <w:rsid w:val="00715F29"/>
    <w:rsid w:val="00720FB4"/>
    <w:rsid w:val="00721F9D"/>
    <w:rsid w:val="00727BE5"/>
    <w:rsid w:val="007376C1"/>
    <w:rsid w:val="00751312"/>
    <w:rsid w:val="00754020"/>
    <w:rsid w:val="00756AE5"/>
    <w:rsid w:val="007654C0"/>
    <w:rsid w:val="00766A59"/>
    <w:rsid w:val="0077698E"/>
    <w:rsid w:val="00780306"/>
    <w:rsid w:val="00786101"/>
    <w:rsid w:val="00786D9A"/>
    <w:rsid w:val="00796F96"/>
    <w:rsid w:val="007B5514"/>
    <w:rsid w:val="007C1EC9"/>
    <w:rsid w:val="007C5309"/>
    <w:rsid w:val="007C6506"/>
    <w:rsid w:val="007C6CA4"/>
    <w:rsid w:val="007D2F48"/>
    <w:rsid w:val="00815EEF"/>
    <w:rsid w:val="00816747"/>
    <w:rsid w:val="00824EAF"/>
    <w:rsid w:val="00825134"/>
    <w:rsid w:val="0083149A"/>
    <w:rsid w:val="00836B7D"/>
    <w:rsid w:val="0085142D"/>
    <w:rsid w:val="00860DD6"/>
    <w:rsid w:val="00883E46"/>
    <w:rsid w:val="00885CD9"/>
    <w:rsid w:val="00886A9A"/>
    <w:rsid w:val="00894546"/>
    <w:rsid w:val="008B3336"/>
    <w:rsid w:val="008B4E7E"/>
    <w:rsid w:val="008B63E0"/>
    <w:rsid w:val="008C35C5"/>
    <w:rsid w:val="008C506E"/>
    <w:rsid w:val="008C793B"/>
    <w:rsid w:val="008D12B1"/>
    <w:rsid w:val="008D35DC"/>
    <w:rsid w:val="008D6393"/>
    <w:rsid w:val="008D7C21"/>
    <w:rsid w:val="008E4422"/>
    <w:rsid w:val="008F0D2D"/>
    <w:rsid w:val="008F3026"/>
    <w:rsid w:val="008F7988"/>
    <w:rsid w:val="00904ABC"/>
    <w:rsid w:val="00935C37"/>
    <w:rsid w:val="00935CE9"/>
    <w:rsid w:val="0094491C"/>
    <w:rsid w:val="00944F7B"/>
    <w:rsid w:val="00960DE5"/>
    <w:rsid w:val="00981832"/>
    <w:rsid w:val="0099033C"/>
    <w:rsid w:val="00995421"/>
    <w:rsid w:val="009979E2"/>
    <w:rsid w:val="009A502F"/>
    <w:rsid w:val="009A7BB8"/>
    <w:rsid w:val="009B22E2"/>
    <w:rsid w:val="009B64C0"/>
    <w:rsid w:val="009C0A0C"/>
    <w:rsid w:val="009C347F"/>
    <w:rsid w:val="009C491F"/>
    <w:rsid w:val="009D0705"/>
    <w:rsid w:val="009D7FE7"/>
    <w:rsid w:val="009F0A93"/>
    <w:rsid w:val="009F7123"/>
    <w:rsid w:val="00A03C13"/>
    <w:rsid w:val="00A20F5A"/>
    <w:rsid w:val="00A243AF"/>
    <w:rsid w:val="00A248C6"/>
    <w:rsid w:val="00A33CF8"/>
    <w:rsid w:val="00A40E2A"/>
    <w:rsid w:val="00A41337"/>
    <w:rsid w:val="00A42C69"/>
    <w:rsid w:val="00A66627"/>
    <w:rsid w:val="00A67A63"/>
    <w:rsid w:val="00A70739"/>
    <w:rsid w:val="00A84EF5"/>
    <w:rsid w:val="00A84EF6"/>
    <w:rsid w:val="00A9339D"/>
    <w:rsid w:val="00A943A7"/>
    <w:rsid w:val="00A94A7F"/>
    <w:rsid w:val="00A95041"/>
    <w:rsid w:val="00A97613"/>
    <w:rsid w:val="00AB5CF1"/>
    <w:rsid w:val="00AB7A6C"/>
    <w:rsid w:val="00AC2E82"/>
    <w:rsid w:val="00AD3303"/>
    <w:rsid w:val="00AF0403"/>
    <w:rsid w:val="00AF6E0E"/>
    <w:rsid w:val="00B06C85"/>
    <w:rsid w:val="00B24ACD"/>
    <w:rsid w:val="00B24EB8"/>
    <w:rsid w:val="00B25D7A"/>
    <w:rsid w:val="00B35972"/>
    <w:rsid w:val="00B734E4"/>
    <w:rsid w:val="00B860D5"/>
    <w:rsid w:val="00B908F4"/>
    <w:rsid w:val="00B925B9"/>
    <w:rsid w:val="00B94443"/>
    <w:rsid w:val="00BB7FEB"/>
    <w:rsid w:val="00BD12C9"/>
    <w:rsid w:val="00BD22E5"/>
    <w:rsid w:val="00BD69C6"/>
    <w:rsid w:val="00C10101"/>
    <w:rsid w:val="00C172F2"/>
    <w:rsid w:val="00C25E95"/>
    <w:rsid w:val="00C301B5"/>
    <w:rsid w:val="00C31518"/>
    <w:rsid w:val="00C31B09"/>
    <w:rsid w:val="00C320F4"/>
    <w:rsid w:val="00C33995"/>
    <w:rsid w:val="00C355B5"/>
    <w:rsid w:val="00C37A37"/>
    <w:rsid w:val="00C46CBC"/>
    <w:rsid w:val="00C5198D"/>
    <w:rsid w:val="00C53769"/>
    <w:rsid w:val="00C81C2D"/>
    <w:rsid w:val="00C875CB"/>
    <w:rsid w:val="00C94ECC"/>
    <w:rsid w:val="00C9572C"/>
    <w:rsid w:val="00C968EF"/>
    <w:rsid w:val="00CB07F5"/>
    <w:rsid w:val="00CB1EDF"/>
    <w:rsid w:val="00CB2E36"/>
    <w:rsid w:val="00CB5E25"/>
    <w:rsid w:val="00CC2C14"/>
    <w:rsid w:val="00CC3E60"/>
    <w:rsid w:val="00CC58AD"/>
    <w:rsid w:val="00CD3CB0"/>
    <w:rsid w:val="00CF7228"/>
    <w:rsid w:val="00CF7FD0"/>
    <w:rsid w:val="00D01422"/>
    <w:rsid w:val="00D04A70"/>
    <w:rsid w:val="00D04B2E"/>
    <w:rsid w:val="00D07C9D"/>
    <w:rsid w:val="00D14917"/>
    <w:rsid w:val="00D1622A"/>
    <w:rsid w:val="00D21321"/>
    <w:rsid w:val="00D378CF"/>
    <w:rsid w:val="00D41C7D"/>
    <w:rsid w:val="00D55EC2"/>
    <w:rsid w:val="00D82107"/>
    <w:rsid w:val="00D95670"/>
    <w:rsid w:val="00D95C99"/>
    <w:rsid w:val="00D96A4A"/>
    <w:rsid w:val="00DA60CA"/>
    <w:rsid w:val="00DB0D6B"/>
    <w:rsid w:val="00DC1192"/>
    <w:rsid w:val="00DD2DE7"/>
    <w:rsid w:val="00DE1153"/>
    <w:rsid w:val="00DE276B"/>
    <w:rsid w:val="00DF100A"/>
    <w:rsid w:val="00E007DB"/>
    <w:rsid w:val="00E01DC7"/>
    <w:rsid w:val="00E10FCB"/>
    <w:rsid w:val="00E119BC"/>
    <w:rsid w:val="00E15EBD"/>
    <w:rsid w:val="00E208FE"/>
    <w:rsid w:val="00E25EC9"/>
    <w:rsid w:val="00E3663B"/>
    <w:rsid w:val="00E3711F"/>
    <w:rsid w:val="00E42C88"/>
    <w:rsid w:val="00E44F9B"/>
    <w:rsid w:val="00E4742A"/>
    <w:rsid w:val="00E70505"/>
    <w:rsid w:val="00E72680"/>
    <w:rsid w:val="00E72BE5"/>
    <w:rsid w:val="00E72E16"/>
    <w:rsid w:val="00E80A43"/>
    <w:rsid w:val="00E810F6"/>
    <w:rsid w:val="00E846D1"/>
    <w:rsid w:val="00E84DB9"/>
    <w:rsid w:val="00E86F73"/>
    <w:rsid w:val="00EA32F1"/>
    <w:rsid w:val="00EA64EC"/>
    <w:rsid w:val="00EB2994"/>
    <w:rsid w:val="00EC4565"/>
    <w:rsid w:val="00EC6E52"/>
    <w:rsid w:val="00ED1E98"/>
    <w:rsid w:val="00ED3655"/>
    <w:rsid w:val="00ED6455"/>
    <w:rsid w:val="00EE527A"/>
    <w:rsid w:val="00F04642"/>
    <w:rsid w:val="00F118A6"/>
    <w:rsid w:val="00F12347"/>
    <w:rsid w:val="00F13576"/>
    <w:rsid w:val="00F15802"/>
    <w:rsid w:val="00F17C53"/>
    <w:rsid w:val="00F23E7F"/>
    <w:rsid w:val="00F30482"/>
    <w:rsid w:val="00F36E3D"/>
    <w:rsid w:val="00F518DD"/>
    <w:rsid w:val="00F56F4A"/>
    <w:rsid w:val="00F765FB"/>
    <w:rsid w:val="00F80041"/>
    <w:rsid w:val="00F85854"/>
    <w:rsid w:val="00F94E3B"/>
    <w:rsid w:val="00F94E81"/>
    <w:rsid w:val="00FA3C65"/>
    <w:rsid w:val="00FC171C"/>
    <w:rsid w:val="00FE0EF2"/>
    <w:rsid w:val="00FE1D0D"/>
    <w:rsid w:val="00FE1D13"/>
    <w:rsid w:val="00FE3A38"/>
    <w:rsid w:val="00FE3C11"/>
    <w:rsid w:val="00FE6BF6"/>
    <w:rsid w:val="00FE7E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74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90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F7908"/>
    <w:pPr>
      <w:tabs>
        <w:tab w:val="center" w:pos="4153"/>
        <w:tab w:val="right" w:pos="8306"/>
      </w:tabs>
    </w:pPr>
  </w:style>
  <w:style w:type="character" w:customStyle="1" w:styleId="HeaderChar">
    <w:name w:val="Header Char"/>
    <w:basedOn w:val="DefaultParagraphFont"/>
    <w:link w:val="Header"/>
    <w:rsid w:val="005F7908"/>
    <w:rPr>
      <w:rFonts w:ascii="Times New Roman" w:eastAsia="Times New Roman" w:hAnsi="Times New Roman" w:cs="Times New Roman"/>
      <w:sz w:val="24"/>
      <w:szCs w:val="24"/>
      <w:lang w:eastAsia="en-GB"/>
    </w:rPr>
  </w:style>
  <w:style w:type="paragraph" w:styleId="Footer">
    <w:name w:val="footer"/>
    <w:basedOn w:val="Normal"/>
    <w:link w:val="FooterChar"/>
    <w:rsid w:val="005F7908"/>
    <w:pPr>
      <w:tabs>
        <w:tab w:val="center" w:pos="4153"/>
        <w:tab w:val="right" w:pos="8306"/>
      </w:tabs>
    </w:pPr>
  </w:style>
  <w:style w:type="character" w:customStyle="1" w:styleId="FooterChar">
    <w:name w:val="Footer Char"/>
    <w:basedOn w:val="DefaultParagraphFont"/>
    <w:link w:val="Footer"/>
    <w:rsid w:val="005F7908"/>
    <w:rPr>
      <w:rFonts w:ascii="Times New Roman" w:eastAsia="Times New Roman" w:hAnsi="Times New Roman" w:cs="Times New Roman"/>
      <w:sz w:val="24"/>
      <w:szCs w:val="24"/>
      <w:lang w:eastAsia="en-GB"/>
    </w:rPr>
  </w:style>
  <w:style w:type="character" w:styleId="PageNumber">
    <w:name w:val="page number"/>
    <w:basedOn w:val="DefaultParagraphFont"/>
    <w:rsid w:val="005F7908"/>
  </w:style>
  <w:style w:type="paragraph" w:styleId="ListParagraph">
    <w:name w:val="List Paragraph"/>
    <w:basedOn w:val="Normal"/>
    <w:uiPriority w:val="34"/>
    <w:qFormat/>
    <w:rsid w:val="005F7908"/>
    <w:pPr>
      <w:ind w:left="720"/>
    </w:pPr>
  </w:style>
  <w:style w:type="paragraph" w:styleId="BalloonText">
    <w:name w:val="Balloon Text"/>
    <w:basedOn w:val="Normal"/>
    <w:link w:val="BalloonTextChar"/>
    <w:uiPriority w:val="99"/>
    <w:semiHidden/>
    <w:unhideWhenUsed/>
    <w:rsid w:val="008F30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026"/>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4670</Words>
  <Characters>26619</Characters>
  <Application>Microsoft Office Word</Application>
  <DocSecurity>0</DocSecurity>
  <Lines>221</Lines>
  <Paragraphs>62</Paragraphs>
  <ScaleCrop>false</ScaleCrop>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2018-07-17T14:04:00Z</dcterms:created>
  <dcterms:modified xsi:type="dcterms:W3CDTF">2018-07-17T14:04:00Z</dcterms:modified>
</cp:coreProperties>
</file>