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601883" w:rsidP="00BF4365">
      <w:pPr>
        <w:jc w:val="center"/>
        <w:rPr>
          <w:rFonts w:ascii="Book Antiqua" w:hAnsi="Book Antiqua" w:cs="Arial"/>
          <w:caps/>
          <w:color w:val="000000"/>
          <w:sz w:val="16"/>
          <w:szCs w:val="16"/>
        </w:rPr>
      </w:pPr>
      <w:r>
        <w:rPr>
          <w:noProof/>
        </w:rPr>
        <w:drawing>
          <wp:inline distT="0" distB="0" distL="0" distR="0" wp14:anchorId="692E8CE4" wp14:editId="39DFF98B">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D67CFB" w:rsidRDefault="00D67CFB" w:rsidP="00D67CFB">
      <w:pPr>
        <w:jc w:val="center"/>
        <w:rPr>
          <w:rFonts w:ascii="Book Antiqua" w:hAnsi="Book Antiqua" w:cs="Arial"/>
          <w:caps/>
          <w:color w:val="000000"/>
          <w:sz w:val="16"/>
          <w:szCs w:val="16"/>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D53766"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D53766">
        <w:rPr>
          <w:rFonts w:ascii="Book Antiqua" w:hAnsi="Book Antiqua" w:cs="Arial"/>
          <w:b/>
          <w:color w:val="000000"/>
        </w:rPr>
        <w:t xml:space="preserve">   </w:t>
      </w:r>
      <w:proofErr w:type="gramEnd"/>
      <w:r w:rsidR="00D53766">
        <w:rPr>
          <w:rFonts w:ascii="Book Antiqua" w:hAnsi="Book Antiqua" w:cs="Arial"/>
          <w:b/>
          <w:color w:val="000000"/>
        </w:rPr>
        <w:t xml:space="preserve">                   </w:t>
      </w:r>
      <w:r w:rsidR="00B3524D" w:rsidRPr="00D53766">
        <w:rPr>
          <w:rFonts w:ascii="Book Antiqua" w:hAnsi="Book Antiqua" w:cs="Arial"/>
          <w:b/>
          <w:color w:val="000000"/>
        </w:rPr>
        <w:t>Appeal Number</w:t>
      </w:r>
      <w:r w:rsidR="00D53769" w:rsidRPr="00D53766">
        <w:rPr>
          <w:rFonts w:ascii="Book Antiqua" w:hAnsi="Book Antiqua" w:cs="Arial"/>
          <w:b/>
          <w:color w:val="000000"/>
        </w:rPr>
        <w:t>:</w:t>
      </w:r>
      <w:r w:rsidR="00B3524D" w:rsidRPr="00D53766">
        <w:rPr>
          <w:rFonts w:ascii="Book Antiqua" w:hAnsi="Book Antiqua" w:cs="Arial"/>
          <w:b/>
          <w:color w:val="000000"/>
        </w:rPr>
        <w:t xml:space="preserve"> </w:t>
      </w:r>
      <w:r w:rsidR="00B0173B" w:rsidRPr="00D53766">
        <w:rPr>
          <w:rFonts w:ascii="Book Antiqua" w:hAnsi="Book Antiqua" w:cs="Arial"/>
          <w:b/>
          <w:caps/>
          <w:color w:val="000000"/>
        </w:rPr>
        <w:t>DA/00105/2018</w:t>
      </w: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AE22BD" w:rsidTr="00D53766">
        <w:tc>
          <w:tcPr>
            <w:tcW w:w="5103"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B0173B">
              <w:rPr>
                <w:rFonts w:ascii="Book Antiqua" w:hAnsi="Book Antiqua" w:cs="Arial"/>
                <w:b/>
              </w:rPr>
              <w:t>Field House</w:t>
            </w:r>
          </w:p>
        </w:tc>
        <w:tc>
          <w:tcPr>
            <w:tcW w:w="4905" w:type="dxa"/>
          </w:tcPr>
          <w:p w:rsidR="00D22636" w:rsidRPr="00AE22BD" w:rsidRDefault="00D53766" w:rsidP="00093D4D">
            <w:pPr>
              <w:jc w:val="both"/>
              <w:rPr>
                <w:rFonts w:ascii="Book Antiqua" w:hAnsi="Book Antiqua" w:cs="Arial"/>
                <w:b/>
                <w:color w:val="000000"/>
              </w:rPr>
            </w:pPr>
            <w:r>
              <w:rPr>
                <w:rFonts w:ascii="Book Antiqua" w:hAnsi="Book Antiqua" w:cs="Arial"/>
                <w:b/>
                <w:color w:val="000000"/>
              </w:rPr>
              <w:t xml:space="preserve">  </w:t>
            </w:r>
            <w:r w:rsidR="007C61CF">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D53766">
        <w:tc>
          <w:tcPr>
            <w:tcW w:w="5103"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B0173B">
              <w:rPr>
                <w:rFonts w:ascii="Book Antiqua" w:hAnsi="Book Antiqua" w:cs="Arial"/>
                <w:b/>
              </w:rPr>
              <w:t>1 August 2018</w:t>
            </w:r>
          </w:p>
        </w:tc>
        <w:tc>
          <w:tcPr>
            <w:tcW w:w="4905" w:type="dxa"/>
          </w:tcPr>
          <w:p w:rsidR="00D22636" w:rsidRPr="00AE22BD" w:rsidRDefault="00D53766" w:rsidP="004A1848">
            <w:pPr>
              <w:jc w:val="both"/>
              <w:rPr>
                <w:rFonts w:ascii="Book Antiqua" w:hAnsi="Book Antiqua" w:cs="Arial"/>
                <w:b/>
              </w:rPr>
            </w:pPr>
            <w:r>
              <w:rPr>
                <w:rFonts w:ascii="Book Antiqua" w:hAnsi="Book Antiqua" w:cs="Arial"/>
                <w:b/>
              </w:rPr>
              <w:t xml:space="preserve">  </w:t>
            </w:r>
            <w:r w:rsidR="00F823E7">
              <w:rPr>
                <w:rFonts w:ascii="Book Antiqua" w:hAnsi="Book Antiqua" w:cs="Arial"/>
                <w:b/>
              </w:rPr>
              <w:t>On 9 August 2018</w:t>
            </w:r>
          </w:p>
        </w:tc>
      </w:tr>
      <w:tr w:rsidR="00D22636" w:rsidRPr="00AE22BD" w:rsidTr="00D53766">
        <w:tc>
          <w:tcPr>
            <w:tcW w:w="5103" w:type="dxa"/>
          </w:tcPr>
          <w:p w:rsidR="00D22636" w:rsidRPr="00AE22BD" w:rsidRDefault="00D22636" w:rsidP="004A1848">
            <w:pPr>
              <w:jc w:val="both"/>
              <w:rPr>
                <w:rFonts w:ascii="Book Antiqua" w:hAnsi="Book Antiqua" w:cs="Arial"/>
                <w:b/>
              </w:rPr>
            </w:pPr>
          </w:p>
        </w:tc>
        <w:tc>
          <w:tcPr>
            <w:tcW w:w="4905" w:type="dxa"/>
          </w:tcPr>
          <w:p w:rsidR="00D22636" w:rsidRPr="00AE22BD" w:rsidRDefault="00D22636" w:rsidP="004A1848">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1B186A" w:rsidRPr="00AE22BD" w:rsidRDefault="008B6348" w:rsidP="00B0173B">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D20757" w:rsidRPr="00AE22BD"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Default="00A845DC" w:rsidP="00A15234">
      <w:pPr>
        <w:jc w:val="center"/>
        <w:rPr>
          <w:rFonts w:ascii="Book Antiqua" w:hAnsi="Book Antiqua" w:cs="Arial"/>
          <w:b/>
        </w:rPr>
      </w:pPr>
    </w:p>
    <w:p w:rsidR="00D53766" w:rsidRDefault="00D53766" w:rsidP="00A15234">
      <w:pPr>
        <w:jc w:val="center"/>
        <w:rPr>
          <w:rFonts w:ascii="Book Antiqua" w:hAnsi="Book Antiqua" w:cs="Arial"/>
          <w:b/>
        </w:rPr>
      </w:pPr>
      <w:r>
        <w:rPr>
          <w:rFonts w:ascii="Book Antiqua" w:hAnsi="Book Antiqua" w:cs="Arial"/>
          <w:b/>
        </w:rPr>
        <w:t>THE SECRETARY OF STATE FOR THE HOME DEPARTMENT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D53766" w:rsidRDefault="00D53766" w:rsidP="00704B61">
      <w:pPr>
        <w:jc w:val="center"/>
        <w:rPr>
          <w:rFonts w:ascii="Book Antiqua" w:hAnsi="Book Antiqua" w:cs="Arial"/>
          <w:b/>
        </w:rPr>
      </w:pP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B0173B" w:rsidRDefault="007B1D09" w:rsidP="00B0173B">
      <w:pPr>
        <w:jc w:val="center"/>
        <w:rPr>
          <w:rFonts w:ascii="Book Antiqua" w:hAnsi="Book Antiqua" w:cs="Arial"/>
          <w:b/>
          <w:caps/>
        </w:rPr>
      </w:pPr>
      <w:r>
        <w:rPr>
          <w:rFonts w:ascii="Book Antiqua" w:hAnsi="Book Antiqua" w:cs="Arial"/>
          <w:b/>
          <w:caps/>
        </w:rPr>
        <w:t xml:space="preserve">mr </w:t>
      </w:r>
      <w:r w:rsidR="00B0173B" w:rsidRPr="00B0173B">
        <w:rPr>
          <w:rFonts w:ascii="Book Antiqua" w:hAnsi="Book Antiqua" w:cs="Arial"/>
          <w:b/>
          <w:caps/>
        </w:rPr>
        <w:t>Muntazir</w:t>
      </w:r>
      <w:r w:rsidR="00B0173B">
        <w:rPr>
          <w:rFonts w:ascii="Book Antiqua" w:hAnsi="Book Antiqua" w:cs="Arial"/>
          <w:b/>
          <w:caps/>
        </w:rPr>
        <w:t xml:space="preserve"> </w:t>
      </w:r>
      <w:r w:rsidR="00B0173B" w:rsidRPr="00B0173B">
        <w:rPr>
          <w:rFonts w:ascii="Book Antiqua" w:hAnsi="Book Antiqua" w:cs="Arial"/>
          <w:b/>
          <w:caps/>
        </w:rPr>
        <w:t>SHERMAHOMED</w:t>
      </w:r>
    </w:p>
    <w:p w:rsidR="00B0173B" w:rsidRPr="00D53766" w:rsidRDefault="00B0173B" w:rsidP="00B0173B">
      <w:pPr>
        <w:jc w:val="center"/>
        <w:rPr>
          <w:rFonts w:ascii="Book Antiqua" w:hAnsi="Book Antiqua" w:cs="Arial"/>
          <w:caps/>
        </w:rPr>
      </w:pPr>
      <w:r w:rsidRPr="00D53766">
        <w:rPr>
          <w:rFonts w:ascii="Book Antiqua" w:hAnsi="Book Antiqua" w:cs="Arial"/>
          <w:caps/>
        </w:rPr>
        <w:t>(ANONYMITY DIRECTION not made)</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Default="00DE7DB7" w:rsidP="00DD5071">
      <w:pPr>
        <w:rPr>
          <w:rFonts w:ascii="Book Antiqua" w:hAnsi="Book Antiqua" w:cs="Arial"/>
          <w:b/>
        </w:rPr>
      </w:pPr>
      <w:r w:rsidRPr="00AE22BD">
        <w:rPr>
          <w:rFonts w:ascii="Book Antiqua" w:hAnsi="Book Antiqua" w:cs="Arial"/>
          <w:b/>
          <w:u w:val="single"/>
        </w:rPr>
        <w:t>Representation</w:t>
      </w:r>
      <w:r w:rsidRPr="00AE22BD">
        <w:rPr>
          <w:rFonts w:ascii="Book Antiqua" w:hAnsi="Book Antiqua" w:cs="Arial"/>
          <w:b/>
        </w:rPr>
        <w:t>:</w:t>
      </w:r>
    </w:p>
    <w:p w:rsidR="00D53766" w:rsidRPr="00AE22BD" w:rsidRDefault="00D53766"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B0173B">
        <w:rPr>
          <w:rFonts w:ascii="Book Antiqua" w:hAnsi="Book Antiqua" w:cs="Arial"/>
        </w:rPr>
        <w:t xml:space="preserve">Mr S Walker, </w:t>
      </w:r>
      <w:r w:rsidR="00EE23C4">
        <w:rPr>
          <w:rFonts w:ascii="Book Antiqua" w:hAnsi="Book Antiqua" w:cs="Arial"/>
        </w:rPr>
        <w:t xml:space="preserve">Senior </w:t>
      </w:r>
      <w:r w:rsidR="00B0173B">
        <w:rPr>
          <w:rFonts w:ascii="Book Antiqua" w:hAnsi="Book Antiqua" w:cs="Arial"/>
        </w:rPr>
        <w:t>Home Office Presenting Officer</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B0173B">
        <w:rPr>
          <w:rFonts w:ascii="Book Antiqua" w:hAnsi="Book Antiqua" w:cs="Arial"/>
        </w:rPr>
        <w:t>Mr D Sellwood</w:t>
      </w:r>
      <w:r w:rsidR="00EE23C4">
        <w:rPr>
          <w:rFonts w:ascii="Book Antiqua" w:hAnsi="Book Antiqua" w:cs="Arial"/>
        </w:rPr>
        <w:t>, Counsel instructed by Birnberg Peirce &amp; Partners</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B0173B" w:rsidP="00402B9E">
      <w:pPr>
        <w:tabs>
          <w:tab w:val="left" w:pos="2520"/>
        </w:tabs>
        <w:jc w:val="center"/>
        <w:rPr>
          <w:rFonts w:ascii="Book Antiqua" w:hAnsi="Book Antiqua" w:cs="Arial"/>
        </w:rPr>
      </w:pPr>
      <w:r>
        <w:rPr>
          <w:rFonts w:ascii="Book Antiqua" w:hAnsi="Book Antiqua" w:cs="Arial"/>
          <w:b/>
          <w:u w:val="single"/>
        </w:rPr>
        <w:t>ERROR OF LAW DECISION</w:t>
      </w:r>
    </w:p>
    <w:p w:rsidR="00BF23BB" w:rsidRDefault="00EE23C4"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by the Secretary of State against the decision of First-tier Tribunal </w:t>
      </w:r>
      <w:r w:rsidR="00B700D7">
        <w:rPr>
          <w:rFonts w:ascii="Book Antiqua" w:hAnsi="Book Antiqua" w:cs="Arial"/>
        </w:rPr>
        <w:t xml:space="preserve">Judge </w:t>
      </w:r>
      <w:r>
        <w:rPr>
          <w:rFonts w:ascii="Book Antiqua" w:hAnsi="Book Antiqua" w:cs="Arial"/>
        </w:rPr>
        <w:t>Anstis issued on 19 March 2018 which allowed the appeal of Mr Shermahomed against deportation under the EEA Regulations 2016.</w:t>
      </w:r>
    </w:p>
    <w:p w:rsidR="00EE23C4" w:rsidRDefault="00EE23C4" w:rsidP="00AA7F44">
      <w:pPr>
        <w:numPr>
          <w:ilvl w:val="0"/>
          <w:numId w:val="1"/>
        </w:numPr>
        <w:tabs>
          <w:tab w:val="clear" w:pos="567"/>
        </w:tabs>
        <w:spacing w:before="240"/>
        <w:jc w:val="both"/>
        <w:rPr>
          <w:rFonts w:ascii="Book Antiqua" w:hAnsi="Book Antiqua" w:cs="Arial"/>
        </w:rPr>
      </w:pPr>
      <w:r>
        <w:rPr>
          <w:rFonts w:ascii="Book Antiqua" w:hAnsi="Book Antiqua" w:cs="Arial"/>
        </w:rPr>
        <w:t>The background to this matter is that the appellant, a Portuguese national, came to the UK in 2</w:t>
      </w:r>
      <w:r w:rsidR="00355F8B">
        <w:rPr>
          <w:rFonts w:ascii="Book Antiqua" w:hAnsi="Book Antiqua" w:cs="Arial"/>
        </w:rPr>
        <w:t>002 at the age of 3 years old.</w:t>
      </w:r>
      <w:r w:rsidR="000F7E2A">
        <w:rPr>
          <w:rFonts w:ascii="Book Antiqua" w:hAnsi="Book Antiqua" w:cs="Arial"/>
        </w:rPr>
        <w:t xml:space="preserve">  He was convicted on 17 August 2013 for going equipped for theft.  </w:t>
      </w:r>
      <w:r>
        <w:rPr>
          <w:rFonts w:ascii="Book Antiqua" w:hAnsi="Book Antiqua" w:cs="Arial"/>
        </w:rPr>
        <w:t>On 3 August 2015 he was convicted of possession of an offensive weapon</w:t>
      </w:r>
      <w:r w:rsidR="000F7E2A">
        <w:rPr>
          <w:rFonts w:ascii="Book Antiqua" w:hAnsi="Book Antiqua" w:cs="Arial"/>
        </w:rPr>
        <w:t xml:space="preserve">. </w:t>
      </w:r>
      <w:r>
        <w:rPr>
          <w:rFonts w:ascii="Book Antiqua" w:hAnsi="Book Antiqua" w:cs="Arial"/>
        </w:rPr>
        <w:t xml:space="preserve">Both of those matters were dealt with by way of non-custodial sentences.  On 27 January 2017 </w:t>
      </w:r>
      <w:r w:rsidR="00355F8B">
        <w:rPr>
          <w:rFonts w:ascii="Book Antiqua" w:hAnsi="Book Antiqua" w:cs="Arial"/>
        </w:rPr>
        <w:t>t</w:t>
      </w:r>
      <w:r>
        <w:rPr>
          <w:rFonts w:ascii="Book Antiqua" w:hAnsi="Book Antiqua" w:cs="Arial"/>
        </w:rPr>
        <w:t>he</w:t>
      </w:r>
      <w:r w:rsidR="00355F8B">
        <w:rPr>
          <w:rFonts w:ascii="Book Antiqua" w:hAnsi="Book Antiqua" w:cs="Arial"/>
        </w:rPr>
        <w:t xml:space="preserve"> appellant</w:t>
      </w:r>
      <w:r>
        <w:rPr>
          <w:rFonts w:ascii="Book Antiqua" w:hAnsi="Book Antiqua" w:cs="Arial"/>
        </w:rPr>
        <w:t xml:space="preserve"> was convicted of possession with intent to supply class A drugs (cocaine and heroin) along with associated criminal property offences and a conviction for possession of class B drugs (cannabis and cannabis resin).  He received </w:t>
      </w:r>
      <w:r>
        <w:rPr>
          <w:rFonts w:ascii="Book Antiqua" w:hAnsi="Book Antiqua" w:cs="Arial"/>
        </w:rPr>
        <w:lastRenderedPageBreak/>
        <w:t>a sentence of 28 months.  On 18 December 2017 the Secretary of State issued a deci</w:t>
      </w:r>
      <w:bookmarkStart w:id="0" w:name="_GoBack"/>
      <w:bookmarkEnd w:id="0"/>
      <w:r>
        <w:rPr>
          <w:rFonts w:ascii="Book Antiqua" w:hAnsi="Book Antiqua" w:cs="Arial"/>
        </w:rPr>
        <w:t xml:space="preserve">sion seeking to deport him under Regulation 23(6)(b) and 27 of the Immigration (European Economic Area) Regulations 2016 (the EEA Regulations).  </w:t>
      </w:r>
    </w:p>
    <w:p w:rsidR="00EE23C4" w:rsidRDefault="00EE23C4"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First-tier Tribunal Judge Anstis found that the appellant, undisputably continuously resident in the UK from 2002, had remained integrated even after his sentence of 28 months.  He therefore qualified for the highest level of protection provided under the EEA Regulations, that is the Secretary of State had to show that there were “imperative” grounds to justify his deportation.  Judge Anstis’ reasoning on that matter is contained in paragraphs 50 to 56. </w:t>
      </w:r>
    </w:p>
    <w:p w:rsidR="00EE23C4" w:rsidRDefault="00EE23C4" w:rsidP="00AA7F44">
      <w:pPr>
        <w:numPr>
          <w:ilvl w:val="0"/>
          <w:numId w:val="1"/>
        </w:numPr>
        <w:tabs>
          <w:tab w:val="clear" w:pos="567"/>
        </w:tabs>
        <w:spacing w:before="240"/>
        <w:jc w:val="both"/>
        <w:rPr>
          <w:rFonts w:ascii="Book Antiqua" w:hAnsi="Book Antiqua" w:cs="Arial"/>
        </w:rPr>
      </w:pPr>
      <w:r>
        <w:rPr>
          <w:rFonts w:ascii="Book Antiqua" w:hAnsi="Book Antiqua" w:cs="Arial"/>
        </w:rPr>
        <w:t>In paragraphs 44 to 49, in the alternative, the First-tier Tribunal found that the appellant qualified for permanent residence and therefore for the “serious” level of protection under the EEA Regulations.  That conclus</w:t>
      </w:r>
      <w:r w:rsidR="00675F7F">
        <w:rPr>
          <w:rFonts w:ascii="Book Antiqua" w:hAnsi="Book Antiqua" w:cs="Arial"/>
        </w:rPr>
        <w:t>ion was not disputed by the r</w:t>
      </w:r>
      <w:r>
        <w:rPr>
          <w:rFonts w:ascii="Book Antiqua" w:hAnsi="Book Antiqua" w:cs="Arial"/>
        </w:rPr>
        <w:t xml:space="preserve">espondent.  </w:t>
      </w:r>
    </w:p>
    <w:p w:rsidR="00EE23C4" w:rsidRDefault="00EE23C4" w:rsidP="00AA7F44">
      <w:pPr>
        <w:numPr>
          <w:ilvl w:val="0"/>
          <w:numId w:val="1"/>
        </w:numPr>
        <w:tabs>
          <w:tab w:val="clear" w:pos="567"/>
        </w:tabs>
        <w:spacing w:before="240"/>
        <w:jc w:val="both"/>
        <w:rPr>
          <w:rFonts w:ascii="Book Antiqua" w:hAnsi="Book Antiqua" w:cs="Arial"/>
        </w:rPr>
      </w:pPr>
      <w:r>
        <w:rPr>
          <w:rFonts w:ascii="Book Antiqua" w:hAnsi="Book Antiqua" w:cs="Arial"/>
        </w:rPr>
        <w:t>The First-tier Tribunal went on in paragraphs 57</w:t>
      </w:r>
      <w:r w:rsidR="00601883">
        <w:rPr>
          <w:rFonts w:ascii="Book Antiqua" w:hAnsi="Book Antiqua" w:cs="Arial"/>
        </w:rPr>
        <w:t xml:space="preserve"> to 70 to find that the appellant could not be said to show the requisite level of threat to public policy or public security.  Key to that </w:t>
      </w:r>
      <w:r w:rsidR="00355F8B">
        <w:rPr>
          <w:rFonts w:ascii="Book Antiqua" w:hAnsi="Book Antiqua" w:cs="Arial"/>
        </w:rPr>
        <w:t xml:space="preserve">conclusion was the finding of a low risk of </w:t>
      </w:r>
      <w:r w:rsidR="00601883">
        <w:rPr>
          <w:rFonts w:ascii="Book Antiqua" w:hAnsi="Book Antiqua" w:cs="Arial"/>
        </w:rPr>
        <w:t>reoffending.  The sentencing remark</w:t>
      </w:r>
      <w:r w:rsidR="00355F8B">
        <w:rPr>
          <w:rFonts w:ascii="Book Antiqua" w:hAnsi="Book Antiqua" w:cs="Arial"/>
        </w:rPr>
        <w:t xml:space="preserve">s indicated that the appellant </w:t>
      </w:r>
      <w:r w:rsidR="00601883">
        <w:rPr>
          <w:rFonts w:ascii="Book Antiqua" w:hAnsi="Book Antiqua" w:cs="Arial"/>
        </w:rPr>
        <w:t xml:space="preserve">had shown remorse and that he had been under notable pressure from others when committing the offence. Further, the </w:t>
      </w:r>
      <w:r w:rsidR="00355F8B">
        <w:rPr>
          <w:rFonts w:ascii="Book Antiqua" w:hAnsi="Book Antiqua" w:cs="Arial"/>
        </w:rPr>
        <w:t>First-Tier Tribunal</w:t>
      </w:r>
      <w:r w:rsidR="00601883">
        <w:rPr>
          <w:rFonts w:ascii="Book Antiqua" w:hAnsi="Book Antiqua" w:cs="Arial"/>
        </w:rPr>
        <w:t xml:space="preserve"> had evidence from the appellant, his father and his father’s partner that he would move away from his previous connections in London on release from detention and relocate to Norwich</w:t>
      </w:r>
      <w:r w:rsidR="00355F8B">
        <w:rPr>
          <w:rFonts w:ascii="Book Antiqua" w:hAnsi="Book Antiqua" w:cs="Arial"/>
        </w:rPr>
        <w:t xml:space="preserve"> to live with his father and his partner. As part of his sentence, he had been transferred to Norwich and been able to re-build his </w:t>
      </w:r>
      <w:r w:rsidR="00601883">
        <w:rPr>
          <w:rFonts w:ascii="Book Antiqua" w:hAnsi="Book Antiqua" w:cs="Arial"/>
        </w:rPr>
        <w:t xml:space="preserve">relationship with his father who lived </w:t>
      </w:r>
      <w:r w:rsidR="00355F8B">
        <w:rPr>
          <w:rFonts w:ascii="Book Antiqua" w:hAnsi="Book Antiqua" w:cs="Arial"/>
        </w:rPr>
        <w:t xml:space="preserve">there. They </w:t>
      </w:r>
      <w:r w:rsidR="00601883">
        <w:rPr>
          <w:rFonts w:ascii="Book Antiqua" w:hAnsi="Book Antiqua" w:cs="Arial"/>
        </w:rPr>
        <w:t xml:space="preserve">had formed a plan for him to relocate </w:t>
      </w:r>
      <w:r w:rsidR="00355F8B">
        <w:rPr>
          <w:rFonts w:ascii="Book Antiqua" w:hAnsi="Book Antiqua" w:cs="Arial"/>
        </w:rPr>
        <w:t xml:space="preserve">on release </w:t>
      </w:r>
      <w:r w:rsidR="00601883">
        <w:rPr>
          <w:rFonts w:ascii="Book Antiqua" w:hAnsi="Book Antiqua" w:cs="Arial"/>
        </w:rPr>
        <w:t>in order to avoid</w:t>
      </w:r>
      <w:r w:rsidR="00355F8B">
        <w:rPr>
          <w:rFonts w:ascii="Book Antiqua" w:hAnsi="Book Antiqua" w:cs="Arial"/>
        </w:rPr>
        <w:t xml:space="preserve"> his criminal associates and for him </w:t>
      </w:r>
      <w:r w:rsidR="00601883">
        <w:rPr>
          <w:rFonts w:ascii="Book Antiqua" w:hAnsi="Book Antiqua" w:cs="Arial"/>
        </w:rPr>
        <w:t xml:space="preserve">become a reformed character with </w:t>
      </w:r>
      <w:r w:rsidR="00355F8B">
        <w:rPr>
          <w:rFonts w:ascii="Book Antiqua" w:hAnsi="Book Antiqua" w:cs="Arial"/>
        </w:rPr>
        <w:t xml:space="preserve">this </w:t>
      </w:r>
      <w:r w:rsidR="00601883">
        <w:rPr>
          <w:rFonts w:ascii="Book Antiqua" w:hAnsi="Book Antiqua" w:cs="Arial"/>
        </w:rPr>
        <w:t>fresh start.</w:t>
      </w:r>
      <w:r w:rsidR="00AA5AB7">
        <w:rPr>
          <w:rFonts w:ascii="Book Antiqua" w:hAnsi="Book Antiqua" w:cs="Arial"/>
        </w:rPr>
        <w:t xml:space="preserve">  </w:t>
      </w:r>
    </w:p>
    <w:p w:rsidR="00AA5AB7" w:rsidRDefault="00AA5AB7" w:rsidP="00AA7F44">
      <w:pPr>
        <w:numPr>
          <w:ilvl w:val="0"/>
          <w:numId w:val="1"/>
        </w:numPr>
        <w:tabs>
          <w:tab w:val="clear" w:pos="567"/>
        </w:tabs>
        <w:spacing w:before="240"/>
        <w:jc w:val="both"/>
        <w:rPr>
          <w:rFonts w:ascii="Book Antiqua" w:hAnsi="Book Antiqua" w:cs="Arial"/>
        </w:rPr>
      </w:pPr>
      <w:r>
        <w:rPr>
          <w:rFonts w:ascii="Book Antiqua" w:hAnsi="Book Antiqua" w:cs="Arial"/>
        </w:rPr>
        <w:t>Judge Anstis</w:t>
      </w:r>
      <w:r w:rsidR="0098452F">
        <w:rPr>
          <w:rFonts w:ascii="Book Antiqua" w:hAnsi="Book Antiqua" w:cs="Arial"/>
        </w:rPr>
        <w:t>’</w:t>
      </w:r>
      <w:r>
        <w:rPr>
          <w:rFonts w:ascii="Book Antiqua" w:hAnsi="Book Antiqua" w:cs="Arial"/>
        </w:rPr>
        <w:t xml:space="preserve"> conclusion</w:t>
      </w:r>
      <w:r w:rsidR="00355F8B">
        <w:rPr>
          <w:rFonts w:ascii="Book Antiqua" w:hAnsi="Book Antiqua" w:cs="Arial"/>
        </w:rPr>
        <w:t xml:space="preserve"> at paragraph 70 wa</w:t>
      </w:r>
      <w:r>
        <w:rPr>
          <w:rFonts w:ascii="Book Antiqua" w:hAnsi="Book Antiqua" w:cs="Arial"/>
        </w:rPr>
        <w:t>s as follows:</w:t>
      </w:r>
    </w:p>
    <w:p w:rsidR="00AA5AB7" w:rsidRPr="00B85E0E" w:rsidRDefault="00AA5AB7" w:rsidP="00AA5AB7">
      <w:pPr>
        <w:spacing w:before="240"/>
        <w:ind w:left="1134"/>
        <w:jc w:val="both"/>
        <w:rPr>
          <w:rFonts w:ascii="Book Antiqua" w:hAnsi="Book Antiqua" w:cs="Arial"/>
          <w:sz w:val="22"/>
          <w:szCs w:val="22"/>
        </w:rPr>
      </w:pPr>
      <w:r w:rsidRPr="00B85E0E">
        <w:rPr>
          <w:rFonts w:ascii="Book Antiqua" w:hAnsi="Book Antiqua" w:cs="Arial"/>
          <w:sz w:val="22"/>
          <w:szCs w:val="22"/>
        </w:rPr>
        <w:t>“Bearing that in mind (and I have also born in mind the other factors in Schedule 1) I find that the Respondent’s decision was not proportionate and is not in accordance with regulation 27.  That is so even without the additional requirements that the grounds should be “serious” and “imperative</w:t>
      </w:r>
      <w:r w:rsidR="009B13B0" w:rsidRPr="00B85E0E">
        <w:rPr>
          <w:rFonts w:ascii="Book Antiqua" w:hAnsi="Book Antiqua" w:cs="Arial"/>
          <w:sz w:val="22"/>
          <w:szCs w:val="22"/>
        </w:rPr>
        <w:t>”, which I have found apply in this case</w:t>
      </w:r>
      <w:r w:rsidR="00B24C30" w:rsidRPr="00B85E0E">
        <w:rPr>
          <w:rFonts w:ascii="Book Antiqua" w:hAnsi="Book Antiqua" w:cs="Arial"/>
          <w:sz w:val="22"/>
          <w:szCs w:val="22"/>
        </w:rPr>
        <w:t>.  I do not consider that the Appellant’s situation comes close to meeting the requirements of “serious” or “imperative”</w:t>
      </w:r>
      <w:r w:rsidRPr="00B85E0E">
        <w:rPr>
          <w:rFonts w:ascii="Book Antiqua" w:hAnsi="Book Antiqua" w:cs="Arial"/>
          <w:sz w:val="22"/>
          <w:szCs w:val="22"/>
        </w:rPr>
        <w:t xml:space="preserve"> grounds that apply to this case.  His appeal must succeed.”</w:t>
      </w:r>
    </w:p>
    <w:p w:rsidR="00355F8B" w:rsidRDefault="00AA5AB7"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raised </w:t>
      </w:r>
      <w:r w:rsidR="00355F8B">
        <w:rPr>
          <w:rFonts w:ascii="Book Antiqua" w:hAnsi="Book Antiqua" w:cs="Arial"/>
        </w:rPr>
        <w:t>a number of grounds of challenging the</w:t>
      </w:r>
      <w:r w:rsidR="008E1D74">
        <w:rPr>
          <w:rFonts w:ascii="Book Antiqua" w:hAnsi="Book Antiqua" w:cs="Arial"/>
        </w:rPr>
        <w:t xml:space="preserve"> decision </w:t>
      </w:r>
      <w:r w:rsidR="00355F8B">
        <w:rPr>
          <w:rFonts w:ascii="Book Antiqua" w:hAnsi="Book Antiqua" w:cs="Arial"/>
        </w:rPr>
        <w:t>of the First-Tier Tribunal. P</w:t>
      </w:r>
      <w:r w:rsidR="008E1D74">
        <w:rPr>
          <w:rFonts w:ascii="Book Antiqua" w:hAnsi="Book Antiqua" w:cs="Arial"/>
        </w:rPr>
        <w:t xml:space="preserve">ermission was granted on all grounds in a decision of the Upper Tribunal dated 14 June 2018.  By the time of the hearing before me, Mr Walker conceded for the Secretary of State that she no longer sought to rely on grounds concerning the First-tier Tribunal Judge’s decision on integration and the appellant having been correctly assessed as benefiting from the “imperative” level of protection.  </w:t>
      </w:r>
    </w:p>
    <w:p w:rsidR="00AA5AB7" w:rsidRDefault="008E1D74" w:rsidP="00AA7F44">
      <w:pPr>
        <w:numPr>
          <w:ilvl w:val="0"/>
          <w:numId w:val="1"/>
        </w:numPr>
        <w:tabs>
          <w:tab w:val="clear" w:pos="567"/>
        </w:tabs>
        <w:spacing w:before="240"/>
        <w:jc w:val="both"/>
        <w:rPr>
          <w:rFonts w:ascii="Book Antiqua" w:hAnsi="Book Antiqua" w:cs="Arial"/>
        </w:rPr>
      </w:pPr>
      <w:r>
        <w:rPr>
          <w:rFonts w:ascii="Book Antiqua" w:hAnsi="Book Antiqua" w:cs="Arial"/>
        </w:rPr>
        <w:t>Mr Walker set out that the Secretary of State’s only remaining ground was that the First-tier Tribunal erred in the proportionality assessment in finding a low risk of reoffending and that therefore neither the “s</w:t>
      </w:r>
      <w:r w:rsidR="00355F8B">
        <w:rPr>
          <w:rFonts w:ascii="Book Antiqua" w:hAnsi="Book Antiqua" w:cs="Arial"/>
        </w:rPr>
        <w:t xml:space="preserve">erious” or “imperative” levels of threat to public policy </w:t>
      </w:r>
      <w:r>
        <w:rPr>
          <w:rFonts w:ascii="Book Antiqua" w:hAnsi="Book Antiqua" w:cs="Arial"/>
        </w:rPr>
        <w:t xml:space="preserve">could be met.  In particular, the weight placed on what was stated to be </w:t>
      </w:r>
      <w:r>
        <w:rPr>
          <w:rFonts w:ascii="Book Antiqua" w:hAnsi="Book Antiqua" w:cs="Arial"/>
        </w:rPr>
        <w:lastRenderedPageBreak/>
        <w:t xml:space="preserve">a </w:t>
      </w:r>
      <w:r w:rsidR="00355F8B">
        <w:rPr>
          <w:rFonts w:ascii="Book Antiqua" w:hAnsi="Book Antiqua" w:cs="Arial"/>
        </w:rPr>
        <w:t>“</w:t>
      </w:r>
      <w:r>
        <w:rPr>
          <w:rFonts w:ascii="Book Antiqua" w:hAnsi="Book Antiqua" w:cs="Arial"/>
        </w:rPr>
        <w:t>speculative</w:t>
      </w:r>
      <w:r w:rsidR="00355F8B">
        <w:rPr>
          <w:rFonts w:ascii="Book Antiqua" w:hAnsi="Book Antiqua" w:cs="Arial"/>
        </w:rPr>
        <w:t>”</w:t>
      </w:r>
      <w:r>
        <w:rPr>
          <w:rFonts w:ascii="Book Antiqua" w:hAnsi="Book Antiqua" w:cs="Arial"/>
        </w:rPr>
        <w:t xml:space="preserve"> plan for him to move to live with his father in Norwich was not appropriate.</w:t>
      </w:r>
    </w:p>
    <w:p w:rsidR="008E1D74" w:rsidRDefault="008E1D74" w:rsidP="00AA7F44">
      <w:pPr>
        <w:numPr>
          <w:ilvl w:val="0"/>
          <w:numId w:val="1"/>
        </w:numPr>
        <w:tabs>
          <w:tab w:val="clear" w:pos="567"/>
        </w:tabs>
        <w:spacing w:before="240"/>
        <w:jc w:val="both"/>
        <w:rPr>
          <w:rFonts w:ascii="Book Antiqua" w:hAnsi="Book Antiqua" w:cs="Arial"/>
        </w:rPr>
      </w:pPr>
      <w:r>
        <w:rPr>
          <w:rFonts w:ascii="Book Antiqua" w:hAnsi="Book Antiqua" w:cs="Arial"/>
        </w:rPr>
        <w:t>I can deal with this ground relatively briefly.  This aspect of the Secretary of State’s challenge to the proportionality assessment is, put in formal error of law terms, one of irrationality.  The Secretary of State seeks to argue that it was not open to a reasonable decision maker to place the weight that Judge Anstis did on the evidence from the appellant, his father and his father’s partner as to the plan for him to relocate and rehabilitate in Norwich.  Where the judge had evidence from those three witnesses, heard oral evidence from two of them, and it was undi</w:t>
      </w:r>
      <w:r w:rsidR="00313FE1">
        <w:rPr>
          <w:rFonts w:ascii="Book Antiqua" w:hAnsi="Book Antiqua" w:cs="Arial"/>
        </w:rPr>
        <w:t xml:space="preserve">sputed that the appellant had </w:t>
      </w:r>
      <w:r>
        <w:rPr>
          <w:rFonts w:ascii="Book Antiqua" w:hAnsi="Book Antiqua" w:cs="Arial"/>
        </w:rPr>
        <w:t xml:space="preserve">formed a </w:t>
      </w:r>
      <w:r w:rsidR="00313FE1">
        <w:rPr>
          <w:rFonts w:ascii="Book Antiqua" w:hAnsi="Book Antiqua" w:cs="Arial"/>
        </w:rPr>
        <w:t xml:space="preserve">new </w:t>
      </w:r>
      <w:r>
        <w:rPr>
          <w:rFonts w:ascii="Book Antiqua" w:hAnsi="Book Antiqua" w:cs="Arial"/>
        </w:rPr>
        <w:t>bond with his father, it appears to me wholly unarguable that there was any issue of irrationality in the weight that the First-tier Tribunal chose to place on this factor in the proportionality assessment</w:t>
      </w:r>
      <w:r w:rsidR="00313FE1">
        <w:rPr>
          <w:rFonts w:ascii="Book Antiqua" w:hAnsi="Book Antiqua" w:cs="Arial"/>
        </w:rPr>
        <w:t xml:space="preserve">. The evidence was capable of bearing the weight the attributed to it by the judge. </w:t>
      </w:r>
      <w:r>
        <w:rPr>
          <w:rFonts w:ascii="Book Antiqua" w:hAnsi="Book Antiqua" w:cs="Arial"/>
        </w:rPr>
        <w:t>It is therefore my view that the grounds do not show an arguable error of law in the proportionality assessment and the decision must therefore stand.</w:t>
      </w:r>
    </w:p>
    <w:p w:rsidR="008E1D74" w:rsidRDefault="008E1D74" w:rsidP="00AA7F44">
      <w:pPr>
        <w:numPr>
          <w:ilvl w:val="0"/>
          <w:numId w:val="1"/>
        </w:numPr>
        <w:tabs>
          <w:tab w:val="clear" w:pos="567"/>
        </w:tabs>
        <w:spacing w:before="240"/>
        <w:jc w:val="both"/>
        <w:rPr>
          <w:rFonts w:ascii="Book Antiqua" w:hAnsi="Book Antiqua" w:cs="Arial"/>
        </w:rPr>
      </w:pPr>
      <w:r>
        <w:rPr>
          <w:rFonts w:ascii="Book Antiqua" w:hAnsi="Book Antiqua" w:cs="Arial"/>
        </w:rPr>
        <w:t>I should also indicate that where it was conceded for the Secretary of State that this appellant benefits from the “imperative” level of protection, it did not appear to me that his sentence of 28 months, even taken into account with his two previous convictions, could be said to amount to “imperative” grounds amounting to a threat to public policy or public security.</w:t>
      </w:r>
      <w:r w:rsidR="0056378B">
        <w:rPr>
          <w:rFonts w:ascii="Book Antiqua" w:hAnsi="Book Antiqua" w:cs="Arial"/>
        </w:rPr>
        <w:t xml:space="preserve">  The parties indicated that there did not appear to be currently policy or guidance from the Secretary of State as to what she viewed as “imperative” grounds that is the level of offending that could come within that category such that an assessment of the proportionality of deportation was required.  </w:t>
      </w:r>
      <w:r w:rsidR="00313FE1">
        <w:rPr>
          <w:rFonts w:ascii="Book Antiqua" w:hAnsi="Book Antiqua" w:cs="Arial"/>
        </w:rPr>
        <w:t xml:space="preserve">I noted, however, the </w:t>
      </w:r>
      <w:r w:rsidR="0056378B">
        <w:rPr>
          <w:rFonts w:ascii="Book Antiqua" w:hAnsi="Book Antiqua" w:cs="Arial"/>
        </w:rPr>
        <w:t xml:space="preserve">comments of the Court of Appeal in </w:t>
      </w:r>
      <w:r w:rsidR="0056378B" w:rsidRPr="000138C1">
        <w:rPr>
          <w:rFonts w:ascii="Book Antiqua" w:hAnsi="Book Antiqua" w:cs="Arial"/>
          <w:b/>
          <w:u w:val="single"/>
        </w:rPr>
        <w:t>LG and CC v SSHD</w:t>
      </w:r>
      <w:r w:rsidR="0056378B" w:rsidRPr="000138C1">
        <w:rPr>
          <w:rFonts w:ascii="Book Antiqua" w:hAnsi="Book Antiqua" w:cs="Arial"/>
          <w:b/>
        </w:rPr>
        <w:t xml:space="preserve"> [2008] EWCA Civ 190</w:t>
      </w:r>
      <w:r w:rsidR="0056378B">
        <w:rPr>
          <w:rFonts w:ascii="Book Antiqua" w:hAnsi="Book Antiqua" w:cs="Arial"/>
        </w:rPr>
        <w:t xml:space="preserve"> (approved in </w:t>
      </w:r>
      <w:r w:rsidR="0056378B" w:rsidRPr="000138C1">
        <w:rPr>
          <w:rFonts w:ascii="Book Antiqua" w:hAnsi="Book Antiqua" w:cs="Arial"/>
          <w:b/>
          <w:u w:val="single"/>
        </w:rPr>
        <w:t>SSHD v FV</w:t>
      </w:r>
      <w:r w:rsidR="0056378B" w:rsidRPr="000138C1">
        <w:rPr>
          <w:rFonts w:ascii="Book Antiqua" w:hAnsi="Book Antiqua" w:cs="Arial"/>
          <w:b/>
        </w:rPr>
        <w:t xml:space="preserve"> (Italy) [2012] EWCA Civ 119</w:t>
      </w:r>
      <w:r w:rsidR="0056378B">
        <w:rPr>
          <w:rFonts w:ascii="Book Antiqua" w:hAnsi="Book Antiqua" w:cs="Arial"/>
        </w:rPr>
        <w:t>, at 32</w:t>
      </w:r>
      <w:r w:rsidR="009F3272">
        <w:rPr>
          <w:rFonts w:ascii="Book Antiqua" w:hAnsi="Book Antiqua" w:cs="Arial"/>
        </w:rPr>
        <w:t>)</w:t>
      </w:r>
      <w:r w:rsidR="0056378B">
        <w:rPr>
          <w:rFonts w:ascii="Book Antiqua" w:hAnsi="Book Antiqua" w:cs="Arial"/>
        </w:rPr>
        <w:t xml:space="preserve"> </w:t>
      </w:r>
      <w:r w:rsidR="00313FE1">
        <w:rPr>
          <w:rFonts w:ascii="Book Antiqua" w:hAnsi="Book Antiqua" w:cs="Arial"/>
        </w:rPr>
        <w:t xml:space="preserve">on the </w:t>
      </w:r>
      <w:r w:rsidR="0056378B">
        <w:rPr>
          <w:rFonts w:ascii="Book Antiqua" w:hAnsi="Book Antiqua" w:cs="Arial"/>
        </w:rPr>
        <w:t>view of what was required for an “imperative” threat.  The Court of Appeal said this:</w:t>
      </w:r>
    </w:p>
    <w:p w:rsidR="008423C0" w:rsidRPr="004C5199" w:rsidRDefault="008423C0" w:rsidP="008423C0">
      <w:pPr>
        <w:pStyle w:val="ListParagraph"/>
        <w:spacing w:before="240"/>
        <w:ind w:left="1134"/>
        <w:jc w:val="both"/>
        <w:rPr>
          <w:rFonts w:ascii="Book Antiqua" w:hAnsi="Book Antiqua" w:cs="Arial"/>
          <w:sz w:val="22"/>
          <w:szCs w:val="22"/>
        </w:rPr>
      </w:pPr>
      <w:bookmarkStart w:id="1" w:name="para32"/>
      <w:r w:rsidRPr="004C5199">
        <w:rPr>
          <w:rFonts w:ascii="Book Antiqua" w:hAnsi="Book Antiqua"/>
          <w:sz w:val="22"/>
          <w:szCs w:val="22"/>
        </w:rPr>
        <w:t>“32.</w:t>
      </w:r>
      <w:r w:rsidRPr="004C5199">
        <w:rPr>
          <w:rFonts w:ascii="Book Antiqua" w:hAnsi="Book Antiqua"/>
          <w:sz w:val="22"/>
          <w:szCs w:val="22"/>
        </w:rPr>
        <w:tab/>
      </w:r>
      <w:r w:rsidR="0053231D" w:rsidRPr="004C5199">
        <w:rPr>
          <w:rFonts w:ascii="Book Antiqua" w:hAnsi="Book Antiqua"/>
          <w:sz w:val="22"/>
          <w:szCs w:val="22"/>
        </w:rPr>
        <w:t xml:space="preserve">The following points should be taken into account: </w:t>
      </w:r>
      <w:bookmarkEnd w:id="1"/>
    </w:p>
    <w:p w:rsidR="0053231D" w:rsidRDefault="0053231D" w:rsidP="0053231D">
      <w:pPr>
        <w:pStyle w:val="ListParagraph"/>
        <w:ind w:left="927"/>
        <w:jc w:val="both"/>
        <w:rPr>
          <w:rFonts w:ascii="Book Antiqua" w:hAnsi="Book Antiqua"/>
          <w:sz w:val="22"/>
          <w:szCs w:val="22"/>
        </w:rPr>
      </w:pPr>
    </w:p>
    <w:p w:rsidR="00313FE1" w:rsidRPr="004C5199" w:rsidRDefault="00313FE1" w:rsidP="0053231D">
      <w:pPr>
        <w:pStyle w:val="ListParagraph"/>
        <w:ind w:left="927"/>
        <w:jc w:val="both"/>
        <w:rPr>
          <w:rFonts w:ascii="Book Antiqua" w:hAnsi="Book Antiqua"/>
          <w:sz w:val="22"/>
          <w:szCs w:val="22"/>
        </w:rPr>
      </w:pPr>
      <w:r>
        <w:rPr>
          <w:rFonts w:ascii="Book Antiqua" w:hAnsi="Book Antiqua"/>
          <w:sz w:val="22"/>
          <w:szCs w:val="22"/>
        </w:rPr>
        <w:tab/>
      </w:r>
      <w:r>
        <w:rPr>
          <w:rFonts w:ascii="Book Antiqua" w:hAnsi="Book Antiqua"/>
          <w:sz w:val="22"/>
          <w:szCs w:val="22"/>
        </w:rPr>
        <w:tab/>
        <w:t>…</w:t>
      </w:r>
    </w:p>
    <w:p w:rsidR="0053231D" w:rsidRPr="004C5199" w:rsidRDefault="00B82DF0" w:rsidP="008423C0">
      <w:pPr>
        <w:spacing w:before="100" w:beforeAutospacing="1" w:after="100" w:afterAutospacing="1"/>
        <w:ind w:left="2268" w:right="720" w:hanging="567"/>
        <w:jc w:val="both"/>
        <w:rPr>
          <w:rFonts w:ascii="Book Antiqua" w:hAnsi="Book Antiqua"/>
          <w:sz w:val="22"/>
          <w:szCs w:val="22"/>
        </w:rPr>
      </w:pPr>
      <w:r w:rsidRPr="004C5199">
        <w:rPr>
          <w:rFonts w:ascii="Book Antiqua" w:hAnsi="Book Antiqua"/>
          <w:sz w:val="22"/>
          <w:szCs w:val="22"/>
        </w:rPr>
        <w:t>3)</w:t>
      </w:r>
      <w:r w:rsidRPr="004C5199">
        <w:rPr>
          <w:rFonts w:ascii="Book Antiqua" w:hAnsi="Book Antiqua"/>
          <w:sz w:val="22"/>
          <w:szCs w:val="22"/>
        </w:rPr>
        <w:tab/>
      </w:r>
      <w:r w:rsidR="0053231D" w:rsidRPr="004C5199">
        <w:rPr>
          <w:rFonts w:ascii="Book Antiqua" w:hAnsi="Book Antiqua"/>
          <w:sz w:val="22"/>
          <w:szCs w:val="22"/>
        </w:rPr>
        <w:t xml:space="preserve">The word "imperative", as a distinguishing feature of the third level, seems to me to connote a very high threshold. The earlier version of the manual treats it as equivalent to "particularly serious". In the latest version, the expression "particularly serious risk" is used for the second level. The difference between the two levels, that is, between "serious" and "imperative", is said to be "one of severity", but there is no indication why the severity of the offence in itself is enough to make removal "imperative". </w:t>
      </w:r>
    </w:p>
    <w:p w:rsidR="0053231D" w:rsidRPr="004C5199" w:rsidRDefault="00B82DF0" w:rsidP="008423C0">
      <w:pPr>
        <w:pStyle w:val="ListParagraph"/>
        <w:spacing w:before="100" w:beforeAutospacing="1" w:after="100" w:afterAutospacing="1"/>
        <w:ind w:left="2268" w:right="720" w:hanging="567"/>
        <w:jc w:val="both"/>
        <w:rPr>
          <w:rFonts w:ascii="Book Antiqua" w:hAnsi="Book Antiqua"/>
          <w:sz w:val="22"/>
          <w:szCs w:val="22"/>
        </w:rPr>
      </w:pPr>
      <w:r w:rsidRPr="004C5199">
        <w:rPr>
          <w:rFonts w:ascii="Book Antiqua" w:hAnsi="Book Antiqua"/>
          <w:sz w:val="22"/>
          <w:szCs w:val="22"/>
        </w:rPr>
        <w:t>4)</w:t>
      </w:r>
      <w:r w:rsidRPr="004C5199">
        <w:rPr>
          <w:rFonts w:ascii="Book Antiqua" w:hAnsi="Book Antiqua"/>
          <w:sz w:val="22"/>
          <w:szCs w:val="22"/>
        </w:rPr>
        <w:tab/>
      </w:r>
      <w:r w:rsidR="0053231D" w:rsidRPr="004C5199">
        <w:rPr>
          <w:rFonts w:ascii="Book Antiqua" w:hAnsi="Book Antiqua"/>
          <w:sz w:val="22"/>
          <w:szCs w:val="22"/>
        </w:rPr>
        <w:t>The same thinking is reflected in the examples of offences given in the manual. Both levels require a serious offence linked to a propensity to re-offend. The second "serious" level encompasses "a violent offence carrying a maximum penalty of 10 years"; the third "imperative" level requires not only a maximum penalty of 10 years but also an actual sentence of at least five years. It is not clear why the mere fact that a five year sentence has been imposed should make removal "imperative".</w:t>
      </w:r>
    </w:p>
    <w:p w:rsidR="00B82DF0" w:rsidRPr="004C5199" w:rsidRDefault="00B82DF0" w:rsidP="008423C0">
      <w:pPr>
        <w:pStyle w:val="ListParagraph"/>
        <w:spacing w:before="100" w:beforeAutospacing="1" w:after="100" w:afterAutospacing="1"/>
        <w:ind w:left="2268" w:right="720" w:hanging="567"/>
        <w:jc w:val="both"/>
        <w:rPr>
          <w:rFonts w:ascii="Book Antiqua" w:hAnsi="Book Antiqua"/>
          <w:sz w:val="22"/>
          <w:szCs w:val="22"/>
        </w:rPr>
      </w:pPr>
    </w:p>
    <w:p w:rsidR="0053231D" w:rsidRPr="004C5199" w:rsidRDefault="00B82DF0" w:rsidP="00817AEA">
      <w:pPr>
        <w:pStyle w:val="ListParagraph"/>
        <w:spacing w:before="100" w:beforeAutospacing="1" w:afterAutospacing="1"/>
        <w:ind w:left="2268" w:right="720" w:hanging="567"/>
        <w:jc w:val="both"/>
        <w:rPr>
          <w:rFonts w:ascii="Book Antiqua" w:hAnsi="Book Antiqua"/>
          <w:sz w:val="22"/>
          <w:szCs w:val="22"/>
        </w:rPr>
      </w:pPr>
      <w:r w:rsidRPr="004C5199">
        <w:rPr>
          <w:rFonts w:ascii="Book Antiqua" w:hAnsi="Book Antiqua"/>
          <w:sz w:val="22"/>
          <w:szCs w:val="22"/>
        </w:rPr>
        <w:t>5)</w:t>
      </w:r>
      <w:r w:rsidRPr="004C5199">
        <w:rPr>
          <w:rFonts w:ascii="Book Antiqua" w:hAnsi="Book Antiqua"/>
          <w:sz w:val="22"/>
          <w:szCs w:val="22"/>
        </w:rPr>
        <w:tab/>
      </w:r>
      <w:r w:rsidR="0053231D" w:rsidRPr="004C5199">
        <w:rPr>
          <w:rFonts w:ascii="Book Antiqua" w:hAnsi="Book Antiqua"/>
          <w:sz w:val="22"/>
          <w:szCs w:val="22"/>
        </w:rPr>
        <w:t>Neither version of the Manual seems to me to give adequate weight to the distinction between levels two and three, or to the force of the word "imperative". To my mind there is not simply a difference of degree, but a qualitative difference: in other words, level three requires, not simply a serious matter of public policy, but an actual risk to public security, so compelling that it justifies the exceptional course of removing someone who (in the language of the Preamble to the Directive) has become "integrated" by "many years" residence in the host state.</w:t>
      </w:r>
      <w:r w:rsidRPr="004C5199">
        <w:rPr>
          <w:rFonts w:ascii="Book Antiqua" w:hAnsi="Book Antiqua"/>
          <w:sz w:val="22"/>
          <w:szCs w:val="22"/>
        </w:rPr>
        <w:t>”</w:t>
      </w:r>
    </w:p>
    <w:p w:rsidR="008423C0" w:rsidRDefault="008423C0" w:rsidP="008423C0">
      <w:pPr>
        <w:pStyle w:val="ListParagraph"/>
        <w:spacing w:before="240"/>
        <w:ind w:left="1134"/>
        <w:jc w:val="both"/>
        <w:rPr>
          <w:rFonts w:ascii="Book Antiqua" w:hAnsi="Book Antiqua" w:cs="Arial"/>
        </w:rPr>
      </w:pPr>
    </w:p>
    <w:p w:rsidR="008423C0" w:rsidRDefault="00A676E2" w:rsidP="008423C0">
      <w:pPr>
        <w:pStyle w:val="ListParagraph"/>
        <w:numPr>
          <w:ilvl w:val="0"/>
          <w:numId w:val="1"/>
        </w:numPr>
        <w:spacing w:before="240"/>
        <w:jc w:val="both"/>
        <w:rPr>
          <w:rFonts w:ascii="Book Antiqua" w:hAnsi="Book Antiqua" w:cs="Arial"/>
        </w:rPr>
      </w:pPr>
      <w:r>
        <w:rPr>
          <w:rFonts w:ascii="Book Antiqua" w:hAnsi="Book Antiqua" w:cs="Arial"/>
        </w:rPr>
        <w:t xml:space="preserve">Considered in light of those comments, </w:t>
      </w:r>
      <w:r w:rsidR="00313FE1">
        <w:rPr>
          <w:rFonts w:ascii="Book Antiqua" w:hAnsi="Book Antiqua" w:cs="Arial"/>
        </w:rPr>
        <w:t xml:space="preserve">the appellant’s sentence of 28 months </w:t>
      </w:r>
      <w:r w:rsidR="00822650">
        <w:rPr>
          <w:rFonts w:ascii="Book Antiqua" w:hAnsi="Book Antiqua" w:cs="Arial"/>
        </w:rPr>
        <w:t>does</w:t>
      </w:r>
      <w:r w:rsidR="00862041">
        <w:rPr>
          <w:rFonts w:ascii="Book Antiqua" w:hAnsi="Book Antiqua" w:cs="Arial"/>
        </w:rPr>
        <w:t xml:space="preserve"> not come </w:t>
      </w:r>
      <w:r>
        <w:rPr>
          <w:rFonts w:ascii="Book Antiqua" w:hAnsi="Book Antiqua" w:cs="Arial"/>
        </w:rPr>
        <w:t xml:space="preserve">close to posing an </w:t>
      </w:r>
      <w:r w:rsidR="00313FE1">
        <w:rPr>
          <w:rFonts w:ascii="Book Antiqua" w:hAnsi="Book Antiqua" w:cs="Arial"/>
        </w:rPr>
        <w:t>“imperative” threat</w:t>
      </w:r>
      <w:r>
        <w:rPr>
          <w:rFonts w:ascii="Book Antiqua" w:hAnsi="Book Antiqua" w:cs="Arial"/>
        </w:rPr>
        <w:t xml:space="preserve"> to public policy</w:t>
      </w:r>
      <w:r w:rsidR="00313FE1">
        <w:rPr>
          <w:rFonts w:ascii="Book Antiqua" w:hAnsi="Book Antiqua" w:cs="Arial"/>
        </w:rPr>
        <w:t xml:space="preserve">. Where the </w:t>
      </w:r>
      <w:r>
        <w:rPr>
          <w:rFonts w:ascii="Book Antiqua" w:hAnsi="Book Antiqua" w:cs="Arial"/>
        </w:rPr>
        <w:t>respondent conceded that the f</w:t>
      </w:r>
      <w:r w:rsidR="00313FE1">
        <w:rPr>
          <w:rFonts w:ascii="Book Antiqua" w:hAnsi="Book Antiqua" w:cs="Arial"/>
        </w:rPr>
        <w:t>indings of Judge Anstis on the appellant having remained integrated after 10 years’ continuous residence</w:t>
      </w:r>
      <w:r>
        <w:rPr>
          <w:rFonts w:ascii="Book Antiqua" w:hAnsi="Book Antiqua" w:cs="Arial"/>
        </w:rPr>
        <w:t xml:space="preserve"> were correct in law, there could be no material error in the proportionality assessment where this was no need for this to be conducted as the requisite level of threat to public policy was not made out.</w:t>
      </w:r>
    </w:p>
    <w:p w:rsidR="00862041" w:rsidRDefault="00862041" w:rsidP="00862041">
      <w:pPr>
        <w:pStyle w:val="ListParagraph"/>
        <w:spacing w:before="240"/>
        <w:ind w:left="567"/>
        <w:jc w:val="both"/>
        <w:rPr>
          <w:rFonts w:ascii="Book Antiqua" w:hAnsi="Book Antiqua" w:cs="Arial"/>
        </w:rPr>
      </w:pPr>
    </w:p>
    <w:p w:rsidR="00862041" w:rsidRPr="008423C0" w:rsidRDefault="00862041" w:rsidP="008423C0">
      <w:pPr>
        <w:pStyle w:val="ListParagraph"/>
        <w:numPr>
          <w:ilvl w:val="0"/>
          <w:numId w:val="1"/>
        </w:numPr>
        <w:spacing w:before="240"/>
        <w:jc w:val="both"/>
        <w:rPr>
          <w:rFonts w:ascii="Book Antiqua" w:hAnsi="Book Antiqua" w:cs="Arial"/>
        </w:rPr>
      </w:pPr>
      <w:r>
        <w:rPr>
          <w:rFonts w:ascii="Book Antiqua" w:hAnsi="Book Antiqua" w:cs="Arial"/>
        </w:rPr>
        <w:t xml:space="preserve">The appellant should be in no doubt, however, that any further offending will inevitably lead to close scrutiny of his circumstances, possible further deportation action and, potentially, a different outcome. </w:t>
      </w:r>
    </w:p>
    <w:p w:rsidR="007C61CF" w:rsidRDefault="007C61CF" w:rsidP="007C61CF">
      <w:pPr>
        <w:jc w:val="both"/>
        <w:rPr>
          <w:rFonts w:ascii="Book Antiqua" w:hAnsi="Book Antiqua" w:cs="Arial"/>
          <w:b/>
          <w:highlight w:val="yellow"/>
          <w:u w:val="single"/>
        </w:rPr>
      </w:pPr>
    </w:p>
    <w:p w:rsidR="007C61CF" w:rsidRPr="007C61CF" w:rsidRDefault="007C61CF" w:rsidP="007C61CF">
      <w:pPr>
        <w:jc w:val="both"/>
        <w:rPr>
          <w:rFonts w:ascii="Book Antiqua" w:hAnsi="Book Antiqua" w:cs="Arial"/>
          <w:b/>
          <w:u w:val="single"/>
        </w:rPr>
      </w:pPr>
      <w:r w:rsidRPr="007C61CF">
        <w:rPr>
          <w:rFonts w:ascii="Book Antiqua" w:hAnsi="Book Antiqua" w:cs="Arial"/>
          <w:b/>
          <w:u w:val="single"/>
        </w:rPr>
        <w:t>Decision</w:t>
      </w:r>
    </w:p>
    <w:p w:rsidR="007C61CF" w:rsidRPr="007C61CF" w:rsidRDefault="007C61CF" w:rsidP="007C61CF">
      <w:pPr>
        <w:jc w:val="both"/>
        <w:rPr>
          <w:rFonts w:ascii="Book Antiqua" w:hAnsi="Book Antiqua" w:cs="Arial"/>
        </w:rPr>
      </w:pPr>
    </w:p>
    <w:p w:rsidR="007C61CF" w:rsidRPr="007C61CF" w:rsidRDefault="007C61CF" w:rsidP="007C61CF">
      <w:pPr>
        <w:jc w:val="both"/>
        <w:rPr>
          <w:rFonts w:ascii="Book Antiqua" w:hAnsi="Book Antiqua" w:cs="Arial"/>
        </w:rPr>
      </w:pPr>
      <w:r w:rsidRPr="007C61CF">
        <w:rPr>
          <w:rFonts w:ascii="Book Antiqua" w:hAnsi="Book Antiqua" w:cs="Arial"/>
        </w:rPr>
        <w:t>The</w:t>
      </w:r>
      <w:r w:rsidR="008423C0">
        <w:rPr>
          <w:rFonts w:ascii="Book Antiqua" w:hAnsi="Book Antiqua" w:cs="Arial"/>
        </w:rPr>
        <w:t xml:space="preserve"> decision of the First-tier Tribunal does not disclose an error on a point of law and shall stand.</w:t>
      </w:r>
    </w:p>
    <w:p w:rsidR="007C61CF" w:rsidRPr="007C61CF" w:rsidRDefault="007C61CF" w:rsidP="007C61CF">
      <w:pPr>
        <w:jc w:val="both"/>
        <w:rPr>
          <w:rFonts w:ascii="Book Antiqua" w:hAnsi="Book Antiqua" w:cs="Arial"/>
        </w:rPr>
      </w:pPr>
    </w:p>
    <w:p w:rsidR="001F2716" w:rsidRPr="00AE22BD" w:rsidRDefault="001F2716" w:rsidP="007C61CF">
      <w:pPr>
        <w:ind w:left="540" w:hanging="540"/>
        <w:jc w:val="both"/>
        <w:rPr>
          <w:rFonts w:ascii="Book Antiqua" w:hAnsi="Book Antiqua" w:cs="Arial"/>
        </w:rPr>
      </w:pPr>
    </w:p>
    <w:p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E83CDC">
        <w:rPr>
          <w:rFonts w:ascii="Book Antiqua" w:hAnsi="Book Antiqua" w:cs="Arial"/>
        </w:rPr>
        <w:t xml:space="preserve">: </w:t>
      </w:r>
      <w:r w:rsidR="00E83CDC" w:rsidRPr="00E83CDC">
        <w:rPr>
          <w:rFonts w:ascii="Book Antiqua" w:hAnsi="Book Antiqua" w:cs="Arial"/>
          <w:noProof/>
          <w:sz w:val="16"/>
          <w:szCs w:val="16"/>
        </w:rPr>
        <w:drawing>
          <wp:inline distT="0" distB="0" distL="0" distR="0" wp14:anchorId="607526DB" wp14:editId="096085D7">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E83CDC" w:rsidRPr="00E83CDC">
        <w:rPr>
          <w:rFonts w:ascii="Book Antiqua" w:hAnsi="Book Antiqua" w:cs="Arial"/>
          <w:sz w:val="16"/>
          <w:szCs w:val="16"/>
        </w:rPr>
        <w:t xml:space="preserve"> </w:t>
      </w:r>
      <w:r w:rsidR="00E83CDC" w:rsidRPr="00E83CDC">
        <w:rPr>
          <w:rFonts w:ascii="Book Antiqua" w:hAnsi="Book Antiqua" w:cs="Arial"/>
          <w:sz w:val="16"/>
          <w:szCs w:val="16"/>
        </w:rPr>
        <w:tab/>
      </w:r>
      <w:r w:rsidR="00E83CDC">
        <w:rPr>
          <w:rFonts w:ascii="Book Antiqua" w:hAnsi="Book Antiqua" w:cs="Arial"/>
        </w:rPr>
        <w:t xml:space="preserve"> </w:t>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E83CDC">
        <w:rPr>
          <w:rFonts w:ascii="Book Antiqua" w:hAnsi="Book Antiqua" w:cs="Arial"/>
        </w:rPr>
        <w:t xml:space="preserve">: 7 August 2018 </w:t>
      </w:r>
    </w:p>
    <w:p w:rsidR="001F2716" w:rsidRDefault="008B6348" w:rsidP="00402B9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p w:rsidR="007C61CF" w:rsidRDefault="007C61CF" w:rsidP="00402B9E">
      <w:pPr>
        <w:tabs>
          <w:tab w:val="left" w:pos="2520"/>
        </w:tabs>
        <w:ind w:left="540" w:hanging="540"/>
        <w:jc w:val="both"/>
        <w:rPr>
          <w:rFonts w:ascii="Book Antiqua" w:hAnsi="Book Antiqua" w:cs="Arial"/>
          <w:color w:val="000000"/>
        </w:rPr>
      </w:pPr>
    </w:p>
    <w:p w:rsidR="007C61CF" w:rsidRPr="007C61CF" w:rsidRDefault="007C61CF" w:rsidP="007C61CF">
      <w:pPr>
        <w:jc w:val="both"/>
        <w:rPr>
          <w:rFonts w:ascii="Book Antiqua" w:hAnsi="Book Antiqua" w:cs="Arial"/>
          <w:b/>
          <w:u w:val="single"/>
        </w:rPr>
      </w:pPr>
    </w:p>
    <w:p w:rsidR="007C61CF" w:rsidRDefault="007C61CF" w:rsidP="007C61CF">
      <w:pPr>
        <w:jc w:val="both"/>
        <w:rPr>
          <w:rFonts w:ascii="Book Antiqua" w:hAnsi="Book Antiqua" w:cs="Arial"/>
        </w:rPr>
      </w:pPr>
    </w:p>
    <w:p w:rsidR="007C61CF" w:rsidRDefault="007C61CF" w:rsidP="007C61CF">
      <w:pPr>
        <w:jc w:val="both"/>
        <w:rPr>
          <w:rFonts w:ascii="Book Antiqua" w:hAnsi="Book Antiqua" w:cs="Arial"/>
        </w:rPr>
      </w:pPr>
    </w:p>
    <w:p w:rsidR="00B95326" w:rsidRPr="00AE22BD" w:rsidRDefault="00B95326" w:rsidP="008423C0">
      <w:pPr>
        <w:jc w:val="both"/>
        <w:rPr>
          <w:rFonts w:ascii="Book Antiqua" w:hAnsi="Book Antiqua" w:cs="Arial"/>
        </w:rPr>
      </w:pPr>
    </w:p>
    <w:sectPr w:rsidR="00B95326" w:rsidRPr="00AE22BD" w:rsidSect="00D53766">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91A" w:rsidRDefault="0006691A">
      <w:r>
        <w:separator/>
      </w:r>
    </w:p>
  </w:endnote>
  <w:endnote w:type="continuationSeparator" w:id="0">
    <w:p w:rsidR="0006691A" w:rsidRDefault="00066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D53766" w:rsidRDefault="002000E1" w:rsidP="00593795">
    <w:pPr>
      <w:pStyle w:val="Footer"/>
      <w:jc w:val="center"/>
      <w:rPr>
        <w:rFonts w:ascii="Book Antiqua" w:hAnsi="Book Antiqua" w:cs="Arial"/>
      </w:rPr>
    </w:pPr>
    <w:r w:rsidRPr="00D53766">
      <w:rPr>
        <w:rStyle w:val="PageNumber"/>
        <w:rFonts w:ascii="Book Antiqua" w:hAnsi="Book Antiqua" w:cs="Arial"/>
      </w:rPr>
      <w:fldChar w:fldCharType="begin"/>
    </w:r>
    <w:r w:rsidRPr="00D53766">
      <w:rPr>
        <w:rStyle w:val="PageNumber"/>
        <w:rFonts w:ascii="Book Antiqua" w:hAnsi="Book Antiqua" w:cs="Arial"/>
      </w:rPr>
      <w:instrText xml:space="preserve"> PAGE </w:instrText>
    </w:r>
    <w:r w:rsidRPr="00D53766">
      <w:rPr>
        <w:rStyle w:val="PageNumber"/>
        <w:rFonts w:ascii="Book Antiqua" w:hAnsi="Book Antiqua" w:cs="Arial"/>
      </w:rPr>
      <w:fldChar w:fldCharType="separate"/>
    </w:r>
    <w:r w:rsidR="00182955">
      <w:rPr>
        <w:rStyle w:val="PageNumber"/>
        <w:rFonts w:ascii="Book Antiqua" w:hAnsi="Book Antiqua" w:cs="Arial"/>
        <w:noProof/>
      </w:rPr>
      <w:t>4</w:t>
    </w:r>
    <w:r w:rsidRPr="00D5376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A008C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91A" w:rsidRDefault="0006691A">
      <w:r>
        <w:separator/>
      </w:r>
    </w:p>
  </w:footnote>
  <w:footnote w:type="continuationSeparator" w:id="0">
    <w:p w:rsidR="0006691A" w:rsidRDefault="00066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00B0173B">
      <w:rPr>
        <w:rFonts w:ascii="Book Antiqua" w:hAnsi="Book Antiqua" w:cs="Arial"/>
        <w:sz w:val="16"/>
        <w:szCs w:val="16"/>
      </w:rPr>
      <w:t xml:space="preserve"> DA/00105/2018</w:t>
    </w:r>
  </w:p>
  <w:p w:rsidR="00D53766" w:rsidRPr="00AE22BD" w:rsidRDefault="00D5376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044"/>
    <w:multiLevelType w:val="hybridMultilevel"/>
    <w:tmpl w:val="A2480AE8"/>
    <w:lvl w:ilvl="0" w:tplc="CF8A9954">
      <w:start w:val="32"/>
      <w:numFmt w:val="decimal"/>
      <w:lvlText w:val="%1."/>
      <w:lvlJc w:val="left"/>
      <w:pPr>
        <w:ind w:left="1494" w:hanging="360"/>
      </w:pPr>
      <w:rPr>
        <w:rFonts w:cs="Times New Roman"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50B27217"/>
    <w:multiLevelType w:val="hybridMultilevel"/>
    <w:tmpl w:val="AE2EB516"/>
    <w:lvl w:ilvl="0" w:tplc="680CF8F0">
      <w:start w:val="32"/>
      <w:numFmt w:val="decimal"/>
      <w:lvlText w:val="%1."/>
      <w:lvlJc w:val="left"/>
      <w:pPr>
        <w:ind w:left="927" w:hanging="360"/>
      </w:pPr>
      <w:rPr>
        <w:rFonts w:hAnsi="Symbol"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5B191567"/>
    <w:multiLevelType w:val="hybridMultilevel"/>
    <w:tmpl w:val="A5485148"/>
    <w:lvl w:ilvl="0" w:tplc="A3240E7A">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B"/>
    <w:rsid w:val="00000621"/>
    <w:rsid w:val="000036C2"/>
    <w:rsid w:val="000138C1"/>
    <w:rsid w:val="00033D3D"/>
    <w:rsid w:val="00057905"/>
    <w:rsid w:val="00062F02"/>
    <w:rsid w:val="0006691A"/>
    <w:rsid w:val="00071A7E"/>
    <w:rsid w:val="000746C0"/>
    <w:rsid w:val="00074D1D"/>
    <w:rsid w:val="00092580"/>
    <w:rsid w:val="00093D4D"/>
    <w:rsid w:val="000D5D94"/>
    <w:rsid w:val="000F1A0E"/>
    <w:rsid w:val="000F7E2A"/>
    <w:rsid w:val="00115CED"/>
    <w:rsid w:val="001165A7"/>
    <w:rsid w:val="00134470"/>
    <w:rsid w:val="00143616"/>
    <w:rsid w:val="00167D3A"/>
    <w:rsid w:val="00173110"/>
    <w:rsid w:val="00182955"/>
    <w:rsid w:val="001A3082"/>
    <w:rsid w:val="001B186A"/>
    <w:rsid w:val="001B2F75"/>
    <w:rsid w:val="001B4A64"/>
    <w:rsid w:val="001E3277"/>
    <w:rsid w:val="001F2716"/>
    <w:rsid w:val="002000E1"/>
    <w:rsid w:val="00207617"/>
    <w:rsid w:val="0023134B"/>
    <w:rsid w:val="00283659"/>
    <w:rsid w:val="00284191"/>
    <w:rsid w:val="002C6BD4"/>
    <w:rsid w:val="002D68BF"/>
    <w:rsid w:val="002F6B98"/>
    <w:rsid w:val="00313FE1"/>
    <w:rsid w:val="00336CBF"/>
    <w:rsid w:val="00343FE3"/>
    <w:rsid w:val="0034590A"/>
    <w:rsid w:val="003546C8"/>
    <w:rsid w:val="00355F8B"/>
    <w:rsid w:val="00362C63"/>
    <w:rsid w:val="003A7CF2"/>
    <w:rsid w:val="003C5CE5"/>
    <w:rsid w:val="003D0026"/>
    <w:rsid w:val="003E267B"/>
    <w:rsid w:val="003E7CD1"/>
    <w:rsid w:val="00402B9E"/>
    <w:rsid w:val="004249CB"/>
    <w:rsid w:val="0044127D"/>
    <w:rsid w:val="004448DB"/>
    <w:rsid w:val="00446C9A"/>
    <w:rsid w:val="004503ED"/>
    <w:rsid w:val="00452F2B"/>
    <w:rsid w:val="00477193"/>
    <w:rsid w:val="00481FB0"/>
    <w:rsid w:val="004A1848"/>
    <w:rsid w:val="004A1E0E"/>
    <w:rsid w:val="004A6F4A"/>
    <w:rsid w:val="004C5199"/>
    <w:rsid w:val="004D3910"/>
    <w:rsid w:val="004E0F3D"/>
    <w:rsid w:val="004E4717"/>
    <w:rsid w:val="005053FB"/>
    <w:rsid w:val="00507FEC"/>
    <w:rsid w:val="00510EF6"/>
    <w:rsid w:val="00510F0E"/>
    <w:rsid w:val="0053231D"/>
    <w:rsid w:val="005479E1"/>
    <w:rsid w:val="005509A7"/>
    <w:rsid w:val="00553E0A"/>
    <w:rsid w:val="005570FD"/>
    <w:rsid w:val="005575EA"/>
    <w:rsid w:val="0056378B"/>
    <w:rsid w:val="0057790C"/>
    <w:rsid w:val="00593795"/>
    <w:rsid w:val="005A75FF"/>
    <w:rsid w:val="005C066C"/>
    <w:rsid w:val="005D10AB"/>
    <w:rsid w:val="005D7E44"/>
    <w:rsid w:val="005E408D"/>
    <w:rsid w:val="00601883"/>
    <w:rsid w:val="00601D8F"/>
    <w:rsid w:val="00614AD9"/>
    <w:rsid w:val="00631F5E"/>
    <w:rsid w:val="00653E97"/>
    <w:rsid w:val="006701F7"/>
    <w:rsid w:val="00675F7F"/>
    <w:rsid w:val="00684A74"/>
    <w:rsid w:val="00690B8A"/>
    <w:rsid w:val="006F2CF1"/>
    <w:rsid w:val="00702D35"/>
    <w:rsid w:val="007038ED"/>
    <w:rsid w:val="00703BC3"/>
    <w:rsid w:val="00704B61"/>
    <w:rsid w:val="007101DF"/>
    <w:rsid w:val="0071083F"/>
    <w:rsid w:val="0073555C"/>
    <w:rsid w:val="007552A9"/>
    <w:rsid w:val="00761858"/>
    <w:rsid w:val="00767D59"/>
    <w:rsid w:val="00776E97"/>
    <w:rsid w:val="00780F86"/>
    <w:rsid w:val="007912AD"/>
    <w:rsid w:val="007B0824"/>
    <w:rsid w:val="007B1D09"/>
    <w:rsid w:val="007B5D3C"/>
    <w:rsid w:val="007C61CF"/>
    <w:rsid w:val="007F2A46"/>
    <w:rsid w:val="00806249"/>
    <w:rsid w:val="008105B0"/>
    <w:rsid w:val="00816913"/>
    <w:rsid w:val="00817AEA"/>
    <w:rsid w:val="00821B72"/>
    <w:rsid w:val="00822650"/>
    <w:rsid w:val="00823EF2"/>
    <w:rsid w:val="008303B8"/>
    <w:rsid w:val="00833DCE"/>
    <w:rsid w:val="00835510"/>
    <w:rsid w:val="008423C0"/>
    <w:rsid w:val="008559E3"/>
    <w:rsid w:val="00862041"/>
    <w:rsid w:val="00871D34"/>
    <w:rsid w:val="008A6380"/>
    <w:rsid w:val="008B270C"/>
    <w:rsid w:val="008B5078"/>
    <w:rsid w:val="008B6348"/>
    <w:rsid w:val="008C3D3D"/>
    <w:rsid w:val="008D4131"/>
    <w:rsid w:val="008E1D74"/>
    <w:rsid w:val="008F1932"/>
    <w:rsid w:val="00903ED1"/>
    <w:rsid w:val="009125EB"/>
    <w:rsid w:val="00921062"/>
    <w:rsid w:val="0093149F"/>
    <w:rsid w:val="00945EDC"/>
    <w:rsid w:val="009722BC"/>
    <w:rsid w:val="009727A3"/>
    <w:rsid w:val="009801AF"/>
    <w:rsid w:val="0098452F"/>
    <w:rsid w:val="00987774"/>
    <w:rsid w:val="009A11E8"/>
    <w:rsid w:val="009B13B0"/>
    <w:rsid w:val="009F3272"/>
    <w:rsid w:val="009F5220"/>
    <w:rsid w:val="00A008C5"/>
    <w:rsid w:val="00A15234"/>
    <w:rsid w:val="00A201AB"/>
    <w:rsid w:val="00A31C8B"/>
    <w:rsid w:val="00A322EB"/>
    <w:rsid w:val="00A32360"/>
    <w:rsid w:val="00A509FA"/>
    <w:rsid w:val="00A676E2"/>
    <w:rsid w:val="00A71C11"/>
    <w:rsid w:val="00A8165D"/>
    <w:rsid w:val="00A845DC"/>
    <w:rsid w:val="00AA5AB7"/>
    <w:rsid w:val="00AA7F44"/>
    <w:rsid w:val="00AE22BD"/>
    <w:rsid w:val="00AF1210"/>
    <w:rsid w:val="00B0036C"/>
    <w:rsid w:val="00B0173B"/>
    <w:rsid w:val="00B24C30"/>
    <w:rsid w:val="00B26AA2"/>
    <w:rsid w:val="00B3524D"/>
    <w:rsid w:val="00B37CFC"/>
    <w:rsid w:val="00B40F69"/>
    <w:rsid w:val="00B46616"/>
    <w:rsid w:val="00B5046D"/>
    <w:rsid w:val="00B517EB"/>
    <w:rsid w:val="00B700D7"/>
    <w:rsid w:val="00B7040A"/>
    <w:rsid w:val="00B72565"/>
    <w:rsid w:val="00B82DF0"/>
    <w:rsid w:val="00B83391"/>
    <w:rsid w:val="00B85E0E"/>
    <w:rsid w:val="00B95326"/>
    <w:rsid w:val="00BA0CE1"/>
    <w:rsid w:val="00BD4196"/>
    <w:rsid w:val="00BF1EEA"/>
    <w:rsid w:val="00BF22CA"/>
    <w:rsid w:val="00BF23BB"/>
    <w:rsid w:val="00BF2CA7"/>
    <w:rsid w:val="00BF4365"/>
    <w:rsid w:val="00C01516"/>
    <w:rsid w:val="00C26032"/>
    <w:rsid w:val="00C345E1"/>
    <w:rsid w:val="00C43BFD"/>
    <w:rsid w:val="00CB6E35"/>
    <w:rsid w:val="00CE1A46"/>
    <w:rsid w:val="00CE1BFB"/>
    <w:rsid w:val="00CE2778"/>
    <w:rsid w:val="00D20757"/>
    <w:rsid w:val="00D22636"/>
    <w:rsid w:val="00D40FD9"/>
    <w:rsid w:val="00D53766"/>
    <w:rsid w:val="00D53769"/>
    <w:rsid w:val="00D67CFB"/>
    <w:rsid w:val="00D8172F"/>
    <w:rsid w:val="00D82E4A"/>
    <w:rsid w:val="00D85C13"/>
    <w:rsid w:val="00D9111A"/>
    <w:rsid w:val="00D91BE3"/>
    <w:rsid w:val="00D94AFC"/>
    <w:rsid w:val="00DB70AE"/>
    <w:rsid w:val="00DD2269"/>
    <w:rsid w:val="00DD5071"/>
    <w:rsid w:val="00DD5C39"/>
    <w:rsid w:val="00DE5E10"/>
    <w:rsid w:val="00DE7DB7"/>
    <w:rsid w:val="00E00A0A"/>
    <w:rsid w:val="00E0423C"/>
    <w:rsid w:val="00E05912"/>
    <w:rsid w:val="00E066DE"/>
    <w:rsid w:val="00E07F57"/>
    <w:rsid w:val="00E30683"/>
    <w:rsid w:val="00E42790"/>
    <w:rsid w:val="00E453D8"/>
    <w:rsid w:val="00E50BCE"/>
    <w:rsid w:val="00E574BF"/>
    <w:rsid w:val="00E61292"/>
    <w:rsid w:val="00E77C4D"/>
    <w:rsid w:val="00E81D01"/>
    <w:rsid w:val="00E83CDC"/>
    <w:rsid w:val="00EC5F25"/>
    <w:rsid w:val="00ED2AE8"/>
    <w:rsid w:val="00EE23C4"/>
    <w:rsid w:val="00EE45D8"/>
    <w:rsid w:val="00F17FAF"/>
    <w:rsid w:val="00F22EDA"/>
    <w:rsid w:val="00F414AC"/>
    <w:rsid w:val="00F658A2"/>
    <w:rsid w:val="00F823E7"/>
    <w:rsid w:val="00F8354D"/>
    <w:rsid w:val="00F978BD"/>
    <w:rsid w:val="00FA45DD"/>
    <w:rsid w:val="00FE5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3792E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uiPriority w:val="99"/>
    <w:rsid w:val="00B95326"/>
    <w:rPr>
      <w:color w:val="0000FF"/>
      <w:u w:val="single"/>
    </w:rPr>
  </w:style>
  <w:style w:type="paragraph" w:styleId="NormalWeb">
    <w:name w:val="Normal (Web)"/>
    <w:basedOn w:val="Normal"/>
    <w:uiPriority w:val="99"/>
    <w:unhideWhenUsed/>
    <w:rsid w:val="0053231D"/>
    <w:pPr>
      <w:spacing w:before="100" w:beforeAutospacing="1" w:after="100" w:afterAutospacing="1"/>
    </w:pPr>
  </w:style>
  <w:style w:type="paragraph" w:styleId="ListParagraph">
    <w:name w:val="List Paragraph"/>
    <w:basedOn w:val="Normal"/>
    <w:uiPriority w:val="34"/>
    <w:qFormat/>
    <w:rsid w:val="0053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714817">
      <w:bodyDiv w:val="1"/>
      <w:marLeft w:val="0"/>
      <w:marRight w:val="0"/>
      <w:marTop w:val="0"/>
      <w:marBottom w:val="0"/>
      <w:divBdr>
        <w:top w:val="none" w:sz="0" w:space="0" w:color="auto"/>
        <w:left w:val="none" w:sz="0" w:space="0" w:color="auto"/>
        <w:bottom w:val="none" w:sz="0" w:space="0" w:color="auto"/>
        <w:right w:val="none" w:sz="0" w:space="0" w:color="auto"/>
      </w:divBdr>
      <w:divsChild>
        <w:div w:id="45117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9272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52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11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20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722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807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1557</Words>
  <Characters>7799</Characters>
  <Application>Microsoft Office Word</Application>
  <DocSecurity>0</DocSecurity>
  <Lines>64</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2018-08-23T13:56:00Z</dcterms:created>
  <dcterms:modified xsi:type="dcterms:W3CDTF">2018-08-23T13:56:00Z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