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3E65D" w14:textId="4AF9C5E4" w:rsidR="00D94AFC" w:rsidRDefault="00DF31C8" w:rsidP="00633A83">
      <w:pPr>
        <w:jc w:val="center"/>
        <w:rPr>
          <w:rFonts w:ascii="Book Antiqua" w:hAnsi="Book Antiqua" w:cs="Arial"/>
          <w:caps/>
          <w:color w:val="000000"/>
          <w:sz w:val="16"/>
          <w:szCs w:val="16"/>
        </w:rPr>
      </w:pPr>
      <w:r w:rsidRPr="00633A83">
        <w:rPr>
          <w:noProof/>
          <w:sz w:val="16"/>
          <w:szCs w:val="16"/>
        </w:rPr>
        <w:drawing>
          <wp:inline distT="0" distB="0" distL="0" distR="0" wp14:anchorId="09ECA867" wp14:editId="570536A8">
            <wp:extent cx="1043305"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305" cy="908685"/>
                    </a:xfrm>
                    <a:prstGeom prst="rect">
                      <a:avLst/>
                    </a:prstGeom>
                    <a:noFill/>
                    <a:ln>
                      <a:noFill/>
                    </a:ln>
                  </pic:spPr>
                </pic:pic>
              </a:graphicData>
            </a:graphic>
          </wp:inline>
        </w:drawing>
      </w:r>
    </w:p>
    <w:p w14:paraId="6B29A553" w14:textId="77777777" w:rsidR="00633A83" w:rsidRPr="00633A83" w:rsidRDefault="00633A83" w:rsidP="00633A83">
      <w:pPr>
        <w:jc w:val="center"/>
        <w:rPr>
          <w:rFonts w:ascii="Book Antiqua" w:hAnsi="Book Antiqua" w:cs="Arial"/>
          <w:caps/>
          <w:color w:val="000000"/>
          <w:sz w:val="16"/>
          <w:szCs w:val="16"/>
        </w:rPr>
      </w:pPr>
    </w:p>
    <w:p w14:paraId="37695587" w14:textId="77777777" w:rsidR="008A6059" w:rsidRPr="0008633F" w:rsidRDefault="008A6059" w:rsidP="00633A83">
      <w:pPr>
        <w:tabs>
          <w:tab w:val="right" w:pos="9720"/>
        </w:tabs>
        <w:rPr>
          <w:rFonts w:ascii="Book Antiqua" w:hAnsi="Book Antiqua" w:cs="Arial"/>
          <w:b/>
          <w:color w:val="000000"/>
        </w:rPr>
      </w:pPr>
      <w:r w:rsidRPr="0008633F">
        <w:rPr>
          <w:rFonts w:ascii="Book Antiqua" w:hAnsi="Book Antiqua" w:cs="Arial"/>
          <w:b/>
          <w:color w:val="000000"/>
        </w:rPr>
        <w:t xml:space="preserve">Upper Tribunal </w:t>
      </w:r>
    </w:p>
    <w:p w14:paraId="5F02EA6B" w14:textId="77777777" w:rsidR="007B0824" w:rsidRPr="0008633F" w:rsidRDefault="008A6059" w:rsidP="00633A83">
      <w:pPr>
        <w:tabs>
          <w:tab w:val="right" w:pos="9720"/>
        </w:tabs>
        <w:rPr>
          <w:rFonts w:ascii="Book Antiqua" w:hAnsi="Book Antiqua" w:cs="Arial"/>
          <w:color w:val="000000"/>
        </w:rPr>
      </w:pPr>
      <w:r w:rsidRPr="0008633F">
        <w:rPr>
          <w:rFonts w:ascii="Book Antiqua" w:hAnsi="Book Antiqua" w:cs="Arial"/>
          <w:b/>
          <w:color w:val="000000"/>
        </w:rPr>
        <w:t>(Immigration and Asylum Chamber)</w:t>
      </w:r>
      <w:r w:rsidR="00DB70AE" w:rsidRPr="0008633F">
        <w:rPr>
          <w:rFonts w:ascii="Book Antiqua" w:hAnsi="Book Antiqua" w:cs="Arial"/>
          <w:b/>
          <w:color w:val="000000"/>
        </w:rPr>
        <w:tab/>
      </w:r>
      <w:r w:rsidR="00B3524D" w:rsidRPr="0008633F">
        <w:rPr>
          <w:rFonts w:ascii="Book Antiqua" w:hAnsi="Book Antiqua" w:cs="Arial"/>
          <w:color w:val="000000"/>
        </w:rPr>
        <w:t>Appeal Number</w:t>
      </w:r>
      <w:r w:rsidR="00D53769" w:rsidRPr="0008633F">
        <w:rPr>
          <w:rFonts w:ascii="Book Antiqua" w:hAnsi="Book Antiqua" w:cs="Arial"/>
          <w:color w:val="000000"/>
        </w:rPr>
        <w:t>:</w:t>
      </w:r>
      <w:r w:rsidR="00B3524D" w:rsidRPr="0008633F">
        <w:rPr>
          <w:rFonts w:ascii="Book Antiqua" w:hAnsi="Book Antiqua" w:cs="Arial"/>
          <w:color w:val="000000"/>
        </w:rPr>
        <w:t xml:space="preserve"> </w:t>
      </w:r>
      <w:bookmarkStart w:id="0" w:name="_GoBack"/>
      <w:r w:rsidR="00DF31C8" w:rsidRPr="0008633F">
        <w:rPr>
          <w:rFonts w:ascii="Book Antiqua" w:hAnsi="Book Antiqua" w:cs="Arial"/>
          <w:caps/>
          <w:color w:val="000000"/>
        </w:rPr>
        <w:t>DA/00138/2018</w:t>
      </w:r>
      <w:bookmarkEnd w:id="0"/>
    </w:p>
    <w:p w14:paraId="0DE7E490" w14:textId="25DCF19B" w:rsidR="00C345E1" w:rsidRDefault="00C345E1" w:rsidP="00633A83">
      <w:pPr>
        <w:jc w:val="center"/>
        <w:rPr>
          <w:rFonts w:ascii="Book Antiqua" w:hAnsi="Book Antiqua" w:cs="Arial"/>
          <w:color w:val="000000"/>
        </w:rPr>
      </w:pPr>
    </w:p>
    <w:p w14:paraId="282D8FEA" w14:textId="77777777" w:rsidR="00633A83" w:rsidRPr="0008633F" w:rsidRDefault="00633A83" w:rsidP="00633A83">
      <w:pPr>
        <w:jc w:val="center"/>
        <w:rPr>
          <w:rFonts w:ascii="Book Antiqua" w:hAnsi="Book Antiqua" w:cs="Arial"/>
          <w:color w:val="000000"/>
        </w:rPr>
      </w:pPr>
    </w:p>
    <w:p w14:paraId="14382C0D" w14:textId="77777777" w:rsidR="00C345E1" w:rsidRPr="0008633F" w:rsidRDefault="00C345E1" w:rsidP="00633A83">
      <w:pPr>
        <w:jc w:val="center"/>
        <w:rPr>
          <w:rFonts w:ascii="Book Antiqua" w:hAnsi="Book Antiqua" w:cs="Arial"/>
          <w:b/>
          <w:color w:val="000000"/>
          <w:u w:val="single"/>
        </w:rPr>
      </w:pPr>
      <w:r w:rsidRPr="0008633F">
        <w:rPr>
          <w:rFonts w:ascii="Book Antiqua" w:hAnsi="Book Antiqua" w:cs="Arial"/>
          <w:b/>
          <w:color w:val="000000"/>
          <w:u w:val="single"/>
        </w:rPr>
        <w:t>THE IMMIGRATION ACTS</w:t>
      </w:r>
    </w:p>
    <w:p w14:paraId="49FEA9FE" w14:textId="222F3A77" w:rsidR="00C345E1" w:rsidRDefault="00C345E1" w:rsidP="00633A83">
      <w:pPr>
        <w:jc w:val="center"/>
        <w:rPr>
          <w:rFonts w:ascii="Book Antiqua" w:hAnsi="Book Antiqua" w:cs="Arial"/>
          <w:b/>
          <w:u w:val="single"/>
        </w:rPr>
      </w:pPr>
    </w:p>
    <w:p w14:paraId="08E2BB87" w14:textId="77777777" w:rsidR="00633A83" w:rsidRPr="0008633F" w:rsidRDefault="00633A83" w:rsidP="00633A83">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8633F" w14:paraId="21E7D3B0" w14:textId="77777777" w:rsidTr="00D949B7">
        <w:tc>
          <w:tcPr>
            <w:tcW w:w="6048" w:type="dxa"/>
          </w:tcPr>
          <w:p w14:paraId="49CC42C0" w14:textId="77777777" w:rsidR="00D22636" w:rsidRPr="0008633F" w:rsidRDefault="00D22636" w:rsidP="00633A83">
            <w:pPr>
              <w:jc w:val="both"/>
              <w:rPr>
                <w:rFonts w:ascii="Book Antiqua" w:hAnsi="Book Antiqua" w:cs="Arial"/>
                <w:b/>
              </w:rPr>
            </w:pPr>
            <w:r w:rsidRPr="0008633F">
              <w:rPr>
                <w:rFonts w:ascii="Book Antiqua" w:hAnsi="Book Antiqua" w:cs="Arial"/>
                <w:b/>
              </w:rPr>
              <w:t xml:space="preserve">Heard at </w:t>
            </w:r>
            <w:r w:rsidR="00EE69CA" w:rsidRPr="0008633F">
              <w:rPr>
                <w:rFonts w:ascii="Book Antiqua" w:hAnsi="Book Antiqua" w:cs="Arial"/>
                <w:b/>
              </w:rPr>
              <w:t xml:space="preserve">Field House </w:t>
            </w:r>
          </w:p>
        </w:tc>
        <w:tc>
          <w:tcPr>
            <w:tcW w:w="3960" w:type="dxa"/>
          </w:tcPr>
          <w:p w14:paraId="3C29928C" w14:textId="77777777" w:rsidR="00D22636" w:rsidRPr="0008633F" w:rsidRDefault="00D949B7" w:rsidP="00633A83">
            <w:pPr>
              <w:jc w:val="both"/>
              <w:rPr>
                <w:rFonts w:ascii="Book Antiqua" w:hAnsi="Book Antiqua" w:cs="Arial"/>
                <w:b/>
                <w:color w:val="000000"/>
              </w:rPr>
            </w:pPr>
            <w:r w:rsidRPr="0008633F">
              <w:rPr>
                <w:rFonts w:ascii="Book Antiqua" w:hAnsi="Book Antiqua" w:cs="Arial"/>
                <w:b/>
                <w:color w:val="000000"/>
              </w:rPr>
              <w:t>Decision &amp; Reasons</w:t>
            </w:r>
            <w:r w:rsidR="00283659" w:rsidRPr="0008633F">
              <w:rPr>
                <w:rFonts w:ascii="Book Antiqua" w:hAnsi="Book Antiqua" w:cs="Arial"/>
                <w:b/>
                <w:color w:val="000000"/>
              </w:rPr>
              <w:t xml:space="preserve"> Promulgated</w:t>
            </w:r>
          </w:p>
        </w:tc>
      </w:tr>
      <w:tr w:rsidR="00D22636" w:rsidRPr="0008633F" w14:paraId="32675F4A" w14:textId="77777777" w:rsidTr="00D949B7">
        <w:tc>
          <w:tcPr>
            <w:tcW w:w="6048" w:type="dxa"/>
          </w:tcPr>
          <w:p w14:paraId="55B0BDB6" w14:textId="77777777" w:rsidR="00D22636" w:rsidRPr="0008633F" w:rsidRDefault="00D22636" w:rsidP="00633A83">
            <w:pPr>
              <w:jc w:val="both"/>
              <w:rPr>
                <w:rFonts w:ascii="Book Antiqua" w:hAnsi="Book Antiqua" w:cs="Arial"/>
                <w:b/>
              </w:rPr>
            </w:pPr>
            <w:r w:rsidRPr="0008633F">
              <w:rPr>
                <w:rFonts w:ascii="Book Antiqua" w:hAnsi="Book Antiqua" w:cs="Arial"/>
                <w:b/>
              </w:rPr>
              <w:t xml:space="preserve">On </w:t>
            </w:r>
            <w:r w:rsidR="00EE69CA" w:rsidRPr="0008633F">
              <w:rPr>
                <w:rFonts w:ascii="Book Antiqua" w:hAnsi="Book Antiqua" w:cs="Arial"/>
                <w:b/>
              </w:rPr>
              <w:t xml:space="preserve">27 July 2018 </w:t>
            </w:r>
          </w:p>
        </w:tc>
        <w:tc>
          <w:tcPr>
            <w:tcW w:w="3960" w:type="dxa"/>
          </w:tcPr>
          <w:p w14:paraId="786AC07C" w14:textId="77777777" w:rsidR="00D22636" w:rsidRPr="0008633F" w:rsidRDefault="002C281B" w:rsidP="00633A83">
            <w:pPr>
              <w:jc w:val="both"/>
              <w:rPr>
                <w:rFonts w:ascii="Book Antiqua" w:hAnsi="Book Antiqua" w:cs="Arial"/>
                <w:b/>
              </w:rPr>
            </w:pPr>
            <w:r w:rsidRPr="002C281B">
              <w:rPr>
                <w:rFonts w:ascii="Book Antiqua" w:hAnsi="Book Antiqua" w:cs="Arial"/>
                <w:b/>
              </w:rPr>
              <w:t>On 23 August 2018</w:t>
            </w:r>
          </w:p>
        </w:tc>
      </w:tr>
      <w:tr w:rsidR="00D22636" w:rsidRPr="0008633F" w14:paraId="78C44AE9" w14:textId="77777777" w:rsidTr="00D949B7">
        <w:tc>
          <w:tcPr>
            <w:tcW w:w="6048" w:type="dxa"/>
          </w:tcPr>
          <w:p w14:paraId="42BF78AB" w14:textId="77777777" w:rsidR="00D22636" w:rsidRPr="0008633F" w:rsidRDefault="00D22636" w:rsidP="00633A83">
            <w:pPr>
              <w:jc w:val="both"/>
              <w:rPr>
                <w:rFonts w:ascii="Book Antiqua" w:hAnsi="Book Antiqua" w:cs="Arial"/>
                <w:b/>
              </w:rPr>
            </w:pPr>
          </w:p>
        </w:tc>
        <w:tc>
          <w:tcPr>
            <w:tcW w:w="3960" w:type="dxa"/>
          </w:tcPr>
          <w:p w14:paraId="46850958" w14:textId="77777777" w:rsidR="00D22636" w:rsidRPr="0008633F" w:rsidRDefault="00D22636" w:rsidP="00633A83">
            <w:pPr>
              <w:jc w:val="both"/>
              <w:rPr>
                <w:rFonts w:ascii="Book Antiqua" w:hAnsi="Book Antiqua" w:cs="Arial"/>
                <w:b/>
              </w:rPr>
            </w:pPr>
          </w:p>
        </w:tc>
      </w:tr>
    </w:tbl>
    <w:p w14:paraId="1D7AB399" w14:textId="77777777" w:rsidR="00A15234" w:rsidRPr="0008633F" w:rsidRDefault="00A15234" w:rsidP="00633A83">
      <w:pPr>
        <w:rPr>
          <w:rFonts w:ascii="Book Antiqua" w:hAnsi="Book Antiqua" w:cs="Arial"/>
        </w:rPr>
      </w:pPr>
    </w:p>
    <w:p w14:paraId="0748BE3E" w14:textId="77777777" w:rsidR="00A15234" w:rsidRPr="0008633F" w:rsidRDefault="00207617" w:rsidP="00633A83">
      <w:pPr>
        <w:jc w:val="center"/>
        <w:rPr>
          <w:rFonts w:ascii="Book Antiqua" w:hAnsi="Book Antiqua" w:cs="Arial"/>
          <w:b/>
        </w:rPr>
      </w:pPr>
      <w:r w:rsidRPr="0008633F">
        <w:rPr>
          <w:rFonts w:ascii="Book Antiqua" w:hAnsi="Book Antiqua" w:cs="Arial"/>
          <w:b/>
        </w:rPr>
        <w:t>Befo</w:t>
      </w:r>
      <w:r w:rsidR="00A15234" w:rsidRPr="0008633F">
        <w:rPr>
          <w:rFonts w:ascii="Book Antiqua" w:hAnsi="Book Antiqua" w:cs="Arial"/>
          <w:b/>
        </w:rPr>
        <w:t>re</w:t>
      </w:r>
    </w:p>
    <w:p w14:paraId="0CB6F2D8" w14:textId="77777777" w:rsidR="00A15234" w:rsidRPr="0008633F" w:rsidRDefault="00A15234" w:rsidP="00633A83">
      <w:pPr>
        <w:jc w:val="center"/>
        <w:rPr>
          <w:rFonts w:ascii="Book Antiqua" w:hAnsi="Book Antiqua" w:cs="Arial"/>
          <w:b/>
        </w:rPr>
      </w:pPr>
    </w:p>
    <w:p w14:paraId="618F0349" w14:textId="77777777" w:rsidR="001B186A" w:rsidRPr="0008633F" w:rsidRDefault="00173F50" w:rsidP="00633A83">
      <w:pPr>
        <w:jc w:val="center"/>
        <w:rPr>
          <w:rFonts w:ascii="Book Antiqua" w:hAnsi="Book Antiqua" w:cs="Arial"/>
          <w:b/>
          <w:color w:val="000000"/>
        </w:rPr>
      </w:pPr>
      <w:r w:rsidRPr="0008633F">
        <w:rPr>
          <w:rFonts w:ascii="Book Antiqua" w:hAnsi="Book Antiqua" w:cs="Arial"/>
          <w:b/>
          <w:color w:val="000000"/>
        </w:rPr>
        <w:t>UPPER TRIBUNAL</w:t>
      </w:r>
      <w:r w:rsidR="001B2F75" w:rsidRPr="0008633F">
        <w:rPr>
          <w:rFonts w:ascii="Book Antiqua" w:hAnsi="Book Antiqua" w:cs="Arial"/>
          <w:b/>
          <w:color w:val="000000"/>
        </w:rPr>
        <w:t xml:space="preserve"> JUDGE </w:t>
      </w:r>
      <w:r w:rsidR="004D6B45" w:rsidRPr="0008633F">
        <w:rPr>
          <w:rFonts w:ascii="Book Antiqua" w:hAnsi="Book Antiqua" w:cs="Arial"/>
          <w:b/>
          <w:color w:val="000000"/>
        </w:rPr>
        <w:t>RINTOUL</w:t>
      </w:r>
    </w:p>
    <w:p w14:paraId="467DF7E9" w14:textId="77777777" w:rsidR="00D20757" w:rsidRPr="0008633F" w:rsidRDefault="00D20757" w:rsidP="00633A83">
      <w:pPr>
        <w:jc w:val="center"/>
        <w:rPr>
          <w:rFonts w:ascii="Book Antiqua" w:hAnsi="Book Antiqua" w:cs="Arial"/>
          <w:b/>
        </w:rPr>
      </w:pPr>
    </w:p>
    <w:p w14:paraId="6FEC93A6" w14:textId="77777777" w:rsidR="00633A83" w:rsidRDefault="00633A83" w:rsidP="00633A83">
      <w:pPr>
        <w:jc w:val="center"/>
        <w:rPr>
          <w:rFonts w:ascii="Book Antiqua" w:hAnsi="Book Antiqua" w:cs="Arial"/>
          <w:b/>
        </w:rPr>
      </w:pPr>
    </w:p>
    <w:p w14:paraId="699C912A" w14:textId="60AD358F" w:rsidR="00A845DC" w:rsidRPr="0008633F" w:rsidRDefault="00A845DC" w:rsidP="00633A83">
      <w:pPr>
        <w:jc w:val="center"/>
        <w:rPr>
          <w:rFonts w:ascii="Book Antiqua" w:hAnsi="Book Antiqua" w:cs="Arial"/>
          <w:b/>
        </w:rPr>
      </w:pPr>
      <w:r w:rsidRPr="0008633F">
        <w:rPr>
          <w:rFonts w:ascii="Book Antiqua" w:hAnsi="Book Antiqua" w:cs="Arial"/>
          <w:b/>
        </w:rPr>
        <w:t>Between</w:t>
      </w:r>
    </w:p>
    <w:p w14:paraId="3679EB33" w14:textId="77777777" w:rsidR="00A845DC" w:rsidRPr="0008633F" w:rsidRDefault="00A845DC" w:rsidP="00633A83">
      <w:pPr>
        <w:jc w:val="center"/>
        <w:rPr>
          <w:rFonts w:ascii="Book Antiqua" w:hAnsi="Book Antiqua" w:cs="Arial"/>
          <w:b/>
        </w:rPr>
      </w:pPr>
    </w:p>
    <w:p w14:paraId="7E40CF6D" w14:textId="77777777" w:rsidR="00704B61" w:rsidRPr="0008633F" w:rsidRDefault="00C5207B" w:rsidP="00633A83">
      <w:pPr>
        <w:jc w:val="center"/>
        <w:rPr>
          <w:rFonts w:ascii="Book Antiqua" w:hAnsi="Book Antiqua" w:cs="Arial"/>
          <w:b/>
          <w:noProof/>
        </w:rPr>
      </w:pPr>
      <w:bookmarkStart w:id="1" w:name="Text7"/>
      <w:r w:rsidRPr="0008633F">
        <w:rPr>
          <w:rFonts w:ascii="Book Antiqua" w:hAnsi="Book Antiqua" w:cs="Arial"/>
          <w:b/>
          <w:noProof/>
        </w:rPr>
        <w:t>THE SECRETARY OF STATE FOR THE HOME DEPARTMENT</w:t>
      </w:r>
      <w:bookmarkEnd w:id="1"/>
      <w:r w:rsidRPr="0008633F">
        <w:rPr>
          <w:rFonts w:ascii="Book Antiqua" w:hAnsi="Book Antiqua" w:cs="Arial"/>
          <w:b/>
          <w:noProof/>
        </w:rPr>
        <w:t xml:space="preserve"> </w:t>
      </w:r>
    </w:p>
    <w:p w14:paraId="176288E1" w14:textId="77777777" w:rsidR="00704B61" w:rsidRPr="0008633F" w:rsidRDefault="00704B61" w:rsidP="00633A83">
      <w:pPr>
        <w:jc w:val="right"/>
        <w:rPr>
          <w:rFonts w:ascii="Book Antiqua" w:hAnsi="Book Antiqua" w:cs="Arial"/>
          <w:u w:val="single"/>
        </w:rPr>
      </w:pPr>
      <w:r w:rsidRPr="0008633F">
        <w:rPr>
          <w:rFonts w:ascii="Book Antiqua" w:hAnsi="Book Antiqua" w:cs="Arial"/>
          <w:u w:val="single"/>
        </w:rPr>
        <w:t>Appellant</w:t>
      </w:r>
    </w:p>
    <w:p w14:paraId="263D5FCF" w14:textId="77777777" w:rsidR="00704B61" w:rsidRPr="0008633F" w:rsidRDefault="00DD5071" w:rsidP="00633A83">
      <w:pPr>
        <w:jc w:val="center"/>
        <w:rPr>
          <w:rFonts w:ascii="Book Antiqua" w:hAnsi="Book Antiqua" w:cs="Arial"/>
          <w:b/>
        </w:rPr>
      </w:pPr>
      <w:r w:rsidRPr="0008633F">
        <w:rPr>
          <w:rFonts w:ascii="Book Antiqua" w:hAnsi="Book Antiqua" w:cs="Arial"/>
          <w:b/>
        </w:rPr>
        <w:t>and</w:t>
      </w:r>
    </w:p>
    <w:p w14:paraId="1B915082" w14:textId="77777777" w:rsidR="00E77394" w:rsidRDefault="00E77394" w:rsidP="00633A83">
      <w:pPr>
        <w:rPr>
          <w:rFonts w:ascii="Book Antiqua" w:hAnsi="Book Antiqua" w:cs="Arial"/>
          <w:b/>
        </w:rPr>
      </w:pPr>
    </w:p>
    <w:p w14:paraId="5B751E4F" w14:textId="77777777" w:rsidR="00C5207B" w:rsidRPr="0008633F" w:rsidRDefault="00E77394" w:rsidP="00633A83">
      <w:pPr>
        <w:jc w:val="center"/>
        <w:rPr>
          <w:rFonts w:ascii="Book Antiqua" w:hAnsi="Book Antiqua" w:cs="Arial"/>
          <w:b/>
          <w:caps/>
        </w:rPr>
      </w:pPr>
      <w:r>
        <w:rPr>
          <w:rFonts w:ascii="Book Antiqua" w:hAnsi="Book Antiqua" w:cs="Arial"/>
          <w:b/>
          <w:caps/>
        </w:rPr>
        <w:t xml:space="preserve">G I </w:t>
      </w:r>
    </w:p>
    <w:p w14:paraId="3718A659" w14:textId="77777777" w:rsidR="00C5207B" w:rsidRPr="00633A83" w:rsidRDefault="00C5207B" w:rsidP="00633A83">
      <w:pPr>
        <w:jc w:val="center"/>
        <w:rPr>
          <w:rFonts w:ascii="Book Antiqua" w:hAnsi="Book Antiqua" w:cs="Arial"/>
          <w:b/>
          <w:caps/>
          <w:sz w:val="22"/>
          <w:szCs w:val="22"/>
        </w:rPr>
      </w:pPr>
      <w:r w:rsidRPr="00633A83">
        <w:rPr>
          <w:rFonts w:ascii="Book Antiqua" w:hAnsi="Book Antiqua" w:cs="Arial"/>
          <w:b/>
          <w:caps/>
          <w:sz w:val="22"/>
          <w:szCs w:val="22"/>
        </w:rPr>
        <w:t xml:space="preserve">(ANONYMITY DIRECTION </w:t>
      </w:r>
      <w:r w:rsidR="00E77394" w:rsidRPr="00633A83">
        <w:rPr>
          <w:rFonts w:ascii="Book Antiqua" w:hAnsi="Book Antiqua" w:cs="Arial"/>
          <w:b/>
          <w:caps/>
          <w:sz w:val="22"/>
          <w:szCs w:val="22"/>
        </w:rPr>
        <w:t>MADE</w:t>
      </w:r>
      <w:r w:rsidRPr="00633A83">
        <w:rPr>
          <w:rFonts w:ascii="Book Antiqua" w:hAnsi="Book Antiqua" w:cs="Arial"/>
          <w:b/>
          <w:caps/>
          <w:sz w:val="22"/>
          <w:szCs w:val="22"/>
        </w:rPr>
        <w:t>)</w:t>
      </w:r>
    </w:p>
    <w:p w14:paraId="2645E828" w14:textId="77777777" w:rsidR="00DD5071" w:rsidRPr="0008633F" w:rsidRDefault="00DD5071" w:rsidP="00633A83">
      <w:pPr>
        <w:jc w:val="right"/>
        <w:rPr>
          <w:rFonts w:ascii="Book Antiqua" w:hAnsi="Book Antiqua" w:cs="Arial"/>
          <w:u w:val="single"/>
        </w:rPr>
      </w:pPr>
      <w:r w:rsidRPr="0008633F">
        <w:rPr>
          <w:rFonts w:ascii="Book Antiqua" w:hAnsi="Book Antiqua" w:cs="Arial"/>
          <w:u w:val="single"/>
        </w:rPr>
        <w:t>Respondent</w:t>
      </w:r>
    </w:p>
    <w:p w14:paraId="62E81714" w14:textId="56D0E04C" w:rsidR="00DD5071" w:rsidRDefault="00DD5071" w:rsidP="00633A83">
      <w:pPr>
        <w:rPr>
          <w:rFonts w:ascii="Book Antiqua" w:hAnsi="Book Antiqua" w:cs="Arial"/>
          <w:u w:val="single"/>
        </w:rPr>
      </w:pPr>
    </w:p>
    <w:p w14:paraId="2639B953" w14:textId="77777777" w:rsidR="00633A83" w:rsidRPr="0008633F" w:rsidRDefault="00633A83" w:rsidP="00633A83">
      <w:pPr>
        <w:rPr>
          <w:rFonts w:ascii="Book Antiqua" w:hAnsi="Book Antiqua" w:cs="Arial"/>
          <w:u w:val="single"/>
        </w:rPr>
      </w:pPr>
    </w:p>
    <w:p w14:paraId="7CCA3E37" w14:textId="77777777" w:rsidR="00DD5071" w:rsidRPr="0008633F" w:rsidRDefault="00DE7DB7" w:rsidP="00633A83">
      <w:pPr>
        <w:rPr>
          <w:rFonts w:ascii="Book Antiqua" w:hAnsi="Book Antiqua" w:cs="Arial"/>
        </w:rPr>
      </w:pPr>
      <w:r w:rsidRPr="0008633F">
        <w:rPr>
          <w:rFonts w:ascii="Book Antiqua" w:hAnsi="Book Antiqua" w:cs="Arial"/>
          <w:b/>
          <w:u w:val="single"/>
        </w:rPr>
        <w:t>Representation</w:t>
      </w:r>
      <w:r w:rsidRPr="0008633F">
        <w:rPr>
          <w:rFonts w:ascii="Book Antiqua" w:hAnsi="Book Antiqua" w:cs="Arial"/>
          <w:b/>
        </w:rPr>
        <w:t>:</w:t>
      </w:r>
    </w:p>
    <w:p w14:paraId="27563C64" w14:textId="7FCFD7A0" w:rsidR="00DE7DB7" w:rsidRPr="00E77394" w:rsidRDefault="00DE7DB7" w:rsidP="00633A83">
      <w:pPr>
        <w:tabs>
          <w:tab w:val="left" w:pos="2552"/>
        </w:tabs>
        <w:rPr>
          <w:rFonts w:ascii="Book Antiqua" w:hAnsi="Book Antiqua" w:cs="Arial"/>
        </w:rPr>
      </w:pPr>
      <w:r w:rsidRPr="0008633F">
        <w:rPr>
          <w:rFonts w:ascii="Book Antiqua" w:hAnsi="Book Antiqua" w:cs="Arial"/>
        </w:rPr>
        <w:t xml:space="preserve">For the </w:t>
      </w:r>
      <w:r w:rsidRPr="00E77394">
        <w:rPr>
          <w:rFonts w:ascii="Book Antiqua" w:hAnsi="Book Antiqua" w:cs="Arial"/>
        </w:rPr>
        <w:t>Appellant:</w:t>
      </w:r>
      <w:r w:rsidR="00633A83">
        <w:rPr>
          <w:rFonts w:ascii="Book Antiqua" w:hAnsi="Book Antiqua" w:cs="Arial"/>
        </w:rPr>
        <w:tab/>
        <w:t>Mr S Walker</w:t>
      </w:r>
    </w:p>
    <w:p w14:paraId="32578373" w14:textId="7476A8DD" w:rsidR="00DE7DB7" w:rsidRPr="00E77394" w:rsidRDefault="00DE7DB7" w:rsidP="00633A83">
      <w:pPr>
        <w:tabs>
          <w:tab w:val="left" w:pos="2552"/>
        </w:tabs>
        <w:rPr>
          <w:rFonts w:ascii="Book Antiqua" w:hAnsi="Book Antiqua" w:cs="Arial"/>
        </w:rPr>
      </w:pPr>
      <w:r w:rsidRPr="00E77394">
        <w:rPr>
          <w:rFonts w:ascii="Book Antiqua" w:hAnsi="Book Antiqua" w:cs="Arial"/>
        </w:rPr>
        <w:t>For the Respondent:</w:t>
      </w:r>
      <w:bookmarkStart w:id="2" w:name="Text11"/>
      <w:r w:rsidR="00633A83">
        <w:rPr>
          <w:rFonts w:ascii="Book Antiqua" w:hAnsi="Book Antiqua" w:cs="Arial"/>
        </w:rPr>
        <w:tab/>
      </w:r>
      <w:r w:rsidR="00E77394" w:rsidRPr="00E77394">
        <w:rPr>
          <w:rFonts w:ascii="Book Antiqua" w:hAnsi="Book Antiqua" w:cs="Arial"/>
          <w:noProof/>
        </w:rPr>
        <w:t>in perso</w:t>
      </w:r>
      <w:bookmarkEnd w:id="2"/>
      <w:r w:rsidR="00633A83">
        <w:rPr>
          <w:rFonts w:ascii="Book Antiqua" w:hAnsi="Book Antiqua" w:cs="Arial"/>
          <w:noProof/>
        </w:rPr>
        <w:t>n</w:t>
      </w:r>
    </w:p>
    <w:p w14:paraId="625A9251" w14:textId="6AA2D08E" w:rsidR="00DE7DB7" w:rsidRDefault="00DE7DB7" w:rsidP="00633A83">
      <w:pPr>
        <w:tabs>
          <w:tab w:val="left" w:pos="2520"/>
        </w:tabs>
        <w:jc w:val="center"/>
        <w:rPr>
          <w:rFonts w:ascii="Book Antiqua" w:hAnsi="Book Antiqua" w:cs="Arial"/>
        </w:rPr>
      </w:pPr>
    </w:p>
    <w:p w14:paraId="0327D000" w14:textId="77777777" w:rsidR="00633A83" w:rsidRPr="0008633F" w:rsidRDefault="00633A83" w:rsidP="00633A83">
      <w:pPr>
        <w:tabs>
          <w:tab w:val="left" w:pos="2520"/>
        </w:tabs>
        <w:jc w:val="center"/>
        <w:rPr>
          <w:rFonts w:ascii="Book Antiqua" w:hAnsi="Book Antiqua" w:cs="Arial"/>
        </w:rPr>
      </w:pPr>
    </w:p>
    <w:p w14:paraId="47AC0877" w14:textId="77777777" w:rsidR="00402B9E" w:rsidRPr="0008633F" w:rsidRDefault="00D949B7" w:rsidP="00633A83">
      <w:pPr>
        <w:tabs>
          <w:tab w:val="left" w:pos="2520"/>
        </w:tabs>
        <w:jc w:val="center"/>
        <w:rPr>
          <w:rFonts w:ascii="Book Antiqua" w:hAnsi="Book Antiqua" w:cs="Arial"/>
        </w:rPr>
      </w:pPr>
      <w:r w:rsidRPr="0008633F">
        <w:rPr>
          <w:rFonts w:ascii="Book Antiqua" w:hAnsi="Book Antiqua" w:cs="Arial"/>
          <w:b/>
          <w:u w:val="single"/>
        </w:rPr>
        <w:t xml:space="preserve">DECISION </w:t>
      </w:r>
      <w:r w:rsidR="00402B9E" w:rsidRPr="0008633F">
        <w:rPr>
          <w:rFonts w:ascii="Book Antiqua" w:hAnsi="Book Antiqua" w:cs="Arial"/>
          <w:b/>
          <w:u w:val="single"/>
        </w:rPr>
        <w:t>AND REASONS</w:t>
      </w:r>
    </w:p>
    <w:p w14:paraId="2DCD8B4F" w14:textId="77777777" w:rsidR="00964474" w:rsidRDefault="00EE69CA" w:rsidP="00633A83">
      <w:pPr>
        <w:numPr>
          <w:ilvl w:val="0"/>
          <w:numId w:val="1"/>
        </w:numPr>
        <w:spacing w:before="240"/>
        <w:ind w:left="1134" w:right="567"/>
        <w:jc w:val="both"/>
        <w:rPr>
          <w:rFonts w:ascii="Book Antiqua" w:hAnsi="Book Antiqua" w:cs="Arial"/>
        </w:rPr>
      </w:pPr>
      <w:r w:rsidRPr="00964474">
        <w:rPr>
          <w:rFonts w:ascii="Book Antiqua" w:hAnsi="Book Antiqua" w:cs="Arial"/>
        </w:rPr>
        <w:t>The Secretary of State appeals with permission against the decision of First-tier Tribunal Judge Ross promulgated on 23</w:t>
      </w:r>
      <w:r w:rsidR="00273AEF" w:rsidRPr="00964474">
        <w:rPr>
          <w:rFonts w:ascii="Book Antiqua" w:hAnsi="Book Antiqua" w:cs="Arial"/>
        </w:rPr>
        <w:t xml:space="preserve"> April 2018 in which he allowed the appeal of </w:t>
      </w:r>
      <w:r w:rsidR="00E77394" w:rsidRPr="00964474">
        <w:rPr>
          <w:rFonts w:ascii="Book Antiqua" w:hAnsi="Book Antiqua" w:cs="Arial"/>
        </w:rPr>
        <w:t xml:space="preserve">G I </w:t>
      </w:r>
      <w:r w:rsidR="00273AEF" w:rsidRPr="00964474">
        <w:rPr>
          <w:rFonts w:ascii="Book Antiqua" w:hAnsi="Book Antiqua" w:cs="Arial"/>
        </w:rPr>
        <w:t>against the decision of the Secretary of State to make a deportation order against her.</w:t>
      </w:r>
    </w:p>
    <w:p w14:paraId="41661384" w14:textId="77777777" w:rsidR="00964474" w:rsidRPr="00964474" w:rsidRDefault="00964474" w:rsidP="00633A83">
      <w:pPr>
        <w:numPr>
          <w:ilvl w:val="0"/>
          <w:numId w:val="1"/>
        </w:numPr>
        <w:spacing w:before="240"/>
        <w:ind w:left="1134" w:right="567"/>
        <w:jc w:val="both"/>
        <w:rPr>
          <w:rFonts w:ascii="Book Antiqua" w:hAnsi="Book Antiqua" w:cs="Arial"/>
        </w:rPr>
      </w:pPr>
      <w:r w:rsidRPr="00964474">
        <w:rPr>
          <w:rFonts w:ascii="Book Antiqua" w:hAnsi="Book Antiqua" w:cstheme="minorHAnsi"/>
        </w:rPr>
        <w:t xml:space="preserve">GI’s has two children born in the United Kingdom. There are continuing proceedings about them in the Family Court. In those circumstances, I consider that it is proper to make an anonymity order to prevent the </w:t>
      </w:r>
      <w:r>
        <w:rPr>
          <w:rFonts w:ascii="Book Antiqua" w:hAnsi="Book Antiqua" w:cstheme="minorHAnsi"/>
        </w:rPr>
        <w:lastRenderedPageBreak/>
        <w:t>children from being identified in the light of section 97(2) of the Children Act 1989</w:t>
      </w:r>
    </w:p>
    <w:p w14:paraId="0407832D" w14:textId="5524208A" w:rsidR="00273AEF" w:rsidRPr="00964474" w:rsidRDefault="00273AEF" w:rsidP="00633A83">
      <w:pPr>
        <w:numPr>
          <w:ilvl w:val="0"/>
          <w:numId w:val="1"/>
        </w:numPr>
        <w:spacing w:before="240"/>
        <w:ind w:left="1134" w:right="567"/>
        <w:jc w:val="both"/>
        <w:rPr>
          <w:rFonts w:ascii="Book Antiqua" w:hAnsi="Book Antiqua" w:cs="Arial"/>
        </w:rPr>
      </w:pPr>
      <w:r w:rsidRPr="00964474">
        <w:rPr>
          <w:rFonts w:ascii="Book Antiqua" w:hAnsi="Book Antiqua" w:cs="Arial"/>
        </w:rPr>
        <w:t xml:space="preserve">The deportation order was made on the basis of the convictions that </w:t>
      </w:r>
      <w:r w:rsidR="00E77394" w:rsidRPr="00964474">
        <w:rPr>
          <w:rFonts w:ascii="Book Antiqua" w:hAnsi="Book Antiqua" w:cs="Arial"/>
        </w:rPr>
        <w:t>GI</w:t>
      </w:r>
      <w:r w:rsidRPr="00964474">
        <w:rPr>
          <w:rFonts w:ascii="Book Antiqua" w:hAnsi="Book Antiqua" w:cs="Arial"/>
        </w:rPr>
        <w:t xml:space="preserve"> had incurred which are set out in detail in the judge’s decision at paragraph 3.  There is no dispute about th</w:t>
      </w:r>
      <w:r w:rsidR="00E77394" w:rsidRPr="00964474">
        <w:rPr>
          <w:rFonts w:ascii="Book Antiqua" w:hAnsi="Book Antiqua" w:cs="Arial"/>
        </w:rPr>
        <w:t>ose</w:t>
      </w:r>
      <w:r w:rsidRPr="00964474">
        <w:rPr>
          <w:rFonts w:ascii="Book Antiqua" w:hAnsi="Book Antiqua" w:cs="Arial"/>
        </w:rPr>
        <w:t xml:space="preserve"> but it is important to note that in this case the respondent’s case was that she had acquired the permanent right of residence having arrived in the United Kingdom in 2010, having stayed here initially as a student and then obtaining cards which allowed her to remain here as a worker.</w:t>
      </w:r>
      <w:r w:rsidR="00964474" w:rsidRPr="00964474">
        <w:rPr>
          <w:rFonts w:ascii="Book Antiqua" w:hAnsi="Book Antiqua" w:cs="Arial"/>
        </w:rPr>
        <w:t xml:space="preserve"> </w:t>
      </w:r>
      <w:r w:rsidRPr="00964474">
        <w:rPr>
          <w:rFonts w:ascii="Book Antiqua" w:hAnsi="Book Antiqua" w:cs="Arial"/>
        </w:rPr>
        <w:t>It is also her case that she worked here up to and including maternity leave while</w:t>
      </w:r>
      <w:r w:rsidR="004B6295" w:rsidRPr="00964474">
        <w:rPr>
          <w:rFonts w:ascii="Book Antiqua" w:hAnsi="Book Antiqua" w:cs="Arial"/>
        </w:rPr>
        <w:t xml:space="preserve"> </w:t>
      </w:r>
      <w:r w:rsidRPr="00964474">
        <w:rPr>
          <w:rFonts w:ascii="Book Antiqua" w:hAnsi="Book Antiqua" w:cstheme="minorHAnsi"/>
        </w:rPr>
        <w:t xml:space="preserve">her first child was born in 2014.  </w:t>
      </w:r>
      <w:r w:rsidR="00667916" w:rsidRPr="00964474">
        <w:rPr>
          <w:rFonts w:ascii="Book Antiqua" w:hAnsi="Book Antiqua" w:cstheme="minorHAnsi"/>
        </w:rPr>
        <w:t xml:space="preserve">The Secretary of State did not however accept that the </w:t>
      </w:r>
      <w:r w:rsidR="00E77394" w:rsidRPr="00964474">
        <w:rPr>
          <w:rFonts w:ascii="Book Antiqua" w:hAnsi="Book Antiqua" w:cstheme="minorHAnsi"/>
        </w:rPr>
        <w:t>GI</w:t>
      </w:r>
      <w:r w:rsidR="00667916" w:rsidRPr="00964474">
        <w:rPr>
          <w:rFonts w:ascii="Book Antiqua" w:hAnsi="Book Antiqua" w:cstheme="minorHAnsi"/>
        </w:rPr>
        <w:t xml:space="preserve"> had acquired</w:t>
      </w:r>
      <w:r w:rsidR="0037408D" w:rsidRPr="00964474">
        <w:rPr>
          <w:rFonts w:ascii="Book Antiqua" w:hAnsi="Book Antiqua" w:cstheme="minorHAnsi"/>
        </w:rPr>
        <w:t xml:space="preserve"> </w:t>
      </w:r>
      <w:r w:rsidR="00667916" w:rsidRPr="00964474">
        <w:rPr>
          <w:rFonts w:ascii="Book Antiqua" w:hAnsi="Book Antiqua" w:cstheme="minorHAnsi"/>
        </w:rPr>
        <w:t>per</w:t>
      </w:r>
      <w:r w:rsidR="00E77394" w:rsidRPr="00964474">
        <w:rPr>
          <w:rFonts w:ascii="Book Antiqua" w:hAnsi="Book Antiqua" w:cstheme="minorHAnsi"/>
        </w:rPr>
        <w:t xml:space="preserve">manent residence given the lack of evidence. </w:t>
      </w:r>
    </w:p>
    <w:p w14:paraId="2F400F1E" w14:textId="77777777" w:rsidR="00667916" w:rsidRPr="0008633F" w:rsidRDefault="00667916" w:rsidP="00633A83">
      <w:pPr>
        <w:numPr>
          <w:ilvl w:val="0"/>
          <w:numId w:val="1"/>
        </w:numPr>
        <w:spacing w:before="240"/>
        <w:ind w:left="1134" w:right="567"/>
        <w:jc w:val="both"/>
        <w:rPr>
          <w:rFonts w:ascii="Book Antiqua" w:hAnsi="Book Antiqua" w:cs="Arial"/>
        </w:rPr>
      </w:pPr>
      <w:r w:rsidRPr="0008633F">
        <w:rPr>
          <w:rFonts w:ascii="Book Antiqua" w:hAnsi="Book Antiqua" w:cstheme="minorHAnsi"/>
        </w:rPr>
        <w:t xml:space="preserve">Judge Ross accepted the evidence put before him that the appellant had obtained the permanent right of residence, noting her contract of employment and also the evidence that she had given.  He concluded on that basis at paragraph </w:t>
      </w:r>
      <w:r w:rsidR="00E77394">
        <w:rPr>
          <w:rFonts w:ascii="Book Antiqua" w:hAnsi="Book Antiqua" w:cstheme="minorHAnsi"/>
        </w:rPr>
        <w:t>[</w:t>
      </w:r>
      <w:r w:rsidRPr="0008633F">
        <w:rPr>
          <w:rFonts w:ascii="Book Antiqua" w:hAnsi="Book Antiqua" w:cstheme="minorHAnsi"/>
        </w:rPr>
        <w:t>20</w:t>
      </w:r>
      <w:r w:rsidR="00E77394">
        <w:rPr>
          <w:rFonts w:ascii="Book Antiqua" w:hAnsi="Book Antiqua" w:cstheme="minorHAnsi"/>
        </w:rPr>
        <w:t>]</w:t>
      </w:r>
      <w:r w:rsidRPr="0008633F">
        <w:rPr>
          <w:rFonts w:ascii="Book Antiqua" w:hAnsi="Book Antiqua" w:cstheme="minorHAnsi"/>
        </w:rPr>
        <w:t xml:space="preserve"> that her conduct did not represent a genuine, present and sufficiently serious threat to the public and/or that she represents a genuine, present and sufficiently serious threat affecting one of the fundamental interests of society.  The judge also concluded that the decision was disproportionate</w:t>
      </w:r>
      <w:r w:rsidR="00266B89" w:rsidRPr="0008633F">
        <w:rPr>
          <w:rFonts w:ascii="Book Antiqua" w:hAnsi="Book Antiqua" w:cstheme="minorHAnsi"/>
        </w:rPr>
        <w:t>.</w:t>
      </w:r>
    </w:p>
    <w:p w14:paraId="4790CD76" w14:textId="77777777" w:rsidR="00266B89" w:rsidRPr="0008633F" w:rsidRDefault="00266B89" w:rsidP="00633A83">
      <w:pPr>
        <w:numPr>
          <w:ilvl w:val="0"/>
          <w:numId w:val="1"/>
        </w:numPr>
        <w:spacing w:before="240"/>
        <w:ind w:left="1134" w:right="567"/>
        <w:jc w:val="both"/>
        <w:rPr>
          <w:rFonts w:ascii="Book Antiqua" w:hAnsi="Book Antiqua" w:cs="Arial"/>
        </w:rPr>
      </w:pPr>
      <w:r w:rsidRPr="0008633F">
        <w:rPr>
          <w:rFonts w:ascii="Book Antiqua" w:hAnsi="Book Antiqua" w:cstheme="minorHAnsi"/>
        </w:rPr>
        <w:t>The Secretary of State sought permission to appeal on the grounds that the judge had erred first in concluding on very limited evidence that the respondent had acquired permanent residence</w:t>
      </w:r>
      <w:r w:rsidR="004F4C6B" w:rsidRPr="0008633F">
        <w:rPr>
          <w:rFonts w:ascii="Book Antiqua" w:hAnsi="Book Antiqua" w:cstheme="minorHAnsi"/>
        </w:rPr>
        <w:t>,</w:t>
      </w:r>
      <w:r w:rsidRPr="0008633F">
        <w:rPr>
          <w:rFonts w:ascii="Book Antiqua" w:hAnsi="Book Antiqua" w:cstheme="minorHAnsi"/>
        </w:rPr>
        <w:t xml:space="preserve"> and second had made a material misdirection in law in failing properly to have regard to Schedule 1 to the Immigration</w:t>
      </w:r>
      <w:r w:rsidR="00964474">
        <w:rPr>
          <w:rFonts w:ascii="Book Antiqua" w:hAnsi="Book Antiqua" w:cstheme="minorHAnsi"/>
        </w:rPr>
        <w:t xml:space="preserve"> (Economic Area) Regulations 201</w:t>
      </w:r>
      <w:r w:rsidRPr="0008633F">
        <w:rPr>
          <w:rFonts w:ascii="Book Antiqua" w:hAnsi="Book Antiqua" w:cstheme="minorHAnsi"/>
        </w:rPr>
        <w:t>6 and in concluding that the</w:t>
      </w:r>
      <w:r w:rsidR="004F4C6B" w:rsidRPr="0008633F">
        <w:rPr>
          <w:rFonts w:ascii="Book Antiqua" w:hAnsi="Book Antiqua" w:cstheme="minorHAnsi"/>
        </w:rPr>
        <w:t xml:space="preserve"> </w:t>
      </w:r>
      <w:r w:rsidR="00ED22A8" w:rsidRPr="0008633F">
        <w:rPr>
          <w:rFonts w:ascii="Book Antiqua" w:hAnsi="Book Antiqua" w:cstheme="minorHAnsi"/>
        </w:rPr>
        <w:t>deportation was justified and proportionate.</w:t>
      </w:r>
    </w:p>
    <w:p w14:paraId="1927005C" w14:textId="77777777" w:rsidR="00ED22A8" w:rsidRPr="0008633F" w:rsidRDefault="00ED22A8" w:rsidP="00633A83">
      <w:pPr>
        <w:numPr>
          <w:ilvl w:val="0"/>
          <w:numId w:val="1"/>
        </w:numPr>
        <w:spacing w:before="240"/>
        <w:ind w:left="1134" w:right="567"/>
        <w:jc w:val="both"/>
        <w:rPr>
          <w:rFonts w:ascii="Book Antiqua" w:hAnsi="Book Antiqua" w:cs="Arial"/>
        </w:rPr>
      </w:pPr>
      <w:r w:rsidRPr="0008633F">
        <w:rPr>
          <w:rFonts w:ascii="Book Antiqua" w:hAnsi="Book Antiqua" w:cstheme="minorHAnsi"/>
        </w:rPr>
        <w:t>When the matter came before me the respondent was able to provide a letter from HM Revenue &amp; Customs</w:t>
      </w:r>
      <w:r w:rsidR="00522C01" w:rsidRPr="0008633F">
        <w:rPr>
          <w:rFonts w:ascii="Book Antiqua" w:hAnsi="Book Antiqua" w:cstheme="minorHAnsi"/>
        </w:rPr>
        <w:t xml:space="preserve"> which sets out in detail her employment, pension and benefits history.  In the light of that Mr Walker accepted that </w:t>
      </w:r>
      <w:r w:rsidR="00AB34EA" w:rsidRPr="0008633F">
        <w:rPr>
          <w:rFonts w:ascii="Book Antiqua" w:hAnsi="Book Antiqua" w:cstheme="minorHAnsi"/>
        </w:rPr>
        <w:t xml:space="preserve">it was shown that </w:t>
      </w:r>
      <w:r w:rsidR="00C5207B" w:rsidRPr="0008633F">
        <w:rPr>
          <w:rFonts w:ascii="Book Antiqua" w:hAnsi="Book Antiqua" w:cstheme="minorHAnsi"/>
        </w:rPr>
        <w:t>the respondent</w:t>
      </w:r>
      <w:r w:rsidR="00AB34EA" w:rsidRPr="0008633F">
        <w:rPr>
          <w:rFonts w:ascii="Book Antiqua" w:hAnsi="Book Antiqua" w:cstheme="minorHAnsi"/>
        </w:rPr>
        <w:t xml:space="preserve"> </w:t>
      </w:r>
      <w:r w:rsidR="00522C01" w:rsidRPr="0008633F">
        <w:rPr>
          <w:rFonts w:ascii="Book Antiqua" w:hAnsi="Book Antiqua" w:cstheme="minorHAnsi"/>
        </w:rPr>
        <w:t xml:space="preserve">had </w:t>
      </w:r>
      <w:r w:rsidR="00C5207B" w:rsidRPr="0008633F">
        <w:rPr>
          <w:rFonts w:ascii="Book Antiqua" w:hAnsi="Book Antiqua" w:cstheme="minorHAnsi"/>
        </w:rPr>
        <w:t>acquired the permanent right of resid</w:t>
      </w:r>
      <w:r w:rsidR="00E77394">
        <w:rPr>
          <w:rFonts w:ascii="Book Antiqua" w:hAnsi="Book Antiqua" w:cstheme="minorHAnsi"/>
        </w:rPr>
        <w:t xml:space="preserve">ence and that on that basis the appellant’s case </w:t>
      </w:r>
      <w:r w:rsidR="00D45386" w:rsidRPr="0008633F">
        <w:rPr>
          <w:rFonts w:ascii="Book Antiqua" w:hAnsi="Book Antiqua" w:cstheme="minorHAnsi"/>
        </w:rPr>
        <w:t xml:space="preserve">fell away, the </w:t>
      </w:r>
      <w:r w:rsidR="00C5207B" w:rsidRPr="0008633F">
        <w:rPr>
          <w:rFonts w:ascii="Book Antiqua" w:hAnsi="Book Antiqua" w:cstheme="minorHAnsi"/>
        </w:rPr>
        <w:t xml:space="preserve">Secretary of </w:t>
      </w:r>
      <w:r w:rsidR="00D45386" w:rsidRPr="0008633F">
        <w:rPr>
          <w:rFonts w:ascii="Book Antiqua" w:hAnsi="Book Antiqua" w:cstheme="minorHAnsi"/>
        </w:rPr>
        <w:t xml:space="preserve">State in effect accepting that she could not show that there were serious reasons as required by the 2016 Regulations, such that deportation </w:t>
      </w:r>
      <w:r w:rsidR="00FC7A9B" w:rsidRPr="0008633F">
        <w:rPr>
          <w:rFonts w:ascii="Book Antiqua" w:hAnsi="Book Antiqua" w:cstheme="minorHAnsi"/>
        </w:rPr>
        <w:t xml:space="preserve">was necessary.  </w:t>
      </w:r>
    </w:p>
    <w:p w14:paraId="084590C2" w14:textId="77777777" w:rsidR="00FC7A9B" w:rsidRPr="00E77394" w:rsidRDefault="00FC7A9B" w:rsidP="00633A83">
      <w:pPr>
        <w:numPr>
          <w:ilvl w:val="0"/>
          <w:numId w:val="1"/>
        </w:numPr>
        <w:spacing w:before="240"/>
        <w:ind w:left="1134" w:right="567"/>
        <w:jc w:val="both"/>
        <w:rPr>
          <w:rFonts w:ascii="Book Antiqua" w:hAnsi="Book Antiqua" w:cs="Arial"/>
        </w:rPr>
      </w:pPr>
      <w:r w:rsidRPr="0008633F">
        <w:rPr>
          <w:rFonts w:ascii="Book Antiqua" w:hAnsi="Book Antiqua" w:cstheme="minorHAnsi"/>
        </w:rPr>
        <w:t xml:space="preserve">In the circumstances </w:t>
      </w:r>
      <w:proofErr w:type="gramStart"/>
      <w:r w:rsidRPr="0008633F">
        <w:rPr>
          <w:rFonts w:ascii="Book Antiqua" w:hAnsi="Book Antiqua" w:cstheme="minorHAnsi"/>
        </w:rPr>
        <w:t>therefore</w:t>
      </w:r>
      <w:proofErr w:type="gramEnd"/>
      <w:r w:rsidRPr="0008633F">
        <w:rPr>
          <w:rFonts w:ascii="Book Antiqua" w:hAnsi="Book Antiqua" w:cstheme="minorHAnsi"/>
        </w:rPr>
        <w:t xml:space="preserve"> I am satisfied that the decision of the First-tier Tribunal did not involve the making of an error of law and I uphold its decision.  </w:t>
      </w:r>
    </w:p>
    <w:p w14:paraId="6FCF12F4" w14:textId="77777777" w:rsidR="00E77394" w:rsidRPr="00E77394" w:rsidRDefault="00E77394" w:rsidP="00633A83">
      <w:pPr>
        <w:spacing w:before="240"/>
        <w:jc w:val="both"/>
        <w:rPr>
          <w:rFonts w:ascii="Book Antiqua" w:hAnsi="Book Antiqua" w:cs="Arial"/>
          <w:b/>
          <w:u w:val="single"/>
        </w:rPr>
      </w:pPr>
      <w:r w:rsidRPr="00E77394">
        <w:rPr>
          <w:rFonts w:ascii="Book Antiqua" w:hAnsi="Book Antiqua" w:cstheme="minorHAnsi"/>
          <w:b/>
          <w:u w:val="single"/>
        </w:rPr>
        <w:t>Notice of Decision</w:t>
      </w:r>
    </w:p>
    <w:p w14:paraId="7617087C" w14:textId="77777777" w:rsidR="00E77394" w:rsidRPr="0008633F" w:rsidRDefault="00E77394" w:rsidP="00633A83">
      <w:pPr>
        <w:numPr>
          <w:ilvl w:val="0"/>
          <w:numId w:val="3"/>
        </w:numPr>
        <w:spacing w:before="240"/>
        <w:ind w:left="1134" w:right="567"/>
        <w:jc w:val="both"/>
        <w:rPr>
          <w:rFonts w:ascii="Book Antiqua" w:hAnsi="Book Antiqua" w:cs="Arial"/>
        </w:rPr>
      </w:pPr>
      <w:r>
        <w:rPr>
          <w:rFonts w:ascii="Book Antiqua" w:hAnsi="Book Antiqua" w:cstheme="minorHAnsi"/>
        </w:rPr>
        <w:t xml:space="preserve">The decision of the First-tier Tribunal did not involve the making of an error of law and I uphold it. </w:t>
      </w:r>
    </w:p>
    <w:p w14:paraId="52948112" w14:textId="77777777" w:rsidR="00D949B7" w:rsidRPr="0008633F" w:rsidRDefault="00D949B7" w:rsidP="00633A83">
      <w:pPr>
        <w:spacing w:before="240"/>
        <w:jc w:val="both"/>
        <w:rPr>
          <w:rFonts w:ascii="Book Antiqua" w:hAnsi="Book Antiqua" w:cs="Arial"/>
        </w:rPr>
      </w:pPr>
      <w:r w:rsidRPr="0008633F">
        <w:rPr>
          <w:rFonts w:ascii="Book Antiqua" w:hAnsi="Book Antiqua" w:cs="Arial"/>
          <w:b/>
          <w:u w:val="single"/>
        </w:rPr>
        <w:lastRenderedPageBreak/>
        <w:t>Direction Regarding Anonymity – Rule 14 of the Tribunal Procedure (Upper Tribunal) Rules 2008</w:t>
      </w:r>
    </w:p>
    <w:p w14:paraId="78F1EDCD" w14:textId="77777777" w:rsidR="00D949B7" w:rsidRPr="0008633F" w:rsidRDefault="00D949B7" w:rsidP="00633A83">
      <w:pPr>
        <w:spacing w:before="240"/>
        <w:jc w:val="both"/>
        <w:rPr>
          <w:rFonts w:ascii="Book Antiqua" w:hAnsi="Book Antiqua" w:cs="Arial"/>
        </w:rPr>
      </w:pPr>
      <w:r w:rsidRPr="0008633F">
        <w:rPr>
          <w:rFonts w:ascii="Book Antiqua" w:hAnsi="Book Antiqua" w:cs="Arial"/>
        </w:rPr>
        <w:t xml:space="preserve">Unless and </w:t>
      </w:r>
      <w:r w:rsidRPr="0008633F">
        <w:rPr>
          <w:rFonts w:ascii="Book Antiqua" w:hAnsi="Book Antiqua"/>
        </w:rPr>
        <w:t xml:space="preserve">until a Tribunal or court directs otherwise, the </w:t>
      </w:r>
      <w:r w:rsidR="00B528BB" w:rsidRPr="0008633F">
        <w:rPr>
          <w:rFonts w:ascii="Book Antiqua" w:hAnsi="Book Antiqua"/>
        </w:rPr>
        <w:t>a</w:t>
      </w:r>
      <w:r w:rsidRPr="0008633F">
        <w:rPr>
          <w:rFonts w:ascii="Book Antiqua" w:hAnsi="Book Antiqua"/>
        </w:rPr>
        <w:t>ppellant is granted anonymity.  No report of these proceedings shall d</w:t>
      </w:r>
      <w:r w:rsidR="00E77394">
        <w:rPr>
          <w:rFonts w:ascii="Book Antiqua" w:hAnsi="Book Antiqua"/>
        </w:rPr>
        <w:t>irectly or indirectly identify her</w:t>
      </w:r>
      <w:r w:rsidRPr="0008633F">
        <w:rPr>
          <w:rFonts w:ascii="Book Antiqua" w:hAnsi="Book Antiqua"/>
        </w:rPr>
        <w:t xml:space="preserve"> or any member of </w:t>
      </w:r>
      <w:r w:rsidR="00E77394">
        <w:rPr>
          <w:rFonts w:ascii="Book Antiqua" w:hAnsi="Book Antiqua"/>
        </w:rPr>
        <w:t>her</w:t>
      </w:r>
      <w:r w:rsidRPr="0008633F">
        <w:rPr>
          <w:rFonts w:ascii="Book Antiqua" w:hAnsi="Book Antiqua"/>
        </w:rPr>
        <w:t xml:space="preserve"> family.  This direction applies both to the </w:t>
      </w:r>
      <w:r w:rsidR="00B528BB" w:rsidRPr="0008633F">
        <w:rPr>
          <w:rFonts w:ascii="Book Antiqua" w:hAnsi="Book Antiqua"/>
        </w:rPr>
        <w:t>a</w:t>
      </w:r>
      <w:r w:rsidRPr="0008633F">
        <w:rPr>
          <w:rFonts w:ascii="Book Antiqua" w:hAnsi="Book Antiqua"/>
        </w:rPr>
        <w:t xml:space="preserve">ppellant and to the </w:t>
      </w:r>
      <w:r w:rsidR="00B528BB" w:rsidRPr="0008633F">
        <w:rPr>
          <w:rFonts w:ascii="Book Antiqua" w:hAnsi="Book Antiqua"/>
        </w:rPr>
        <w:t>r</w:t>
      </w:r>
      <w:r w:rsidRPr="0008633F">
        <w:rPr>
          <w:rFonts w:ascii="Book Antiqua" w:hAnsi="Book Antiqua"/>
        </w:rPr>
        <w:t>espondent.  Failure to comply with this direction could lead to contempt of court proceedings.</w:t>
      </w:r>
    </w:p>
    <w:p w14:paraId="743CCFB9" w14:textId="77777777" w:rsidR="009F5220" w:rsidRPr="0008633F" w:rsidRDefault="009F5220" w:rsidP="00780F86">
      <w:pPr>
        <w:ind w:left="540" w:hanging="540"/>
        <w:jc w:val="both"/>
        <w:rPr>
          <w:rFonts w:ascii="Book Antiqua" w:hAnsi="Book Antiqua" w:cs="Arial"/>
        </w:rPr>
      </w:pPr>
    </w:p>
    <w:p w14:paraId="5BF9EEF5" w14:textId="77777777" w:rsidR="00D949B7" w:rsidRPr="0008633F" w:rsidRDefault="00D949B7" w:rsidP="00780F86">
      <w:pPr>
        <w:ind w:left="540" w:hanging="540"/>
        <w:jc w:val="both"/>
        <w:rPr>
          <w:rFonts w:ascii="Book Antiqua" w:hAnsi="Book Antiqua" w:cs="Arial"/>
        </w:rPr>
      </w:pPr>
    </w:p>
    <w:p w14:paraId="1E51057F" w14:textId="77777777" w:rsidR="001F2716" w:rsidRPr="0008633F" w:rsidRDefault="00780F86" w:rsidP="00780F86">
      <w:pPr>
        <w:ind w:left="540" w:hanging="540"/>
        <w:jc w:val="both"/>
        <w:rPr>
          <w:rFonts w:ascii="Book Antiqua" w:hAnsi="Book Antiqua" w:cs="Arial"/>
        </w:rPr>
      </w:pPr>
      <w:r w:rsidRPr="0008633F">
        <w:rPr>
          <w:rFonts w:ascii="Book Antiqua" w:hAnsi="Book Antiqua" w:cs="Arial"/>
        </w:rPr>
        <w:t>Signed</w:t>
      </w:r>
      <w:r w:rsidRPr="0008633F">
        <w:rPr>
          <w:rFonts w:ascii="Book Antiqua" w:hAnsi="Book Antiqua" w:cs="Arial"/>
        </w:rPr>
        <w:tab/>
      </w:r>
      <w:r w:rsidRPr="0008633F">
        <w:rPr>
          <w:rFonts w:ascii="Book Antiqua" w:hAnsi="Book Antiqua" w:cs="Arial"/>
        </w:rPr>
        <w:tab/>
      </w:r>
      <w:r w:rsidRPr="0008633F">
        <w:rPr>
          <w:rFonts w:ascii="Book Antiqua" w:hAnsi="Book Antiqua" w:cs="Arial"/>
        </w:rPr>
        <w:tab/>
      </w:r>
      <w:r w:rsidRPr="0008633F">
        <w:rPr>
          <w:rFonts w:ascii="Book Antiqua" w:hAnsi="Book Antiqua" w:cs="Arial"/>
        </w:rPr>
        <w:tab/>
      </w:r>
      <w:r w:rsidRPr="0008633F">
        <w:rPr>
          <w:rFonts w:ascii="Book Antiqua" w:hAnsi="Book Antiqua" w:cs="Arial"/>
        </w:rPr>
        <w:tab/>
      </w:r>
      <w:r w:rsidRPr="0008633F">
        <w:rPr>
          <w:rFonts w:ascii="Book Antiqua" w:hAnsi="Book Antiqua" w:cs="Arial"/>
        </w:rPr>
        <w:tab/>
      </w:r>
      <w:r w:rsidRPr="0008633F">
        <w:rPr>
          <w:rFonts w:ascii="Book Antiqua" w:hAnsi="Book Antiqua" w:cs="Arial"/>
        </w:rPr>
        <w:tab/>
      </w:r>
      <w:r w:rsidRPr="0008633F">
        <w:rPr>
          <w:rFonts w:ascii="Book Antiqua" w:hAnsi="Book Antiqua" w:cs="Arial"/>
        </w:rPr>
        <w:tab/>
      </w:r>
      <w:r w:rsidR="00D96CA4">
        <w:rPr>
          <w:rFonts w:ascii="Book Antiqua" w:hAnsi="Book Antiqua" w:cs="Arial"/>
        </w:rPr>
        <w:t xml:space="preserve">                                       </w:t>
      </w:r>
      <w:r w:rsidR="001F2716" w:rsidRPr="0008633F">
        <w:rPr>
          <w:rFonts w:ascii="Book Antiqua" w:hAnsi="Book Antiqua" w:cs="Arial"/>
        </w:rPr>
        <w:t>Date</w:t>
      </w:r>
      <w:r w:rsidR="00E77394">
        <w:rPr>
          <w:rFonts w:ascii="Book Antiqua" w:hAnsi="Book Antiqua" w:cs="Arial"/>
        </w:rPr>
        <w:t xml:space="preserve">  13 August 2018</w:t>
      </w:r>
    </w:p>
    <w:p w14:paraId="254CA078" w14:textId="77777777" w:rsidR="001F2716" w:rsidRPr="0008633F" w:rsidRDefault="00964474" w:rsidP="00402B9E">
      <w:pPr>
        <w:tabs>
          <w:tab w:val="left" w:pos="2520"/>
        </w:tabs>
        <w:ind w:left="540" w:hanging="540"/>
        <w:jc w:val="both"/>
        <w:rPr>
          <w:rFonts w:ascii="Book Antiqua" w:hAnsi="Book Antiqua" w:cs="Arial"/>
        </w:rPr>
      </w:pPr>
      <w:r w:rsidRPr="001F3B22">
        <w:rPr>
          <w:rFonts w:ascii="Book Antiqua" w:hAnsi="Book Antiqua" w:cs="Arial"/>
          <w:noProof/>
          <w:color w:val="000000"/>
        </w:rPr>
        <w:drawing>
          <wp:inline distT="0" distB="0" distL="0" distR="0" wp14:anchorId="7E0EB08E" wp14:editId="14983C83">
            <wp:extent cx="2047875" cy="800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14:paraId="07B4F270" w14:textId="77777777" w:rsidR="00B95326" w:rsidRPr="00D96CA4" w:rsidRDefault="00173F50" w:rsidP="00D96CA4">
      <w:pPr>
        <w:tabs>
          <w:tab w:val="left" w:pos="2520"/>
        </w:tabs>
        <w:ind w:left="540" w:hanging="540"/>
        <w:jc w:val="both"/>
        <w:rPr>
          <w:rFonts w:ascii="Book Antiqua" w:hAnsi="Book Antiqua" w:cs="Arial"/>
          <w:color w:val="000000"/>
        </w:rPr>
        <w:sectPr w:rsidR="00B95326" w:rsidRPr="00D96CA4" w:rsidSect="00633A83">
          <w:headerReference w:type="default" r:id="rId9"/>
          <w:footerReference w:type="default" r:id="rId10"/>
          <w:headerReference w:type="first" r:id="rId11"/>
          <w:footerReference w:type="first" r:id="rId12"/>
          <w:pgSz w:w="11906" w:h="16838" w:code="9"/>
          <w:pgMar w:top="1440" w:right="1134" w:bottom="1440" w:left="1134" w:header="709" w:footer="709" w:gutter="0"/>
          <w:cols w:space="708"/>
          <w:titlePg/>
          <w:docGrid w:linePitch="360"/>
        </w:sectPr>
      </w:pPr>
      <w:r w:rsidRPr="0008633F">
        <w:rPr>
          <w:rFonts w:ascii="Book Antiqua" w:hAnsi="Book Antiqua" w:cs="Arial"/>
          <w:color w:val="000000"/>
        </w:rPr>
        <w:t>Upper Tribunal</w:t>
      </w:r>
      <w:r w:rsidR="00D9111A" w:rsidRPr="0008633F">
        <w:rPr>
          <w:rFonts w:ascii="Book Antiqua" w:hAnsi="Book Antiqua" w:cs="Arial"/>
          <w:color w:val="000000"/>
        </w:rPr>
        <w:t xml:space="preserve"> Judge</w:t>
      </w:r>
      <w:r w:rsidR="001B2F75" w:rsidRPr="0008633F">
        <w:rPr>
          <w:rFonts w:ascii="Book Antiqua" w:hAnsi="Book Antiqua" w:cs="Arial"/>
          <w:color w:val="000000"/>
        </w:rPr>
        <w:t xml:space="preserve"> </w:t>
      </w:r>
      <w:r w:rsidR="004D6B45" w:rsidRPr="0008633F">
        <w:rPr>
          <w:rFonts w:ascii="Book Antiqua" w:hAnsi="Book Antiqua" w:cs="Arial"/>
          <w:color w:val="000000"/>
        </w:rPr>
        <w:t>Rintoul</w:t>
      </w:r>
      <w:r w:rsidR="008A6059" w:rsidRPr="0008633F">
        <w:rPr>
          <w:rFonts w:ascii="Book Antiqua" w:hAnsi="Book Antiqua" w:cs="Arial"/>
          <w:color w:val="000000"/>
        </w:rPr>
        <w:t xml:space="preserve"> </w:t>
      </w:r>
    </w:p>
    <w:p w14:paraId="43C57A2B" w14:textId="77777777" w:rsidR="00B95326" w:rsidRPr="009B7433" w:rsidRDefault="00B95326" w:rsidP="00402B9E">
      <w:pPr>
        <w:tabs>
          <w:tab w:val="left" w:pos="2520"/>
        </w:tabs>
        <w:ind w:left="540" w:hanging="540"/>
        <w:jc w:val="both"/>
        <w:rPr>
          <w:rFonts w:ascii="Book Antiqua" w:hAnsi="Book Antiqua" w:cs="Arial"/>
        </w:rPr>
      </w:pPr>
    </w:p>
    <w:sectPr w:rsidR="00B95326" w:rsidRPr="009B7433" w:rsidSect="00633A83">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A0BC6" w14:textId="77777777" w:rsidR="0065025D" w:rsidRDefault="0065025D">
      <w:r>
        <w:separator/>
      </w:r>
    </w:p>
  </w:endnote>
  <w:endnote w:type="continuationSeparator" w:id="0">
    <w:p w14:paraId="57D1F446" w14:textId="77777777" w:rsidR="0065025D" w:rsidRDefault="00650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09DAE" w14:textId="3D62F2B5" w:rsidR="008A6059" w:rsidRPr="009B7433" w:rsidRDefault="008A6059"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D63982">
      <w:rPr>
        <w:rStyle w:val="PageNumber"/>
        <w:rFonts w:ascii="Book Antiqua" w:hAnsi="Book Antiqua" w:cs="Arial"/>
        <w:noProof/>
        <w:sz w:val="16"/>
        <w:szCs w:val="16"/>
      </w:rPr>
      <w:t>3</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9D964" w14:textId="77777777"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CD3BE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64580" w14:textId="77777777" w:rsidR="0065025D" w:rsidRDefault="0065025D">
      <w:r>
        <w:separator/>
      </w:r>
    </w:p>
  </w:footnote>
  <w:footnote w:type="continuationSeparator" w:id="0">
    <w:p w14:paraId="46DD8297" w14:textId="77777777" w:rsidR="0065025D" w:rsidRDefault="006502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8EEE7" w14:textId="77777777" w:rsidR="008A6059" w:rsidRPr="009B7433"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00DF31C8" w:rsidRPr="00DF31C8">
      <w:rPr>
        <w:rFonts w:ascii="Book Antiqua" w:hAnsi="Book Antiqua" w:cs="Arial"/>
        <w:sz w:val="16"/>
        <w:szCs w:val="16"/>
      </w:rPr>
      <w:t>DA/00138/2018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EFB28" w14:textId="77777777"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B5F8E"/>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1C8"/>
    <w:rsid w:val="00000621"/>
    <w:rsid w:val="000036C2"/>
    <w:rsid w:val="00007736"/>
    <w:rsid w:val="00016C1A"/>
    <w:rsid w:val="00033588"/>
    <w:rsid w:val="00033D3D"/>
    <w:rsid w:val="0004776F"/>
    <w:rsid w:val="00052895"/>
    <w:rsid w:val="000539A2"/>
    <w:rsid w:val="00053C0D"/>
    <w:rsid w:val="00062F02"/>
    <w:rsid w:val="00071A7E"/>
    <w:rsid w:val="000746C0"/>
    <w:rsid w:val="00074D1D"/>
    <w:rsid w:val="0008633F"/>
    <w:rsid w:val="00092580"/>
    <w:rsid w:val="00093D4D"/>
    <w:rsid w:val="000D5D94"/>
    <w:rsid w:val="000F1A0E"/>
    <w:rsid w:val="001165A7"/>
    <w:rsid w:val="001311C2"/>
    <w:rsid w:val="00151266"/>
    <w:rsid w:val="0016508E"/>
    <w:rsid w:val="00167D3A"/>
    <w:rsid w:val="00173F50"/>
    <w:rsid w:val="00185986"/>
    <w:rsid w:val="001A3082"/>
    <w:rsid w:val="001B186A"/>
    <w:rsid w:val="001B2F75"/>
    <w:rsid w:val="001C6F5F"/>
    <w:rsid w:val="001D6167"/>
    <w:rsid w:val="001F2716"/>
    <w:rsid w:val="001F3AC0"/>
    <w:rsid w:val="00207617"/>
    <w:rsid w:val="0022119A"/>
    <w:rsid w:val="0023134B"/>
    <w:rsid w:val="002541D7"/>
    <w:rsid w:val="00266B89"/>
    <w:rsid w:val="00273AEF"/>
    <w:rsid w:val="00283659"/>
    <w:rsid w:val="002B6E82"/>
    <w:rsid w:val="002C281B"/>
    <w:rsid w:val="002C6BD4"/>
    <w:rsid w:val="002D68BF"/>
    <w:rsid w:val="002E4541"/>
    <w:rsid w:val="002F6B98"/>
    <w:rsid w:val="003235A2"/>
    <w:rsid w:val="00336CBF"/>
    <w:rsid w:val="00343FE3"/>
    <w:rsid w:val="00350D99"/>
    <w:rsid w:val="003546C8"/>
    <w:rsid w:val="0037190C"/>
    <w:rsid w:val="0037408D"/>
    <w:rsid w:val="003825D4"/>
    <w:rsid w:val="003A7CF2"/>
    <w:rsid w:val="003C5CE5"/>
    <w:rsid w:val="003D6FAD"/>
    <w:rsid w:val="003E267B"/>
    <w:rsid w:val="003E7CD1"/>
    <w:rsid w:val="00402B9E"/>
    <w:rsid w:val="0042037F"/>
    <w:rsid w:val="004249CB"/>
    <w:rsid w:val="0044127D"/>
    <w:rsid w:val="004448DB"/>
    <w:rsid w:val="00446C9A"/>
    <w:rsid w:val="00452F2B"/>
    <w:rsid w:val="00477193"/>
    <w:rsid w:val="004840D6"/>
    <w:rsid w:val="004A1848"/>
    <w:rsid w:val="004A6F4A"/>
    <w:rsid w:val="004B6295"/>
    <w:rsid w:val="004B70D7"/>
    <w:rsid w:val="004D6B45"/>
    <w:rsid w:val="004E4717"/>
    <w:rsid w:val="004F25CE"/>
    <w:rsid w:val="004F4C6B"/>
    <w:rsid w:val="00506483"/>
    <w:rsid w:val="00507FEC"/>
    <w:rsid w:val="00510F0E"/>
    <w:rsid w:val="0051417F"/>
    <w:rsid w:val="00522C01"/>
    <w:rsid w:val="005479E1"/>
    <w:rsid w:val="00553E0A"/>
    <w:rsid w:val="005570FD"/>
    <w:rsid w:val="005575EA"/>
    <w:rsid w:val="0057790C"/>
    <w:rsid w:val="0059298F"/>
    <w:rsid w:val="00593795"/>
    <w:rsid w:val="005A75FF"/>
    <w:rsid w:val="005D10AB"/>
    <w:rsid w:val="005D6049"/>
    <w:rsid w:val="00601D8F"/>
    <w:rsid w:val="00605582"/>
    <w:rsid w:val="00611F34"/>
    <w:rsid w:val="00621FE8"/>
    <w:rsid w:val="00633A83"/>
    <w:rsid w:val="006434B6"/>
    <w:rsid w:val="0065025D"/>
    <w:rsid w:val="00653E97"/>
    <w:rsid w:val="006667DB"/>
    <w:rsid w:val="00667916"/>
    <w:rsid w:val="00684A74"/>
    <w:rsid w:val="0068620A"/>
    <w:rsid w:val="00690B8A"/>
    <w:rsid w:val="006D73DF"/>
    <w:rsid w:val="006F2CF1"/>
    <w:rsid w:val="007011DD"/>
    <w:rsid w:val="007038ED"/>
    <w:rsid w:val="00703BC3"/>
    <w:rsid w:val="00704B61"/>
    <w:rsid w:val="0071058C"/>
    <w:rsid w:val="00715A64"/>
    <w:rsid w:val="007256AD"/>
    <w:rsid w:val="00740C1F"/>
    <w:rsid w:val="007552A9"/>
    <w:rsid w:val="0075658A"/>
    <w:rsid w:val="00761858"/>
    <w:rsid w:val="00767D59"/>
    <w:rsid w:val="00776E97"/>
    <w:rsid w:val="00780F86"/>
    <w:rsid w:val="007912AD"/>
    <w:rsid w:val="007B0824"/>
    <w:rsid w:val="007B5D3C"/>
    <w:rsid w:val="00815011"/>
    <w:rsid w:val="00821B72"/>
    <w:rsid w:val="00823EF2"/>
    <w:rsid w:val="008303B8"/>
    <w:rsid w:val="00833DCE"/>
    <w:rsid w:val="00871D34"/>
    <w:rsid w:val="008A25EC"/>
    <w:rsid w:val="008A6059"/>
    <w:rsid w:val="008B270C"/>
    <w:rsid w:val="008B5078"/>
    <w:rsid w:val="008C3D3D"/>
    <w:rsid w:val="008D4131"/>
    <w:rsid w:val="008F1932"/>
    <w:rsid w:val="0090151B"/>
    <w:rsid w:val="009042A9"/>
    <w:rsid w:val="00921062"/>
    <w:rsid w:val="00964474"/>
    <w:rsid w:val="00965125"/>
    <w:rsid w:val="009722BC"/>
    <w:rsid w:val="009727A3"/>
    <w:rsid w:val="00987774"/>
    <w:rsid w:val="009A11E8"/>
    <w:rsid w:val="009B7433"/>
    <w:rsid w:val="009C57C8"/>
    <w:rsid w:val="009F5220"/>
    <w:rsid w:val="00A07919"/>
    <w:rsid w:val="00A15234"/>
    <w:rsid w:val="00A201AB"/>
    <w:rsid w:val="00A31C8B"/>
    <w:rsid w:val="00A33630"/>
    <w:rsid w:val="00A509FA"/>
    <w:rsid w:val="00A67E27"/>
    <w:rsid w:val="00A845DC"/>
    <w:rsid w:val="00AA2177"/>
    <w:rsid w:val="00AB34EA"/>
    <w:rsid w:val="00AD0DA5"/>
    <w:rsid w:val="00B26AA2"/>
    <w:rsid w:val="00B3524D"/>
    <w:rsid w:val="00B40F69"/>
    <w:rsid w:val="00B46616"/>
    <w:rsid w:val="00B528BB"/>
    <w:rsid w:val="00B7040A"/>
    <w:rsid w:val="00B83391"/>
    <w:rsid w:val="00B95326"/>
    <w:rsid w:val="00BD4196"/>
    <w:rsid w:val="00BF22CA"/>
    <w:rsid w:val="00BF23BB"/>
    <w:rsid w:val="00C26032"/>
    <w:rsid w:val="00C345E1"/>
    <w:rsid w:val="00C43BFD"/>
    <w:rsid w:val="00C5207B"/>
    <w:rsid w:val="00C6048A"/>
    <w:rsid w:val="00CB6E35"/>
    <w:rsid w:val="00CD3BE9"/>
    <w:rsid w:val="00CE1A46"/>
    <w:rsid w:val="00D20757"/>
    <w:rsid w:val="00D21813"/>
    <w:rsid w:val="00D22636"/>
    <w:rsid w:val="00D22AFC"/>
    <w:rsid w:val="00D40FD9"/>
    <w:rsid w:val="00D444BA"/>
    <w:rsid w:val="00D45386"/>
    <w:rsid w:val="00D53769"/>
    <w:rsid w:val="00D63982"/>
    <w:rsid w:val="00D6602D"/>
    <w:rsid w:val="00D85C13"/>
    <w:rsid w:val="00D9111A"/>
    <w:rsid w:val="00D91BE3"/>
    <w:rsid w:val="00D949B7"/>
    <w:rsid w:val="00D94AFC"/>
    <w:rsid w:val="00D96CA4"/>
    <w:rsid w:val="00DB70AE"/>
    <w:rsid w:val="00DC0034"/>
    <w:rsid w:val="00DD3B0B"/>
    <w:rsid w:val="00DD5071"/>
    <w:rsid w:val="00DD5C39"/>
    <w:rsid w:val="00DE7DB7"/>
    <w:rsid w:val="00DF31C8"/>
    <w:rsid w:val="00E00A0A"/>
    <w:rsid w:val="00E066DE"/>
    <w:rsid w:val="00E07F57"/>
    <w:rsid w:val="00E30683"/>
    <w:rsid w:val="00E42107"/>
    <w:rsid w:val="00E453D8"/>
    <w:rsid w:val="00E50BCE"/>
    <w:rsid w:val="00E574BF"/>
    <w:rsid w:val="00E61292"/>
    <w:rsid w:val="00E77394"/>
    <w:rsid w:val="00E77C4D"/>
    <w:rsid w:val="00E81D01"/>
    <w:rsid w:val="00EB485A"/>
    <w:rsid w:val="00ED22A8"/>
    <w:rsid w:val="00EE45D8"/>
    <w:rsid w:val="00EE69CA"/>
    <w:rsid w:val="00EE6C79"/>
    <w:rsid w:val="00F22EDA"/>
    <w:rsid w:val="00F5589A"/>
    <w:rsid w:val="00F67804"/>
    <w:rsid w:val="00FC40FA"/>
    <w:rsid w:val="00FC7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D33EC1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NormalWeb">
    <w:name w:val="Normal (Web)"/>
    <w:basedOn w:val="Normal"/>
    <w:uiPriority w:val="99"/>
    <w:unhideWhenUsed/>
    <w:rsid w:val="006D73DF"/>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663</Words>
  <Characters>3371</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2018-09-06T12:06:00Z</dcterms:created>
  <dcterms:modified xsi:type="dcterms:W3CDTF">2018-09-06T12:06:00Z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