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607F3" w:rsidRDefault="00900D07" w:rsidP="00C321B5">
      <w:pPr>
        <w:jc w:val="center"/>
        <w:rPr>
          <w:rFonts w:ascii="Book Antiqua" w:hAnsi="Book Antiqua" w:cs="Arial"/>
          <w:sz w:val="16"/>
          <w:szCs w:val="16"/>
        </w:rPr>
      </w:pPr>
      <w:r w:rsidRPr="00F607F3">
        <w:rPr>
          <w:noProof/>
          <w:sz w:val="16"/>
          <w:szCs w:val="16"/>
        </w:rPr>
        <w:drawing>
          <wp:inline distT="0" distB="0" distL="0" distR="0" wp14:anchorId="4026DE3A" wp14:editId="2E281BC8">
            <wp:extent cx="10337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780" cy="906145"/>
                    </a:xfrm>
                    <a:prstGeom prst="rect">
                      <a:avLst/>
                    </a:prstGeom>
                    <a:noFill/>
                    <a:ln>
                      <a:noFill/>
                    </a:ln>
                  </pic:spPr>
                </pic:pic>
              </a:graphicData>
            </a:graphic>
          </wp:inline>
        </w:drawing>
      </w:r>
    </w:p>
    <w:p w:rsidR="00B705D9" w:rsidRPr="00F607F3" w:rsidRDefault="00B705D9">
      <w:pPr>
        <w:rPr>
          <w:rFonts w:ascii="Book Antiqua" w:hAnsi="Book Antiqua" w:cs="Arial"/>
          <w:sz w:val="16"/>
          <w:szCs w:val="16"/>
        </w:rPr>
      </w:pP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F5664C" w:rsidRDefault="00B705D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00900D07" w:rsidRPr="00900D07">
        <w:rPr>
          <w:rFonts w:ascii="Book Antiqua" w:hAnsi="Book Antiqua" w:cs="Arial"/>
          <w:caps/>
        </w:rPr>
        <w:t>DA/00142/2017</w:t>
      </w:r>
      <w:bookmarkEnd w:id="0"/>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240"/>
        <w:gridCol w:w="808"/>
        <w:gridCol w:w="3960"/>
      </w:tblGrid>
      <w:tr w:rsidR="00B705D9" w:rsidRPr="00F5664C" w:rsidTr="00417AC5">
        <w:tc>
          <w:tcPr>
            <w:tcW w:w="5240"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768" w:type="dxa"/>
            <w:gridSpan w:val="2"/>
          </w:tcPr>
          <w:p w:rsidR="00B705D9" w:rsidRPr="00321493" w:rsidRDefault="00B705D9" w:rsidP="00321493">
            <w:pPr>
              <w:jc w:val="both"/>
              <w:rPr>
                <w:rFonts w:ascii="Book Antiqua" w:hAnsi="Book Antiqua" w:cs="Arial"/>
                <w:b/>
              </w:rPr>
            </w:pPr>
            <w:r w:rsidRPr="00321493">
              <w:rPr>
                <w:rFonts w:ascii="Book Antiqua" w:hAnsi="Book Antiqua" w:cs="Arial"/>
                <w:b/>
              </w:rPr>
              <w:t xml:space="preserve">Decision </w:t>
            </w:r>
            <w:r w:rsidR="00417AC5">
              <w:rPr>
                <w:rFonts w:ascii="Book Antiqua" w:hAnsi="Book Antiqua" w:cs="Arial"/>
                <w:b/>
              </w:rPr>
              <w:t xml:space="preserve">and Reasons Promulgated </w:t>
            </w:r>
          </w:p>
        </w:tc>
      </w:tr>
      <w:tr w:rsidR="00B705D9" w:rsidRPr="00F5664C" w:rsidTr="00417AC5">
        <w:tc>
          <w:tcPr>
            <w:tcW w:w="5240"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9B0014">
              <w:rPr>
                <w:rFonts w:ascii="Book Antiqua" w:hAnsi="Book Antiqua" w:cs="Arial"/>
                <w:b/>
              </w:rPr>
              <w:t>29</w:t>
            </w:r>
            <w:r w:rsidR="00900D07">
              <w:rPr>
                <w:rFonts w:ascii="Book Antiqua" w:hAnsi="Book Antiqua" w:cs="Arial"/>
                <w:b/>
              </w:rPr>
              <w:t xml:space="preserve"> June 2018</w:t>
            </w:r>
          </w:p>
        </w:tc>
        <w:tc>
          <w:tcPr>
            <w:tcW w:w="4768" w:type="dxa"/>
            <w:gridSpan w:val="2"/>
          </w:tcPr>
          <w:p w:rsidR="00B705D9" w:rsidRPr="00321493" w:rsidRDefault="00417AC5" w:rsidP="00321493">
            <w:pPr>
              <w:jc w:val="both"/>
              <w:rPr>
                <w:rFonts w:ascii="Book Antiqua" w:hAnsi="Book Antiqua" w:cs="Arial"/>
                <w:b/>
              </w:rPr>
            </w:pPr>
            <w:r>
              <w:rPr>
                <w:rFonts w:ascii="Book Antiqua" w:hAnsi="Book Antiqua" w:cs="Arial"/>
                <w:b/>
              </w:rPr>
              <w:t xml:space="preserve">On 23 August 2018 </w:t>
            </w:r>
          </w:p>
        </w:tc>
      </w:tr>
      <w:tr w:rsidR="00B705D9" w:rsidRPr="00F5664C" w:rsidTr="00417AC5">
        <w:tc>
          <w:tcPr>
            <w:tcW w:w="6048" w:type="dxa"/>
            <w:gridSpan w:val="2"/>
          </w:tcPr>
          <w:p w:rsidR="00B705D9" w:rsidRPr="00321493" w:rsidRDefault="00B705D9" w:rsidP="00321493">
            <w:pPr>
              <w:jc w:val="both"/>
              <w:rPr>
                <w:rFonts w:ascii="Book Antiqua" w:hAnsi="Book Antiqua" w:cs="Arial"/>
                <w:b/>
              </w:rPr>
            </w:pPr>
          </w:p>
        </w:tc>
        <w:tc>
          <w:tcPr>
            <w:tcW w:w="3960" w:type="dxa"/>
          </w:tcPr>
          <w:p w:rsidR="00B705D9" w:rsidRPr="00321493"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F607F3" w:rsidRDefault="00F607F3" w:rsidP="00A15234">
      <w:pPr>
        <w:jc w:val="center"/>
        <w:rPr>
          <w:rFonts w:ascii="Book Antiqua" w:hAnsi="Book Antiqua" w:cs="Arial"/>
          <w:b/>
        </w:rPr>
      </w:pPr>
    </w:p>
    <w:p w:rsidR="00F607F3" w:rsidRDefault="00F607F3" w:rsidP="00A15234">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81F1D" w:rsidRDefault="00B81F1D" w:rsidP="00742A8D">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B705D9" w:rsidRPr="00F5664C" w:rsidRDefault="008D490B" w:rsidP="00704B61">
      <w:pPr>
        <w:jc w:val="right"/>
        <w:rPr>
          <w:rFonts w:ascii="Book Antiqua" w:hAnsi="Book Antiqua" w:cs="Arial"/>
          <w:u w:val="single"/>
        </w:rPr>
      </w:pPr>
      <w:r>
        <w:rPr>
          <w:rFonts w:ascii="Book Antiqua" w:hAnsi="Book Antiqua" w:cs="Arial"/>
          <w:u w:val="single"/>
        </w:rPr>
        <w:t>Appellant</w:t>
      </w: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Pr="00F5664C" w:rsidRDefault="00B705D9" w:rsidP="00704B61">
      <w:pPr>
        <w:jc w:val="center"/>
        <w:rPr>
          <w:rFonts w:ascii="Book Antiqua" w:hAnsi="Book Antiqua" w:cs="Arial"/>
          <w:b/>
        </w:rPr>
      </w:pPr>
    </w:p>
    <w:p w:rsidR="00B81F1D" w:rsidRDefault="00B81F1D" w:rsidP="00B81F1D">
      <w:pPr>
        <w:jc w:val="center"/>
        <w:rPr>
          <w:rFonts w:ascii="Book Antiqua" w:hAnsi="Book Antiqua" w:cs="Arial"/>
          <w:b/>
          <w:caps/>
        </w:rPr>
      </w:pPr>
      <w:bookmarkStart w:id="1" w:name="Text7"/>
      <w:r>
        <w:rPr>
          <w:rFonts w:ascii="Book Antiqua" w:hAnsi="Book Antiqua" w:cs="Arial"/>
          <w:b/>
          <w:caps/>
        </w:rPr>
        <w:t xml:space="preserve">mr </w:t>
      </w:r>
      <w:r w:rsidRPr="00900D07">
        <w:rPr>
          <w:rFonts w:ascii="Book Antiqua" w:hAnsi="Book Antiqua" w:cs="Arial"/>
          <w:b/>
          <w:caps/>
        </w:rPr>
        <w:t>Joao Carlos</w:t>
      </w:r>
      <w:r>
        <w:rPr>
          <w:rFonts w:ascii="Book Antiqua" w:hAnsi="Book Antiqua" w:cs="Arial"/>
          <w:b/>
          <w:caps/>
        </w:rPr>
        <w:t xml:space="preserve"> </w:t>
      </w:r>
      <w:r w:rsidRPr="00900D07">
        <w:rPr>
          <w:rFonts w:ascii="Book Antiqua" w:hAnsi="Book Antiqua" w:cs="Arial"/>
          <w:b/>
          <w:caps/>
        </w:rPr>
        <w:t>Santos</w:t>
      </w:r>
    </w:p>
    <w:p w:rsidR="00B81F1D" w:rsidRPr="00F607F3" w:rsidRDefault="00B81F1D" w:rsidP="00B81F1D">
      <w:pPr>
        <w:jc w:val="center"/>
        <w:rPr>
          <w:rFonts w:ascii="Book Antiqua" w:hAnsi="Book Antiqua" w:cs="Arial"/>
          <w:b/>
          <w:caps/>
          <w:sz w:val="22"/>
        </w:rPr>
      </w:pPr>
      <w:r w:rsidRPr="00F607F3">
        <w:rPr>
          <w:rFonts w:ascii="Book Antiqua" w:hAnsi="Book Antiqua" w:cs="Arial"/>
          <w:b/>
          <w:caps/>
          <w:sz w:val="22"/>
        </w:rPr>
        <w:t>(no anonymity order made)</w:t>
      </w:r>
    </w:p>
    <w:bookmarkEnd w:id="1"/>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Default="00B705D9" w:rsidP="00DD5071">
      <w:pPr>
        <w:rPr>
          <w:rFonts w:ascii="Book Antiqua" w:hAnsi="Book Antiqua" w:cs="Arial"/>
          <w:u w:val="single"/>
        </w:rPr>
      </w:pPr>
    </w:p>
    <w:p w:rsidR="00F607F3" w:rsidRPr="00F5664C" w:rsidRDefault="00F607F3"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8D490B" w:rsidRDefault="00B705D9" w:rsidP="00DE7DB7">
      <w:pPr>
        <w:tabs>
          <w:tab w:val="left" w:pos="2520"/>
        </w:tabs>
        <w:rPr>
          <w:rFonts w:ascii="Book Antiqua" w:hAnsi="Book Antiqua" w:cs="Arial"/>
        </w:rPr>
      </w:pPr>
      <w:r w:rsidRPr="00F5664C">
        <w:rPr>
          <w:rFonts w:ascii="Book Antiqua" w:hAnsi="Book Antiqua" w:cs="Arial"/>
        </w:rPr>
        <w:t xml:space="preserve">For the </w:t>
      </w:r>
      <w:r w:rsidR="008D490B">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C3A39">
        <w:rPr>
          <w:rFonts w:ascii="Book Antiqua" w:hAnsi="Book Antiqua" w:cs="Arial"/>
        </w:rPr>
        <w:t>Mr Ian Jarvis, a Senior Home Office Presenting Officer</w:t>
      </w:r>
      <w:r w:rsidRPr="00F5664C">
        <w:rPr>
          <w:rFonts w:ascii="Book Antiqua" w:hAnsi="Book Antiqua" w:cs="Arial"/>
        </w:rPr>
        <w:t xml:space="preserve"> </w:t>
      </w:r>
    </w:p>
    <w:p w:rsidR="00B705D9" w:rsidRPr="00F5664C" w:rsidRDefault="008D490B" w:rsidP="00DE7DB7">
      <w:pPr>
        <w:tabs>
          <w:tab w:val="left" w:pos="2520"/>
        </w:tabs>
        <w:rPr>
          <w:rFonts w:ascii="Book Antiqua" w:hAnsi="Book Antiqua" w:cs="Arial"/>
        </w:rPr>
      </w:pPr>
      <w:r>
        <w:rPr>
          <w:rFonts w:ascii="Book Antiqua" w:hAnsi="Book Antiqua" w:cs="Arial"/>
        </w:rPr>
        <w:t xml:space="preserve">For the </w:t>
      </w:r>
      <w:r w:rsidR="00B705D9" w:rsidRPr="00F5664C">
        <w:rPr>
          <w:rFonts w:ascii="Book Antiqua" w:hAnsi="Book Antiqua" w:cs="Arial"/>
        </w:rPr>
        <w:t>Respondent:</w:t>
      </w:r>
      <w:r w:rsidR="00B705D9" w:rsidRPr="00F5664C">
        <w:rPr>
          <w:rFonts w:ascii="Book Antiqua" w:hAnsi="Book Antiqua" w:cs="Arial"/>
        </w:rPr>
        <w:tab/>
      </w:r>
      <w:r w:rsidR="00EC3A39">
        <w:rPr>
          <w:rFonts w:ascii="Book Antiqua" w:hAnsi="Book Antiqua" w:cs="Arial"/>
        </w:rPr>
        <w:t xml:space="preserve">Mr Nigel </w:t>
      </w:r>
      <w:proofErr w:type="spellStart"/>
      <w:r w:rsidR="00EC3A39">
        <w:rPr>
          <w:rFonts w:ascii="Book Antiqua" w:hAnsi="Book Antiqua" w:cs="Arial"/>
        </w:rPr>
        <w:t>Leskin</w:t>
      </w:r>
      <w:proofErr w:type="spellEnd"/>
      <w:r w:rsidR="00B705D9">
        <w:rPr>
          <w:rFonts w:ascii="Book Antiqua" w:hAnsi="Book Antiqua" w:cs="Arial"/>
        </w:rPr>
        <w:t xml:space="preserve">, </w:t>
      </w:r>
      <w:r>
        <w:rPr>
          <w:rFonts w:ascii="Book Antiqua" w:hAnsi="Book Antiqua" w:cs="Arial"/>
        </w:rPr>
        <w:t xml:space="preserve">Counsel </w:t>
      </w:r>
      <w:r w:rsidR="00EC3A39">
        <w:rPr>
          <w:rFonts w:ascii="Book Antiqua" w:hAnsi="Book Antiqua" w:cs="Arial"/>
        </w:rPr>
        <w:t xml:space="preserve">instructed by </w:t>
      </w:r>
      <w:proofErr w:type="spellStart"/>
      <w:r w:rsidR="00EC3A39">
        <w:rPr>
          <w:rFonts w:ascii="Book Antiqua" w:hAnsi="Book Antiqua" w:cs="Arial"/>
        </w:rPr>
        <w:t>Birnberg</w:t>
      </w:r>
      <w:proofErr w:type="spellEnd"/>
      <w:r w:rsidR="00EC3A39">
        <w:rPr>
          <w:rFonts w:ascii="Book Antiqua" w:hAnsi="Book Antiqua" w:cs="Arial"/>
        </w:rPr>
        <w:t xml:space="preserve"> Peirce &amp; Partners</w:t>
      </w:r>
    </w:p>
    <w:p w:rsidR="00B705D9" w:rsidRPr="00F5664C" w:rsidRDefault="00B705D9" w:rsidP="00402B9E">
      <w:pPr>
        <w:tabs>
          <w:tab w:val="left" w:pos="2520"/>
        </w:tabs>
        <w:jc w:val="center"/>
        <w:rPr>
          <w:rFonts w:ascii="Book Antiqua" w:hAnsi="Book Antiqua" w:cs="Arial"/>
        </w:rPr>
      </w:pPr>
    </w:p>
    <w:p w:rsidR="00F607F3" w:rsidRDefault="00F607F3" w:rsidP="00402B9E">
      <w:pPr>
        <w:tabs>
          <w:tab w:val="left" w:pos="2520"/>
        </w:tabs>
        <w:jc w:val="center"/>
        <w:rPr>
          <w:rFonts w:ascii="Book Antiqua" w:hAnsi="Book Antiqua" w:cs="Arial"/>
          <w:b/>
          <w:u w:val="single"/>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113275" w:rsidRDefault="00EC3A39" w:rsidP="00284307">
      <w:pPr>
        <w:numPr>
          <w:ilvl w:val="0"/>
          <w:numId w:val="3"/>
        </w:numPr>
        <w:spacing w:before="240"/>
        <w:jc w:val="both"/>
        <w:rPr>
          <w:rFonts w:ascii="Book Antiqua" w:hAnsi="Book Antiqua" w:cs="Arial"/>
        </w:rPr>
      </w:pPr>
      <w:r>
        <w:rPr>
          <w:rFonts w:ascii="Book Antiqua" w:hAnsi="Book Antiqua" w:cs="Arial"/>
        </w:rPr>
        <w:t xml:space="preserve">The Secretary of State appeals with permission against the decision of First-tier Tribunal Judge Talbot who allowed the </w:t>
      </w:r>
      <w:r w:rsidR="00F46362">
        <w:rPr>
          <w:rFonts w:ascii="Book Antiqua" w:hAnsi="Book Antiqua" w:cs="Arial"/>
        </w:rPr>
        <w:t>appellant</w:t>
      </w:r>
      <w:r>
        <w:rPr>
          <w:rFonts w:ascii="Book Antiqua" w:hAnsi="Book Antiqua" w:cs="Arial"/>
        </w:rPr>
        <w:t xml:space="preserve">’s appeal against the Secretary of State’s deportation decision under the EEA Regulations 2006.  </w:t>
      </w:r>
    </w:p>
    <w:p w:rsidR="0098565C" w:rsidRDefault="00EC3A39" w:rsidP="003263BD">
      <w:pPr>
        <w:numPr>
          <w:ilvl w:val="0"/>
          <w:numId w:val="3"/>
        </w:numPr>
        <w:spacing w:before="240"/>
        <w:jc w:val="both"/>
        <w:rPr>
          <w:rFonts w:ascii="Book Antiqua" w:hAnsi="Book Antiqua" w:cs="Arial"/>
        </w:rPr>
      </w:pPr>
      <w:r>
        <w:rPr>
          <w:rFonts w:ascii="Book Antiqua" w:hAnsi="Book Antiqua" w:cs="Arial"/>
        </w:rPr>
        <w:t xml:space="preserve">The </w:t>
      </w:r>
      <w:r w:rsidR="00F46362">
        <w:rPr>
          <w:rFonts w:ascii="Book Antiqua" w:hAnsi="Book Antiqua" w:cs="Arial"/>
        </w:rPr>
        <w:t>appellant</w:t>
      </w:r>
      <w:r>
        <w:rPr>
          <w:rFonts w:ascii="Book Antiqua" w:hAnsi="Book Antiqua" w:cs="Arial"/>
        </w:rPr>
        <w:t xml:space="preserve"> is a Portuguese citizen who came to the United Kingdom when he was about 6 years old to join parents who had relocated here the previous year.  He has attended both primary and secondary school in London leaving school at the age of 16.  In 2010</w:t>
      </w:r>
      <w:r w:rsidR="00F46362">
        <w:rPr>
          <w:rFonts w:ascii="Book Antiqua" w:hAnsi="Book Antiqua" w:cs="Arial"/>
        </w:rPr>
        <w:t>,</w:t>
      </w:r>
      <w:r>
        <w:rPr>
          <w:rFonts w:ascii="Book Antiqua" w:hAnsi="Book Antiqua" w:cs="Arial"/>
        </w:rPr>
        <w:t xml:space="preserve"> he had a very serious motorcycle accident requiring hospital admission </w:t>
      </w:r>
      <w:r>
        <w:rPr>
          <w:rFonts w:ascii="Book Antiqua" w:hAnsi="Book Antiqua" w:cs="Arial"/>
        </w:rPr>
        <w:lastRenderedPageBreak/>
        <w:t xml:space="preserve">for some three to four months and has not been regularly employed since then, living on the compensation that he received for his injury.  </w:t>
      </w:r>
    </w:p>
    <w:p w:rsidR="00EA11B8" w:rsidRDefault="00EC3A39" w:rsidP="003263BD">
      <w:pPr>
        <w:numPr>
          <w:ilvl w:val="0"/>
          <w:numId w:val="3"/>
        </w:numPr>
        <w:spacing w:before="240"/>
        <w:jc w:val="both"/>
        <w:rPr>
          <w:rFonts w:ascii="Book Antiqua" w:hAnsi="Book Antiqua" w:cs="Arial"/>
        </w:rPr>
      </w:pPr>
      <w:r>
        <w:rPr>
          <w:rFonts w:ascii="Book Antiqua" w:hAnsi="Book Antiqua" w:cs="Arial"/>
        </w:rPr>
        <w:t xml:space="preserve">The </w:t>
      </w:r>
      <w:r w:rsidR="00F46362">
        <w:rPr>
          <w:rFonts w:ascii="Book Antiqua" w:hAnsi="Book Antiqua" w:cs="Arial"/>
        </w:rPr>
        <w:t>appellant</w:t>
      </w:r>
      <w:r>
        <w:rPr>
          <w:rFonts w:ascii="Book Antiqua" w:hAnsi="Book Antiqua" w:cs="Arial"/>
        </w:rPr>
        <w:t xml:space="preserve"> has a history of convictions in the United Kingdom beginning with a caution on </w:t>
      </w:r>
      <w:r w:rsidR="0098565C">
        <w:rPr>
          <w:rFonts w:ascii="Book Antiqua" w:hAnsi="Book Antiqua" w:cs="Arial"/>
        </w:rPr>
        <w:t>8</w:t>
      </w:r>
      <w:r>
        <w:rPr>
          <w:rFonts w:ascii="Book Antiqua" w:hAnsi="Book Antiqua" w:cs="Arial"/>
        </w:rPr>
        <w:t xml:space="preserve"> October 2000</w:t>
      </w:r>
      <w:r w:rsidR="0098565C">
        <w:rPr>
          <w:rFonts w:ascii="Book Antiqua" w:hAnsi="Book Antiqua" w:cs="Arial"/>
        </w:rPr>
        <w:t>,</w:t>
      </w:r>
      <w:r>
        <w:rPr>
          <w:rFonts w:ascii="Book Antiqua" w:hAnsi="Book Antiqua" w:cs="Arial"/>
        </w:rPr>
        <w:t xml:space="preserve"> when he would have been just 13 years old</w:t>
      </w:r>
      <w:r w:rsidR="0098565C">
        <w:rPr>
          <w:rFonts w:ascii="Book Antiqua" w:hAnsi="Book Antiqua" w:cs="Arial"/>
        </w:rPr>
        <w:t>,</w:t>
      </w:r>
      <w:r>
        <w:rPr>
          <w:rFonts w:ascii="Book Antiqua" w:hAnsi="Book Antiqua" w:cs="Arial"/>
        </w:rPr>
        <w:t xml:space="preserve"> and continuing with convictions for going equipped for theft, failing to surrender to custody, possession of cannabis on multiple occasions</w:t>
      </w:r>
      <w:r w:rsidR="004B3E6C">
        <w:rPr>
          <w:rFonts w:ascii="Book Antiqua" w:hAnsi="Book Antiqua" w:cs="Arial"/>
        </w:rPr>
        <w:t>,</w:t>
      </w:r>
      <w:r>
        <w:rPr>
          <w:rFonts w:ascii="Book Antiqua" w:hAnsi="Book Antiqua" w:cs="Arial"/>
        </w:rPr>
        <w:t xml:space="preserve"> in 2015 possession of a designated fighting dog and continuing to </w:t>
      </w:r>
      <w:r w:rsidR="0098565C">
        <w:rPr>
          <w:rFonts w:ascii="Book Antiqua" w:hAnsi="Book Antiqua" w:cs="Arial"/>
        </w:rPr>
        <w:t>2</w:t>
      </w:r>
      <w:r>
        <w:rPr>
          <w:rFonts w:ascii="Book Antiqua" w:hAnsi="Book Antiqua" w:cs="Arial"/>
        </w:rPr>
        <w:t xml:space="preserve"> November 2015 when he was convicted of possessing a control class B drug and sentenced to </w:t>
      </w:r>
      <w:r w:rsidR="0091057D">
        <w:rPr>
          <w:rFonts w:ascii="Book Antiqua" w:hAnsi="Book Antiqua" w:cs="Arial"/>
        </w:rPr>
        <w:t>a 1-</w:t>
      </w:r>
      <w:r>
        <w:rPr>
          <w:rFonts w:ascii="Book Antiqua" w:hAnsi="Book Antiqua" w:cs="Arial"/>
        </w:rPr>
        <w:t xml:space="preserve">day detention.  </w:t>
      </w:r>
    </w:p>
    <w:p w:rsidR="0098565C" w:rsidRDefault="00EC3A39" w:rsidP="003263BD">
      <w:pPr>
        <w:numPr>
          <w:ilvl w:val="0"/>
          <w:numId w:val="3"/>
        </w:numPr>
        <w:spacing w:before="240"/>
        <w:jc w:val="both"/>
        <w:rPr>
          <w:rFonts w:ascii="Book Antiqua" w:hAnsi="Book Antiqua" w:cs="Arial"/>
        </w:rPr>
      </w:pPr>
      <w:r>
        <w:rPr>
          <w:rFonts w:ascii="Book Antiqua" w:hAnsi="Book Antiqua" w:cs="Arial"/>
        </w:rPr>
        <w:t>There then came a group of offences in December 2015</w:t>
      </w:r>
      <w:r w:rsidR="0098565C">
        <w:rPr>
          <w:rFonts w:ascii="Book Antiqua" w:hAnsi="Book Antiqua" w:cs="Arial"/>
        </w:rPr>
        <w:t>,</w:t>
      </w:r>
      <w:r>
        <w:rPr>
          <w:rFonts w:ascii="Book Antiqua" w:hAnsi="Book Antiqua" w:cs="Arial"/>
        </w:rPr>
        <w:t xml:space="preserve"> resulting in two sentences of </w:t>
      </w:r>
      <w:r w:rsidR="0091057D">
        <w:rPr>
          <w:rFonts w:ascii="Book Antiqua" w:hAnsi="Book Antiqua" w:cs="Arial"/>
        </w:rPr>
        <w:t>8</w:t>
      </w:r>
      <w:r>
        <w:rPr>
          <w:rFonts w:ascii="Book Antiqua" w:hAnsi="Book Antiqua" w:cs="Arial"/>
        </w:rPr>
        <w:t xml:space="preserve"> weeks’ imprisonment to run concurrently and a </w:t>
      </w:r>
      <w:r w:rsidR="00EA11B8">
        <w:rPr>
          <w:rFonts w:ascii="Book Antiqua" w:hAnsi="Book Antiqua" w:cs="Arial"/>
        </w:rPr>
        <w:t>15-</w:t>
      </w:r>
      <w:r>
        <w:rPr>
          <w:rFonts w:ascii="Book Antiqua" w:hAnsi="Book Antiqua" w:cs="Arial"/>
        </w:rPr>
        <w:t xml:space="preserve">month sentence and restraining order lasting </w:t>
      </w:r>
      <w:r w:rsidR="00EA11B8">
        <w:rPr>
          <w:rFonts w:ascii="Book Antiqua" w:hAnsi="Book Antiqua" w:cs="Arial"/>
        </w:rPr>
        <w:t>7</w:t>
      </w:r>
      <w:r>
        <w:rPr>
          <w:rFonts w:ascii="Book Antiqua" w:hAnsi="Book Antiqua" w:cs="Arial"/>
        </w:rPr>
        <w:t xml:space="preserve"> years</w:t>
      </w:r>
      <w:r w:rsidR="0098565C">
        <w:rPr>
          <w:rFonts w:ascii="Book Antiqua" w:hAnsi="Book Antiqua" w:cs="Arial"/>
        </w:rPr>
        <w:t>,</w:t>
      </w:r>
      <w:r>
        <w:rPr>
          <w:rFonts w:ascii="Book Antiqua" w:hAnsi="Book Antiqua" w:cs="Arial"/>
        </w:rPr>
        <w:t xml:space="preserve"> all arising out of conflict with the applicant’s previous girlfriend and some extremely unpleasant text messages</w:t>
      </w:r>
      <w:r w:rsidR="00E233DD">
        <w:rPr>
          <w:rFonts w:ascii="Book Antiqua" w:hAnsi="Book Antiqua" w:cs="Arial"/>
        </w:rPr>
        <w:t>, 2000 of them,</w:t>
      </w:r>
      <w:r>
        <w:rPr>
          <w:rFonts w:ascii="Book Antiqua" w:hAnsi="Book Antiqua" w:cs="Arial"/>
        </w:rPr>
        <w:t xml:space="preserve"> which he sent her over a very short period.  </w:t>
      </w:r>
      <w:r w:rsidR="004D2FBA">
        <w:rPr>
          <w:rFonts w:ascii="Book Antiqua" w:hAnsi="Book Antiqua" w:cs="Arial"/>
        </w:rPr>
        <w:t xml:space="preserve">The applicant went to prison on 21 December 2015.  </w:t>
      </w:r>
    </w:p>
    <w:p w:rsidR="008F57D9" w:rsidRPr="003263BD" w:rsidRDefault="00EC3A39" w:rsidP="00EA11B8">
      <w:pPr>
        <w:numPr>
          <w:ilvl w:val="0"/>
          <w:numId w:val="3"/>
        </w:numPr>
        <w:spacing w:before="240"/>
        <w:jc w:val="both"/>
        <w:rPr>
          <w:rFonts w:ascii="Book Antiqua" w:hAnsi="Book Antiqua" w:cs="Arial"/>
        </w:rPr>
      </w:pPr>
      <w:r w:rsidRPr="003263BD">
        <w:rPr>
          <w:rFonts w:ascii="Book Antiqua" w:hAnsi="Book Antiqua" w:cs="Arial"/>
        </w:rPr>
        <w:t xml:space="preserve">On </w:t>
      </w:r>
      <w:r w:rsidR="0098565C">
        <w:rPr>
          <w:rFonts w:ascii="Book Antiqua" w:hAnsi="Book Antiqua" w:cs="Arial"/>
        </w:rPr>
        <w:t>20</w:t>
      </w:r>
      <w:r w:rsidRPr="003263BD">
        <w:rPr>
          <w:rFonts w:ascii="Book Antiqua" w:hAnsi="Book Antiqua" w:cs="Arial"/>
        </w:rPr>
        <w:t xml:space="preserve"> April 2016</w:t>
      </w:r>
      <w:r w:rsidR="00EA11B8">
        <w:rPr>
          <w:rFonts w:ascii="Book Antiqua" w:hAnsi="Book Antiqua" w:cs="Arial"/>
        </w:rPr>
        <w:t>,</w:t>
      </w:r>
      <w:r w:rsidRPr="003263BD">
        <w:rPr>
          <w:rFonts w:ascii="Book Antiqua" w:hAnsi="Book Antiqua" w:cs="Arial"/>
        </w:rPr>
        <w:t xml:space="preserve"> he was served with a deportation decision</w:t>
      </w:r>
      <w:r w:rsidR="00EA11B8" w:rsidRPr="00EA11B8">
        <w:t xml:space="preserve"> </w:t>
      </w:r>
      <w:r w:rsidR="00EA11B8" w:rsidRPr="00EA11B8">
        <w:rPr>
          <w:rFonts w:ascii="Book Antiqua" w:hAnsi="Book Antiqua" w:cs="Arial"/>
        </w:rPr>
        <w:t>signed on 19 April 2016</w:t>
      </w:r>
      <w:r w:rsidR="00EA11B8">
        <w:rPr>
          <w:rFonts w:ascii="Book Antiqua" w:hAnsi="Book Antiqua" w:cs="Arial"/>
        </w:rPr>
        <w:t>,</w:t>
      </w:r>
      <w:r w:rsidRPr="003263BD">
        <w:rPr>
          <w:rFonts w:ascii="Book Antiqua" w:hAnsi="Book Antiqua" w:cs="Arial"/>
        </w:rPr>
        <w:t xml:space="preserve"> certified </w:t>
      </w:r>
      <w:r w:rsidR="006D2F2A" w:rsidRPr="003263BD">
        <w:rPr>
          <w:rFonts w:ascii="Book Antiqua" w:hAnsi="Book Antiqua" w:cs="Arial"/>
        </w:rPr>
        <w:t>under Regulation 24AA</w:t>
      </w:r>
      <w:r w:rsidR="007F2CD9">
        <w:rPr>
          <w:rFonts w:ascii="Book Antiqua" w:hAnsi="Book Antiqua" w:cs="Arial"/>
        </w:rPr>
        <w:t xml:space="preserve"> to the effect that there would be no </w:t>
      </w:r>
      <w:r w:rsidR="002B7760">
        <w:rPr>
          <w:rFonts w:ascii="Book Antiqua" w:hAnsi="Book Antiqua" w:cs="Arial"/>
        </w:rPr>
        <w:t xml:space="preserve">real risk of serious irreversible harm </w:t>
      </w:r>
      <w:r w:rsidR="001056F1">
        <w:rPr>
          <w:rFonts w:ascii="Book Antiqua" w:hAnsi="Book Antiqua" w:cs="Arial"/>
        </w:rPr>
        <w:t xml:space="preserve">to the appellant’s human rights </w:t>
      </w:r>
      <w:r w:rsidR="002B7760">
        <w:rPr>
          <w:rFonts w:ascii="Book Antiqua" w:hAnsi="Book Antiqua" w:cs="Arial"/>
        </w:rPr>
        <w:t>if the appellant were removed before an appeal was begun or determined against the removal decision</w:t>
      </w:r>
      <w:r w:rsidR="006D2F2A" w:rsidRPr="003263BD">
        <w:rPr>
          <w:rFonts w:ascii="Book Antiqua" w:hAnsi="Book Antiqua" w:cs="Arial"/>
        </w:rPr>
        <w:t>.  Th</w:t>
      </w:r>
      <w:r w:rsidR="00EA11B8">
        <w:rPr>
          <w:rFonts w:ascii="Book Antiqua" w:hAnsi="Book Antiqua" w:cs="Arial"/>
        </w:rPr>
        <w:t>at</w:t>
      </w:r>
      <w:r w:rsidR="001056F1">
        <w:rPr>
          <w:rFonts w:ascii="Book Antiqua" w:hAnsi="Book Antiqua" w:cs="Arial"/>
        </w:rPr>
        <w:t xml:space="preserve"> deportation</w:t>
      </w:r>
      <w:r w:rsidR="00EA11B8">
        <w:rPr>
          <w:rFonts w:ascii="Book Antiqua" w:hAnsi="Book Antiqua" w:cs="Arial"/>
        </w:rPr>
        <w:t xml:space="preserve"> order is the subject of this appeal. </w:t>
      </w:r>
    </w:p>
    <w:p w:rsidR="00DE0DFC" w:rsidRDefault="006D2F2A" w:rsidP="00DE0DFC">
      <w:pPr>
        <w:numPr>
          <w:ilvl w:val="0"/>
          <w:numId w:val="3"/>
        </w:numPr>
        <w:spacing w:before="240"/>
        <w:jc w:val="both"/>
        <w:rPr>
          <w:rFonts w:ascii="Book Antiqua" w:hAnsi="Book Antiqua" w:cs="Arial"/>
        </w:rPr>
      </w:pPr>
      <w:r>
        <w:rPr>
          <w:rFonts w:ascii="Book Antiqua" w:hAnsi="Book Antiqua" w:cs="Arial"/>
        </w:rPr>
        <w:t xml:space="preserve">On </w:t>
      </w:r>
      <w:r w:rsidR="0098565C">
        <w:rPr>
          <w:rFonts w:ascii="Book Antiqua" w:hAnsi="Book Antiqua" w:cs="Arial"/>
        </w:rPr>
        <w:t>2</w:t>
      </w:r>
      <w:r>
        <w:rPr>
          <w:rFonts w:ascii="Book Antiqua" w:hAnsi="Book Antiqua" w:cs="Arial"/>
        </w:rPr>
        <w:t xml:space="preserve"> May 2016</w:t>
      </w:r>
      <w:r w:rsidR="0098565C">
        <w:rPr>
          <w:rFonts w:ascii="Book Antiqua" w:hAnsi="Book Antiqua" w:cs="Arial"/>
        </w:rPr>
        <w:t>,</w:t>
      </w:r>
      <w:r>
        <w:rPr>
          <w:rFonts w:ascii="Book Antiqua" w:hAnsi="Book Antiqua" w:cs="Arial"/>
        </w:rPr>
        <w:t xml:space="preserve"> having completed his custodial sentence</w:t>
      </w:r>
      <w:r w:rsidR="0098565C">
        <w:rPr>
          <w:rFonts w:ascii="Book Antiqua" w:hAnsi="Book Antiqua" w:cs="Arial"/>
        </w:rPr>
        <w:t xml:space="preserve">, the </w:t>
      </w:r>
      <w:r w:rsidR="008D490B">
        <w:rPr>
          <w:rFonts w:ascii="Book Antiqua" w:hAnsi="Book Antiqua" w:cs="Arial"/>
        </w:rPr>
        <w:t>appellant</w:t>
      </w:r>
      <w:r>
        <w:rPr>
          <w:rFonts w:ascii="Book Antiqua" w:hAnsi="Book Antiqua" w:cs="Arial"/>
        </w:rPr>
        <w:t xml:space="preserve"> was detained under immigration powers</w:t>
      </w:r>
      <w:r w:rsidR="00DE0DFC">
        <w:rPr>
          <w:rFonts w:ascii="Book Antiqua" w:hAnsi="Book Antiqua" w:cs="Arial"/>
        </w:rPr>
        <w:t xml:space="preserve">.  </w:t>
      </w:r>
      <w:r w:rsidR="00DE0DFC" w:rsidRPr="00DE0DFC">
        <w:rPr>
          <w:rFonts w:ascii="Book Antiqua" w:hAnsi="Book Antiqua" w:cs="Arial"/>
        </w:rPr>
        <w:t>On 18 May 2016</w:t>
      </w:r>
      <w:r w:rsidR="00DE0DFC">
        <w:rPr>
          <w:rFonts w:ascii="Book Antiqua" w:hAnsi="Book Antiqua" w:cs="Arial"/>
        </w:rPr>
        <w:t>, he was granted bail pending the processing of a</w:t>
      </w:r>
      <w:r>
        <w:rPr>
          <w:rFonts w:ascii="Book Antiqua" w:hAnsi="Book Antiqua" w:cs="Arial"/>
        </w:rPr>
        <w:t>n emergency travel document application</w:t>
      </w:r>
      <w:r w:rsidR="00DE0DFC">
        <w:rPr>
          <w:rFonts w:ascii="Book Antiqua" w:hAnsi="Book Antiqua" w:cs="Arial"/>
        </w:rPr>
        <w:t xml:space="preserve">.  While on bail, </w:t>
      </w:r>
      <w:r>
        <w:rPr>
          <w:rFonts w:ascii="Book Antiqua" w:hAnsi="Book Antiqua" w:cs="Arial"/>
        </w:rPr>
        <w:t xml:space="preserve">on </w:t>
      </w:r>
      <w:r w:rsidR="0098565C">
        <w:rPr>
          <w:rFonts w:ascii="Book Antiqua" w:hAnsi="Book Antiqua" w:cs="Arial"/>
        </w:rPr>
        <w:t>9</w:t>
      </w:r>
      <w:r>
        <w:rPr>
          <w:rFonts w:ascii="Book Antiqua" w:hAnsi="Book Antiqua" w:cs="Arial"/>
        </w:rPr>
        <w:t xml:space="preserve"> August 2016 </w:t>
      </w:r>
      <w:r w:rsidR="00DE0DFC">
        <w:rPr>
          <w:rFonts w:ascii="Book Antiqua" w:hAnsi="Book Antiqua" w:cs="Arial"/>
        </w:rPr>
        <w:t xml:space="preserve">the </w:t>
      </w:r>
      <w:r w:rsidR="008D490B">
        <w:rPr>
          <w:rFonts w:ascii="Book Antiqua" w:hAnsi="Book Antiqua" w:cs="Arial"/>
        </w:rPr>
        <w:t>appellant</w:t>
      </w:r>
      <w:r w:rsidR="00DE0DFC">
        <w:rPr>
          <w:rFonts w:ascii="Book Antiqua" w:hAnsi="Book Antiqua" w:cs="Arial"/>
        </w:rPr>
        <w:t xml:space="preserve"> was recalled to prison having been found in possession </w:t>
      </w:r>
      <w:r>
        <w:rPr>
          <w:rFonts w:ascii="Book Antiqua" w:hAnsi="Book Antiqua" w:cs="Arial"/>
        </w:rPr>
        <w:t>of a firearm which he claimed had been planted</w:t>
      </w:r>
      <w:r w:rsidR="00DE0DFC">
        <w:rPr>
          <w:rFonts w:ascii="Book Antiqua" w:hAnsi="Book Antiqua" w:cs="Arial"/>
        </w:rPr>
        <w:t xml:space="preserve"> on him</w:t>
      </w:r>
      <w:r>
        <w:rPr>
          <w:rFonts w:ascii="Book Antiqua" w:hAnsi="Book Antiqua" w:cs="Arial"/>
        </w:rPr>
        <w:t xml:space="preserve">.  </w:t>
      </w:r>
    </w:p>
    <w:p w:rsidR="005C7CB8" w:rsidRDefault="00DE0DFC" w:rsidP="00DE0DFC">
      <w:pPr>
        <w:numPr>
          <w:ilvl w:val="0"/>
          <w:numId w:val="3"/>
        </w:numPr>
        <w:spacing w:before="240"/>
        <w:jc w:val="both"/>
        <w:rPr>
          <w:rFonts w:ascii="Book Antiqua" w:hAnsi="Book Antiqua" w:cs="Arial"/>
        </w:rPr>
      </w:pPr>
      <w:r>
        <w:rPr>
          <w:rFonts w:ascii="Book Antiqua" w:hAnsi="Book Antiqua" w:cs="Arial"/>
        </w:rPr>
        <w:t xml:space="preserve">The </w:t>
      </w:r>
      <w:r w:rsidR="008D490B">
        <w:rPr>
          <w:rFonts w:ascii="Book Antiqua" w:hAnsi="Book Antiqua" w:cs="Arial"/>
        </w:rPr>
        <w:t>appellant</w:t>
      </w:r>
      <w:r>
        <w:rPr>
          <w:rFonts w:ascii="Book Antiqua" w:hAnsi="Book Antiqua" w:cs="Arial"/>
        </w:rPr>
        <w:t xml:space="preserve"> served </w:t>
      </w:r>
      <w:r w:rsidR="001E31AE">
        <w:rPr>
          <w:rFonts w:ascii="Book Antiqua" w:hAnsi="Book Antiqua" w:cs="Arial"/>
        </w:rPr>
        <w:t>the rest of his</w:t>
      </w:r>
      <w:r>
        <w:rPr>
          <w:rFonts w:ascii="Book Antiqua" w:hAnsi="Book Antiqua" w:cs="Arial"/>
        </w:rPr>
        <w:t xml:space="preserve"> 15-month sentence in custody thereafter.  </w:t>
      </w:r>
      <w:r w:rsidR="005C7CB8">
        <w:rPr>
          <w:rFonts w:ascii="Book Antiqua" w:hAnsi="Book Antiqua" w:cs="Arial"/>
        </w:rPr>
        <w:t xml:space="preserve">When his sentence expired, he was detained under the respondent’s immigration powers.  He was released again on bail on </w:t>
      </w:r>
      <w:r w:rsidR="0098565C">
        <w:rPr>
          <w:rFonts w:ascii="Book Antiqua" w:hAnsi="Book Antiqua" w:cs="Arial"/>
        </w:rPr>
        <w:t>11</w:t>
      </w:r>
      <w:r w:rsidR="006D2F2A">
        <w:rPr>
          <w:rFonts w:ascii="Book Antiqua" w:hAnsi="Book Antiqua" w:cs="Arial"/>
        </w:rPr>
        <w:t xml:space="preserve"> January 2017.  </w:t>
      </w:r>
    </w:p>
    <w:p w:rsidR="007C6337" w:rsidRDefault="006D2F2A" w:rsidP="00DE0DFC">
      <w:pPr>
        <w:numPr>
          <w:ilvl w:val="0"/>
          <w:numId w:val="3"/>
        </w:numPr>
        <w:spacing w:before="240"/>
        <w:jc w:val="both"/>
        <w:rPr>
          <w:rFonts w:ascii="Book Antiqua" w:hAnsi="Book Antiqua" w:cs="Arial"/>
        </w:rPr>
      </w:pPr>
      <w:r>
        <w:rPr>
          <w:rFonts w:ascii="Book Antiqua" w:hAnsi="Book Antiqua" w:cs="Arial"/>
        </w:rPr>
        <w:t xml:space="preserve">Since </w:t>
      </w:r>
      <w:r w:rsidR="005C7CB8">
        <w:rPr>
          <w:rFonts w:ascii="Book Antiqua" w:hAnsi="Book Antiqua" w:cs="Arial"/>
        </w:rPr>
        <w:t xml:space="preserve">January 2017, the </w:t>
      </w:r>
      <w:r w:rsidR="008D490B">
        <w:rPr>
          <w:rFonts w:ascii="Book Antiqua" w:hAnsi="Book Antiqua" w:cs="Arial"/>
        </w:rPr>
        <w:t>appellant</w:t>
      </w:r>
      <w:r w:rsidR="005C7CB8">
        <w:rPr>
          <w:rFonts w:ascii="Book Antiqua" w:hAnsi="Book Antiqua" w:cs="Arial"/>
        </w:rPr>
        <w:t xml:space="preserve"> has had no further </w:t>
      </w:r>
      <w:r>
        <w:rPr>
          <w:rFonts w:ascii="Book Antiqua" w:hAnsi="Book Antiqua" w:cs="Arial"/>
        </w:rPr>
        <w:t>convictions</w:t>
      </w:r>
      <w:r w:rsidR="005C7CB8">
        <w:rPr>
          <w:rFonts w:ascii="Book Antiqua" w:hAnsi="Book Antiqua" w:cs="Arial"/>
        </w:rPr>
        <w:t xml:space="preserve">.  In </w:t>
      </w:r>
      <w:r>
        <w:rPr>
          <w:rFonts w:ascii="Book Antiqua" w:hAnsi="Book Antiqua" w:cs="Arial"/>
        </w:rPr>
        <w:t xml:space="preserve">September 2017 he entered into a new relationship.  </w:t>
      </w:r>
    </w:p>
    <w:p w:rsidR="007C6337" w:rsidRDefault="00A75D6E" w:rsidP="00A75D6E">
      <w:pPr>
        <w:numPr>
          <w:ilvl w:val="0"/>
          <w:numId w:val="3"/>
        </w:numPr>
        <w:spacing w:before="240"/>
        <w:jc w:val="both"/>
        <w:rPr>
          <w:rFonts w:ascii="Book Antiqua" w:hAnsi="Book Antiqua" w:cs="Arial"/>
        </w:rPr>
      </w:pPr>
      <w:r>
        <w:rPr>
          <w:rFonts w:ascii="Book Antiqua" w:hAnsi="Book Antiqua" w:cs="Arial"/>
        </w:rPr>
        <w:t xml:space="preserve">In January 2018, the </w:t>
      </w:r>
      <w:r w:rsidR="008D490B">
        <w:rPr>
          <w:rFonts w:ascii="Book Antiqua" w:hAnsi="Book Antiqua" w:cs="Arial"/>
        </w:rPr>
        <w:t>appellant</w:t>
      </w:r>
      <w:r>
        <w:rPr>
          <w:rFonts w:ascii="Book Antiqua" w:hAnsi="Book Antiqua" w:cs="Arial"/>
        </w:rPr>
        <w:t xml:space="preserve"> was arrested for speeding.   In cross-examination a</w:t>
      </w:r>
      <w:r w:rsidR="006D2F2A">
        <w:rPr>
          <w:rFonts w:ascii="Book Antiqua" w:hAnsi="Book Antiqua" w:cs="Arial"/>
        </w:rPr>
        <w:t xml:space="preserve">t the First-tier </w:t>
      </w:r>
      <w:r>
        <w:rPr>
          <w:rFonts w:ascii="Book Antiqua" w:hAnsi="Book Antiqua" w:cs="Arial"/>
        </w:rPr>
        <w:t>Tribunal</w:t>
      </w:r>
      <w:r w:rsidR="001056F1">
        <w:rPr>
          <w:rFonts w:ascii="Book Antiqua" w:hAnsi="Book Antiqua" w:cs="Arial"/>
        </w:rPr>
        <w:t xml:space="preserve"> in February 2018</w:t>
      </w:r>
      <w:r>
        <w:rPr>
          <w:rFonts w:ascii="Book Antiqua" w:hAnsi="Book Antiqua" w:cs="Arial"/>
        </w:rPr>
        <w:t xml:space="preserve">, the </w:t>
      </w:r>
      <w:r w:rsidR="008D490B">
        <w:rPr>
          <w:rFonts w:ascii="Book Antiqua" w:hAnsi="Book Antiqua" w:cs="Arial"/>
        </w:rPr>
        <w:t>appellant</w:t>
      </w:r>
      <w:r>
        <w:rPr>
          <w:rFonts w:ascii="Book Antiqua" w:hAnsi="Book Antiqua" w:cs="Arial"/>
        </w:rPr>
        <w:t xml:space="preserve"> admitted the arrest but said that </w:t>
      </w:r>
      <w:r w:rsidR="006D2F2A">
        <w:rPr>
          <w:rFonts w:ascii="Book Antiqua" w:hAnsi="Book Antiqua" w:cs="Arial"/>
        </w:rPr>
        <w:t xml:space="preserve">he was not driving.  It appears there has as yet been no prosecution in relation to that arrest.  </w:t>
      </w:r>
    </w:p>
    <w:p w:rsidR="00552B02" w:rsidRDefault="006D2F2A" w:rsidP="00841DC8">
      <w:pPr>
        <w:numPr>
          <w:ilvl w:val="0"/>
          <w:numId w:val="3"/>
        </w:numPr>
        <w:spacing w:before="240"/>
        <w:jc w:val="both"/>
        <w:rPr>
          <w:rFonts w:ascii="Book Antiqua" w:hAnsi="Book Antiqua" w:cs="Arial"/>
        </w:rPr>
      </w:pPr>
      <w:r>
        <w:rPr>
          <w:rFonts w:ascii="Book Antiqua" w:hAnsi="Book Antiqua" w:cs="Arial"/>
        </w:rPr>
        <w:t>Against that background</w:t>
      </w:r>
      <w:r w:rsidR="00950394">
        <w:rPr>
          <w:rFonts w:ascii="Book Antiqua" w:hAnsi="Book Antiqua" w:cs="Arial"/>
        </w:rPr>
        <w:t>, but</w:t>
      </w:r>
      <w:r>
        <w:rPr>
          <w:rFonts w:ascii="Book Antiqua" w:hAnsi="Book Antiqua" w:cs="Arial"/>
        </w:rPr>
        <w:t xml:space="preserve"> without the benefit of the guidance later given by the Court of Justice in</w:t>
      </w:r>
      <w:r w:rsidR="007C6337">
        <w:rPr>
          <w:rFonts w:ascii="Book Antiqua" w:hAnsi="Book Antiqua" w:cs="Arial"/>
        </w:rPr>
        <w:t xml:space="preserve"> </w:t>
      </w:r>
      <w:r w:rsidR="00DE5370" w:rsidRPr="00DE5370">
        <w:rPr>
          <w:rFonts w:ascii="Book Antiqua" w:hAnsi="Book Antiqua" w:cs="Arial"/>
          <w:i/>
        </w:rPr>
        <w:t>B (Citizenship of the European Union - Right to move and reside freely - Enhanced protection against expulsion - Judgment</w:t>
      </w:r>
      <w:r w:rsidR="00DE5370" w:rsidRPr="00DE5370">
        <w:rPr>
          <w:rFonts w:ascii="Book Antiqua" w:hAnsi="Book Antiqua" w:cs="Arial"/>
        </w:rPr>
        <w:t>) [2018] EUECJ C-316/16 (17 April 2018)</w:t>
      </w:r>
      <w:r w:rsidR="00DE5370" w:rsidRPr="00DE5370">
        <w:rPr>
          <w:rFonts w:ascii="Book Antiqua" w:hAnsi="Book Antiqua" w:cs="Arial"/>
          <w:i/>
        </w:rPr>
        <w:t xml:space="preserve"> </w:t>
      </w:r>
      <w:r>
        <w:rPr>
          <w:rFonts w:ascii="Book Antiqua" w:hAnsi="Book Antiqua" w:cs="Arial"/>
        </w:rPr>
        <w:t xml:space="preserve">the </w:t>
      </w:r>
      <w:r w:rsidR="00950394">
        <w:rPr>
          <w:rFonts w:ascii="Book Antiqua" w:hAnsi="Book Antiqua" w:cs="Arial"/>
        </w:rPr>
        <w:t>First-tier Tribunal Judge</w:t>
      </w:r>
      <w:r>
        <w:rPr>
          <w:rFonts w:ascii="Book Antiqua" w:hAnsi="Book Antiqua" w:cs="Arial"/>
        </w:rPr>
        <w:t xml:space="preserve"> found as a fact that the applicant was integrated into the United Kingdom</w:t>
      </w:r>
      <w:r w:rsidR="00950394">
        <w:rPr>
          <w:rFonts w:ascii="Book Antiqua" w:hAnsi="Book Antiqua" w:cs="Arial"/>
        </w:rPr>
        <w:t xml:space="preserve">.  </w:t>
      </w:r>
      <w:r w:rsidR="001E31AE">
        <w:rPr>
          <w:rFonts w:ascii="Book Antiqua" w:hAnsi="Book Antiqua" w:cs="Arial"/>
        </w:rPr>
        <w:t>The Judge</w:t>
      </w:r>
      <w:r w:rsidR="00950394">
        <w:rPr>
          <w:rFonts w:ascii="Book Antiqua" w:hAnsi="Book Antiqua" w:cs="Arial"/>
        </w:rPr>
        <w:t xml:space="preserve"> </w:t>
      </w:r>
      <w:r w:rsidR="003645A1">
        <w:rPr>
          <w:rFonts w:ascii="Book Antiqua" w:hAnsi="Book Antiqua" w:cs="Arial"/>
        </w:rPr>
        <w:t xml:space="preserve">noted that the </w:t>
      </w:r>
      <w:r w:rsidR="008D490B">
        <w:rPr>
          <w:rFonts w:ascii="Book Antiqua" w:hAnsi="Book Antiqua" w:cs="Arial"/>
        </w:rPr>
        <w:t>appellant</w:t>
      </w:r>
      <w:r w:rsidR="003645A1">
        <w:rPr>
          <w:rFonts w:ascii="Book Antiqua" w:hAnsi="Book Antiqua" w:cs="Arial"/>
        </w:rPr>
        <w:t xml:space="preserve"> had a permanent right of residence in the United Kingdom and considered at [19] whether the </w:t>
      </w:r>
      <w:r w:rsidR="008D490B">
        <w:rPr>
          <w:rFonts w:ascii="Book Antiqua" w:hAnsi="Book Antiqua" w:cs="Arial"/>
        </w:rPr>
        <w:t>appellant</w:t>
      </w:r>
      <w:r w:rsidR="003645A1">
        <w:rPr>
          <w:rFonts w:ascii="Book Antiqua" w:hAnsi="Book Antiqua" w:cs="Arial"/>
        </w:rPr>
        <w:t xml:space="preserve"> should be considered under Regulation 21(3) of the Immigration (European Economic Area) Regulations 20</w:t>
      </w:r>
      <w:r w:rsidR="006305B3">
        <w:rPr>
          <w:rFonts w:ascii="Book Antiqua" w:hAnsi="Book Antiqua" w:cs="Arial"/>
        </w:rPr>
        <w:t>0</w:t>
      </w:r>
      <w:r w:rsidR="003645A1">
        <w:rPr>
          <w:rFonts w:ascii="Book Antiqua" w:hAnsi="Book Antiqua" w:cs="Arial"/>
        </w:rPr>
        <w:t>6</w:t>
      </w:r>
      <w:r w:rsidR="00901F67">
        <w:rPr>
          <w:rFonts w:ascii="Book Antiqua" w:hAnsi="Book Antiqua" w:cs="Arial"/>
        </w:rPr>
        <w:t xml:space="preserve"> (serious grounds of public policy), or whether he was entitled to the </w:t>
      </w:r>
      <w:r w:rsidR="00901F67">
        <w:rPr>
          <w:rFonts w:ascii="Book Antiqua" w:hAnsi="Book Antiqua" w:cs="Arial"/>
        </w:rPr>
        <w:lastRenderedPageBreak/>
        <w:t>protection</w:t>
      </w:r>
      <w:r w:rsidR="00841DC8">
        <w:rPr>
          <w:rFonts w:ascii="Book Antiqua" w:hAnsi="Book Antiqua" w:cs="Arial"/>
        </w:rPr>
        <w:t xml:space="preserve"> </w:t>
      </w:r>
      <w:r w:rsidR="00841DC8" w:rsidRPr="00841DC8">
        <w:rPr>
          <w:rFonts w:ascii="Book Antiqua" w:hAnsi="Book Antiqua" w:cs="Arial"/>
        </w:rPr>
        <w:t xml:space="preserve">in Regulation 21(4) </w:t>
      </w:r>
      <w:r w:rsidR="00841DC8">
        <w:rPr>
          <w:rFonts w:ascii="Book Antiqua" w:hAnsi="Book Antiqua" w:cs="Arial"/>
        </w:rPr>
        <w:t>for those with 10 years’ residence before the decision to deport, who can be removed only on imperative grounds of public safety or public order.</w:t>
      </w:r>
    </w:p>
    <w:p w:rsidR="00A967AB" w:rsidRDefault="00552B02" w:rsidP="006D3C5C">
      <w:pPr>
        <w:numPr>
          <w:ilvl w:val="0"/>
          <w:numId w:val="3"/>
        </w:numPr>
        <w:spacing w:before="240"/>
        <w:jc w:val="both"/>
        <w:rPr>
          <w:rFonts w:ascii="Book Antiqua" w:hAnsi="Book Antiqua" w:cs="Arial"/>
        </w:rPr>
      </w:pPr>
      <w:r>
        <w:rPr>
          <w:rFonts w:ascii="Book Antiqua" w:hAnsi="Book Antiqua" w:cs="Arial"/>
        </w:rPr>
        <w:t xml:space="preserve">The Judge </w:t>
      </w:r>
      <w:r w:rsidR="004F01FA">
        <w:rPr>
          <w:rFonts w:ascii="Book Antiqua" w:hAnsi="Book Antiqua" w:cs="Arial"/>
        </w:rPr>
        <w:t>made</w:t>
      </w:r>
      <w:r>
        <w:rPr>
          <w:rFonts w:ascii="Book Antiqua" w:hAnsi="Book Antiqua" w:cs="Arial"/>
        </w:rPr>
        <w:t xml:space="preserve"> a careful assessment under Regulation 21(3)</w:t>
      </w:r>
      <w:r w:rsidR="004F01FA">
        <w:rPr>
          <w:rFonts w:ascii="Book Antiqua" w:hAnsi="Book Antiqua" w:cs="Arial"/>
        </w:rPr>
        <w:t xml:space="preserve"> and 21(5) of the 2006 Regulations</w:t>
      </w:r>
      <w:r>
        <w:rPr>
          <w:rFonts w:ascii="Book Antiqua" w:hAnsi="Book Antiqua" w:cs="Arial"/>
        </w:rPr>
        <w:t xml:space="preserve">, </w:t>
      </w:r>
      <w:r w:rsidR="00B2633F">
        <w:rPr>
          <w:rFonts w:ascii="Book Antiqua" w:hAnsi="Book Antiqua" w:cs="Arial"/>
        </w:rPr>
        <w:t>finding as a fact</w:t>
      </w:r>
      <w:r>
        <w:rPr>
          <w:rFonts w:ascii="Book Antiqua" w:hAnsi="Book Antiqua" w:cs="Arial"/>
        </w:rPr>
        <w:t xml:space="preserve"> that the </w:t>
      </w:r>
      <w:r w:rsidR="00B2633F">
        <w:rPr>
          <w:rFonts w:ascii="Book Antiqua" w:hAnsi="Book Antiqua" w:cs="Arial"/>
        </w:rPr>
        <w:t>appellant</w:t>
      </w:r>
      <w:r>
        <w:rPr>
          <w:rFonts w:ascii="Book Antiqua" w:hAnsi="Book Antiqua" w:cs="Arial"/>
        </w:rPr>
        <w:t xml:space="preserve"> was</w:t>
      </w:r>
      <w:r w:rsidR="00A21D25">
        <w:rPr>
          <w:rFonts w:ascii="Book Antiqua" w:hAnsi="Book Antiqua" w:cs="Arial"/>
        </w:rPr>
        <w:t xml:space="preserve"> </w:t>
      </w:r>
      <w:r w:rsidR="00B2633F">
        <w:rPr>
          <w:rFonts w:ascii="Book Antiqua" w:hAnsi="Book Antiqua" w:cs="Arial"/>
        </w:rPr>
        <w:t xml:space="preserve">integrated into the United Kingdom and that he </w:t>
      </w:r>
      <w:r w:rsidR="00B234E7">
        <w:rPr>
          <w:rFonts w:ascii="Book Antiqua" w:hAnsi="Book Antiqua" w:cs="Arial"/>
        </w:rPr>
        <w:t xml:space="preserve">had made progress towards rehabilitation, </w:t>
      </w:r>
      <w:r w:rsidR="00A21D25">
        <w:rPr>
          <w:rFonts w:ascii="Book Antiqua" w:hAnsi="Book Antiqua" w:cs="Arial"/>
        </w:rPr>
        <w:t>having</w:t>
      </w:r>
      <w:r>
        <w:rPr>
          <w:rFonts w:ascii="Book Antiqua" w:hAnsi="Book Antiqua" w:cs="Arial"/>
        </w:rPr>
        <w:t xml:space="preserve"> </w:t>
      </w:r>
      <w:r w:rsidR="00A21D25">
        <w:rPr>
          <w:rFonts w:ascii="Book Antiqua" w:hAnsi="Book Antiqua" w:cs="Arial"/>
        </w:rPr>
        <w:t>given up drug taking and entered into a new relationship</w:t>
      </w:r>
      <w:r w:rsidR="00794684">
        <w:rPr>
          <w:rFonts w:ascii="Book Antiqua" w:hAnsi="Book Antiqua" w:cs="Arial"/>
        </w:rPr>
        <w:t>,</w:t>
      </w:r>
      <w:r w:rsidR="00A21D25">
        <w:rPr>
          <w:rFonts w:ascii="Book Antiqua" w:hAnsi="Book Antiqua" w:cs="Arial"/>
        </w:rPr>
        <w:t xml:space="preserve"> </w:t>
      </w:r>
      <w:r w:rsidR="007534DF">
        <w:rPr>
          <w:rFonts w:ascii="Book Antiqua" w:hAnsi="Book Antiqua" w:cs="Arial"/>
        </w:rPr>
        <w:t>such</w:t>
      </w:r>
      <w:r w:rsidR="00A21D25">
        <w:rPr>
          <w:rFonts w:ascii="Book Antiqua" w:hAnsi="Book Antiqua" w:cs="Arial"/>
        </w:rPr>
        <w:t xml:space="preserve"> that there </w:t>
      </w:r>
      <w:r w:rsidR="00306E21">
        <w:rPr>
          <w:rFonts w:ascii="Book Antiqua" w:hAnsi="Book Antiqua" w:cs="Arial"/>
        </w:rPr>
        <w:t>were</w:t>
      </w:r>
      <w:r w:rsidR="00A21D25">
        <w:rPr>
          <w:rFonts w:ascii="Book Antiqua" w:hAnsi="Book Antiqua" w:cs="Arial"/>
        </w:rPr>
        <w:t xml:space="preserve"> no longer ser</w:t>
      </w:r>
      <w:r w:rsidR="007C6337">
        <w:rPr>
          <w:rFonts w:ascii="Book Antiqua" w:hAnsi="Book Antiqua" w:cs="Arial"/>
        </w:rPr>
        <w:t>i</w:t>
      </w:r>
      <w:r w:rsidR="00A21D25">
        <w:rPr>
          <w:rFonts w:ascii="Book Antiqua" w:hAnsi="Book Antiqua" w:cs="Arial"/>
        </w:rPr>
        <w:t xml:space="preserve">ous grounds of public policy or public security for which his deportation was necessary.  </w:t>
      </w:r>
    </w:p>
    <w:p w:rsidR="00A722DA" w:rsidRDefault="00B234E7" w:rsidP="00A722DA">
      <w:pPr>
        <w:numPr>
          <w:ilvl w:val="0"/>
          <w:numId w:val="3"/>
        </w:numPr>
        <w:spacing w:before="240"/>
        <w:jc w:val="both"/>
        <w:rPr>
          <w:rFonts w:ascii="Book Antiqua" w:hAnsi="Book Antiqua" w:cs="Arial"/>
        </w:rPr>
      </w:pPr>
      <w:r w:rsidRPr="00B234E7">
        <w:rPr>
          <w:rFonts w:ascii="Book Antiqua" w:hAnsi="Book Antiqua" w:cs="Arial"/>
        </w:rPr>
        <w:t xml:space="preserve">The First-tier Tribunal Judge did not go on to consider whether Regulation 21(4) </w:t>
      </w:r>
      <w:r w:rsidR="006D3C5C">
        <w:rPr>
          <w:rFonts w:ascii="Book Antiqua" w:hAnsi="Book Antiqua" w:cs="Arial"/>
        </w:rPr>
        <w:t>(</w:t>
      </w:r>
      <w:r w:rsidR="006D3C5C" w:rsidRPr="006D3C5C">
        <w:rPr>
          <w:rFonts w:ascii="Book Antiqua" w:hAnsi="Book Antiqua" w:cs="Arial"/>
        </w:rPr>
        <w:t>the imperative grounds protection</w:t>
      </w:r>
      <w:r w:rsidR="006D3C5C">
        <w:rPr>
          <w:rFonts w:ascii="Book Antiqua" w:hAnsi="Book Antiqua" w:cs="Arial"/>
        </w:rPr>
        <w:t xml:space="preserve">) </w:t>
      </w:r>
      <w:r w:rsidRPr="00B234E7">
        <w:rPr>
          <w:rFonts w:ascii="Book Antiqua" w:hAnsi="Book Antiqua" w:cs="Arial"/>
        </w:rPr>
        <w:t>was applicable.  There are no findings</w:t>
      </w:r>
      <w:r w:rsidR="006D3C5C">
        <w:rPr>
          <w:rFonts w:ascii="Book Antiqua" w:hAnsi="Book Antiqua" w:cs="Arial"/>
        </w:rPr>
        <w:t xml:space="preserve"> as to </w:t>
      </w:r>
      <w:r w:rsidRPr="00B234E7">
        <w:rPr>
          <w:rFonts w:ascii="Book Antiqua" w:hAnsi="Book Antiqua" w:cs="Arial"/>
        </w:rPr>
        <w:t>whether</w:t>
      </w:r>
      <w:r w:rsidR="006D3C5C">
        <w:rPr>
          <w:rFonts w:ascii="Book Antiqua" w:hAnsi="Book Antiqua" w:cs="Arial"/>
        </w:rPr>
        <w:t xml:space="preserve"> as a matter of law,</w:t>
      </w:r>
      <w:r w:rsidRPr="00B234E7">
        <w:rPr>
          <w:rFonts w:ascii="Book Antiqua" w:hAnsi="Book Antiqua" w:cs="Arial"/>
        </w:rPr>
        <w:t xml:space="preserve"> the appellant achieved 10 years’ residence prior to the decision to deport him.  </w:t>
      </w:r>
    </w:p>
    <w:p w:rsidR="00A66506" w:rsidRPr="00A66506" w:rsidRDefault="00A66506" w:rsidP="00A66506">
      <w:pPr>
        <w:spacing w:before="240"/>
        <w:jc w:val="both"/>
        <w:rPr>
          <w:rFonts w:ascii="Book Antiqua" w:hAnsi="Book Antiqua" w:cs="Arial"/>
          <w:b/>
        </w:rPr>
      </w:pPr>
      <w:r>
        <w:rPr>
          <w:rFonts w:ascii="Book Antiqua" w:hAnsi="Book Antiqua" w:cs="Arial"/>
          <w:b/>
        </w:rPr>
        <w:t xml:space="preserve">Permission to appeal </w:t>
      </w:r>
    </w:p>
    <w:p w:rsidR="00A66506" w:rsidRDefault="00A66506" w:rsidP="00A66506">
      <w:pPr>
        <w:numPr>
          <w:ilvl w:val="0"/>
          <w:numId w:val="3"/>
        </w:numPr>
        <w:spacing w:before="240"/>
        <w:jc w:val="both"/>
        <w:rPr>
          <w:rFonts w:ascii="Book Antiqua" w:hAnsi="Book Antiqua" w:cs="Arial"/>
        </w:rPr>
      </w:pPr>
      <w:r>
        <w:rPr>
          <w:rFonts w:ascii="Book Antiqua" w:hAnsi="Book Antiqua" w:cs="Arial"/>
        </w:rPr>
        <w:t xml:space="preserve">I note that the Respondent’s grounds for appealing both in the appeal to the First-tier Tribunal and the renewed appeal here do not challenge the finding of integration.  The respondent asserts that the First-tier Judge overlooked the impending prosecution for the January 2018 driving offence, but it is clear from the decision that she did have regard to that as well as to the totality of all other relevant evidence before her.  </w:t>
      </w:r>
    </w:p>
    <w:p w:rsidR="006525A6" w:rsidRDefault="00A66506" w:rsidP="00A66506">
      <w:pPr>
        <w:numPr>
          <w:ilvl w:val="0"/>
          <w:numId w:val="3"/>
        </w:numPr>
        <w:spacing w:before="240"/>
        <w:jc w:val="both"/>
        <w:rPr>
          <w:rFonts w:ascii="Book Antiqua" w:hAnsi="Book Antiqua" w:cs="Arial"/>
        </w:rPr>
      </w:pPr>
      <w:r>
        <w:rPr>
          <w:rFonts w:ascii="Book Antiqua" w:hAnsi="Book Antiqua" w:cs="Arial"/>
        </w:rPr>
        <w:t>The grounds of appeal submit that if the appellant’s offending history had been properly considered the judge would have been obliged to find that he represented a genuine, present and sufficiently serious threat to the fundamental interests of society by virtue of his numerous convictions and that even a slight risk that he could offend again would be sufficient.  No authority is given for that proposition</w:t>
      </w:r>
      <w:r w:rsidR="006525A6">
        <w:rPr>
          <w:rFonts w:ascii="Book Antiqua" w:hAnsi="Book Antiqua" w:cs="Arial"/>
        </w:rPr>
        <w:t>.</w:t>
      </w:r>
      <w:r>
        <w:rPr>
          <w:rFonts w:ascii="Book Antiqua" w:hAnsi="Book Antiqua" w:cs="Arial"/>
        </w:rPr>
        <w:t xml:space="preserve"> </w:t>
      </w:r>
    </w:p>
    <w:p w:rsidR="00A722DA" w:rsidRPr="00A722DA" w:rsidRDefault="00A722DA" w:rsidP="00A722DA">
      <w:pPr>
        <w:spacing w:before="240"/>
        <w:jc w:val="both"/>
        <w:rPr>
          <w:rFonts w:ascii="Book Antiqua" w:hAnsi="Book Antiqua" w:cs="Arial"/>
          <w:b/>
        </w:rPr>
      </w:pPr>
      <w:r>
        <w:rPr>
          <w:rFonts w:ascii="Book Antiqua" w:hAnsi="Book Antiqua" w:cs="Arial"/>
          <w:b/>
        </w:rPr>
        <w:t xml:space="preserve">Discussion </w:t>
      </w:r>
    </w:p>
    <w:p w:rsidR="00AD442C" w:rsidRDefault="00AD442C" w:rsidP="00AD442C">
      <w:pPr>
        <w:numPr>
          <w:ilvl w:val="0"/>
          <w:numId w:val="3"/>
        </w:numPr>
        <w:spacing w:before="240"/>
        <w:jc w:val="both"/>
        <w:rPr>
          <w:rFonts w:ascii="Book Antiqua" w:hAnsi="Book Antiqua" w:cs="Arial"/>
        </w:rPr>
      </w:pPr>
      <w:r>
        <w:rPr>
          <w:rFonts w:ascii="Book Antiqua" w:hAnsi="Book Antiqua" w:cs="Arial"/>
        </w:rPr>
        <w:t xml:space="preserve">In </w:t>
      </w:r>
      <w:r w:rsidRPr="00012AC3">
        <w:rPr>
          <w:rFonts w:ascii="Book Antiqua" w:hAnsi="Book Antiqua" w:cs="Arial"/>
          <w:i/>
        </w:rPr>
        <w:t xml:space="preserve">B (Citizenship of the European Union – Right to move and reside freely – Enhanced protection against expulsion – Judgment) </w:t>
      </w:r>
      <w:r w:rsidRPr="00012AC3">
        <w:rPr>
          <w:rFonts w:ascii="Book Antiqua" w:hAnsi="Book Antiqua" w:cs="Arial"/>
        </w:rPr>
        <w:t>[2018] EUECJ C316/16</w:t>
      </w:r>
      <w:r>
        <w:rPr>
          <w:rFonts w:ascii="Book Antiqua" w:hAnsi="Book Antiqua" w:cs="Arial"/>
        </w:rPr>
        <w:t>, the Court of Justice of the European Union held that a permanent right of residence is a prerequisite of eligibility for the protection against expulsion provided for in Article 28(3)(a) of Directive 2004/38, and that the 10 years’ residence required for the enhanced protection in Regulation 21(4) is not necessarily breached ‘where an overall assessment of the person’s situation, taking into account all the relevant aspects, leads to the conclusion that, notwithstanding that detention, the integrative links between the person concerned and the host Member State have not been broken.  The Court confirmed that the relevant date is the date when the deportation decision is taken.</w:t>
      </w:r>
    </w:p>
    <w:p w:rsidR="006525A6" w:rsidRDefault="008E2791" w:rsidP="006525A6">
      <w:pPr>
        <w:numPr>
          <w:ilvl w:val="0"/>
          <w:numId w:val="3"/>
        </w:numPr>
        <w:spacing w:before="240"/>
        <w:jc w:val="both"/>
        <w:rPr>
          <w:rFonts w:ascii="Book Antiqua" w:hAnsi="Book Antiqua" w:cs="Arial"/>
        </w:rPr>
      </w:pPr>
      <w:r>
        <w:rPr>
          <w:rFonts w:ascii="Book Antiqua" w:hAnsi="Book Antiqua" w:cs="Arial"/>
        </w:rPr>
        <w:t xml:space="preserve">It is not in dispute that the appellant </w:t>
      </w:r>
      <w:r w:rsidR="006525A6">
        <w:rPr>
          <w:rFonts w:ascii="Book Antiqua" w:hAnsi="Book Antiqua" w:cs="Arial"/>
        </w:rPr>
        <w:t xml:space="preserve">here </w:t>
      </w:r>
      <w:r>
        <w:rPr>
          <w:rFonts w:ascii="Book Antiqua" w:hAnsi="Book Antiqua" w:cs="Arial"/>
        </w:rPr>
        <w:t xml:space="preserve">has a permanent right of residence.  The </w:t>
      </w:r>
      <w:r w:rsidR="00DE584B">
        <w:rPr>
          <w:rFonts w:ascii="Book Antiqua" w:hAnsi="Book Antiqua" w:cs="Arial"/>
        </w:rPr>
        <w:t xml:space="preserve">respondent is therefore required to show that </w:t>
      </w:r>
      <w:r w:rsidR="00AD442C">
        <w:rPr>
          <w:rFonts w:ascii="Book Antiqua" w:hAnsi="Book Antiqua" w:cs="Arial"/>
        </w:rPr>
        <w:t xml:space="preserve">there are serious grounds of public policy or public security </w:t>
      </w:r>
      <w:r w:rsidR="00DF1055">
        <w:rPr>
          <w:rFonts w:ascii="Book Antiqua" w:hAnsi="Book Antiqua" w:cs="Arial"/>
        </w:rPr>
        <w:t xml:space="preserve">for which he should be removed from the United Kingdom.  </w:t>
      </w:r>
      <w:r w:rsidR="006525A6">
        <w:rPr>
          <w:rFonts w:ascii="Book Antiqua" w:hAnsi="Book Antiqua" w:cs="Arial"/>
        </w:rPr>
        <w:t xml:space="preserve">Having regard to the appellant’s lengthy residence in the United Kingdom, to the interruption in his offending history between January 2017 and February 2018, the explanation which the appellant produced in relation to his January 2018 arrest, which </w:t>
      </w:r>
      <w:r w:rsidR="006525A6">
        <w:rPr>
          <w:rFonts w:ascii="Book Antiqua" w:hAnsi="Book Antiqua" w:cs="Arial"/>
        </w:rPr>
        <w:lastRenderedPageBreak/>
        <w:t xml:space="preserve">has not yet been the subject of a prosecution, I am satisfied that it was open to the First-tier Tribunal Judge to find that the respondent had not discharged the burden upon him of showing that the appellant was a genuine, present and sufficiently serious threat to the fundamental interests of society, despite his poor criminal history.  </w:t>
      </w:r>
    </w:p>
    <w:p w:rsidR="00DE584B" w:rsidRPr="00DD48E3" w:rsidRDefault="00DF1055" w:rsidP="00284307">
      <w:pPr>
        <w:numPr>
          <w:ilvl w:val="0"/>
          <w:numId w:val="3"/>
        </w:numPr>
        <w:spacing w:before="240"/>
        <w:jc w:val="both"/>
        <w:rPr>
          <w:rFonts w:ascii="Book Antiqua" w:hAnsi="Book Antiqua" w:cs="Arial"/>
        </w:rPr>
      </w:pPr>
      <w:r w:rsidRPr="00DD48E3">
        <w:rPr>
          <w:rFonts w:ascii="Book Antiqua" w:hAnsi="Book Antiqua" w:cs="Arial"/>
        </w:rPr>
        <w:t xml:space="preserve">In this case, the factual </w:t>
      </w:r>
      <w:r w:rsidR="0052447C" w:rsidRPr="00DD48E3">
        <w:rPr>
          <w:rFonts w:ascii="Book Antiqua" w:hAnsi="Book Antiqua" w:cs="Arial"/>
        </w:rPr>
        <w:t>matrix identified by the First-tier Tribunal was</w:t>
      </w:r>
      <w:r w:rsidRPr="00DD48E3">
        <w:rPr>
          <w:rFonts w:ascii="Book Antiqua" w:hAnsi="Book Antiqua" w:cs="Arial"/>
        </w:rPr>
        <w:t xml:space="preserve"> that the appellant has remained integrated in the United Kingdom, that he has stopped using drugs and has a new girlfriend </w:t>
      </w:r>
      <w:r w:rsidR="00E87116" w:rsidRPr="00DD48E3">
        <w:rPr>
          <w:rFonts w:ascii="Book Antiqua" w:hAnsi="Book Antiqua" w:cs="Arial"/>
        </w:rPr>
        <w:t>with whom he does not have the issues, or the lifestyle, which led to his previous offences</w:t>
      </w:r>
      <w:r w:rsidR="0052447C" w:rsidRPr="00DD48E3">
        <w:rPr>
          <w:rFonts w:ascii="Book Antiqua" w:hAnsi="Book Antiqua" w:cs="Arial"/>
        </w:rPr>
        <w:t xml:space="preserve">, such that </w:t>
      </w:r>
      <w:r w:rsidR="001A7369" w:rsidRPr="00DD48E3">
        <w:rPr>
          <w:rFonts w:ascii="Book Antiqua" w:hAnsi="Book Antiqua" w:cs="Arial"/>
        </w:rPr>
        <w:t xml:space="preserve">there are no longer serious grounds of public policy or public security for his removal. </w:t>
      </w:r>
      <w:r w:rsidR="00DD48E3">
        <w:rPr>
          <w:rFonts w:ascii="Book Antiqua" w:hAnsi="Book Antiqua" w:cs="Arial"/>
        </w:rPr>
        <w:t>I</w:t>
      </w:r>
      <w:r w:rsidR="00DD48E3" w:rsidRPr="00AF7FB9">
        <w:rPr>
          <w:rFonts w:ascii="Book Antiqua" w:hAnsi="Book Antiqua" w:cs="Arial"/>
        </w:rPr>
        <w:t>t would have been better if she had dealt with whether Article 21(4) was applicable</w:t>
      </w:r>
      <w:r w:rsidR="00DD48E3">
        <w:rPr>
          <w:rFonts w:ascii="Book Antiqua" w:hAnsi="Book Antiqua" w:cs="Arial"/>
        </w:rPr>
        <w:t>, but as the appeal succeeded under Article 21(3), such error is not material.</w:t>
      </w:r>
    </w:p>
    <w:p w:rsidR="00FE1705" w:rsidRDefault="00A66506" w:rsidP="00284307">
      <w:pPr>
        <w:numPr>
          <w:ilvl w:val="0"/>
          <w:numId w:val="3"/>
        </w:numPr>
        <w:spacing w:before="240"/>
        <w:jc w:val="both"/>
        <w:rPr>
          <w:rFonts w:ascii="Book Antiqua" w:hAnsi="Book Antiqua" w:cs="Arial"/>
        </w:rPr>
      </w:pPr>
      <w:r w:rsidRPr="00AF7FB9">
        <w:rPr>
          <w:rFonts w:ascii="Book Antiqua" w:hAnsi="Book Antiqua" w:cs="Arial"/>
        </w:rPr>
        <w:t>I find therefore that</w:t>
      </w:r>
      <w:r w:rsidR="00DD48E3">
        <w:rPr>
          <w:rFonts w:ascii="Book Antiqua" w:hAnsi="Book Antiqua" w:cs="Arial"/>
        </w:rPr>
        <w:t xml:space="preserve"> the decision is adequately reasoned, and that </w:t>
      </w:r>
      <w:r w:rsidRPr="00AF7FB9">
        <w:rPr>
          <w:rFonts w:ascii="Book Antiqua" w:hAnsi="Book Antiqua" w:cs="Arial"/>
        </w:rPr>
        <w:t xml:space="preserve">it was open to the judge to reach the conclusion she did for the reasons given.  </w:t>
      </w:r>
      <w:r w:rsidR="00DD48E3">
        <w:rPr>
          <w:rFonts w:ascii="Book Antiqua" w:hAnsi="Book Antiqua" w:cs="Arial"/>
        </w:rPr>
        <w:t xml:space="preserve"> </w:t>
      </w:r>
      <w:r w:rsidR="00DD48E3" w:rsidRPr="00DD48E3">
        <w:rPr>
          <w:rFonts w:ascii="Book Antiqua" w:hAnsi="Book Antiqua" w:cs="Arial"/>
        </w:rPr>
        <w:t xml:space="preserve">It </w:t>
      </w:r>
      <w:r w:rsidR="00DD48E3">
        <w:rPr>
          <w:rFonts w:ascii="Book Antiqua" w:hAnsi="Book Antiqua" w:cs="Arial"/>
        </w:rPr>
        <w:t>may be</w:t>
      </w:r>
      <w:r w:rsidR="00DD48E3" w:rsidRPr="00DD48E3">
        <w:rPr>
          <w:rFonts w:ascii="Book Antiqua" w:hAnsi="Book Antiqua" w:cs="Arial"/>
        </w:rPr>
        <w:t xml:space="preserve"> that this is a generous decision</w:t>
      </w:r>
      <w:r w:rsidR="00DD48E3">
        <w:rPr>
          <w:rFonts w:ascii="Book Antiqua" w:hAnsi="Book Antiqua" w:cs="Arial"/>
        </w:rPr>
        <w:t>: t</w:t>
      </w:r>
      <w:r w:rsidR="00DD48E3" w:rsidRPr="00DD48E3">
        <w:rPr>
          <w:rFonts w:ascii="Book Antiqua" w:hAnsi="Book Antiqua" w:cs="Arial"/>
        </w:rPr>
        <w:t xml:space="preserve">he appellant should not expect that if he were ever to offend again the outcome would be the same.  </w:t>
      </w:r>
    </w:p>
    <w:p w:rsidR="00DD48E3" w:rsidRPr="00DD48E3" w:rsidRDefault="00925DD4" w:rsidP="00DD48E3">
      <w:pPr>
        <w:spacing w:before="240"/>
        <w:jc w:val="both"/>
        <w:rPr>
          <w:rFonts w:ascii="Book Antiqua" w:hAnsi="Book Antiqua" w:cs="Arial"/>
          <w:b/>
        </w:rPr>
      </w:pPr>
      <w:r>
        <w:rPr>
          <w:rFonts w:ascii="Book Antiqua" w:hAnsi="Book Antiqua" w:cs="Arial"/>
          <w:b/>
        </w:rPr>
        <w:t>DECISION</w:t>
      </w:r>
    </w:p>
    <w:p w:rsidR="00E831FC" w:rsidRDefault="00E831FC" w:rsidP="00E831FC">
      <w:pPr>
        <w:numPr>
          <w:ilvl w:val="0"/>
          <w:numId w:val="3"/>
        </w:numPr>
        <w:spacing w:before="240"/>
        <w:jc w:val="both"/>
        <w:rPr>
          <w:rFonts w:ascii="Book Antiqua" w:hAnsi="Book Antiqua" w:cs="Arial"/>
        </w:rPr>
      </w:pPr>
      <w:r w:rsidRPr="00E831FC">
        <w:rPr>
          <w:rFonts w:ascii="Book Antiqua" w:hAnsi="Book Antiqua" w:cs="Arial"/>
        </w:rPr>
        <w:t>For the foregoing reasons, my decision is as follows:</w:t>
      </w:r>
    </w:p>
    <w:p w:rsidR="00E831FC" w:rsidRPr="00E831FC" w:rsidRDefault="00E831FC" w:rsidP="00E831FC">
      <w:pPr>
        <w:spacing w:before="240"/>
        <w:ind w:left="567"/>
        <w:jc w:val="both"/>
        <w:rPr>
          <w:rFonts w:ascii="Book Antiqua" w:hAnsi="Book Antiqua" w:cs="Arial"/>
        </w:rPr>
      </w:pPr>
      <w:r w:rsidRPr="00E831FC">
        <w:rPr>
          <w:rFonts w:ascii="Book Antiqua" w:hAnsi="Book Antiqua" w:cs="Arial"/>
        </w:rPr>
        <w:t>The making of the previous decision involved the making of no error on a point of law</w:t>
      </w:r>
    </w:p>
    <w:p w:rsidR="00DD48E3" w:rsidRPr="00E831FC" w:rsidRDefault="00E831FC" w:rsidP="00E831FC">
      <w:pPr>
        <w:ind w:left="567"/>
        <w:jc w:val="both"/>
        <w:rPr>
          <w:rFonts w:ascii="Book Antiqua" w:hAnsi="Book Antiqua" w:cs="Arial"/>
        </w:rPr>
      </w:pPr>
      <w:r w:rsidRPr="00E831FC">
        <w:rPr>
          <w:rFonts w:ascii="Book Antiqua" w:hAnsi="Book Antiqua" w:cs="Arial"/>
        </w:rPr>
        <w:t>I do not set aside the decision but order that it shall stand.</w:t>
      </w:r>
    </w:p>
    <w:p w:rsidR="00B705D9" w:rsidRDefault="00B705D9" w:rsidP="000369F5">
      <w:pPr>
        <w:tabs>
          <w:tab w:val="left" w:pos="2520"/>
        </w:tabs>
        <w:jc w:val="both"/>
        <w:rPr>
          <w:rFonts w:ascii="Book Antiqua" w:hAnsi="Book Antiqua" w:cs="Arial"/>
        </w:rPr>
      </w:pPr>
    </w:p>
    <w:p w:rsidR="00EF7C10" w:rsidRDefault="00EF7C10" w:rsidP="009B6C7D">
      <w:pPr>
        <w:tabs>
          <w:tab w:val="left" w:pos="567"/>
        </w:tabs>
        <w:spacing w:before="240"/>
        <w:ind w:left="567"/>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t>15 August 2018</w:t>
      </w:r>
    </w:p>
    <w:p w:rsidR="00EF7C10" w:rsidRPr="009B6C7D" w:rsidRDefault="00EF7C10" w:rsidP="003E5909">
      <w:pPr>
        <w:tabs>
          <w:tab w:val="left" w:pos="567"/>
        </w:tabs>
        <w:ind w:left="567"/>
        <w:jc w:val="both"/>
        <w:rPr>
          <w:rFonts w:ascii="Book Antiqua" w:hAnsi="Book Antiqua" w:cs="Arial"/>
        </w:rPr>
      </w:pPr>
      <w:r>
        <w:rPr>
          <w:rFonts w:ascii="Book Antiqua" w:hAnsi="Book Antiqua" w:cs="Arial"/>
        </w:rPr>
        <w:tab/>
      </w:r>
      <w:r>
        <w:rPr>
          <w:rFonts w:ascii="Book Antiqua" w:hAnsi="Book Antiqua" w:cs="Arial"/>
        </w:rPr>
        <w:tab/>
        <w:t xml:space="preserve">Upper Tribunal Judge Gleeson </w:t>
      </w:r>
    </w:p>
    <w:p w:rsidR="00E831FC" w:rsidRDefault="00E831FC" w:rsidP="000369F5">
      <w:pPr>
        <w:tabs>
          <w:tab w:val="left" w:pos="2520"/>
        </w:tabs>
        <w:jc w:val="both"/>
        <w:rPr>
          <w:rFonts w:ascii="Book Antiqua" w:hAnsi="Book Antiqua" w:cs="Arial"/>
        </w:rPr>
      </w:pPr>
    </w:p>
    <w:p w:rsidR="00417AC5" w:rsidRDefault="00417AC5" w:rsidP="000369F5">
      <w:pPr>
        <w:tabs>
          <w:tab w:val="left" w:pos="2520"/>
        </w:tabs>
        <w:jc w:val="both"/>
        <w:rPr>
          <w:rFonts w:ascii="Book Antiqua" w:hAnsi="Book Antiqua" w:cs="Arial"/>
        </w:rPr>
      </w:pPr>
    </w:p>
    <w:p w:rsidR="00417AC5" w:rsidRDefault="00417AC5" w:rsidP="000369F5">
      <w:pPr>
        <w:tabs>
          <w:tab w:val="left" w:pos="2520"/>
        </w:tabs>
        <w:jc w:val="both"/>
        <w:rPr>
          <w:rFonts w:ascii="Book Antiqua" w:hAnsi="Book Antiqua" w:cs="Arial"/>
        </w:rPr>
      </w:pPr>
    </w:p>
    <w:p w:rsidR="00B705D9" w:rsidRPr="00F5664C" w:rsidRDefault="00B705D9" w:rsidP="000369F5">
      <w:pPr>
        <w:tabs>
          <w:tab w:val="left" w:pos="2520"/>
        </w:tabs>
        <w:jc w:val="both"/>
        <w:rPr>
          <w:rFonts w:ascii="Book Antiqua" w:hAnsi="Book Antiqua" w:cs="Arial"/>
        </w:rPr>
      </w:pPr>
    </w:p>
    <w:sectPr w:rsidR="00B705D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716" w:rsidRDefault="00DB3716">
      <w:r>
        <w:separator/>
      </w:r>
    </w:p>
  </w:endnote>
  <w:endnote w:type="continuationSeparator" w:id="0">
    <w:p w:rsidR="00DB3716" w:rsidRDefault="00DB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A7B7E">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716" w:rsidRDefault="00DB3716">
      <w:r>
        <w:separator/>
      </w:r>
    </w:p>
  </w:footnote>
  <w:footnote w:type="continuationSeparator" w:id="0">
    <w:p w:rsidR="00DB3716" w:rsidRDefault="00DB3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EC3A39" w:rsidRPr="00EC3A39">
      <w:rPr>
        <w:rFonts w:ascii="Book Antiqua" w:hAnsi="Book Antiqua" w:cs="Arial"/>
        <w:sz w:val="16"/>
        <w:szCs w:val="16"/>
      </w:rPr>
      <w:t>DA/00142/2017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4A8544A"/>
    <w:multiLevelType w:val="multilevel"/>
    <w:tmpl w:val="BB623C74"/>
    <w:lvl w:ilvl="0">
      <w:start w:val="1"/>
      <w:numFmt w:val="bullet"/>
      <w:lvlText w:val=""/>
      <w:lvlJc w:val="left"/>
      <w:pPr>
        <w:tabs>
          <w:tab w:val="num" w:pos="567"/>
        </w:tabs>
        <w:ind w:left="567" w:hanging="567"/>
      </w:pPr>
      <w:rPr>
        <w:rFonts w:ascii="Symbol" w:hAnsi="Symbol"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07"/>
    <w:rsid w:val="00000621"/>
    <w:rsid w:val="000036C2"/>
    <w:rsid w:val="00012AC3"/>
    <w:rsid w:val="0002205B"/>
    <w:rsid w:val="00033D3D"/>
    <w:rsid w:val="000369F5"/>
    <w:rsid w:val="00071A7E"/>
    <w:rsid w:val="000746C0"/>
    <w:rsid w:val="00074D1D"/>
    <w:rsid w:val="0008295F"/>
    <w:rsid w:val="00092580"/>
    <w:rsid w:val="000A68E1"/>
    <w:rsid w:val="000B27FE"/>
    <w:rsid w:val="000B528C"/>
    <w:rsid w:val="000C3BDC"/>
    <w:rsid w:val="000D5D94"/>
    <w:rsid w:val="000E6D26"/>
    <w:rsid w:val="000F3EC5"/>
    <w:rsid w:val="001056F1"/>
    <w:rsid w:val="00113275"/>
    <w:rsid w:val="001165A7"/>
    <w:rsid w:val="00120604"/>
    <w:rsid w:val="00122A62"/>
    <w:rsid w:val="00146D9C"/>
    <w:rsid w:val="00151BB7"/>
    <w:rsid w:val="0016457F"/>
    <w:rsid w:val="00167D3A"/>
    <w:rsid w:val="001A1E2C"/>
    <w:rsid w:val="001A7369"/>
    <w:rsid w:val="001B2B9C"/>
    <w:rsid w:val="001E31AE"/>
    <w:rsid w:val="001F2716"/>
    <w:rsid w:val="001F2A30"/>
    <w:rsid w:val="001F40B3"/>
    <w:rsid w:val="0020133A"/>
    <w:rsid w:val="00207617"/>
    <w:rsid w:val="002153CC"/>
    <w:rsid w:val="00226A6C"/>
    <w:rsid w:val="00267403"/>
    <w:rsid w:val="00282D33"/>
    <w:rsid w:val="00283659"/>
    <w:rsid w:val="00284307"/>
    <w:rsid w:val="00284DB6"/>
    <w:rsid w:val="002964CE"/>
    <w:rsid w:val="002B7760"/>
    <w:rsid w:val="002C3F5C"/>
    <w:rsid w:val="002C4E73"/>
    <w:rsid w:val="002D68BF"/>
    <w:rsid w:val="002E6493"/>
    <w:rsid w:val="002F26A8"/>
    <w:rsid w:val="00305958"/>
    <w:rsid w:val="00306E21"/>
    <w:rsid w:val="003126B9"/>
    <w:rsid w:val="00321493"/>
    <w:rsid w:val="003237FF"/>
    <w:rsid w:val="00324C78"/>
    <w:rsid w:val="003263BD"/>
    <w:rsid w:val="0032670A"/>
    <w:rsid w:val="00336CBF"/>
    <w:rsid w:val="00341AC8"/>
    <w:rsid w:val="003546C8"/>
    <w:rsid w:val="00360386"/>
    <w:rsid w:val="0036067B"/>
    <w:rsid w:val="003645A1"/>
    <w:rsid w:val="003A7CF2"/>
    <w:rsid w:val="003B0789"/>
    <w:rsid w:val="003C5CE5"/>
    <w:rsid w:val="003E267B"/>
    <w:rsid w:val="003E5936"/>
    <w:rsid w:val="003E7CD1"/>
    <w:rsid w:val="00401098"/>
    <w:rsid w:val="00402B9E"/>
    <w:rsid w:val="00410DA5"/>
    <w:rsid w:val="00417AC5"/>
    <w:rsid w:val="00423932"/>
    <w:rsid w:val="004249CB"/>
    <w:rsid w:val="0044127D"/>
    <w:rsid w:val="004448DB"/>
    <w:rsid w:val="00446C9A"/>
    <w:rsid w:val="00477193"/>
    <w:rsid w:val="00497BCC"/>
    <w:rsid w:val="004A1848"/>
    <w:rsid w:val="004B3E6C"/>
    <w:rsid w:val="004D2FBA"/>
    <w:rsid w:val="004E671D"/>
    <w:rsid w:val="004F01FA"/>
    <w:rsid w:val="00507FEC"/>
    <w:rsid w:val="00510F0E"/>
    <w:rsid w:val="00511FD6"/>
    <w:rsid w:val="0052447C"/>
    <w:rsid w:val="005479E1"/>
    <w:rsid w:val="00552B02"/>
    <w:rsid w:val="005570FD"/>
    <w:rsid w:val="005575EA"/>
    <w:rsid w:val="0057790C"/>
    <w:rsid w:val="00593795"/>
    <w:rsid w:val="00596910"/>
    <w:rsid w:val="005A2625"/>
    <w:rsid w:val="005A75FF"/>
    <w:rsid w:val="005A7AF3"/>
    <w:rsid w:val="005B7789"/>
    <w:rsid w:val="005C7CB8"/>
    <w:rsid w:val="00612745"/>
    <w:rsid w:val="00620659"/>
    <w:rsid w:val="006305B3"/>
    <w:rsid w:val="006525A6"/>
    <w:rsid w:val="00653924"/>
    <w:rsid w:val="0065791C"/>
    <w:rsid w:val="0067439B"/>
    <w:rsid w:val="00690B8A"/>
    <w:rsid w:val="006D1DFA"/>
    <w:rsid w:val="006D2F2A"/>
    <w:rsid w:val="006D3C5C"/>
    <w:rsid w:val="006D506B"/>
    <w:rsid w:val="006E3C90"/>
    <w:rsid w:val="00704B61"/>
    <w:rsid w:val="007416B4"/>
    <w:rsid w:val="00742A8D"/>
    <w:rsid w:val="007534DF"/>
    <w:rsid w:val="007552A9"/>
    <w:rsid w:val="00757C67"/>
    <w:rsid w:val="00761858"/>
    <w:rsid w:val="00767D59"/>
    <w:rsid w:val="00771861"/>
    <w:rsid w:val="00776E97"/>
    <w:rsid w:val="00780FD7"/>
    <w:rsid w:val="00781544"/>
    <w:rsid w:val="007912AD"/>
    <w:rsid w:val="0079352B"/>
    <w:rsid w:val="00794684"/>
    <w:rsid w:val="007A1F28"/>
    <w:rsid w:val="007B0824"/>
    <w:rsid w:val="007C3681"/>
    <w:rsid w:val="007C6337"/>
    <w:rsid w:val="007D2F1C"/>
    <w:rsid w:val="007F2CD9"/>
    <w:rsid w:val="008303B8"/>
    <w:rsid w:val="00833DCE"/>
    <w:rsid w:val="00841426"/>
    <w:rsid w:val="00841DC8"/>
    <w:rsid w:val="00842418"/>
    <w:rsid w:val="00850C42"/>
    <w:rsid w:val="00871D34"/>
    <w:rsid w:val="008B270C"/>
    <w:rsid w:val="008B7675"/>
    <w:rsid w:val="008C00EB"/>
    <w:rsid w:val="008C3D3D"/>
    <w:rsid w:val="008D2D39"/>
    <w:rsid w:val="008D4131"/>
    <w:rsid w:val="008D490B"/>
    <w:rsid w:val="008D72EE"/>
    <w:rsid w:val="008E2791"/>
    <w:rsid w:val="008F1932"/>
    <w:rsid w:val="008F294D"/>
    <w:rsid w:val="008F3478"/>
    <w:rsid w:val="008F57D9"/>
    <w:rsid w:val="00900D07"/>
    <w:rsid w:val="00900D80"/>
    <w:rsid w:val="00901F67"/>
    <w:rsid w:val="00904AF4"/>
    <w:rsid w:val="0091057D"/>
    <w:rsid w:val="00916597"/>
    <w:rsid w:val="00921062"/>
    <w:rsid w:val="00923213"/>
    <w:rsid w:val="00925DD4"/>
    <w:rsid w:val="0093083E"/>
    <w:rsid w:val="00950394"/>
    <w:rsid w:val="00966ECF"/>
    <w:rsid w:val="00971FE8"/>
    <w:rsid w:val="009727A3"/>
    <w:rsid w:val="0098507A"/>
    <w:rsid w:val="0098565C"/>
    <w:rsid w:val="00987774"/>
    <w:rsid w:val="00997F3F"/>
    <w:rsid w:val="009A11E8"/>
    <w:rsid w:val="009A7B7E"/>
    <w:rsid w:val="009B0014"/>
    <w:rsid w:val="009C5A94"/>
    <w:rsid w:val="009E4E62"/>
    <w:rsid w:val="009F5220"/>
    <w:rsid w:val="009F73A5"/>
    <w:rsid w:val="009F7C4D"/>
    <w:rsid w:val="00A15234"/>
    <w:rsid w:val="00A201AB"/>
    <w:rsid w:val="00A21D25"/>
    <w:rsid w:val="00A31BD8"/>
    <w:rsid w:val="00A31C8B"/>
    <w:rsid w:val="00A53BE8"/>
    <w:rsid w:val="00A66506"/>
    <w:rsid w:val="00A722DA"/>
    <w:rsid w:val="00A75D6E"/>
    <w:rsid w:val="00A845DC"/>
    <w:rsid w:val="00A967AB"/>
    <w:rsid w:val="00A97AEE"/>
    <w:rsid w:val="00AA2E5B"/>
    <w:rsid w:val="00AC5CF6"/>
    <w:rsid w:val="00AD442C"/>
    <w:rsid w:val="00AF7FB9"/>
    <w:rsid w:val="00B144FA"/>
    <w:rsid w:val="00B16F58"/>
    <w:rsid w:val="00B234E7"/>
    <w:rsid w:val="00B2633F"/>
    <w:rsid w:val="00B30648"/>
    <w:rsid w:val="00B319E5"/>
    <w:rsid w:val="00B3524D"/>
    <w:rsid w:val="00B40F69"/>
    <w:rsid w:val="00B46616"/>
    <w:rsid w:val="00B54087"/>
    <w:rsid w:val="00B610E3"/>
    <w:rsid w:val="00B61205"/>
    <w:rsid w:val="00B617C4"/>
    <w:rsid w:val="00B626FA"/>
    <w:rsid w:val="00B65747"/>
    <w:rsid w:val="00B7040A"/>
    <w:rsid w:val="00B705D9"/>
    <w:rsid w:val="00B81F1D"/>
    <w:rsid w:val="00B9106B"/>
    <w:rsid w:val="00B96FA0"/>
    <w:rsid w:val="00BD1E13"/>
    <w:rsid w:val="00BD4196"/>
    <w:rsid w:val="00BD6872"/>
    <w:rsid w:val="00BD74C9"/>
    <w:rsid w:val="00BE3952"/>
    <w:rsid w:val="00BF11C8"/>
    <w:rsid w:val="00BF22CA"/>
    <w:rsid w:val="00C005C1"/>
    <w:rsid w:val="00C25034"/>
    <w:rsid w:val="00C26032"/>
    <w:rsid w:val="00C265B0"/>
    <w:rsid w:val="00C321B5"/>
    <w:rsid w:val="00C345E1"/>
    <w:rsid w:val="00C457BC"/>
    <w:rsid w:val="00C76E40"/>
    <w:rsid w:val="00C977BA"/>
    <w:rsid w:val="00C97BA3"/>
    <w:rsid w:val="00CB6E35"/>
    <w:rsid w:val="00CE1A46"/>
    <w:rsid w:val="00CF253F"/>
    <w:rsid w:val="00CF56B4"/>
    <w:rsid w:val="00D20F09"/>
    <w:rsid w:val="00D22636"/>
    <w:rsid w:val="00D3659B"/>
    <w:rsid w:val="00D37178"/>
    <w:rsid w:val="00D40FD9"/>
    <w:rsid w:val="00D527C9"/>
    <w:rsid w:val="00D53769"/>
    <w:rsid w:val="00D70775"/>
    <w:rsid w:val="00D85C13"/>
    <w:rsid w:val="00D91BE3"/>
    <w:rsid w:val="00D94AFC"/>
    <w:rsid w:val="00DA53F9"/>
    <w:rsid w:val="00DB3716"/>
    <w:rsid w:val="00DB70AE"/>
    <w:rsid w:val="00DB7231"/>
    <w:rsid w:val="00DD48E3"/>
    <w:rsid w:val="00DD5071"/>
    <w:rsid w:val="00DD5C39"/>
    <w:rsid w:val="00DD6305"/>
    <w:rsid w:val="00DE0DFC"/>
    <w:rsid w:val="00DE26AF"/>
    <w:rsid w:val="00DE279E"/>
    <w:rsid w:val="00DE3F1C"/>
    <w:rsid w:val="00DE5370"/>
    <w:rsid w:val="00DE584B"/>
    <w:rsid w:val="00DE7DB7"/>
    <w:rsid w:val="00DF032D"/>
    <w:rsid w:val="00DF1055"/>
    <w:rsid w:val="00DF41E9"/>
    <w:rsid w:val="00E00A0A"/>
    <w:rsid w:val="00E05FCF"/>
    <w:rsid w:val="00E0621D"/>
    <w:rsid w:val="00E07F57"/>
    <w:rsid w:val="00E233DD"/>
    <w:rsid w:val="00E43F21"/>
    <w:rsid w:val="00E50BCE"/>
    <w:rsid w:val="00E51D71"/>
    <w:rsid w:val="00E61292"/>
    <w:rsid w:val="00E76309"/>
    <w:rsid w:val="00E77C4D"/>
    <w:rsid w:val="00E81D01"/>
    <w:rsid w:val="00E831FC"/>
    <w:rsid w:val="00E87116"/>
    <w:rsid w:val="00EA11B8"/>
    <w:rsid w:val="00EA4E94"/>
    <w:rsid w:val="00EB4617"/>
    <w:rsid w:val="00EC3A39"/>
    <w:rsid w:val="00ED6C2F"/>
    <w:rsid w:val="00EE45D8"/>
    <w:rsid w:val="00EF7C10"/>
    <w:rsid w:val="00F004CD"/>
    <w:rsid w:val="00F04A3C"/>
    <w:rsid w:val="00F22EDA"/>
    <w:rsid w:val="00F265A9"/>
    <w:rsid w:val="00F3224D"/>
    <w:rsid w:val="00F33E0E"/>
    <w:rsid w:val="00F436BD"/>
    <w:rsid w:val="00F46362"/>
    <w:rsid w:val="00F5664C"/>
    <w:rsid w:val="00F607F3"/>
    <w:rsid w:val="00F70B09"/>
    <w:rsid w:val="00F82A85"/>
    <w:rsid w:val="00F8491E"/>
    <w:rsid w:val="00F85863"/>
    <w:rsid w:val="00FB7733"/>
    <w:rsid w:val="00FB7E80"/>
    <w:rsid w:val="00FE1118"/>
    <w:rsid w:val="00FE1705"/>
    <w:rsid w:val="00FE4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7BE6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rFonts w:cs="Times New Roman"/>
      <w:color w:val="0000FF"/>
      <w:u w:val="single"/>
    </w:rPr>
  </w:style>
  <w:style w:type="character" w:styleId="CommentReference">
    <w:name w:val="annotation reference"/>
    <w:basedOn w:val="DefaultParagraphFont"/>
    <w:rsid w:val="009B0014"/>
    <w:rPr>
      <w:sz w:val="16"/>
      <w:szCs w:val="16"/>
    </w:rPr>
  </w:style>
  <w:style w:type="paragraph" w:styleId="CommentText">
    <w:name w:val="annotation text"/>
    <w:basedOn w:val="Normal"/>
    <w:link w:val="CommentTextChar"/>
    <w:rsid w:val="009B0014"/>
    <w:rPr>
      <w:sz w:val="20"/>
      <w:szCs w:val="20"/>
    </w:rPr>
  </w:style>
  <w:style w:type="character" w:customStyle="1" w:styleId="CommentTextChar">
    <w:name w:val="Comment Text Char"/>
    <w:basedOn w:val="DefaultParagraphFont"/>
    <w:link w:val="CommentText"/>
    <w:rsid w:val="009B0014"/>
  </w:style>
  <w:style w:type="paragraph" w:styleId="CommentSubject">
    <w:name w:val="annotation subject"/>
    <w:basedOn w:val="CommentText"/>
    <w:next w:val="CommentText"/>
    <w:link w:val="CommentSubjectChar"/>
    <w:rsid w:val="009B0014"/>
    <w:rPr>
      <w:b/>
      <w:bCs/>
    </w:rPr>
  </w:style>
  <w:style w:type="character" w:customStyle="1" w:styleId="CommentSubjectChar">
    <w:name w:val="Comment Subject Char"/>
    <w:basedOn w:val="CommentTextChar"/>
    <w:link w:val="CommentSubject"/>
    <w:rsid w:val="009B0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1446</Words>
  <Characters>7353</Characters>
  <Application>Microsoft Office Word</Application>
  <DocSecurity>0</DocSecurity>
  <Lines>61</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2018-09-06T12:13:00Z</dcterms:created>
  <dcterms:modified xsi:type="dcterms:W3CDTF">2018-09-06T12:13:00Z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