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76F03" w14:textId="77777777" w:rsidR="00D94AFC" w:rsidRPr="00E77E3A" w:rsidRDefault="00D46B19" w:rsidP="00E77E3A">
      <w:pPr>
        <w:jc w:val="center"/>
        <w:rPr>
          <w:rFonts w:ascii="Book Antiqua" w:hAnsi="Book Antiqua" w:cs="Arial"/>
          <w:caps/>
          <w:color w:val="000000"/>
          <w:sz w:val="16"/>
          <w:szCs w:val="16"/>
        </w:rPr>
      </w:pPr>
      <w:r>
        <w:rPr>
          <w:noProof/>
        </w:rPr>
        <w:drawing>
          <wp:inline distT="0" distB="0" distL="0" distR="0" wp14:anchorId="234EE26E" wp14:editId="792F0848">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5117EA2E"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1D7FD708" w14:textId="14A3C03B" w:rsidR="007B0824" w:rsidRPr="00B84FE7"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B84FE7">
        <w:rPr>
          <w:rFonts w:ascii="Book Antiqua" w:hAnsi="Book Antiqua" w:cs="Arial"/>
          <w:b/>
          <w:color w:val="000000"/>
        </w:rPr>
        <w:t xml:space="preserve">   </w:t>
      </w:r>
      <w:proofErr w:type="gramEnd"/>
      <w:r w:rsidR="00B84FE7">
        <w:rPr>
          <w:rFonts w:ascii="Book Antiqua" w:hAnsi="Book Antiqua" w:cs="Arial"/>
          <w:b/>
          <w:color w:val="000000"/>
        </w:rPr>
        <w:t xml:space="preserve">                      </w:t>
      </w:r>
      <w:r w:rsidR="00B3524D" w:rsidRPr="00B84FE7">
        <w:rPr>
          <w:rFonts w:ascii="Book Antiqua" w:hAnsi="Book Antiqua" w:cs="Arial"/>
          <w:b/>
          <w:color w:val="000000"/>
        </w:rPr>
        <w:t>Appeal Number</w:t>
      </w:r>
      <w:r w:rsidR="00D53769" w:rsidRPr="00B84FE7">
        <w:rPr>
          <w:rFonts w:ascii="Book Antiqua" w:hAnsi="Book Antiqua" w:cs="Arial"/>
          <w:b/>
          <w:color w:val="000000"/>
        </w:rPr>
        <w:t>:</w:t>
      </w:r>
      <w:r w:rsidR="00B3524D" w:rsidRPr="00B84FE7">
        <w:rPr>
          <w:rFonts w:ascii="Book Antiqua" w:hAnsi="Book Antiqua" w:cs="Arial"/>
          <w:b/>
          <w:color w:val="000000"/>
        </w:rPr>
        <w:t xml:space="preserve"> </w:t>
      </w:r>
      <w:r w:rsidR="00907330" w:rsidRPr="00B84FE7">
        <w:rPr>
          <w:rFonts w:ascii="Book Antiqua" w:hAnsi="Book Antiqua" w:cs="Arial"/>
          <w:b/>
          <w:caps/>
          <w:color w:val="000000"/>
        </w:rPr>
        <w:t>DA/00172/2018</w:t>
      </w:r>
    </w:p>
    <w:p w14:paraId="4C690C19" w14:textId="77777777" w:rsidR="00C345E1" w:rsidRPr="009B7433" w:rsidRDefault="00C345E1" w:rsidP="00C345E1">
      <w:pPr>
        <w:jc w:val="center"/>
        <w:rPr>
          <w:rFonts w:ascii="Book Antiqua" w:hAnsi="Book Antiqua" w:cs="Arial"/>
          <w:color w:val="000000"/>
        </w:rPr>
      </w:pPr>
    </w:p>
    <w:p w14:paraId="7501EBC7"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5BF232F"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9B7433" w14:paraId="7B519480" w14:textId="77777777" w:rsidTr="00B84FE7">
        <w:tc>
          <w:tcPr>
            <w:tcW w:w="5387" w:type="dxa"/>
          </w:tcPr>
          <w:p w14:paraId="70B59F8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07330">
              <w:rPr>
                <w:rFonts w:ascii="Book Antiqua" w:hAnsi="Book Antiqua" w:cs="Arial"/>
                <w:b/>
              </w:rPr>
              <w:t>Royal Courts of Justice</w:t>
            </w:r>
          </w:p>
        </w:tc>
        <w:tc>
          <w:tcPr>
            <w:tcW w:w="4621" w:type="dxa"/>
          </w:tcPr>
          <w:p w14:paraId="02B52B7A"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1443A8B9" w14:textId="77777777" w:rsidTr="00B84FE7">
        <w:tc>
          <w:tcPr>
            <w:tcW w:w="5387" w:type="dxa"/>
          </w:tcPr>
          <w:p w14:paraId="03BAE0A7"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907330">
              <w:rPr>
                <w:rFonts w:ascii="Book Antiqua" w:hAnsi="Book Antiqua" w:cs="Arial"/>
                <w:b/>
              </w:rPr>
              <w:t>2 July 2018</w:t>
            </w:r>
          </w:p>
        </w:tc>
        <w:tc>
          <w:tcPr>
            <w:tcW w:w="4621" w:type="dxa"/>
          </w:tcPr>
          <w:p w14:paraId="33490B4F" w14:textId="77777777" w:rsidR="00D22636" w:rsidRPr="009B7433" w:rsidRDefault="00A4457F" w:rsidP="004A1848">
            <w:pPr>
              <w:jc w:val="both"/>
              <w:rPr>
                <w:rFonts w:ascii="Book Antiqua" w:hAnsi="Book Antiqua" w:cs="Arial"/>
                <w:b/>
              </w:rPr>
            </w:pPr>
            <w:r w:rsidRPr="00A4457F">
              <w:rPr>
                <w:rFonts w:ascii="Book Antiqua" w:hAnsi="Book Antiqua" w:cs="Arial"/>
                <w:b/>
              </w:rPr>
              <w:t>On 12 July 2018</w:t>
            </w:r>
          </w:p>
        </w:tc>
      </w:tr>
      <w:tr w:rsidR="00D22636" w:rsidRPr="009B7433" w14:paraId="1740F6D9" w14:textId="77777777" w:rsidTr="00B84FE7">
        <w:tc>
          <w:tcPr>
            <w:tcW w:w="5387" w:type="dxa"/>
          </w:tcPr>
          <w:p w14:paraId="02AC7E94" w14:textId="77777777" w:rsidR="00D22636" w:rsidRPr="009B7433" w:rsidRDefault="00D22636" w:rsidP="004A1848">
            <w:pPr>
              <w:jc w:val="both"/>
              <w:rPr>
                <w:rFonts w:ascii="Book Antiqua" w:hAnsi="Book Antiqua" w:cs="Arial"/>
                <w:b/>
              </w:rPr>
            </w:pPr>
          </w:p>
        </w:tc>
        <w:tc>
          <w:tcPr>
            <w:tcW w:w="4621" w:type="dxa"/>
          </w:tcPr>
          <w:p w14:paraId="2E809E2D" w14:textId="77777777" w:rsidR="00D22636" w:rsidRPr="009B7433" w:rsidRDefault="00D22636" w:rsidP="004A1848">
            <w:pPr>
              <w:jc w:val="both"/>
              <w:rPr>
                <w:rFonts w:ascii="Book Antiqua" w:hAnsi="Book Antiqua" w:cs="Arial"/>
                <w:b/>
              </w:rPr>
            </w:pPr>
          </w:p>
        </w:tc>
      </w:tr>
    </w:tbl>
    <w:p w14:paraId="324AACCA" w14:textId="77777777" w:rsidR="00A15234" w:rsidRPr="009B7433" w:rsidRDefault="00A15234" w:rsidP="00A15234">
      <w:pPr>
        <w:jc w:val="center"/>
        <w:rPr>
          <w:rFonts w:ascii="Book Antiqua" w:hAnsi="Book Antiqua" w:cs="Arial"/>
        </w:rPr>
      </w:pPr>
    </w:p>
    <w:p w14:paraId="75D37F92"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DD1FB19" w14:textId="77777777" w:rsidR="00A15234" w:rsidRPr="009B7433" w:rsidRDefault="00A15234" w:rsidP="00A15234">
      <w:pPr>
        <w:jc w:val="center"/>
        <w:rPr>
          <w:rFonts w:ascii="Book Antiqua" w:hAnsi="Book Antiqua" w:cs="Arial"/>
          <w:b/>
        </w:rPr>
      </w:pPr>
    </w:p>
    <w:p w14:paraId="0B9AE00D" w14:textId="77777777"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14:paraId="4F9210C3" w14:textId="77777777" w:rsidR="00D20757" w:rsidRPr="009B7433" w:rsidRDefault="00D20757" w:rsidP="00A15234">
      <w:pPr>
        <w:jc w:val="center"/>
        <w:rPr>
          <w:rFonts w:ascii="Book Antiqua" w:hAnsi="Book Antiqua" w:cs="Arial"/>
          <w:b/>
        </w:rPr>
      </w:pPr>
    </w:p>
    <w:p w14:paraId="3199F1F7" w14:textId="269FF143" w:rsidR="00A845DC" w:rsidRDefault="00A845DC" w:rsidP="00B84FE7">
      <w:pPr>
        <w:jc w:val="center"/>
        <w:rPr>
          <w:rFonts w:ascii="Book Antiqua" w:hAnsi="Book Antiqua" w:cs="Arial"/>
          <w:b/>
        </w:rPr>
      </w:pPr>
      <w:r w:rsidRPr="009B7433">
        <w:rPr>
          <w:rFonts w:ascii="Book Antiqua" w:hAnsi="Book Antiqua" w:cs="Arial"/>
          <w:b/>
        </w:rPr>
        <w:t>Between</w:t>
      </w:r>
    </w:p>
    <w:p w14:paraId="60F75501" w14:textId="77777777" w:rsidR="00B84FE7" w:rsidRPr="009B7433" w:rsidRDefault="00B84FE7" w:rsidP="00B84FE7">
      <w:pPr>
        <w:jc w:val="center"/>
        <w:rPr>
          <w:rFonts w:ascii="Book Antiqua" w:hAnsi="Book Antiqua" w:cs="Arial"/>
          <w:b/>
        </w:rPr>
      </w:pPr>
    </w:p>
    <w:p w14:paraId="79E4647F" w14:textId="77777777" w:rsidR="00A845DC" w:rsidRDefault="00907330" w:rsidP="00A15234">
      <w:pPr>
        <w:jc w:val="center"/>
        <w:rPr>
          <w:rFonts w:ascii="Book Antiqua" w:hAnsi="Book Antiqua" w:cs="Arial"/>
          <w:b/>
          <w:caps/>
        </w:rPr>
      </w:pPr>
      <w:r>
        <w:rPr>
          <w:rFonts w:ascii="Book Antiqua" w:hAnsi="Book Antiqua" w:cs="Arial"/>
          <w:b/>
          <w:caps/>
        </w:rPr>
        <w:t>Mr chima collins madu</w:t>
      </w:r>
    </w:p>
    <w:p w14:paraId="49F05F30" w14:textId="77777777" w:rsidR="00D949B7" w:rsidRPr="00B84FE7" w:rsidRDefault="00D949B7" w:rsidP="00D949B7">
      <w:pPr>
        <w:jc w:val="center"/>
        <w:rPr>
          <w:rFonts w:ascii="Book Antiqua" w:hAnsi="Book Antiqua" w:cs="Arial"/>
          <w:caps/>
        </w:rPr>
      </w:pPr>
      <w:r w:rsidRPr="00B84FE7">
        <w:rPr>
          <w:rFonts w:ascii="Book Antiqua" w:hAnsi="Book Antiqua" w:cs="Arial"/>
          <w:caps/>
        </w:rPr>
        <w:t xml:space="preserve">(ANONYMITY DIRECTION </w:t>
      </w:r>
      <w:r w:rsidR="00255065" w:rsidRPr="00B84FE7">
        <w:rPr>
          <w:rFonts w:ascii="Book Antiqua" w:hAnsi="Book Antiqua" w:cs="Arial"/>
          <w:caps/>
        </w:rPr>
        <w:t>NOT MADE</w:t>
      </w:r>
      <w:r w:rsidRPr="00B84FE7">
        <w:rPr>
          <w:rFonts w:ascii="Book Antiqua" w:hAnsi="Book Antiqua" w:cs="Arial"/>
          <w:caps/>
        </w:rPr>
        <w:t>)</w:t>
      </w:r>
    </w:p>
    <w:p w14:paraId="25808271" w14:textId="77777777" w:rsidR="00704B61" w:rsidRDefault="00704B61" w:rsidP="00704B61">
      <w:pPr>
        <w:jc w:val="right"/>
        <w:rPr>
          <w:rFonts w:ascii="Book Antiqua" w:hAnsi="Book Antiqua" w:cs="Arial"/>
          <w:u w:val="single"/>
        </w:rPr>
      </w:pPr>
      <w:r w:rsidRPr="009B7433">
        <w:rPr>
          <w:rFonts w:ascii="Book Antiqua" w:hAnsi="Book Antiqua" w:cs="Arial"/>
          <w:u w:val="single"/>
        </w:rPr>
        <w:t>Appellant</w:t>
      </w:r>
    </w:p>
    <w:p w14:paraId="4E18DFE6" w14:textId="77777777" w:rsidR="005D1B19" w:rsidRDefault="005D1B19" w:rsidP="00704B61">
      <w:pPr>
        <w:jc w:val="right"/>
        <w:rPr>
          <w:rFonts w:ascii="Book Antiqua" w:hAnsi="Book Antiqua" w:cs="Arial"/>
          <w:u w:val="single"/>
        </w:rPr>
      </w:pPr>
    </w:p>
    <w:p w14:paraId="1042FAF4"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74A21B5C" w14:textId="77777777" w:rsidR="00DD5071" w:rsidRDefault="00DD5071" w:rsidP="00704B61">
      <w:pPr>
        <w:jc w:val="center"/>
        <w:rPr>
          <w:rFonts w:ascii="Book Antiqua" w:hAnsi="Book Antiqua" w:cs="Arial"/>
          <w:b/>
        </w:rPr>
      </w:pPr>
    </w:p>
    <w:p w14:paraId="0A008585" w14:textId="0ECF58E4" w:rsidR="005D1B19" w:rsidRDefault="006D4984" w:rsidP="00704B61">
      <w:pPr>
        <w:jc w:val="center"/>
        <w:rPr>
          <w:rFonts w:ascii="Book Antiqua" w:hAnsi="Book Antiqua" w:cs="Arial"/>
          <w:b/>
        </w:rPr>
      </w:pPr>
      <w:r>
        <w:rPr>
          <w:rFonts w:ascii="Book Antiqua" w:hAnsi="Book Antiqua" w:cs="Arial"/>
          <w:b/>
        </w:rPr>
        <w:t>THE SECRETARY OF STATE FOR THE HOME DEPARTMENT</w:t>
      </w:r>
    </w:p>
    <w:p w14:paraId="5202C23A"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4EE21BFD" w14:textId="77777777" w:rsidR="00DD5071" w:rsidRPr="009B7433" w:rsidRDefault="00DD5071" w:rsidP="00DD5071">
      <w:pPr>
        <w:rPr>
          <w:rFonts w:ascii="Book Antiqua" w:hAnsi="Book Antiqua" w:cs="Arial"/>
          <w:u w:val="single"/>
        </w:rPr>
      </w:pPr>
    </w:p>
    <w:p w14:paraId="53589F7C"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9EB4B71" w14:textId="77777777" w:rsidR="00DE7DB7" w:rsidRPr="009B7433" w:rsidRDefault="00DE7DB7" w:rsidP="00DD5071">
      <w:pPr>
        <w:rPr>
          <w:rFonts w:ascii="Book Antiqua" w:hAnsi="Book Antiqua" w:cs="Arial"/>
        </w:rPr>
      </w:pPr>
    </w:p>
    <w:p w14:paraId="22B9D70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07330">
        <w:rPr>
          <w:rFonts w:ascii="Book Antiqua" w:hAnsi="Book Antiqua" w:cs="Arial"/>
        </w:rPr>
        <w:t>Mr B Hawkin, instructed by Victory Solicitors</w:t>
      </w:r>
    </w:p>
    <w:p w14:paraId="4E7B5BD2"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07330">
        <w:rPr>
          <w:rFonts w:ascii="Book Antiqua" w:hAnsi="Book Antiqua" w:cs="Arial"/>
        </w:rPr>
        <w:t>Mr D Clarke, Senior Home Office Presenting Officer</w:t>
      </w:r>
    </w:p>
    <w:p w14:paraId="6D7E622D" w14:textId="77777777" w:rsidR="00DE7DB7" w:rsidRPr="009B7433" w:rsidRDefault="00DE7DB7" w:rsidP="00402B9E">
      <w:pPr>
        <w:tabs>
          <w:tab w:val="left" w:pos="2520"/>
        </w:tabs>
        <w:jc w:val="center"/>
        <w:rPr>
          <w:rFonts w:ascii="Book Antiqua" w:hAnsi="Book Antiqua" w:cs="Arial"/>
        </w:rPr>
      </w:pPr>
    </w:p>
    <w:p w14:paraId="24893EDA"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403CF741" w14:textId="77777777" w:rsidR="00BF23BB" w:rsidRDefault="00907330" w:rsidP="004D6B45">
      <w:pPr>
        <w:numPr>
          <w:ilvl w:val="0"/>
          <w:numId w:val="1"/>
        </w:numPr>
        <w:tabs>
          <w:tab w:val="clear" w:pos="567"/>
        </w:tabs>
        <w:spacing w:before="240"/>
        <w:jc w:val="both"/>
        <w:rPr>
          <w:rFonts w:ascii="Book Antiqua" w:hAnsi="Book Antiqua" w:cs="Arial"/>
        </w:rPr>
      </w:pPr>
      <w:r>
        <w:rPr>
          <w:rFonts w:ascii="Book Antiqua" w:hAnsi="Book Antiqua" w:cs="Arial"/>
        </w:rPr>
        <w:t>The appellant appeals with permission against a decision of First-tier Tribunal Judge Rowlands promulgated on 17 April 2018, dismissing his appeal against a deportation order.</w:t>
      </w:r>
    </w:p>
    <w:p w14:paraId="7DE64C14" w14:textId="77777777" w:rsidR="00907330" w:rsidRDefault="0090733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thrust of the grounds </w:t>
      </w:r>
      <w:r w:rsidR="005D1B19">
        <w:rPr>
          <w:rFonts w:ascii="Book Antiqua" w:hAnsi="Book Antiqua" w:cs="Arial"/>
        </w:rPr>
        <w:t xml:space="preserve">of </w:t>
      </w:r>
      <w:r>
        <w:rPr>
          <w:rFonts w:ascii="Book Antiqua" w:hAnsi="Book Antiqua" w:cs="Arial"/>
        </w:rPr>
        <w:t>challenge is that Judge Rowlands erred materially in giving the appearance of bias during the hearing and in his decision.</w:t>
      </w:r>
    </w:p>
    <w:p w14:paraId="0701A8CF" w14:textId="77777777" w:rsidR="00907330" w:rsidRPr="005D1B19" w:rsidRDefault="005D1B19" w:rsidP="005D1B19">
      <w:pPr>
        <w:numPr>
          <w:ilvl w:val="0"/>
          <w:numId w:val="1"/>
        </w:numPr>
        <w:tabs>
          <w:tab w:val="clear" w:pos="567"/>
        </w:tabs>
        <w:spacing w:before="240"/>
        <w:jc w:val="both"/>
        <w:rPr>
          <w:rFonts w:ascii="Book Antiqua" w:hAnsi="Book Antiqua" w:cs="Arial"/>
        </w:rPr>
      </w:pPr>
      <w:r>
        <w:rPr>
          <w:rFonts w:ascii="Book Antiqua" w:hAnsi="Book Antiqua" w:cs="Arial"/>
        </w:rPr>
        <w:t xml:space="preserve">Unusually in cases of this case type there is no dispute as to what was said by the judge. </w:t>
      </w:r>
      <w:r w:rsidR="00907330" w:rsidRPr="005D1B19">
        <w:rPr>
          <w:rFonts w:ascii="Book Antiqua" w:hAnsi="Book Antiqua" w:cs="Arial"/>
        </w:rPr>
        <w:t xml:space="preserve">It is not in dispute that during the evidence of one of the witnesses, the judge interrupted her.  This is recorded in his decision at paragraph </w:t>
      </w:r>
      <w:proofErr w:type="gramStart"/>
      <w:r w:rsidR="00907330" w:rsidRPr="005D1B19">
        <w:rPr>
          <w:rFonts w:ascii="Book Antiqua" w:hAnsi="Book Antiqua" w:cs="Arial"/>
        </w:rPr>
        <w:t>23:-</w:t>
      </w:r>
      <w:proofErr w:type="gramEnd"/>
    </w:p>
    <w:p w14:paraId="65B5C552" w14:textId="77777777" w:rsidR="00907330" w:rsidRDefault="004112EA" w:rsidP="004112EA">
      <w:pPr>
        <w:spacing w:before="240"/>
        <w:ind w:left="1134"/>
        <w:jc w:val="both"/>
        <w:rPr>
          <w:rFonts w:ascii="Book Antiqua" w:hAnsi="Book Antiqua" w:cs="Arial"/>
        </w:rPr>
      </w:pPr>
      <w:r>
        <w:rPr>
          <w:rFonts w:ascii="Book Antiqua" w:hAnsi="Book Antiqua" w:cs="Arial"/>
        </w:rPr>
        <w:t>“</w:t>
      </w:r>
      <w:r w:rsidR="00907330">
        <w:rPr>
          <w:rFonts w:ascii="Book Antiqua" w:hAnsi="Book Antiqua" w:cs="Arial"/>
        </w:rPr>
        <w:t xml:space="preserve">At this point I interrupted the witness and pointed out that the one thing the appellant did not have was honesty and integrity bearing in mind the way he </w:t>
      </w:r>
      <w:r w:rsidR="00907330">
        <w:rPr>
          <w:rFonts w:ascii="Book Antiqua" w:hAnsi="Book Antiqua" w:cs="Arial"/>
        </w:rPr>
        <w:lastRenderedPageBreak/>
        <w:t xml:space="preserve">had obtained a job with false documents and continued with </w:t>
      </w:r>
      <w:r w:rsidR="00673A9A">
        <w:rPr>
          <w:rFonts w:ascii="Book Antiqua" w:hAnsi="Book Antiqua" w:cs="Arial"/>
        </w:rPr>
        <w:t>that</w:t>
      </w:r>
      <w:r w:rsidR="00907330">
        <w:rPr>
          <w:rFonts w:ascii="Book Antiqua" w:hAnsi="Book Antiqua" w:cs="Arial"/>
        </w:rPr>
        <w:t xml:space="preserve"> decep</w:t>
      </w:r>
      <w:bookmarkStart w:id="0" w:name="_GoBack"/>
      <w:bookmarkEnd w:id="0"/>
      <w:r w:rsidR="00907330">
        <w:rPr>
          <w:rFonts w:ascii="Book Antiqua" w:hAnsi="Book Antiqua" w:cs="Arial"/>
        </w:rPr>
        <w:t>tion.  The appellant’s representative took a short adjournment and came back and specifically criti</w:t>
      </w:r>
      <w:r w:rsidR="00673A9A">
        <w:rPr>
          <w:rFonts w:ascii="Book Antiqua" w:hAnsi="Book Antiqua" w:cs="Arial"/>
        </w:rPr>
        <w:t>cis</w:t>
      </w:r>
      <w:r w:rsidR="00907330">
        <w:rPr>
          <w:rFonts w:ascii="Book Antiqua" w:hAnsi="Book Antiqua" w:cs="Arial"/>
        </w:rPr>
        <w:t xml:space="preserve">ed me for making such a statement on the basis that </w:t>
      </w:r>
      <w:r w:rsidR="00673A9A">
        <w:rPr>
          <w:rFonts w:ascii="Book Antiqua" w:hAnsi="Book Antiqua" w:cs="Arial"/>
        </w:rPr>
        <w:t xml:space="preserve">it </w:t>
      </w:r>
      <w:r w:rsidR="00907330">
        <w:rPr>
          <w:rFonts w:ascii="Book Antiqua" w:hAnsi="Book Antiqua" w:cs="Arial"/>
        </w:rPr>
        <w:t xml:space="preserve">indicated that I had already </w:t>
      </w:r>
      <w:proofErr w:type="gramStart"/>
      <w:r w:rsidR="00907330">
        <w:rPr>
          <w:rFonts w:ascii="Book Antiqua" w:hAnsi="Book Antiqua" w:cs="Arial"/>
        </w:rPr>
        <w:t>made a decision</w:t>
      </w:r>
      <w:proofErr w:type="gramEnd"/>
      <w:r w:rsidR="00907330">
        <w:rPr>
          <w:rFonts w:ascii="Book Antiqua" w:hAnsi="Book Antiqua" w:cs="Arial"/>
        </w:rPr>
        <w:t xml:space="preserve"> as to what I thought of the appellant’s evidence.  I pointed out that all the evidence had said much the same thing and that this fell in the face of the actual evidence of the appellant’s </w:t>
      </w:r>
      <w:r w:rsidR="00673A9A">
        <w:rPr>
          <w:rFonts w:ascii="Book Antiqua" w:hAnsi="Book Antiqua" w:cs="Arial"/>
        </w:rPr>
        <w:t>dishonesty</w:t>
      </w:r>
      <w:r w:rsidR="00907330">
        <w:rPr>
          <w:rFonts w:ascii="Book Antiqua" w:hAnsi="Book Antiqua" w:cs="Arial"/>
        </w:rPr>
        <w:t xml:space="preserve"> and total lack of integrity.  That was the end of the evidence.</w:t>
      </w:r>
      <w:r>
        <w:rPr>
          <w:rFonts w:ascii="Book Antiqua" w:hAnsi="Book Antiqua" w:cs="Arial"/>
        </w:rPr>
        <w:t>”</w:t>
      </w:r>
    </w:p>
    <w:p w14:paraId="095FB681" w14:textId="77777777" w:rsidR="00907330" w:rsidRDefault="005D1B19" w:rsidP="004D6B45">
      <w:pPr>
        <w:numPr>
          <w:ilvl w:val="0"/>
          <w:numId w:val="1"/>
        </w:numPr>
        <w:tabs>
          <w:tab w:val="clear" w:pos="567"/>
        </w:tabs>
        <w:spacing w:before="240"/>
        <w:jc w:val="both"/>
        <w:rPr>
          <w:rFonts w:ascii="Book Antiqua" w:hAnsi="Book Antiqua" w:cs="Arial"/>
        </w:rPr>
      </w:pPr>
      <w:r>
        <w:rPr>
          <w:rFonts w:ascii="Book Antiqua" w:hAnsi="Book Antiqua" w:cs="Arial"/>
        </w:rPr>
        <w:t>The</w:t>
      </w:r>
      <w:r w:rsidR="00907330">
        <w:rPr>
          <w:rFonts w:ascii="Book Antiqua" w:hAnsi="Book Antiqua" w:cs="Arial"/>
        </w:rPr>
        <w:t xml:space="preserve"> judge </w:t>
      </w:r>
      <w:r>
        <w:rPr>
          <w:rFonts w:ascii="Book Antiqua" w:hAnsi="Book Antiqua" w:cs="Arial"/>
        </w:rPr>
        <w:t xml:space="preserve">then </w:t>
      </w:r>
      <w:r w:rsidR="00907330">
        <w:rPr>
          <w:rFonts w:ascii="Book Antiqua" w:hAnsi="Book Antiqua" w:cs="Arial"/>
        </w:rPr>
        <w:t>went on to hear submissions.</w:t>
      </w:r>
    </w:p>
    <w:p w14:paraId="37E932EE" w14:textId="77777777" w:rsidR="00907330" w:rsidRDefault="00907330"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assessing whether there was here a fair hearing, or whether there was actual bias, the applicable test </w:t>
      </w:r>
      <w:proofErr w:type="gramStart"/>
      <w:r>
        <w:rPr>
          <w:rFonts w:ascii="Book Antiqua" w:hAnsi="Book Antiqua" w:cs="Arial"/>
        </w:rPr>
        <w:t>is:-</w:t>
      </w:r>
      <w:proofErr w:type="gramEnd"/>
    </w:p>
    <w:p w14:paraId="0853938E" w14:textId="77777777" w:rsidR="00907330" w:rsidRDefault="00907330" w:rsidP="004112EA">
      <w:pPr>
        <w:spacing w:before="240"/>
        <w:ind w:left="1134"/>
        <w:jc w:val="both"/>
        <w:rPr>
          <w:rFonts w:ascii="Book Antiqua" w:hAnsi="Book Antiqua" w:cs="Arial"/>
        </w:rPr>
      </w:pPr>
      <w:r>
        <w:rPr>
          <w:rFonts w:ascii="Book Antiqua" w:hAnsi="Book Antiqua" w:cs="Arial"/>
        </w:rPr>
        <w:t>“</w:t>
      </w:r>
      <w:r w:rsidR="005D1B19">
        <w:rPr>
          <w:rFonts w:ascii="Book Antiqua" w:hAnsi="Book Antiqua" w:cs="Arial"/>
        </w:rPr>
        <w:t>W</w:t>
      </w:r>
      <w:r>
        <w:rPr>
          <w:rFonts w:ascii="Book Antiqua" w:hAnsi="Book Antiqua" w:cs="Arial"/>
        </w:rPr>
        <w:t>hether th</w:t>
      </w:r>
      <w:r w:rsidR="0077495A">
        <w:rPr>
          <w:rFonts w:ascii="Book Antiqua" w:hAnsi="Book Antiqua" w:cs="Arial"/>
        </w:rPr>
        <w:t xml:space="preserve">e </w:t>
      </w:r>
      <w:r w:rsidR="00C16499">
        <w:rPr>
          <w:rFonts w:ascii="Book Antiqua" w:hAnsi="Book Antiqua" w:cs="Arial"/>
        </w:rPr>
        <w:t>fair-minded</w:t>
      </w:r>
      <w:r w:rsidR="0077495A">
        <w:rPr>
          <w:rFonts w:ascii="Book Antiqua" w:hAnsi="Book Antiqua" w:cs="Arial"/>
        </w:rPr>
        <w:t xml:space="preserve"> observer</w:t>
      </w:r>
      <w:r>
        <w:rPr>
          <w:rFonts w:ascii="Book Antiqua" w:hAnsi="Book Antiqua" w:cs="Arial"/>
        </w:rPr>
        <w:t>, having considered the facts, would conclude that there was a real possibility that the Tribunal was biased.”</w:t>
      </w:r>
    </w:p>
    <w:p w14:paraId="09505FD1" w14:textId="77777777" w:rsidR="00907330" w:rsidRDefault="005D1B19" w:rsidP="004D6B45">
      <w:pPr>
        <w:numPr>
          <w:ilvl w:val="0"/>
          <w:numId w:val="1"/>
        </w:numPr>
        <w:tabs>
          <w:tab w:val="clear" w:pos="567"/>
        </w:tabs>
        <w:spacing w:before="240"/>
        <w:jc w:val="both"/>
        <w:rPr>
          <w:rFonts w:ascii="Book Antiqua" w:hAnsi="Book Antiqua" w:cs="Arial"/>
        </w:rPr>
      </w:pPr>
      <w:r>
        <w:rPr>
          <w:rFonts w:ascii="Book Antiqua" w:hAnsi="Book Antiqua" w:cs="Arial"/>
        </w:rPr>
        <w:t>As</w:t>
      </w:r>
      <w:r w:rsidR="00907330">
        <w:rPr>
          <w:rFonts w:ascii="Book Antiqua" w:hAnsi="Book Antiqua" w:cs="Arial"/>
        </w:rPr>
        <w:t xml:space="preserve"> is apparent from </w:t>
      </w:r>
      <w:r w:rsidR="00907330" w:rsidRPr="005D1B19">
        <w:rPr>
          <w:rFonts w:ascii="Book Antiqua" w:hAnsi="Book Antiqua" w:cs="Arial"/>
          <w:u w:val="single"/>
        </w:rPr>
        <w:t>Alubankudi (</w:t>
      </w:r>
      <w:r w:rsidR="0077495A" w:rsidRPr="005D1B19">
        <w:rPr>
          <w:rFonts w:ascii="Book Antiqua" w:hAnsi="Book Antiqua" w:cs="Arial"/>
          <w:u w:val="single"/>
        </w:rPr>
        <w:t>a</w:t>
      </w:r>
      <w:r w:rsidR="00907330" w:rsidRPr="005D1B19">
        <w:rPr>
          <w:rFonts w:ascii="Book Antiqua" w:hAnsi="Book Antiqua" w:cs="Arial"/>
          <w:u w:val="single"/>
        </w:rPr>
        <w:t>ppearance of bias)</w:t>
      </w:r>
      <w:r w:rsidR="00907330" w:rsidRPr="005D1B19">
        <w:rPr>
          <w:rFonts w:ascii="Book Antiqua" w:hAnsi="Book Antiqua" w:cs="Arial"/>
        </w:rPr>
        <w:t xml:space="preserve"> [2015] UKUT 542</w:t>
      </w:r>
      <w:r>
        <w:rPr>
          <w:rFonts w:ascii="Book Antiqua" w:hAnsi="Book Antiqua" w:cs="Arial"/>
        </w:rPr>
        <w:t>, it</w:t>
      </w:r>
      <w:r w:rsidR="00907330">
        <w:rPr>
          <w:rFonts w:ascii="Book Antiqua" w:hAnsi="Book Antiqua" w:cs="Arial"/>
        </w:rPr>
        <w:t xml:space="preserve"> is to be borne in mind that an important attribute of the hypothetical reasonable observer is that he is duly informed that is that he was aware of everything bearing on the question of the judge’s impartiality.  </w:t>
      </w:r>
    </w:p>
    <w:p w14:paraId="6B78955D" w14:textId="77777777" w:rsidR="005D1B19" w:rsidRDefault="00907330" w:rsidP="004D6B45">
      <w:pPr>
        <w:numPr>
          <w:ilvl w:val="0"/>
          <w:numId w:val="1"/>
        </w:numPr>
        <w:tabs>
          <w:tab w:val="clear" w:pos="567"/>
        </w:tabs>
        <w:spacing w:before="240"/>
        <w:jc w:val="both"/>
        <w:rPr>
          <w:rFonts w:ascii="Book Antiqua" w:hAnsi="Book Antiqua" w:cs="Arial"/>
        </w:rPr>
      </w:pPr>
      <w:r w:rsidRPr="005D1B19">
        <w:rPr>
          <w:rFonts w:ascii="Book Antiqua" w:hAnsi="Book Antiqua" w:cs="Arial"/>
        </w:rPr>
        <w:t>It is not per se impermissible for a judge to give provisional views so long as he conscientiously maintains an open mind of note</w:t>
      </w:r>
      <w:r w:rsidR="00CB0F21" w:rsidRPr="005D1B19">
        <w:rPr>
          <w:rFonts w:ascii="Book Antiqua" w:hAnsi="Book Antiqua" w:cs="Arial"/>
        </w:rPr>
        <w:t xml:space="preserve"> if what was said by Sir Thomas Bi</w:t>
      </w:r>
      <w:r w:rsidR="00C16499" w:rsidRPr="005D1B19">
        <w:rPr>
          <w:rFonts w:ascii="Book Antiqua" w:hAnsi="Book Antiqua" w:cs="Arial"/>
        </w:rPr>
        <w:t>n</w:t>
      </w:r>
      <w:r w:rsidR="00CB0F21" w:rsidRPr="005D1B19">
        <w:rPr>
          <w:rFonts w:ascii="Book Antiqua" w:hAnsi="Book Antiqua" w:cs="Arial"/>
        </w:rPr>
        <w:t xml:space="preserve">gham MR in </w:t>
      </w:r>
      <w:r w:rsidR="00CB0F21" w:rsidRPr="005D1B19">
        <w:rPr>
          <w:rFonts w:ascii="Book Antiqua" w:hAnsi="Book Antiqua" w:cs="Arial"/>
          <w:u w:val="single"/>
        </w:rPr>
        <w:t xml:space="preserve">Arab </w:t>
      </w:r>
      <w:r w:rsidR="004112EA" w:rsidRPr="005D1B19">
        <w:rPr>
          <w:rFonts w:ascii="Book Antiqua" w:hAnsi="Book Antiqua" w:cs="Arial"/>
          <w:u w:val="single"/>
        </w:rPr>
        <w:t>M</w:t>
      </w:r>
      <w:r w:rsidR="00CB0F21" w:rsidRPr="005D1B19">
        <w:rPr>
          <w:rFonts w:ascii="Book Antiqua" w:hAnsi="Book Antiqua" w:cs="Arial"/>
          <w:u w:val="single"/>
        </w:rPr>
        <w:t xml:space="preserve">onetary </w:t>
      </w:r>
      <w:r w:rsidR="004112EA" w:rsidRPr="005D1B19">
        <w:rPr>
          <w:rFonts w:ascii="Book Antiqua" w:hAnsi="Book Antiqua" w:cs="Arial"/>
          <w:u w:val="single"/>
        </w:rPr>
        <w:t>F</w:t>
      </w:r>
      <w:r w:rsidR="00CB0F21" w:rsidRPr="005D1B19">
        <w:rPr>
          <w:rFonts w:ascii="Book Antiqua" w:hAnsi="Book Antiqua" w:cs="Arial"/>
          <w:u w:val="single"/>
        </w:rPr>
        <w:t>und v Hashim</w:t>
      </w:r>
      <w:r w:rsidR="00CB0F21" w:rsidRPr="005D1B19">
        <w:rPr>
          <w:rFonts w:ascii="Book Antiqua" w:hAnsi="Book Antiqua" w:cs="Arial"/>
        </w:rPr>
        <w:t xml:space="preserve"> [1992] 6 A</w:t>
      </w:r>
      <w:r w:rsidR="0077495A" w:rsidRPr="005D1B19">
        <w:rPr>
          <w:rFonts w:ascii="Book Antiqua" w:hAnsi="Book Antiqua" w:cs="Arial"/>
        </w:rPr>
        <w:t xml:space="preserve">dmin </w:t>
      </w:r>
      <w:r w:rsidR="005D1B19" w:rsidRPr="005D1B19">
        <w:rPr>
          <w:rFonts w:ascii="Book Antiqua" w:hAnsi="Book Antiqua" w:cs="Arial"/>
        </w:rPr>
        <w:t>Law</w:t>
      </w:r>
      <w:r w:rsidR="0077495A" w:rsidRPr="005D1B19">
        <w:rPr>
          <w:rFonts w:ascii="Book Antiqua" w:hAnsi="Book Antiqua" w:cs="Arial"/>
        </w:rPr>
        <w:t xml:space="preserve"> Report </w:t>
      </w:r>
      <w:r w:rsidR="00CB0F21" w:rsidRPr="005D1B19">
        <w:rPr>
          <w:rFonts w:ascii="Book Antiqua" w:hAnsi="Book Antiqua" w:cs="Arial"/>
        </w:rPr>
        <w:t xml:space="preserve">348 </w:t>
      </w:r>
    </w:p>
    <w:p w14:paraId="0C06F2B8" w14:textId="77777777" w:rsidR="005D1B19" w:rsidRPr="00255065" w:rsidRDefault="005D1B19" w:rsidP="005D1B19">
      <w:pPr>
        <w:pStyle w:val="ListParagraph"/>
        <w:spacing w:before="240"/>
        <w:ind w:left="567"/>
        <w:jc w:val="both"/>
        <w:rPr>
          <w:rFonts w:ascii="Book Antiqua" w:hAnsi="Book Antiqua"/>
          <w:iCs/>
          <w:sz w:val="22"/>
          <w:szCs w:val="22"/>
        </w:rPr>
      </w:pPr>
      <w:r w:rsidRPr="00255065">
        <w:rPr>
          <w:rFonts w:ascii="Book Antiqua" w:hAnsi="Book Antiqua"/>
          <w:iCs/>
          <w:sz w:val="22"/>
          <w:szCs w:val="22"/>
        </w:rPr>
        <w:t xml:space="preserve">But </w:t>
      </w:r>
      <w:proofErr w:type="gramStart"/>
      <w:r w:rsidRPr="00255065">
        <w:rPr>
          <w:rFonts w:ascii="Book Antiqua" w:hAnsi="Book Antiqua"/>
          <w:iCs/>
          <w:sz w:val="22"/>
          <w:szCs w:val="22"/>
        </w:rPr>
        <w:t>on the whole</w:t>
      </w:r>
      <w:proofErr w:type="gramEnd"/>
      <w:r w:rsidRPr="00255065">
        <w:rPr>
          <w:rFonts w:ascii="Book Antiqua" w:hAnsi="Book Antiqua"/>
          <w:iCs/>
          <w:sz w:val="22"/>
          <w:szCs w:val="22"/>
        </w:rPr>
        <w:t xml:space="preserve"> the English tradition sanctions and even encourages a measure of disclosure by the Judge of his current thinking .... A judge does not act amiss if, in relation to some feature of a party's case which strikes him as inherently improbable, he indicates the need for unusually compelling evidence to persuade him of the fact." </w:t>
      </w:r>
    </w:p>
    <w:p w14:paraId="019A3FE9" w14:textId="77777777" w:rsidR="005D1B19" w:rsidRPr="00255065" w:rsidRDefault="005D1B19" w:rsidP="005D1B19">
      <w:pPr>
        <w:pStyle w:val="ListParagraph"/>
        <w:spacing w:before="240" w:after="100" w:afterAutospacing="1"/>
        <w:ind w:left="567"/>
        <w:jc w:val="both"/>
        <w:rPr>
          <w:rFonts w:ascii="Book Antiqua" w:hAnsi="Book Antiqua"/>
        </w:rPr>
      </w:pPr>
    </w:p>
    <w:p w14:paraId="15927090" w14:textId="77777777" w:rsidR="005D1B19" w:rsidRDefault="005D1B19" w:rsidP="00C52C97">
      <w:pPr>
        <w:pStyle w:val="ListParagraph"/>
        <w:spacing w:line="360" w:lineRule="auto"/>
        <w:ind w:left="567"/>
        <w:jc w:val="both"/>
        <w:rPr>
          <w:rFonts w:ascii="Book Antiqua" w:hAnsi="Book Antiqua"/>
        </w:rPr>
      </w:pPr>
      <w:r w:rsidRPr="00255065">
        <w:rPr>
          <w:rFonts w:ascii="Book Antiqua" w:hAnsi="Book Antiqua"/>
        </w:rPr>
        <w:t xml:space="preserve">On the other hand, the English tradition </w:t>
      </w:r>
      <w:r w:rsidR="00C52C97">
        <w:rPr>
          <w:rFonts w:ascii="Book Antiqua" w:hAnsi="Book Antiqua"/>
        </w:rPr>
        <w:t>–</w:t>
      </w:r>
      <w:r w:rsidRPr="00255065">
        <w:rPr>
          <w:rFonts w:ascii="Book Antiqua" w:hAnsi="Book Antiqua"/>
        </w:rPr>
        <w:t xml:space="preserve"> </w:t>
      </w:r>
    </w:p>
    <w:p w14:paraId="2DF51084" w14:textId="77777777" w:rsidR="005D1B19" w:rsidRPr="00255065" w:rsidRDefault="005D1B19" w:rsidP="00C52C97">
      <w:pPr>
        <w:pStyle w:val="ListParagraph"/>
        <w:ind w:left="567"/>
        <w:jc w:val="both"/>
        <w:rPr>
          <w:rFonts w:ascii="Book Antiqua" w:hAnsi="Book Antiqua"/>
          <w:sz w:val="22"/>
          <w:szCs w:val="22"/>
        </w:rPr>
      </w:pPr>
      <w:r w:rsidRPr="00255065">
        <w:rPr>
          <w:rFonts w:ascii="Book Antiqua" w:hAnsi="Book Antiqua"/>
          <w:sz w:val="22"/>
          <w:szCs w:val="22"/>
        </w:rPr>
        <w:t xml:space="preserve">" </w:t>
      </w:r>
      <w:r w:rsidRPr="00255065">
        <w:rPr>
          <w:rFonts w:ascii="Book Antiqua" w:hAnsi="Book Antiqua"/>
          <w:iCs/>
          <w:sz w:val="22"/>
          <w:szCs w:val="22"/>
        </w:rPr>
        <w:t xml:space="preserve">... </w:t>
      </w:r>
      <w:proofErr w:type="gramStart"/>
      <w:r w:rsidRPr="00255065">
        <w:rPr>
          <w:rFonts w:ascii="Book Antiqua" w:hAnsi="Book Antiqua"/>
          <w:iCs/>
          <w:sz w:val="22"/>
          <w:szCs w:val="22"/>
        </w:rPr>
        <w:t>certainly</w:t>
      </w:r>
      <w:proofErr w:type="gramEnd"/>
      <w:r w:rsidRPr="00255065">
        <w:rPr>
          <w:rFonts w:ascii="Book Antiqua" w:hAnsi="Book Antiqua"/>
          <w:iCs/>
          <w:sz w:val="22"/>
          <w:szCs w:val="22"/>
        </w:rPr>
        <w:t xml:space="preserve"> does not sanction the premature expression of factual conclusions or anything which may prematurely indicate a closed mind .... </w:t>
      </w:r>
    </w:p>
    <w:p w14:paraId="2D8772E1" w14:textId="77777777" w:rsidR="005D1B19" w:rsidRPr="00255065" w:rsidRDefault="005D1B19" w:rsidP="005D1B19">
      <w:pPr>
        <w:pStyle w:val="ListParagraph"/>
        <w:spacing w:before="240"/>
        <w:ind w:left="567"/>
        <w:jc w:val="both"/>
        <w:rPr>
          <w:rFonts w:ascii="Book Antiqua" w:hAnsi="Book Antiqua"/>
        </w:rPr>
      </w:pPr>
      <w:r w:rsidRPr="00255065">
        <w:rPr>
          <w:rFonts w:ascii="Book Antiqua" w:hAnsi="Book Antiqua"/>
          <w:iCs/>
          <w:sz w:val="22"/>
          <w:szCs w:val="22"/>
        </w:rPr>
        <w:t xml:space="preserve">An expression of scepticism is not suggestive of </w:t>
      </w:r>
      <w:bookmarkStart w:id="1" w:name="disp17"/>
      <w:r w:rsidRPr="00255065">
        <w:rPr>
          <w:rFonts w:ascii="Book Antiqua" w:hAnsi="Book Antiqua"/>
          <w:iCs/>
          <w:sz w:val="22"/>
          <w:szCs w:val="22"/>
        </w:rPr>
        <w:t>bias</w:t>
      </w:r>
      <w:bookmarkEnd w:id="1"/>
      <w:r w:rsidRPr="00255065">
        <w:rPr>
          <w:rFonts w:ascii="Book Antiqua" w:hAnsi="Book Antiqua"/>
          <w:iCs/>
          <w:sz w:val="22"/>
          <w:szCs w:val="22"/>
        </w:rPr>
        <w:t xml:space="preserve"> unless the judge conveys an unwillingness to be persuaded of a factual proposition whatever the evidence may be.</w:t>
      </w:r>
      <w:r w:rsidRPr="00255065">
        <w:rPr>
          <w:rFonts w:ascii="Book Antiqua" w:hAnsi="Book Antiqua"/>
        </w:rPr>
        <w:t xml:space="preserve"> " </w:t>
      </w:r>
    </w:p>
    <w:p w14:paraId="404EF88B" w14:textId="77777777" w:rsidR="00AF4B06" w:rsidRPr="00255065" w:rsidRDefault="00AF4B06" w:rsidP="005D1B19">
      <w:pPr>
        <w:pStyle w:val="ListParagraph"/>
        <w:spacing w:before="240"/>
        <w:ind w:left="567"/>
        <w:jc w:val="both"/>
        <w:rPr>
          <w:rFonts w:ascii="Book Antiqua" w:hAnsi="Book Antiqua"/>
        </w:rPr>
      </w:pPr>
    </w:p>
    <w:p w14:paraId="30A1C3AD" w14:textId="77777777" w:rsidR="005D1B19" w:rsidRDefault="00AF4B06" w:rsidP="00C52C97">
      <w:pPr>
        <w:pStyle w:val="ListParagraph"/>
        <w:numPr>
          <w:ilvl w:val="0"/>
          <w:numId w:val="1"/>
        </w:numPr>
        <w:spacing w:before="240" w:line="360" w:lineRule="auto"/>
        <w:jc w:val="both"/>
        <w:rPr>
          <w:rFonts w:ascii="Book Antiqua" w:hAnsi="Book Antiqua"/>
        </w:rPr>
      </w:pPr>
      <w:r w:rsidRPr="00255065">
        <w:rPr>
          <w:rFonts w:ascii="Book Antiqua" w:hAnsi="Book Antiqua"/>
        </w:rPr>
        <w:t>I</w:t>
      </w:r>
      <w:r w:rsidR="005D1B19" w:rsidRPr="00255065">
        <w:rPr>
          <w:rFonts w:ascii="Book Antiqua" w:hAnsi="Book Antiqua"/>
        </w:rPr>
        <w:t xml:space="preserve">n </w:t>
      </w:r>
      <w:r w:rsidRPr="00255065">
        <w:rPr>
          <w:rFonts w:ascii="Book Antiqua" w:hAnsi="Book Antiqua"/>
          <w:u w:val="single"/>
        </w:rPr>
        <w:t>Singh v SSHD</w:t>
      </w:r>
      <w:r w:rsidRPr="00255065">
        <w:rPr>
          <w:rFonts w:ascii="Book Antiqua" w:hAnsi="Book Antiqua"/>
        </w:rPr>
        <w:t xml:space="preserve"> </w:t>
      </w:r>
      <w:hyperlink r:id="rId8" w:tooltip="Link to BAILII version" w:history="1">
        <w:r w:rsidRPr="00255065">
          <w:rPr>
            <w:rFonts w:ascii="Book Antiqua" w:hAnsi="Book Antiqua"/>
          </w:rPr>
          <w:t xml:space="preserve">[2016] EWCA </w:t>
        </w:r>
        <w:proofErr w:type="spellStart"/>
        <w:r w:rsidRPr="00255065">
          <w:rPr>
            <w:rFonts w:ascii="Book Antiqua" w:hAnsi="Book Antiqua"/>
          </w:rPr>
          <w:t>Civ</w:t>
        </w:r>
        <w:proofErr w:type="spellEnd"/>
        <w:r w:rsidRPr="00255065">
          <w:rPr>
            <w:rFonts w:ascii="Book Antiqua" w:hAnsi="Book Antiqua"/>
          </w:rPr>
          <w:t xml:space="preserve"> 492</w:t>
        </w:r>
      </w:hyperlink>
      <w:r w:rsidRPr="00255065">
        <w:rPr>
          <w:rFonts w:ascii="Book Antiqua" w:hAnsi="Book Antiqua"/>
        </w:rPr>
        <w:t xml:space="preserve"> </w:t>
      </w:r>
      <w:r w:rsidR="005D1B19" w:rsidRPr="00255065">
        <w:rPr>
          <w:rFonts w:ascii="Book Antiqua" w:hAnsi="Book Antiqua"/>
        </w:rPr>
        <w:t xml:space="preserve">the Court of Appeal </w:t>
      </w:r>
      <w:r w:rsidR="006D2304" w:rsidRPr="00255065">
        <w:rPr>
          <w:rFonts w:ascii="Book Antiqua" w:hAnsi="Book Antiqua"/>
        </w:rPr>
        <w:t>held</w:t>
      </w:r>
      <w:r w:rsidR="005D1B19" w:rsidRPr="00255065">
        <w:rPr>
          <w:rFonts w:ascii="Book Antiqua" w:hAnsi="Book Antiqua"/>
        </w:rPr>
        <w:t xml:space="preserve"> at [35]:</w:t>
      </w:r>
    </w:p>
    <w:p w14:paraId="48DC9778" w14:textId="77777777" w:rsidR="005D1B19" w:rsidRPr="00255065" w:rsidRDefault="005D1B19" w:rsidP="00C52C97">
      <w:pPr>
        <w:pStyle w:val="ListParagraph"/>
        <w:spacing w:before="120"/>
        <w:ind w:left="567"/>
        <w:jc w:val="both"/>
        <w:rPr>
          <w:rFonts w:ascii="Book Antiqua" w:hAnsi="Book Antiqua"/>
          <w:sz w:val="22"/>
          <w:szCs w:val="22"/>
        </w:rPr>
      </w:pPr>
      <w:r w:rsidRPr="00255065">
        <w:rPr>
          <w:rFonts w:ascii="Book Antiqua" w:hAnsi="Book Antiqua"/>
          <w:sz w:val="22"/>
          <w:szCs w:val="22"/>
        </w:rPr>
        <w:t xml:space="preserve">" </w:t>
      </w:r>
      <w:r w:rsidRPr="00255065">
        <w:rPr>
          <w:rFonts w:ascii="Book Antiqua" w:hAnsi="Book Antiqua"/>
          <w:iCs/>
          <w:sz w:val="22"/>
          <w:szCs w:val="22"/>
        </w:rPr>
        <w:t>Indeed, such statements sometimes can positively assist the advocate or litigant in knowing where particular efforts may need to be pointed ....</w:t>
      </w:r>
    </w:p>
    <w:p w14:paraId="51ABA558" w14:textId="77777777" w:rsidR="005D1B19" w:rsidRPr="00255065" w:rsidRDefault="005D1B19" w:rsidP="006D2304">
      <w:pPr>
        <w:pStyle w:val="ListParagraph"/>
        <w:spacing w:before="240"/>
        <w:ind w:left="567"/>
        <w:jc w:val="both"/>
        <w:rPr>
          <w:rFonts w:ascii="Book Antiqua" w:hAnsi="Book Antiqua"/>
          <w:sz w:val="22"/>
          <w:szCs w:val="22"/>
        </w:rPr>
      </w:pPr>
      <w:r w:rsidRPr="00255065">
        <w:rPr>
          <w:rFonts w:ascii="Book Antiqua" w:hAnsi="Book Antiqua"/>
          <w:iCs/>
          <w:sz w:val="22"/>
          <w:szCs w:val="22"/>
        </w:rPr>
        <w:t xml:space="preserve">In fact, sometimes robust expression may be positively necessary </w:t>
      </w:r>
      <w:proofErr w:type="gramStart"/>
      <w:r w:rsidRPr="00255065">
        <w:rPr>
          <w:rFonts w:ascii="Book Antiqua" w:hAnsi="Book Antiqua"/>
          <w:iCs/>
          <w:sz w:val="22"/>
          <w:szCs w:val="22"/>
        </w:rPr>
        <w:t>in order to</w:t>
      </w:r>
      <w:proofErr w:type="gramEnd"/>
      <w:r w:rsidRPr="00255065">
        <w:rPr>
          <w:rFonts w:ascii="Book Antiqua" w:hAnsi="Book Antiqua"/>
          <w:iCs/>
          <w:sz w:val="22"/>
          <w:szCs w:val="22"/>
        </w:rPr>
        <w:t xml:space="preserve"> displace a presumption or misapprehension, whether wilful or otherwise, on the part of an advocate or litigant on a point which has the potential to be highly material to the case.</w:t>
      </w:r>
      <w:r w:rsidRPr="00255065">
        <w:rPr>
          <w:rFonts w:ascii="Book Antiqua" w:hAnsi="Book Antiqua"/>
          <w:sz w:val="22"/>
          <w:szCs w:val="22"/>
        </w:rPr>
        <w:t xml:space="preserve"> " </w:t>
      </w:r>
    </w:p>
    <w:p w14:paraId="40F2F723" w14:textId="77777777" w:rsidR="00CB0F21" w:rsidRPr="00255065" w:rsidRDefault="00CB0F21" w:rsidP="00E87C6C">
      <w:pPr>
        <w:numPr>
          <w:ilvl w:val="0"/>
          <w:numId w:val="1"/>
        </w:numPr>
        <w:tabs>
          <w:tab w:val="clear" w:pos="567"/>
        </w:tabs>
        <w:spacing w:before="240"/>
        <w:jc w:val="both"/>
        <w:rPr>
          <w:rFonts w:ascii="Book Antiqua" w:hAnsi="Book Antiqua" w:cs="Arial"/>
        </w:rPr>
      </w:pPr>
      <w:r w:rsidRPr="00255065">
        <w:rPr>
          <w:rFonts w:ascii="Book Antiqua" w:hAnsi="Book Antiqua" w:cs="Arial"/>
        </w:rPr>
        <w:t xml:space="preserve">I consider that in this case the nature of the interruption was such that one might be of a point which could have been raised by way of cross-examination. </w:t>
      </w:r>
      <w:r w:rsidR="00255065" w:rsidRPr="00255065">
        <w:rPr>
          <w:rFonts w:ascii="Book Antiqua" w:hAnsi="Book Antiqua" w:cs="Arial"/>
        </w:rPr>
        <w:t xml:space="preserve">It goes beyond what could be considered as a “robust expression”. </w:t>
      </w:r>
      <w:r w:rsidRPr="00255065">
        <w:rPr>
          <w:rFonts w:ascii="Book Antiqua" w:hAnsi="Book Antiqua" w:cs="Arial"/>
        </w:rPr>
        <w:t xml:space="preserve"> It is not a type of interruption one would expect from a judge as it is strongly indicative that he had already reached his conclusions.  I do not consider that the remarks could </w:t>
      </w:r>
      <w:proofErr w:type="gramStart"/>
      <w:r w:rsidRPr="00255065">
        <w:rPr>
          <w:rFonts w:ascii="Book Antiqua" w:hAnsi="Book Antiqua" w:cs="Arial"/>
        </w:rPr>
        <w:t>be seen as</w:t>
      </w:r>
      <w:proofErr w:type="gramEnd"/>
      <w:r w:rsidRPr="00255065">
        <w:rPr>
          <w:rFonts w:ascii="Book Antiqua" w:hAnsi="Book Antiqua" w:cs="Arial"/>
        </w:rPr>
        <w:t xml:space="preserve"> being a preliminary view and it is of note that his subsequent findings are predicated on the basis that the </w:t>
      </w:r>
      <w:r w:rsidRPr="00255065">
        <w:rPr>
          <w:rFonts w:ascii="Book Antiqua" w:hAnsi="Book Antiqua" w:cs="Arial"/>
        </w:rPr>
        <w:lastRenderedPageBreak/>
        <w:t>appellant is a thoroughly dishonest person whilst it may well be that there had been a previous finding by Judge Telford that the appellant was totally lacking in credibility that was in another appeal.</w:t>
      </w:r>
      <w:r w:rsidR="00255065" w:rsidRPr="00255065">
        <w:rPr>
          <w:rFonts w:ascii="Book Antiqua" w:hAnsi="Book Antiqua" w:cs="Arial"/>
        </w:rPr>
        <w:t xml:space="preserve"> I am satisfied</w:t>
      </w:r>
      <w:r w:rsidR="00255065">
        <w:rPr>
          <w:rFonts w:ascii="Book Antiqua" w:hAnsi="Book Antiqua" w:cs="Arial"/>
        </w:rPr>
        <w:t xml:space="preserve"> </w:t>
      </w:r>
      <w:proofErr w:type="gramStart"/>
      <w:r w:rsidR="00255065">
        <w:rPr>
          <w:rFonts w:ascii="Book Antiqua" w:hAnsi="Book Antiqua" w:cs="Arial"/>
        </w:rPr>
        <w:t xml:space="preserve">that </w:t>
      </w:r>
      <w:r w:rsidRPr="00255065">
        <w:rPr>
          <w:rFonts w:ascii="Book Antiqua" w:hAnsi="Book Antiqua" w:cs="Arial"/>
        </w:rPr>
        <w:t xml:space="preserve"> the</w:t>
      </w:r>
      <w:proofErr w:type="gramEnd"/>
      <w:r w:rsidRPr="00255065">
        <w:rPr>
          <w:rFonts w:ascii="Book Antiqua" w:hAnsi="Book Antiqua" w:cs="Arial"/>
        </w:rPr>
        <w:t xml:space="preserve"> views expressed by </w:t>
      </w:r>
      <w:r w:rsidR="005D1B19" w:rsidRPr="00255065">
        <w:rPr>
          <w:rFonts w:ascii="Book Antiqua" w:hAnsi="Book Antiqua" w:cs="Arial"/>
        </w:rPr>
        <w:t>Judge Rowlands</w:t>
      </w:r>
      <w:r w:rsidRPr="00255065">
        <w:rPr>
          <w:rFonts w:ascii="Book Antiqua" w:hAnsi="Book Antiqua" w:cs="Arial"/>
        </w:rPr>
        <w:t xml:space="preserve"> indicated </w:t>
      </w:r>
      <w:r w:rsidR="005D1B19" w:rsidRPr="00255065">
        <w:rPr>
          <w:rFonts w:ascii="Book Antiqua" w:hAnsi="Book Antiqua" w:cs="Arial"/>
        </w:rPr>
        <w:t xml:space="preserve">a </w:t>
      </w:r>
      <w:r w:rsidRPr="00255065">
        <w:rPr>
          <w:rFonts w:ascii="Book Antiqua" w:hAnsi="Book Antiqua" w:cs="Arial"/>
        </w:rPr>
        <w:t>d</w:t>
      </w:r>
      <w:r w:rsidR="0077495A" w:rsidRPr="00255065">
        <w:rPr>
          <w:rFonts w:ascii="Book Antiqua" w:hAnsi="Book Antiqua" w:cs="Arial"/>
        </w:rPr>
        <w:t>escent</w:t>
      </w:r>
      <w:r w:rsidRPr="00255065">
        <w:rPr>
          <w:rFonts w:ascii="Book Antiqua" w:hAnsi="Book Antiqua" w:cs="Arial"/>
        </w:rPr>
        <w:t xml:space="preserve"> into the arena and also that he had closed his mind before hearing submissions.</w:t>
      </w:r>
    </w:p>
    <w:p w14:paraId="43FFCF35" w14:textId="77777777" w:rsidR="005D1B19" w:rsidRPr="005D1B19" w:rsidRDefault="00255065" w:rsidP="004D6B45">
      <w:pPr>
        <w:numPr>
          <w:ilvl w:val="0"/>
          <w:numId w:val="1"/>
        </w:numPr>
        <w:tabs>
          <w:tab w:val="clear" w:pos="567"/>
        </w:tabs>
        <w:spacing w:before="240"/>
        <w:jc w:val="both"/>
        <w:rPr>
          <w:rFonts w:ascii="Book Antiqua" w:hAnsi="Book Antiqua" w:cs="Arial"/>
        </w:rPr>
      </w:pPr>
      <w:r>
        <w:rPr>
          <w:rFonts w:ascii="Book Antiqua" w:hAnsi="Book Antiqua" w:cs="Arial"/>
        </w:rPr>
        <w:t>Viewing this as</w:t>
      </w:r>
      <w:r w:rsidR="00CB0F21" w:rsidRPr="005D1B19">
        <w:rPr>
          <w:rFonts w:ascii="Book Antiqua" w:hAnsi="Book Antiqua" w:cs="Arial"/>
        </w:rPr>
        <w:t xml:space="preserve">, </w:t>
      </w:r>
      <w:r w:rsidR="0077495A" w:rsidRPr="005D1B19">
        <w:rPr>
          <w:rFonts w:ascii="Book Antiqua" w:hAnsi="Book Antiqua" w:cs="Arial"/>
        </w:rPr>
        <w:t xml:space="preserve">a </w:t>
      </w:r>
      <w:r w:rsidR="00C16499" w:rsidRPr="005D1B19">
        <w:rPr>
          <w:rFonts w:ascii="Book Antiqua" w:hAnsi="Book Antiqua" w:cs="Arial"/>
        </w:rPr>
        <w:t>fair-minded</w:t>
      </w:r>
      <w:r w:rsidR="0077495A" w:rsidRPr="005D1B19">
        <w:rPr>
          <w:rFonts w:ascii="Book Antiqua" w:hAnsi="Book Antiqua" w:cs="Arial"/>
        </w:rPr>
        <w:t xml:space="preserve"> </w:t>
      </w:r>
      <w:r w:rsidR="00CB0F21" w:rsidRPr="005D1B19">
        <w:rPr>
          <w:rFonts w:ascii="Book Antiqua" w:hAnsi="Book Antiqua" w:cs="Arial"/>
        </w:rPr>
        <w:t xml:space="preserve">observer in possession of all the facts, </w:t>
      </w:r>
      <w:r>
        <w:rPr>
          <w:rFonts w:ascii="Book Antiqua" w:hAnsi="Book Antiqua" w:cs="Arial"/>
        </w:rPr>
        <w:t xml:space="preserve">I conclude that such a person would conclude that there was </w:t>
      </w:r>
      <w:r w:rsidR="00CB0F21" w:rsidRPr="005D1B19">
        <w:rPr>
          <w:rFonts w:ascii="Book Antiqua" w:hAnsi="Book Antiqua" w:cs="Arial"/>
        </w:rPr>
        <w:t>a real possibility of bias in this case.</w:t>
      </w:r>
      <w:r w:rsidR="005D1B19" w:rsidRPr="005D1B19">
        <w:rPr>
          <w:rFonts w:ascii="Book Antiqua" w:hAnsi="Book Antiqua" w:cs="Arial"/>
        </w:rPr>
        <w:t xml:space="preserve"> The appellant was thus deprived of a fair hearing. Given that he had a right to a fair hearing, this amounted to an error of law, and the decision must be set aside on that basis. It is therefore unnecessary for me to address the other grounds. </w:t>
      </w:r>
    </w:p>
    <w:p w14:paraId="47BD07C2" w14:textId="77777777" w:rsidR="00CB0F21" w:rsidRPr="009B7433" w:rsidRDefault="00CB0F21"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In the circumstances as I am satisfied that there was no fair hearing, the only way in which this </w:t>
      </w:r>
      <w:r w:rsidR="00C16499">
        <w:rPr>
          <w:rFonts w:ascii="Book Antiqua" w:hAnsi="Book Antiqua" w:cs="Arial"/>
        </w:rPr>
        <w:t xml:space="preserve">matter </w:t>
      </w:r>
      <w:r>
        <w:rPr>
          <w:rFonts w:ascii="Book Antiqua" w:hAnsi="Book Antiqua" w:cs="Arial"/>
        </w:rPr>
        <w:t>can be remedied is for the matter to be remitted to the First-tier Tribunal for a fresh hearing on all issues.</w:t>
      </w:r>
    </w:p>
    <w:p w14:paraId="39DF7FB5" w14:textId="77777777" w:rsidR="001F2716" w:rsidRPr="009B7433" w:rsidRDefault="001F2716" w:rsidP="00780F86">
      <w:pPr>
        <w:ind w:left="540" w:hanging="540"/>
        <w:jc w:val="both"/>
        <w:rPr>
          <w:rFonts w:ascii="Book Antiqua" w:hAnsi="Book Antiqua" w:cs="Arial"/>
        </w:rPr>
      </w:pPr>
    </w:p>
    <w:p w14:paraId="4E33219D" w14:textId="77777777"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14:paraId="1A9D5C3A" w14:textId="77777777" w:rsidR="00D949B7" w:rsidRPr="00D949B7" w:rsidRDefault="00D949B7" w:rsidP="00D949B7">
      <w:pPr>
        <w:jc w:val="both"/>
        <w:rPr>
          <w:rFonts w:ascii="Book Antiqua" w:hAnsi="Book Antiqua" w:cs="Arial"/>
        </w:rPr>
      </w:pPr>
    </w:p>
    <w:p w14:paraId="21E7EEE5" w14:textId="77777777" w:rsidR="00CB0F21" w:rsidRDefault="00CB0F21" w:rsidP="004112EA">
      <w:pPr>
        <w:ind w:left="567" w:hanging="567"/>
        <w:jc w:val="both"/>
        <w:rPr>
          <w:rFonts w:ascii="Book Antiqua" w:hAnsi="Book Antiqua" w:cs="Arial"/>
        </w:rPr>
      </w:pPr>
      <w:r>
        <w:rPr>
          <w:rFonts w:ascii="Book Antiqua" w:hAnsi="Book Antiqua" w:cs="Arial"/>
        </w:rPr>
        <w:t>(1)</w:t>
      </w:r>
      <w:r w:rsidR="004112EA">
        <w:rPr>
          <w:rFonts w:ascii="Book Antiqua" w:hAnsi="Book Antiqua" w:cs="Arial"/>
        </w:rPr>
        <w:tab/>
      </w:r>
      <w:r>
        <w:rPr>
          <w:rFonts w:ascii="Book Antiqua" w:hAnsi="Book Antiqua" w:cs="Arial"/>
        </w:rPr>
        <w:t>The decision of the First-tier Tribunal involved the making of an error of law and I set it aside.</w:t>
      </w:r>
    </w:p>
    <w:p w14:paraId="59C48827" w14:textId="77777777" w:rsidR="004112EA" w:rsidRDefault="004112EA" w:rsidP="004112EA">
      <w:pPr>
        <w:ind w:left="567" w:hanging="567"/>
        <w:jc w:val="both"/>
        <w:rPr>
          <w:rFonts w:ascii="Book Antiqua" w:hAnsi="Book Antiqua" w:cs="Arial"/>
        </w:rPr>
      </w:pPr>
    </w:p>
    <w:p w14:paraId="63A82C83" w14:textId="77777777" w:rsidR="00D949B7" w:rsidRPr="00D949B7" w:rsidRDefault="00CB0F21" w:rsidP="004112EA">
      <w:pPr>
        <w:ind w:left="567" w:hanging="567"/>
        <w:jc w:val="both"/>
        <w:rPr>
          <w:rFonts w:ascii="Book Antiqua" w:hAnsi="Book Antiqua" w:cs="Arial"/>
        </w:rPr>
      </w:pPr>
      <w:r>
        <w:rPr>
          <w:rFonts w:ascii="Book Antiqua" w:hAnsi="Book Antiqua" w:cs="Arial"/>
        </w:rPr>
        <w:t>(2)</w:t>
      </w:r>
      <w:r w:rsidR="004112EA">
        <w:rPr>
          <w:rFonts w:ascii="Book Antiqua" w:hAnsi="Book Antiqua" w:cs="Arial"/>
        </w:rPr>
        <w:tab/>
      </w:r>
      <w:r>
        <w:rPr>
          <w:rFonts w:ascii="Book Antiqua" w:hAnsi="Book Antiqua" w:cs="Arial"/>
        </w:rPr>
        <w:t>I remit the decision to the First-tier Tribunal for a fresh decision on all issues</w:t>
      </w:r>
      <w:r w:rsidR="004112EA">
        <w:rPr>
          <w:rFonts w:ascii="Book Antiqua" w:hAnsi="Book Antiqua" w:cs="Arial"/>
        </w:rPr>
        <w:t xml:space="preserve"> to be heard by a judge other than Judge Rowlands.</w:t>
      </w:r>
      <w:r w:rsidR="004112EA" w:rsidRPr="00D949B7">
        <w:rPr>
          <w:rFonts w:ascii="Book Antiqua" w:hAnsi="Book Antiqua" w:cs="Arial"/>
        </w:rPr>
        <w:t xml:space="preserve"> </w:t>
      </w:r>
    </w:p>
    <w:p w14:paraId="45C09074" w14:textId="77777777" w:rsidR="00D949B7" w:rsidRPr="00D949B7" w:rsidRDefault="00D949B7" w:rsidP="00D949B7">
      <w:pPr>
        <w:jc w:val="both"/>
        <w:rPr>
          <w:rFonts w:ascii="Book Antiqua" w:hAnsi="Book Antiqua" w:cs="Arial"/>
        </w:rPr>
      </w:pPr>
    </w:p>
    <w:p w14:paraId="07729D71" w14:textId="77777777" w:rsidR="00D949B7" w:rsidRPr="00D949B7" w:rsidRDefault="00D949B7" w:rsidP="00D949B7">
      <w:pPr>
        <w:jc w:val="both"/>
        <w:rPr>
          <w:rFonts w:ascii="Book Antiqua" w:hAnsi="Book Antiqua" w:cs="Arial"/>
        </w:rPr>
      </w:pPr>
      <w:r w:rsidRPr="00D949B7">
        <w:rPr>
          <w:rFonts w:ascii="Book Antiqua" w:hAnsi="Book Antiqua" w:cs="Arial"/>
        </w:rPr>
        <w:t>No anonymity direction is made.</w:t>
      </w:r>
    </w:p>
    <w:p w14:paraId="530EAFB9" w14:textId="77777777" w:rsidR="00D949B7" w:rsidRPr="009B7433" w:rsidRDefault="00D949B7" w:rsidP="00780F86">
      <w:pPr>
        <w:ind w:left="540" w:hanging="540"/>
        <w:jc w:val="both"/>
        <w:rPr>
          <w:rFonts w:ascii="Book Antiqua" w:hAnsi="Book Antiqua" w:cs="Arial"/>
        </w:rPr>
      </w:pPr>
    </w:p>
    <w:p w14:paraId="75782478" w14:textId="77777777"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55065">
        <w:rPr>
          <w:rFonts w:ascii="Book Antiqua" w:hAnsi="Book Antiqua" w:cs="Arial"/>
        </w:rPr>
        <w:t xml:space="preserve"> 3 July 2018</w:t>
      </w:r>
    </w:p>
    <w:p w14:paraId="1D1C0EC0" w14:textId="77777777" w:rsidR="001F2716" w:rsidRPr="009B7433" w:rsidRDefault="00255065" w:rsidP="00402B9E">
      <w:pPr>
        <w:tabs>
          <w:tab w:val="left" w:pos="2520"/>
        </w:tabs>
        <w:ind w:left="540" w:hanging="540"/>
        <w:jc w:val="both"/>
        <w:rPr>
          <w:rFonts w:ascii="Book Antiqua" w:hAnsi="Book Antiqua" w:cs="Arial"/>
        </w:rPr>
      </w:pPr>
      <w:r w:rsidRPr="001F3B22">
        <w:rPr>
          <w:rFonts w:ascii="Book Antiqua" w:hAnsi="Book Antiqua"/>
          <w:noProof/>
          <w:color w:val="000000"/>
        </w:rPr>
        <w:drawing>
          <wp:inline distT="0" distB="0" distL="0" distR="0" wp14:anchorId="5FA5E666" wp14:editId="7A84BAB5">
            <wp:extent cx="204787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586E98AA" w14:textId="77777777" w:rsidR="001F2716" w:rsidRPr="009B7433" w:rsidRDefault="001F2716" w:rsidP="00402B9E">
      <w:pPr>
        <w:tabs>
          <w:tab w:val="left" w:pos="2520"/>
        </w:tabs>
        <w:ind w:left="540" w:hanging="540"/>
        <w:jc w:val="both"/>
        <w:rPr>
          <w:rFonts w:ascii="Book Antiqua" w:hAnsi="Book Antiqua" w:cs="Arial"/>
        </w:rPr>
      </w:pPr>
    </w:p>
    <w:p w14:paraId="25E3A573" w14:textId="77777777" w:rsidR="00B95326"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14:paraId="294EF1A3" w14:textId="77777777" w:rsidR="00D949B7" w:rsidRDefault="00D949B7" w:rsidP="004B70D7">
      <w:pPr>
        <w:tabs>
          <w:tab w:val="left" w:pos="2520"/>
        </w:tabs>
        <w:ind w:left="540" w:hanging="540"/>
        <w:jc w:val="both"/>
        <w:rPr>
          <w:rFonts w:ascii="Book Antiqua" w:hAnsi="Book Antiqua" w:cs="Arial"/>
          <w:color w:val="000000"/>
        </w:rPr>
      </w:pPr>
    </w:p>
    <w:p w14:paraId="5498D148" w14:textId="77777777" w:rsidR="00D949B7" w:rsidRDefault="00D949B7" w:rsidP="004B70D7">
      <w:pPr>
        <w:tabs>
          <w:tab w:val="left" w:pos="2520"/>
        </w:tabs>
        <w:ind w:left="540" w:hanging="540"/>
        <w:jc w:val="both"/>
        <w:rPr>
          <w:rFonts w:ascii="Book Antiqua" w:hAnsi="Book Antiqua" w:cs="Arial"/>
          <w:color w:val="000000"/>
        </w:rPr>
      </w:pPr>
    </w:p>
    <w:p w14:paraId="05A1938C" w14:textId="77777777" w:rsidR="00D949B7" w:rsidRDefault="00D949B7" w:rsidP="00D949B7">
      <w:pPr>
        <w:jc w:val="both"/>
        <w:rPr>
          <w:rFonts w:ascii="Book Antiqua" w:hAnsi="Book Antiqua" w:cs="Arial"/>
        </w:rPr>
      </w:pPr>
    </w:p>
    <w:p w14:paraId="22A613EA" w14:textId="77777777" w:rsidR="00D949B7" w:rsidRPr="009B7433" w:rsidRDefault="00D949B7" w:rsidP="004B70D7">
      <w:pPr>
        <w:tabs>
          <w:tab w:val="left" w:pos="2520"/>
        </w:tabs>
        <w:ind w:left="540" w:hanging="540"/>
        <w:jc w:val="both"/>
        <w:rPr>
          <w:rFonts w:ascii="Book Antiqua" w:hAnsi="Book Antiqua" w:cs="Arial"/>
          <w:color w:val="000000"/>
        </w:rPr>
      </w:pPr>
    </w:p>
    <w:p w14:paraId="5856B85F" w14:textId="77777777" w:rsidR="00B95326" w:rsidRPr="009B7433" w:rsidRDefault="00B95326" w:rsidP="00A4457F">
      <w:pPr>
        <w:tabs>
          <w:tab w:val="left" w:pos="2520"/>
        </w:tabs>
        <w:jc w:val="both"/>
        <w:rPr>
          <w:rFonts w:ascii="Book Antiqua" w:hAnsi="Book Antiqua" w:cs="Arial"/>
        </w:rPr>
        <w:sectPr w:rsidR="00B95326" w:rsidRPr="009B7433" w:rsidSect="00B84FE7">
          <w:headerReference w:type="default" r:id="rId10"/>
          <w:footerReference w:type="default" r:id="rId11"/>
          <w:headerReference w:type="first" r:id="rId12"/>
          <w:footerReference w:type="first" r:id="rId13"/>
          <w:pgSz w:w="11906" w:h="16838"/>
          <w:pgMar w:top="567" w:right="1134" w:bottom="1440" w:left="1134" w:header="709" w:footer="709" w:gutter="0"/>
          <w:cols w:space="708"/>
          <w:titlePg/>
          <w:docGrid w:linePitch="360"/>
        </w:sectPr>
      </w:pPr>
    </w:p>
    <w:p w14:paraId="11EBEF7A" w14:textId="77777777" w:rsidR="00B95326" w:rsidRPr="009B7433" w:rsidRDefault="00B95326" w:rsidP="00E77E3A">
      <w:pPr>
        <w:tabs>
          <w:tab w:val="left" w:pos="2520"/>
        </w:tabs>
        <w:ind w:left="540" w:hanging="540"/>
        <w:jc w:val="both"/>
        <w:rPr>
          <w:rFonts w:ascii="Book Antiqua" w:hAnsi="Book Antiqua" w:cs="Arial"/>
        </w:rPr>
      </w:pPr>
    </w:p>
    <w:sectPr w:rsidR="00B95326" w:rsidRPr="009B7433" w:rsidSect="00E77E3A">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754D8" w14:textId="77777777" w:rsidR="003B283D" w:rsidRDefault="003B283D">
      <w:r>
        <w:separator/>
      </w:r>
    </w:p>
  </w:endnote>
  <w:endnote w:type="continuationSeparator" w:id="0">
    <w:p w14:paraId="28F6FC89" w14:textId="77777777" w:rsidR="003B283D" w:rsidRDefault="003B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7FAF" w14:textId="5877285D" w:rsidR="008A6059" w:rsidRPr="007C5D42" w:rsidRDefault="008A6059" w:rsidP="00593795">
    <w:pPr>
      <w:pStyle w:val="Footer"/>
      <w:jc w:val="center"/>
      <w:rPr>
        <w:rFonts w:ascii="Book Antiqua" w:hAnsi="Book Antiqua" w:cs="Arial"/>
      </w:rPr>
    </w:pPr>
    <w:r w:rsidRPr="007C5D42">
      <w:rPr>
        <w:rStyle w:val="PageNumber"/>
        <w:rFonts w:ascii="Book Antiqua" w:hAnsi="Book Antiqua" w:cs="Arial"/>
      </w:rPr>
      <w:fldChar w:fldCharType="begin"/>
    </w:r>
    <w:r w:rsidRPr="007C5D42">
      <w:rPr>
        <w:rStyle w:val="PageNumber"/>
        <w:rFonts w:ascii="Book Antiqua" w:hAnsi="Book Antiqua" w:cs="Arial"/>
      </w:rPr>
      <w:instrText xml:space="preserve"> PAGE </w:instrText>
    </w:r>
    <w:r w:rsidRPr="007C5D42">
      <w:rPr>
        <w:rStyle w:val="PageNumber"/>
        <w:rFonts w:ascii="Book Antiqua" w:hAnsi="Book Antiqua" w:cs="Arial"/>
      </w:rPr>
      <w:fldChar w:fldCharType="separate"/>
    </w:r>
    <w:r w:rsidR="00522919">
      <w:rPr>
        <w:rStyle w:val="PageNumber"/>
        <w:rFonts w:ascii="Book Antiqua" w:hAnsi="Book Antiqua" w:cs="Arial"/>
        <w:noProof/>
      </w:rPr>
      <w:t>3</w:t>
    </w:r>
    <w:r w:rsidRPr="007C5D4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D4917"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7F770" w14:textId="77777777" w:rsidR="003B283D" w:rsidRDefault="003B283D">
      <w:r>
        <w:separator/>
      </w:r>
    </w:p>
  </w:footnote>
  <w:footnote w:type="continuationSeparator" w:id="0">
    <w:p w14:paraId="26717317" w14:textId="77777777" w:rsidR="003B283D" w:rsidRDefault="003B2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6786D" w14:textId="126A806F"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4112EA">
      <w:rPr>
        <w:rFonts w:ascii="Book Antiqua" w:hAnsi="Book Antiqua" w:cs="Arial"/>
        <w:sz w:val="16"/>
        <w:szCs w:val="16"/>
      </w:rPr>
      <w:t>DA/00172/2018</w:t>
    </w:r>
  </w:p>
  <w:p w14:paraId="1ACDDB33" w14:textId="77777777" w:rsidR="007C5D42" w:rsidRPr="009B7433" w:rsidRDefault="007C5D4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3535"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B19"/>
    <w:rsid w:val="00000621"/>
    <w:rsid w:val="000036C2"/>
    <w:rsid w:val="00016C1A"/>
    <w:rsid w:val="00033588"/>
    <w:rsid w:val="00033D3D"/>
    <w:rsid w:val="0004776F"/>
    <w:rsid w:val="00052895"/>
    <w:rsid w:val="000539A2"/>
    <w:rsid w:val="00053C0D"/>
    <w:rsid w:val="00062F02"/>
    <w:rsid w:val="00071A7E"/>
    <w:rsid w:val="000746C0"/>
    <w:rsid w:val="00074D1D"/>
    <w:rsid w:val="00092580"/>
    <w:rsid w:val="00093D4D"/>
    <w:rsid w:val="000D5D94"/>
    <w:rsid w:val="000F1A0E"/>
    <w:rsid w:val="001165A7"/>
    <w:rsid w:val="001311C2"/>
    <w:rsid w:val="00151266"/>
    <w:rsid w:val="0016508E"/>
    <w:rsid w:val="00167D3A"/>
    <w:rsid w:val="00173F50"/>
    <w:rsid w:val="00185986"/>
    <w:rsid w:val="001A3082"/>
    <w:rsid w:val="001B186A"/>
    <w:rsid w:val="001B2F75"/>
    <w:rsid w:val="001C6F5F"/>
    <w:rsid w:val="001D6167"/>
    <w:rsid w:val="001F2716"/>
    <w:rsid w:val="001F3AC0"/>
    <w:rsid w:val="00207617"/>
    <w:rsid w:val="0023134B"/>
    <w:rsid w:val="00255065"/>
    <w:rsid w:val="00283659"/>
    <w:rsid w:val="002C6BD4"/>
    <w:rsid w:val="002D68BF"/>
    <w:rsid w:val="002E4541"/>
    <w:rsid w:val="002F6B98"/>
    <w:rsid w:val="003235A2"/>
    <w:rsid w:val="00336CBF"/>
    <w:rsid w:val="00343FE3"/>
    <w:rsid w:val="003546C8"/>
    <w:rsid w:val="003825D4"/>
    <w:rsid w:val="003A7CF2"/>
    <w:rsid w:val="003B283D"/>
    <w:rsid w:val="003C5CE5"/>
    <w:rsid w:val="003D6FAD"/>
    <w:rsid w:val="003E267B"/>
    <w:rsid w:val="003E7CD1"/>
    <w:rsid w:val="00402B9E"/>
    <w:rsid w:val="004112EA"/>
    <w:rsid w:val="0042037F"/>
    <w:rsid w:val="004249CB"/>
    <w:rsid w:val="0044127D"/>
    <w:rsid w:val="004448DB"/>
    <w:rsid w:val="00446C9A"/>
    <w:rsid w:val="00452F2B"/>
    <w:rsid w:val="00477193"/>
    <w:rsid w:val="004A1848"/>
    <w:rsid w:val="004A6F4A"/>
    <w:rsid w:val="004B70D7"/>
    <w:rsid w:val="004D6B45"/>
    <w:rsid w:val="004E4717"/>
    <w:rsid w:val="00507FEC"/>
    <w:rsid w:val="00510F0E"/>
    <w:rsid w:val="0051417F"/>
    <w:rsid w:val="00522919"/>
    <w:rsid w:val="005479E1"/>
    <w:rsid w:val="00553E0A"/>
    <w:rsid w:val="005570FD"/>
    <w:rsid w:val="005575EA"/>
    <w:rsid w:val="0057790C"/>
    <w:rsid w:val="0059298F"/>
    <w:rsid w:val="00593795"/>
    <w:rsid w:val="005A75FF"/>
    <w:rsid w:val="005D10AB"/>
    <w:rsid w:val="005D1B19"/>
    <w:rsid w:val="00601D8F"/>
    <w:rsid w:val="00605582"/>
    <w:rsid w:val="00611F34"/>
    <w:rsid w:val="00621FE8"/>
    <w:rsid w:val="006434B6"/>
    <w:rsid w:val="00653E97"/>
    <w:rsid w:val="006667DB"/>
    <w:rsid w:val="00673A9A"/>
    <w:rsid w:val="00684A74"/>
    <w:rsid w:val="0068620A"/>
    <w:rsid w:val="00690B8A"/>
    <w:rsid w:val="006D2304"/>
    <w:rsid w:val="006D4984"/>
    <w:rsid w:val="006F2CF1"/>
    <w:rsid w:val="007038ED"/>
    <w:rsid w:val="00703BC3"/>
    <w:rsid w:val="00704B61"/>
    <w:rsid w:val="0071058C"/>
    <w:rsid w:val="00715A64"/>
    <w:rsid w:val="00740C1F"/>
    <w:rsid w:val="007552A9"/>
    <w:rsid w:val="0075658A"/>
    <w:rsid w:val="00761858"/>
    <w:rsid w:val="00767D59"/>
    <w:rsid w:val="0077495A"/>
    <w:rsid w:val="00776E97"/>
    <w:rsid w:val="00780F86"/>
    <w:rsid w:val="007912AD"/>
    <w:rsid w:val="007B0824"/>
    <w:rsid w:val="007B5D3C"/>
    <w:rsid w:val="007C5D42"/>
    <w:rsid w:val="00815011"/>
    <w:rsid w:val="00821B72"/>
    <w:rsid w:val="00823EF2"/>
    <w:rsid w:val="008303B8"/>
    <w:rsid w:val="00833DCE"/>
    <w:rsid w:val="00871D34"/>
    <w:rsid w:val="008A25EC"/>
    <w:rsid w:val="008A6059"/>
    <w:rsid w:val="008B270C"/>
    <w:rsid w:val="008B5078"/>
    <w:rsid w:val="008C3D3D"/>
    <w:rsid w:val="008D4131"/>
    <w:rsid w:val="008F1932"/>
    <w:rsid w:val="0090151B"/>
    <w:rsid w:val="009042A9"/>
    <w:rsid w:val="00907330"/>
    <w:rsid w:val="00921062"/>
    <w:rsid w:val="009722BC"/>
    <w:rsid w:val="009727A3"/>
    <w:rsid w:val="00987774"/>
    <w:rsid w:val="009A11E8"/>
    <w:rsid w:val="009B7433"/>
    <w:rsid w:val="009C57C8"/>
    <w:rsid w:val="009F5220"/>
    <w:rsid w:val="00A07919"/>
    <w:rsid w:val="00A15234"/>
    <w:rsid w:val="00A201AB"/>
    <w:rsid w:val="00A31C8B"/>
    <w:rsid w:val="00A4457F"/>
    <w:rsid w:val="00A509FA"/>
    <w:rsid w:val="00A845DC"/>
    <w:rsid w:val="00AF4B06"/>
    <w:rsid w:val="00B26AA2"/>
    <w:rsid w:val="00B3524D"/>
    <w:rsid w:val="00B40F69"/>
    <w:rsid w:val="00B46616"/>
    <w:rsid w:val="00B528BB"/>
    <w:rsid w:val="00B7040A"/>
    <w:rsid w:val="00B83391"/>
    <w:rsid w:val="00B84FE7"/>
    <w:rsid w:val="00B95326"/>
    <w:rsid w:val="00BA4A33"/>
    <w:rsid w:val="00BD4196"/>
    <w:rsid w:val="00BF22CA"/>
    <w:rsid w:val="00BF23BB"/>
    <w:rsid w:val="00C16499"/>
    <w:rsid w:val="00C26032"/>
    <w:rsid w:val="00C345E1"/>
    <w:rsid w:val="00C43BFD"/>
    <w:rsid w:val="00C52C97"/>
    <w:rsid w:val="00C6048A"/>
    <w:rsid w:val="00CB0F21"/>
    <w:rsid w:val="00CB6E35"/>
    <w:rsid w:val="00CD3BE9"/>
    <w:rsid w:val="00CE1A46"/>
    <w:rsid w:val="00D20757"/>
    <w:rsid w:val="00D22636"/>
    <w:rsid w:val="00D22AFC"/>
    <w:rsid w:val="00D40FD9"/>
    <w:rsid w:val="00D46B19"/>
    <w:rsid w:val="00D53769"/>
    <w:rsid w:val="00D6602D"/>
    <w:rsid w:val="00D85C13"/>
    <w:rsid w:val="00D9111A"/>
    <w:rsid w:val="00D91BE3"/>
    <w:rsid w:val="00D949B7"/>
    <w:rsid w:val="00D94AFC"/>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77E3A"/>
    <w:rsid w:val="00E81D01"/>
    <w:rsid w:val="00EB485A"/>
    <w:rsid w:val="00EE45D8"/>
    <w:rsid w:val="00F22EDA"/>
    <w:rsid w:val="00F5589A"/>
    <w:rsid w:val="00F67804"/>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3C4C6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D1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ew/cases/EWCA/Civ/2016/492.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989</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2018-07-26T14:40:00Z</dcterms:created>
  <dcterms:modified xsi:type="dcterms:W3CDTF">2018-07-26T14:40:00Z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