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FE0046" w:rsidP="00933B65">
      <w:pPr>
        <w:jc w:val="center"/>
        <w:rPr>
          <w:rFonts w:ascii="Book Antiqua" w:hAnsi="Book Antiqua" w:cs="Arial"/>
          <w:color w:val="000000"/>
        </w:rPr>
      </w:pPr>
      <w:r>
        <w:rPr>
          <w:noProof/>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7F1B17" w:rsidRPr="00F97703" w:rsidRDefault="007F1B17" w:rsidP="007F1B17">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8A64A7">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Hlk514059579"/>
      <w:bookmarkStart w:id="1" w:name="_GoBack"/>
      <w:r w:rsidR="006E457A">
        <w:rPr>
          <w:rFonts w:ascii="Book Antiqua" w:hAnsi="Book Antiqua" w:cs="Arial"/>
          <w:caps/>
          <w:color w:val="000000"/>
        </w:rPr>
        <w:t>DA/</w:t>
      </w:r>
      <w:r w:rsidR="00EC4DB2">
        <w:rPr>
          <w:rFonts w:ascii="Book Antiqua" w:hAnsi="Book Antiqua" w:cs="Arial"/>
          <w:caps/>
          <w:color w:val="000000"/>
        </w:rPr>
        <w:t>00202/2017</w:t>
      </w:r>
      <w:bookmarkEnd w:id="0"/>
      <w:bookmarkEnd w:id="1"/>
    </w:p>
    <w:p w:rsidR="00933B65" w:rsidRPr="00F97703" w:rsidRDefault="00933B65" w:rsidP="00933B65">
      <w:pPr>
        <w:jc w:val="center"/>
        <w:rPr>
          <w:rFonts w:ascii="Book Antiqua" w:hAnsi="Book Antiqua" w:cs="Arial"/>
          <w:color w:val="000000"/>
        </w:rPr>
      </w:pPr>
    </w:p>
    <w:p w:rsidR="007F1B17" w:rsidRDefault="007F1B17"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7F1B17" w:rsidRPr="00F97703" w:rsidRDefault="007F1B17"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933B65" w:rsidRPr="002154EF" w:rsidTr="007F1B17">
        <w:tc>
          <w:tcPr>
            <w:tcW w:w="2500" w:type="pct"/>
            <w:shd w:val="clear" w:color="auto" w:fill="auto"/>
          </w:tcPr>
          <w:p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2500" w:type="pct"/>
            <w:shd w:val="clear" w:color="auto" w:fill="auto"/>
          </w:tcPr>
          <w:p w:rsidR="00933B65" w:rsidRPr="002154EF" w:rsidRDefault="00086935" w:rsidP="007F1B17">
            <w:pPr>
              <w:jc w:val="right"/>
              <w:rPr>
                <w:rFonts w:ascii="Book Antiqua" w:hAnsi="Book Antiqua" w:cs="Arial"/>
                <w:b/>
                <w:color w:val="000000"/>
              </w:rPr>
            </w:pPr>
            <w:r>
              <w:rPr>
                <w:rFonts w:ascii="Book Antiqua" w:hAnsi="Book Antiqua" w:cs="Arial"/>
                <w:b/>
                <w:color w:val="000000"/>
              </w:rPr>
              <w:t>Decision &amp; Reasons Promulgated</w:t>
            </w:r>
          </w:p>
        </w:tc>
      </w:tr>
      <w:tr w:rsidR="00933B65" w:rsidRPr="002154EF" w:rsidTr="007F1B17">
        <w:tc>
          <w:tcPr>
            <w:tcW w:w="2500" w:type="pct"/>
            <w:shd w:val="clear" w:color="auto" w:fill="auto"/>
          </w:tcPr>
          <w:p w:rsidR="00933B65" w:rsidRPr="002154EF" w:rsidRDefault="00086935" w:rsidP="002154EF">
            <w:pPr>
              <w:jc w:val="both"/>
              <w:rPr>
                <w:rFonts w:ascii="Book Antiqua" w:hAnsi="Book Antiqua" w:cs="Arial"/>
                <w:b/>
              </w:rPr>
            </w:pPr>
            <w:r>
              <w:rPr>
                <w:rFonts w:ascii="Book Antiqua" w:hAnsi="Book Antiqua" w:cs="Arial"/>
                <w:b/>
              </w:rPr>
              <w:t>O</w:t>
            </w:r>
            <w:r w:rsidR="00933B65" w:rsidRPr="002154EF">
              <w:rPr>
                <w:rFonts w:ascii="Book Antiqua" w:hAnsi="Book Antiqua" w:cs="Arial"/>
                <w:b/>
              </w:rPr>
              <w:t xml:space="preserve">n </w:t>
            </w:r>
            <w:r w:rsidR="0019177F">
              <w:rPr>
                <w:rFonts w:ascii="Book Antiqua" w:hAnsi="Book Antiqua" w:cs="Arial"/>
                <w:b/>
              </w:rPr>
              <w:t>9 May</w:t>
            </w:r>
            <w:r w:rsidR="00EC4DB2">
              <w:rPr>
                <w:rFonts w:ascii="Book Antiqua" w:hAnsi="Book Antiqua" w:cs="Arial"/>
                <w:b/>
              </w:rPr>
              <w:t xml:space="preserve"> 2018</w:t>
            </w:r>
          </w:p>
        </w:tc>
        <w:tc>
          <w:tcPr>
            <w:tcW w:w="2500" w:type="pct"/>
            <w:shd w:val="clear" w:color="auto" w:fill="auto"/>
          </w:tcPr>
          <w:p w:rsidR="00933B65" w:rsidRPr="002154EF" w:rsidRDefault="00086935" w:rsidP="007F1B17">
            <w:pPr>
              <w:jc w:val="right"/>
              <w:rPr>
                <w:rFonts w:ascii="Book Antiqua" w:hAnsi="Book Antiqua" w:cs="Arial"/>
                <w:b/>
              </w:rPr>
            </w:pPr>
            <w:r>
              <w:rPr>
                <w:rFonts w:ascii="Book Antiqua" w:hAnsi="Book Antiqua" w:cs="Arial"/>
                <w:b/>
              </w:rPr>
              <w:t>On 16 May 2018</w:t>
            </w:r>
          </w:p>
        </w:tc>
      </w:tr>
      <w:tr w:rsidR="00933B65" w:rsidRPr="002154EF" w:rsidTr="007F1B17">
        <w:tc>
          <w:tcPr>
            <w:tcW w:w="2500" w:type="pct"/>
            <w:shd w:val="clear" w:color="auto" w:fill="auto"/>
          </w:tcPr>
          <w:p w:rsidR="00933B65" w:rsidRPr="002154EF" w:rsidRDefault="00933B65" w:rsidP="002154EF">
            <w:pPr>
              <w:jc w:val="both"/>
              <w:rPr>
                <w:rFonts w:ascii="Book Antiqua" w:hAnsi="Book Antiqua" w:cs="Arial"/>
                <w:b/>
              </w:rPr>
            </w:pPr>
          </w:p>
        </w:tc>
        <w:tc>
          <w:tcPr>
            <w:tcW w:w="2500" w:type="pct"/>
            <w:shd w:val="clear" w:color="auto" w:fill="auto"/>
          </w:tcPr>
          <w:p w:rsidR="00933B65" w:rsidRPr="002154EF" w:rsidRDefault="00933B65" w:rsidP="007F1B17">
            <w:pPr>
              <w:jc w:val="right"/>
              <w:rPr>
                <w:rFonts w:ascii="Book Antiqua" w:hAnsi="Book Antiqua" w:cs="Arial"/>
                <w:b/>
              </w:rPr>
            </w:pPr>
          </w:p>
        </w:tc>
      </w:tr>
    </w:tbl>
    <w:p w:rsidR="007F1B17" w:rsidRDefault="007F1B17"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rsidR="00933B65" w:rsidRDefault="00933B65" w:rsidP="00933B65">
      <w:pPr>
        <w:jc w:val="center"/>
        <w:rPr>
          <w:rFonts w:ascii="Book Antiqua" w:hAnsi="Book Antiqua" w:cs="Arial"/>
          <w:b/>
        </w:rPr>
      </w:pPr>
    </w:p>
    <w:p w:rsidR="007F1B17" w:rsidRPr="00F97703" w:rsidRDefault="007F1B17"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EC4DB2"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2"/>
      <w:r w:rsidR="008B5B9B">
        <w:rPr>
          <w:rFonts w:ascii="Book Antiqua" w:hAnsi="Book Antiqua" w:cs="Arial"/>
          <w:b/>
        </w:rPr>
        <w:t xml:space="preserve"> </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D44C2B" w:rsidRDefault="00D44C2B" w:rsidP="00933B65">
      <w:pPr>
        <w:jc w:val="center"/>
        <w:rPr>
          <w:rFonts w:ascii="Book Antiqua" w:hAnsi="Book Antiqua" w:cs="Arial"/>
          <w:b/>
        </w:rPr>
      </w:pPr>
    </w:p>
    <w:p w:rsidR="00933B65" w:rsidRPr="00F97703" w:rsidRDefault="00A32CF0" w:rsidP="00933B65">
      <w:pPr>
        <w:jc w:val="center"/>
        <w:rPr>
          <w:rFonts w:ascii="Book Antiqua" w:hAnsi="Book Antiqua" w:cs="Arial"/>
          <w:b/>
        </w:rPr>
      </w:pPr>
      <w:r>
        <w:rPr>
          <w:rFonts w:ascii="Book Antiqua" w:hAnsi="Book Antiqua" w:cs="Arial"/>
          <w:b/>
        </w:rPr>
        <w:t xml:space="preserve">ROBERT </w:t>
      </w:r>
      <w:r w:rsidR="007F1B17">
        <w:rPr>
          <w:rFonts w:ascii="Book Antiqua" w:hAnsi="Book Antiqua" w:cs="Arial"/>
          <w:b/>
        </w:rPr>
        <w:t>[</w:t>
      </w:r>
      <w:r>
        <w:rPr>
          <w:rFonts w:ascii="Book Antiqua" w:hAnsi="Book Antiqua" w:cs="Arial"/>
          <w:b/>
        </w:rPr>
        <w:t>L</w:t>
      </w:r>
      <w:r w:rsidR="007F1B17">
        <w:rPr>
          <w:rFonts w:ascii="Book Antiqua" w:hAnsi="Book Antiqua" w:cs="Arial"/>
          <w:b/>
        </w:rPr>
        <w:t>]</w:t>
      </w:r>
    </w:p>
    <w:p w:rsidR="00933B65" w:rsidRPr="00F97703" w:rsidRDefault="00933B65" w:rsidP="008A64A7">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rPr>
      </w:pPr>
    </w:p>
    <w:p w:rsidR="007F1B17" w:rsidRDefault="007F1B17" w:rsidP="00933B65">
      <w:pPr>
        <w:rPr>
          <w:rFonts w:ascii="Book Antiqua" w:hAnsi="Book Antiqua" w:cs="Arial"/>
        </w:rPr>
      </w:pPr>
    </w:p>
    <w:p w:rsidR="007F1B17" w:rsidRPr="007F1B17" w:rsidRDefault="007F1B17" w:rsidP="00933B65">
      <w:pPr>
        <w:rPr>
          <w:rFonts w:ascii="Book Antiqua" w:hAnsi="Book Antiqua" w:cs="Arial"/>
          <w:u w:val="single"/>
        </w:rPr>
      </w:pPr>
      <w:r w:rsidRPr="007F1B17">
        <w:rPr>
          <w:rFonts w:ascii="Book Antiqua" w:hAnsi="Book Antiqua" w:cs="Arial"/>
          <w:u w:val="single"/>
        </w:rPr>
        <w:t>Representation:</w:t>
      </w:r>
    </w:p>
    <w:p w:rsidR="00933B65" w:rsidRPr="00F97703" w:rsidRDefault="00933B65" w:rsidP="007F1B17">
      <w:pPr>
        <w:tabs>
          <w:tab w:val="left" w:pos="2552"/>
        </w:tabs>
        <w:rPr>
          <w:rFonts w:ascii="Book Antiqua" w:hAnsi="Book Antiqua" w:cs="Arial"/>
        </w:rPr>
      </w:pPr>
      <w:r w:rsidRPr="00F97703">
        <w:rPr>
          <w:rFonts w:ascii="Book Antiqua" w:hAnsi="Book Antiqua" w:cs="Arial"/>
        </w:rPr>
        <w:t>For the Appellant</w:t>
      </w:r>
      <w:r w:rsidR="007F1B17">
        <w:rPr>
          <w:rFonts w:ascii="Book Antiqua" w:hAnsi="Book Antiqua" w:cs="Arial"/>
        </w:rPr>
        <w:t>;</w:t>
      </w:r>
      <w:r w:rsidR="007F1B17">
        <w:rPr>
          <w:rFonts w:ascii="Book Antiqua" w:hAnsi="Book Antiqua" w:cs="Arial"/>
        </w:rPr>
        <w:tab/>
      </w:r>
      <w:r w:rsidR="0007107B">
        <w:rPr>
          <w:rFonts w:ascii="Book Antiqua" w:hAnsi="Book Antiqua" w:cs="Arial"/>
        </w:rPr>
        <w:t xml:space="preserve">Mr A Govan, </w:t>
      </w:r>
      <w:r w:rsidR="005662FE">
        <w:rPr>
          <w:rFonts w:ascii="Book Antiqua" w:hAnsi="Book Antiqua" w:cs="Arial"/>
        </w:rPr>
        <w:t>Senior Home Office Presenting Officer</w:t>
      </w:r>
    </w:p>
    <w:p w:rsidR="00933B65" w:rsidRPr="00F97703" w:rsidRDefault="00933B65" w:rsidP="007F1B17">
      <w:pPr>
        <w:tabs>
          <w:tab w:val="left" w:pos="2552"/>
        </w:tabs>
        <w:rPr>
          <w:rFonts w:ascii="Book Antiqua" w:hAnsi="Book Antiqua" w:cs="Arial"/>
        </w:rPr>
      </w:pPr>
      <w:r w:rsidRPr="00F97703">
        <w:rPr>
          <w:rFonts w:ascii="Book Antiqua" w:hAnsi="Book Antiqua" w:cs="Arial"/>
        </w:rPr>
        <w:t>Respondent</w:t>
      </w:r>
      <w:r w:rsidR="007F1B17">
        <w:rPr>
          <w:rFonts w:ascii="Book Antiqua" w:hAnsi="Book Antiqua" w:cs="Arial"/>
        </w:rPr>
        <w:t xml:space="preserve"> present;</w:t>
      </w:r>
      <w:r w:rsidR="007F1B17">
        <w:rPr>
          <w:rFonts w:ascii="Book Antiqua" w:hAnsi="Book Antiqua" w:cs="Arial"/>
        </w:rPr>
        <w:tab/>
      </w:r>
      <w:r w:rsidR="0007107B">
        <w:rPr>
          <w:rFonts w:ascii="Book Antiqua" w:hAnsi="Book Antiqua" w:cs="Arial"/>
        </w:rPr>
        <w:t>no representative</w:t>
      </w:r>
      <w:r w:rsidRPr="00F97703">
        <w:rPr>
          <w:rFonts w:ascii="Book Antiqua" w:hAnsi="Book Antiqua" w:cs="Arial"/>
        </w:rPr>
        <w:tab/>
      </w:r>
    </w:p>
    <w:p w:rsidR="00933B65" w:rsidRDefault="00933B65" w:rsidP="00933B65">
      <w:pPr>
        <w:tabs>
          <w:tab w:val="left" w:pos="2520"/>
        </w:tabs>
        <w:jc w:val="center"/>
        <w:rPr>
          <w:rFonts w:ascii="Book Antiqua" w:hAnsi="Book Antiqua" w:cs="Arial"/>
        </w:rPr>
      </w:pPr>
    </w:p>
    <w:p w:rsidR="007F1B17" w:rsidRPr="00F97703" w:rsidRDefault="007F1B17" w:rsidP="00933B65">
      <w:pPr>
        <w:tabs>
          <w:tab w:val="left" w:pos="2520"/>
        </w:tabs>
        <w:jc w:val="center"/>
        <w:rPr>
          <w:rFonts w:ascii="Book Antiqua" w:hAnsi="Book Antiqua" w:cs="Arial"/>
        </w:rPr>
      </w:pPr>
    </w:p>
    <w:p w:rsidR="00321C6F" w:rsidRPr="002B54F9" w:rsidRDefault="00933B65" w:rsidP="00734D2D">
      <w:pPr>
        <w:tabs>
          <w:tab w:val="left" w:pos="2520"/>
        </w:tabs>
        <w:jc w:val="center"/>
        <w:rPr>
          <w:rFonts w:ascii="Book Antiqua" w:hAnsi="Book Antiqua" w:cs="Arial"/>
          <w:sz w:val="20"/>
          <w:szCs w:val="20"/>
        </w:rPr>
      </w:pPr>
      <w:r w:rsidRPr="00F97703">
        <w:rPr>
          <w:rFonts w:ascii="Book Antiqua" w:hAnsi="Book Antiqua" w:cs="Arial"/>
          <w:b/>
          <w:u w:val="single"/>
        </w:rPr>
        <w:t>DETERMINATION AND REASONS</w:t>
      </w:r>
    </w:p>
    <w:p w:rsidR="00290204" w:rsidRDefault="00007BAC" w:rsidP="00007BAC">
      <w:pPr>
        <w:numPr>
          <w:ilvl w:val="0"/>
          <w:numId w:val="2"/>
        </w:numPr>
        <w:spacing w:before="240"/>
        <w:jc w:val="both"/>
        <w:rPr>
          <w:rFonts w:ascii="Book Antiqua" w:hAnsi="Book Antiqua" w:cs="Arial"/>
        </w:rPr>
      </w:pPr>
      <w:r>
        <w:rPr>
          <w:rFonts w:ascii="Book Antiqua" w:hAnsi="Book Antiqua" w:cs="Arial"/>
        </w:rPr>
        <w:t xml:space="preserve">The </w:t>
      </w:r>
      <w:r w:rsidR="005662FE">
        <w:rPr>
          <w:rFonts w:ascii="Book Antiqua" w:hAnsi="Book Antiqua" w:cs="Arial"/>
        </w:rPr>
        <w:t xml:space="preserve">SSHD is the </w:t>
      </w:r>
      <w:r>
        <w:rPr>
          <w:rFonts w:ascii="Book Antiqua" w:hAnsi="Book Antiqua" w:cs="Arial"/>
        </w:rPr>
        <w:t>appellant i</w:t>
      </w:r>
      <w:r w:rsidR="005662FE">
        <w:rPr>
          <w:rFonts w:ascii="Book Antiqua" w:hAnsi="Book Antiqua" w:cs="Arial"/>
        </w:rPr>
        <w:t>n the UT</w:t>
      </w:r>
      <w:r w:rsidR="007A68B7">
        <w:rPr>
          <w:rFonts w:ascii="Book Antiqua" w:hAnsi="Book Antiqua" w:cs="Arial"/>
        </w:rPr>
        <w:t xml:space="preserve">, but the rest of this decision refers to </w:t>
      </w:r>
      <w:r w:rsidR="00290204">
        <w:rPr>
          <w:rFonts w:ascii="Book Antiqua" w:hAnsi="Book Antiqua" w:cs="Arial"/>
        </w:rPr>
        <w:t>parties as they were in the FtT.</w:t>
      </w:r>
    </w:p>
    <w:p w:rsidR="006634BA" w:rsidRDefault="00290204" w:rsidP="00007BAC">
      <w:pPr>
        <w:numPr>
          <w:ilvl w:val="0"/>
          <w:numId w:val="2"/>
        </w:numPr>
        <w:spacing w:before="240"/>
        <w:jc w:val="both"/>
        <w:rPr>
          <w:rFonts w:ascii="Book Antiqua" w:hAnsi="Book Antiqua" w:cs="Arial"/>
        </w:rPr>
      </w:pPr>
      <w:r>
        <w:rPr>
          <w:rFonts w:ascii="Book Antiqua" w:hAnsi="Book Antiqua" w:cs="Arial"/>
        </w:rPr>
        <w:t xml:space="preserve">The SSHD decided to deport the appellant </w:t>
      </w:r>
      <w:r w:rsidR="0014350F">
        <w:rPr>
          <w:rFonts w:ascii="Book Antiqua" w:hAnsi="Book Antiqua" w:cs="Arial"/>
        </w:rPr>
        <w:t xml:space="preserve">under the Immigration (EEA) Regulations 2016 </w:t>
      </w:r>
      <w:r>
        <w:rPr>
          <w:rFonts w:ascii="Book Antiqua" w:hAnsi="Book Antiqua" w:cs="Arial"/>
        </w:rPr>
        <w:t xml:space="preserve">for reasons </w:t>
      </w:r>
      <w:r w:rsidR="0014350F">
        <w:rPr>
          <w:rFonts w:ascii="Book Antiqua" w:hAnsi="Book Antiqua" w:cs="Arial"/>
        </w:rPr>
        <w:t xml:space="preserve">explained in </w:t>
      </w:r>
      <w:r w:rsidR="00E20C6C">
        <w:rPr>
          <w:rFonts w:ascii="Book Antiqua" w:hAnsi="Book Antiqua" w:cs="Arial"/>
        </w:rPr>
        <w:t>h</w:t>
      </w:r>
      <w:r w:rsidR="0014350F">
        <w:rPr>
          <w:rFonts w:ascii="Book Antiqua" w:hAnsi="Book Antiqua" w:cs="Arial"/>
        </w:rPr>
        <w:t xml:space="preserve">er </w:t>
      </w:r>
      <w:r w:rsidR="00E20C6C">
        <w:rPr>
          <w:rFonts w:ascii="Book Antiqua" w:hAnsi="Book Antiqua" w:cs="Arial"/>
        </w:rPr>
        <w:t xml:space="preserve">letter </w:t>
      </w:r>
      <w:r w:rsidR="0014350F">
        <w:rPr>
          <w:rFonts w:ascii="Book Antiqua" w:hAnsi="Book Antiqua" w:cs="Arial"/>
        </w:rPr>
        <w:t xml:space="preserve">dated 31 </w:t>
      </w:r>
      <w:r w:rsidR="002C4286">
        <w:rPr>
          <w:rFonts w:ascii="Book Antiqua" w:hAnsi="Book Antiqua" w:cs="Arial"/>
        </w:rPr>
        <w:t>March</w:t>
      </w:r>
      <w:r w:rsidR="0014350F">
        <w:rPr>
          <w:rFonts w:ascii="Book Antiqua" w:hAnsi="Book Antiqua" w:cs="Arial"/>
        </w:rPr>
        <w:t xml:space="preserve"> 2017.</w:t>
      </w:r>
    </w:p>
    <w:p w:rsidR="00641B14" w:rsidRDefault="00097DC5" w:rsidP="00007BAC">
      <w:pPr>
        <w:numPr>
          <w:ilvl w:val="0"/>
          <w:numId w:val="2"/>
        </w:numPr>
        <w:spacing w:before="240"/>
        <w:jc w:val="both"/>
        <w:rPr>
          <w:rFonts w:ascii="Book Antiqua" w:hAnsi="Book Antiqua" w:cs="Arial"/>
        </w:rPr>
      </w:pPr>
      <w:r>
        <w:rPr>
          <w:rFonts w:ascii="Book Antiqua" w:hAnsi="Book Antiqua" w:cs="Arial"/>
        </w:rPr>
        <w:t>I</w:t>
      </w:r>
      <w:r w:rsidR="00CF4724">
        <w:rPr>
          <w:rFonts w:ascii="Book Antiqua" w:hAnsi="Book Antiqua" w:cs="Arial"/>
        </w:rPr>
        <w:t xml:space="preserve">t was not accepted that </w:t>
      </w:r>
      <w:r w:rsidR="006634BA">
        <w:rPr>
          <w:rFonts w:ascii="Book Antiqua" w:hAnsi="Book Antiqua" w:cs="Arial"/>
        </w:rPr>
        <w:t>t</w:t>
      </w:r>
      <w:r w:rsidR="00FE50BC">
        <w:rPr>
          <w:rFonts w:ascii="Book Antiqua" w:hAnsi="Book Antiqua" w:cs="Arial"/>
        </w:rPr>
        <w:t xml:space="preserve">he </w:t>
      </w:r>
      <w:r w:rsidR="006634BA">
        <w:rPr>
          <w:rFonts w:ascii="Book Antiqua" w:hAnsi="Book Antiqua" w:cs="Arial"/>
        </w:rPr>
        <w:t xml:space="preserve">applicant </w:t>
      </w:r>
      <w:r w:rsidR="00CF4724">
        <w:rPr>
          <w:rFonts w:ascii="Book Antiqua" w:hAnsi="Book Antiqua" w:cs="Arial"/>
        </w:rPr>
        <w:t>had acquired a right of</w:t>
      </w:r>
      <w:r w:rsidR="00007BAC">
        <w:rPr>
          <w:rFonts w:ascii="Book Antiqua" w:hAnsi="Book Antiqua" w:cs="Arial"/>
        </w:rPr>
        <w:t xml:space="preserve"> </w:t>
      </w:r>
      <w:r>
        <w:rPr>
          <w:rFonts w:ascii="Book Antiqua" w:hAnsi="Book Antiqua" w:cs="Arial"/>
        </w:rPr>
        <w:t>permanent residence</w:t>
      </w:r>
      <w:r w:rsidR="00FE50BC">
        <w:rPr>
          <w:rFonts w:ascii="Book Antiqua" w:hAnsi="Book Antiqua" w:cs="Arial"/>
        </w:rPr>
        <w:t xml:space="preserve"> </w:t>
      </w:r>
      <w:r w:rsidR="00B14C92">
        <w:rPr>
          <w:rFonts w:ascii="Book Antiqua" w:hAnsi="Book Antiqua" w:cs="Arial"/>
        </w:rPr>
        <w:t>based on</w:t>
      </w:r>
      <w:r w:rsidR="0057700A">
        <w:rPr>
          <w:rFonts w:ascii="Book Antiqua" w:hAnsi="Book Antiqua" w:cs="Arial"/>
        </w:rPr>
        <w:t xml:space="preserve"> residence in accordance with the regulations for a continuous period of 5 years</w:t>
      </w:r>
      <w:r w:rsidR="00B14C92">
        <w:rPr>
          <w:rFonts w:ascii="Book Antiqua" w:hAnsi="Book Antiqua" w:cs="Arial"/>
        </w:rPr>
        <w:t xml:space="preserve">, under </w:t>
      </w:r>
      <w:r w:rsidR="00395087">
        <w:rPr>
          <w:rFonts w:ascii="Book Antiqua" w:hAnsi="Book Antiqua" w:cs="Arial"/>
        </w:rPr>
        <w:t xml:space="preserve">regulation 15.  The </w:t>
      </w:r>
      <w:r w:rsidR="00391B71">
        <w:rPr>
          <w:rFonts w:ascii="Book Antiqua" w:hAnsi="Book Antiqua" w:cs="Arial"/>
        </w:rPr>
        <w:t xml:space="preserve">criterion applied </w:t>
      </w:r>
      <w:r w:rsidR="004C376F">
        <w:rPr>
          <w:rFonts w:ascii="Book Antiqua" w:hAnsi="Book Antiqua" w:cs="Arial"/>
        </w:rPr>
        <w:t xml:space="preserve">was therefore “grounds of public </w:t>
      </w:r>
      <w:r w:rsidR="00F6551E">
        <w:rPr>
          <w:rFonts w:ascii="Book Antiqua" w:hAnsi="Book Antiqua" w:cs="Arial"/>
        </w:rPr>
        <w:t>policy or public security</w:t>
      </w:r>
      <w:r w:rsidR="003E553D">
        <w:rPr>
          <w:rFonts w:ascii="Book Antiqua" w:hAnsi="Book Antiqua" w:cs="Arial"/>
        </w:rPr>
        <w:t>” (regulation 27; page 4 of the decision).</w:t>
      </w:r>
    </w:p>
    <w:p w:rsidR="00395087" w:rsidRDefault="00641B14" w:rsidP="00007BAC">
      <w:pPr>
        <w:numPr>
          <w:ilvl w:val="0"/>
          <w:numId w:val="2"/>
        </w:numPr>
        <w:spacing w:before="240"/>
        <w:jc w:val="both"/>
        <w:rPr>
          <w:rFonts w:ascii="Book Antiqua" w:hAnsi="Book Antiqua" w:cs="Arial"/>
        </w:rPr>
      </w:pPr>
      <w:r>
        <w:rPr>
          <w:rFonts w:ascii="Book Antiqua" w:hAnsi="Book Antiqua" w:cs="Arial"/>
        </w:rPr>
        <w:lastRenderedPageBreak/>
        <w:t xml:space="preserve">The SSHD noted </w:t>
      </w:r>
      <w:r w:rsidR="004C0971">
        <w:rPr>
          <w:rFonts w:ascii="Book Antiqua" w:hAnsi="Book Antiqua" w:cs="Arial"/>
        </w:rPr>
        <w:t>11</w:t>
      </w:r>
      <w:r w:rsidR="003E7294">
        <w:rPr>
          <w:rFonts w:ascii="Book Antiqua" w:hAnsi="Book Antiqua" w:cs="Arial"/>
        </w:rPr>
        <w:t xml:space="preserve"> convictions </w:t>
      </w:r>
      <w:r w:rsidR="004C0971">
        <w:rPr>
          <w:rFonts w:ascii="Book Antiqua" w:hAnsi="Book Antiqua" w:cs="Arial"/>
        </w:rPr>
        <w:t xml:space="preserve">for 23 offences </w:t>
      </w:r>
      <w:r w:rsidR="003E7294">
        <w:rPr>
          <w:rFonts w:ascii="Book Antiqua" w:hAnsi="Book Antiqua" w:cs="Arial"/>
        </w:rPr>
        <w:t>from 5 November 2012 to 16 November 2016</w:t>
      </w:r>
      <w:r w:rsidR="00276EF6">
        <w:rPr>
          <w:rFonts w:ascii="Book Antiqua" w:hAnsi="Book Antiqua" w:cs="Arial"/>
        </w:rPr>
        <w:t>, set out at pp. 1 – 2 of the decision.</w:t>
      </w:r>
      <w:r w:rsidR="006535B5">
        <w:rPr>
          <w:rFonts w:ascii="Book Antiqua" w:hAnsi="Book Antiqua" w:cs="Arial"/>
        </w:rPr>
        <w:t xml:space="preserve">  She found that the applicant had anti-social attitudes</w:t>
      </w:r>
      <w:r w:rsidR="009B0164">
        <w:rPr>
          <w:rFonts w:ascii="Book Antiqua" w:hAnsi="Book Antiqua" w:cs="Arial"/>
        </w:rPr>
        <w:t xml:space="preserve"> for which he took little responsibility</w:t>
      </w:r>
      <w:r w:rsidR="00E816DB">
        <w:rPr>
          <w:rFonts w:ascii="Book Antiqua" w:hAnsi="Book Antiqua" w:cs="Arial"/>
        </w:rPr>
        <w:t>, and was likely to offend further.  At p</w:t>
      </w:r>
      <w:r w:rsidR="00AB0922">
        <w:rPr>
          <w:rFonts w:ascii="Book Antiqua" w:hAnsi="Book Antiqua" w:cs="Arial"/>
        </w:rPr>
        <w:t>.</w:t>
      </w:r>
      <w:r w:rsidR="00E816DB">
        <w:rPr>
          <w:rFonts w:ascii="Book Antiqua" w:hAnsi="Book Antiqua" w:cs="Arial"/>
        </w:rPr>
        <w:t xml:space="preserve"> 6 she said that</w:t>
      </w:r>
      <w:r w:rsidR="00991D72">
        <w:rPr>
          <w:rFonts w:ascii="Book Antiqua" w:hAnsi="Book Antiqua" w:cs="Arial"/>
        </w:rPr>
        <w:t xml:space="preserve"> he represented a genuine, present and sufficiently serious threat to the public to justify dep</w:t>
      </w:r>
      <w:r w:rsidR="00155E5A">
        <w:rPr>
          <w:rFonts w:ascii="Book Antiqua" w:hAnsi="Book Antiqua" w:cs="Arial"/>
        </w:rPr>
        <w:t>o</w:t>
      </w:r>
      <w:r w:rsidR="00991D72">
        <w:rPr>
          <w:rFonts w:ascii="Book Antiqua" w:hAnsi="Book Antiqua" w:cs="Arial"/>
        </w:rPr>
        <w:t xml:space="preserve">rtation, </w:t>
      </w:r>
      <w:r w:rsidR="00155E5A">
        <w:rPr>
          <w:rFonts w:ascii="Book Antiqua" w:hAnsi="Book Antiqua" w:cs="Arial"/>
        </w:rPr>
        <w:t>and that even if he had 5 years continuous residence, the requirement for serious grounds of public policy would be satisfied.</w:t>
      </w:r>
      <w:r w:rsidR="00991D72">
        <w:rPr>
          <w:rFonts w:ascii="Book Antiqua" w:hAnsi="Book Antiqua" w:cs="Arial"/>
        </w:rPr>
        <w:t xml:space="preserve"> </w:t>
      </w:r>
    </w:p>
    <w:p w:rsidR="000F7FAD" w:rsidRDefault="00395087" w:rsidP="00007BAC">
      <w:pPr>
        <w:numPr>
          <w:ilvl w:val="0"/>
          <w:numId w:val="2"/>
        </w:numPr>
        <w:spacing w:before="240"/>
        <w:jc w:val="both"/>
        <w:rPr>
          <w:rFonts w:ascii="Book Antiqua" w:hAnsi="Book Antiqua" w:cs="Arial"/>
        </w:rPr>
      </w:pPr>
      <w:r>
        <w:rPr>
          <w:rFonts w:ascii="Book Antiqua" w:hAnsi="Book Antiqua" w:cs="Arial"/>
        </w:rPr>
        <w:t xml:space="preserve">In a further decision, dated 26 April 2017, </w:t>
      </w:r>
      <w:r w:rsidR="009C484C">
        <w:rPr>
          <w:rFonts w:ascii="Book Antiqua" w:hAnsi="Book Antiqua" w:cs="Arial"/>
        </w:rPr>
        <w:t xml:space="preserve">the respondent </w:t>
      </w:r>
      <w:r w:rsidR="008D7973">
        <w:rPr>
          <w:rFonts w:ascii="Book Antiqua" w:hAnsi="Book Antiqua" w:cs="Arial"/>
        </w:rPr>
        <w:t>accepted</w:t>
      </w:r>
      <w:r w:rsidR="009C484C">
        <w:rPr>
          <w:rFonts w:ascii="Book Antiqua" w:hAnsi="Book Antiqua" w:cs="Arial"/>
        </w:rPr>
        <w:t xml:space="preserve"> that the appellant had</w:t>
      </w:r>
      <w:r w:rsidR="008D7973">
        <w:rPr>
          <w:rFonts w:ascii="Book Antiqua" w:hAnsi="Book Antiqua" w:cs="Arial"/>
        </w:rPr>
        <w:t xml:space="preserve"> acquired a right of permanent residence</w:t>
      </w:r>
      <w:r w:rsidR="00C61ED0">
        <w:rPr>
          <w:rFonts w:ascii="Book Antiqua" w:hAnsi="Book Antiqua" w:cs="Arial"/>
        </w:rPr>
        <w:t xml:space="preserve">, but </w:t>
      </w:r>
      <w:r w:rsidR="00E327C2">
        <w:rPr>
          <w:rFonts w:ascii="Book Antiqua" w:hAnsi="Book Antiqua" w:cs="Arial"/>
        </w:rPr>
        <w:t xml:space="preserve">held that the </w:t>
      </w:r>
      <w:r w:rsidR="00221DD1">
        <w:rPr>
          <w:rFonts w:ascii="Book Antiqua" w:hAnsi="Book Antiqua" w:cs="Arial"/>
        </w:rPr>
        <w:t>decision remained justified on serious grounds of</w:t>
      </w:r>
      <w:r w:rsidR="00224509">
        <w:rPr>
          <w:rFonts w:ascii="Book Antiqua" w:hAnsi="Book Antiqua" w:cs="Arial"/>
        </w:rPr>
        <w:t xml:space="preserve"> public policy and public security (regulation 27 (3)</w:t>
      </w:r>
      <w:r w:rsidR="00E11DB1">
        <w:rPr>
          <w:rFonts w:ascii="Book Antiqua" w:hAnsi="Book Antiqua" w:cs="Arial"/>
        </w:rPr>
        <w:t>)</w:t>
      </w:r>
      <w:r w:rsidR="00224509">
        <w:rPr>
          <w:rFonts w:ascii="Book Antiqua" w:hAnsi="Book Antiqua" w:cs="Arial"/>
        </w:rPr>
        <w:t xml:space="preserve">.  The respondent </w:t>
      </w:r>
      <w:r w:rsidR="00C61ED0">
        <w:rPr>
          <w:rFonts w:ascii="Book Antiqua" w:hAnsi="Book Antiqua" w:cs="Arial"/>
        </w:rPr>
        <w:t xml:space="preserve">declined to accept that he had </w:t>
      </w:r>
      <w:r w:rsidR="00C115D1">
        <w:rPr>
          <w:rFonts w:ascii="Book Antiqua" w:hAnsi="Book Antiqua" w:cs="Arial"/>
        </w:rPr>
        <w:t xml:space="preserve">continuous </w:t>
      </w:r>
      <w:r w:rsidR="00BE37C2">
        <w:rPr>
          <w:rFonts w:ascii="Book Antiqua" w:hAnsi="Book Antiqua" w:cs="Arial"/>
        </w:rPr>
        <w:t>residence</w:t>
      </w:r>
      <w:r w:rsidR="00C115D1">
        <w:rPr>
          <w:rFonts w:ascii="Book Antiqua" w:hAnsi="Book Antiqua" w:cs="Arial"/>
        </w:rPr>
        <w:t xml:space="preserve"> for 10 yea</w:t>
      </w:r>
      <w:r w:rsidR="00BE37C2">
        <w:rPr>
          <w:rFonts w:ascii="Book Antiqua" w:hAnsi="Book Antiqua" w:cs="Arial"/>
        </w:rPr>
        <w:t xml:space="preserve">rs prior to the decision dated 31 </w:t>
      </w:r>
      <w:r w:rsidR="00E11DB1">
        <w:rPr>
          <w:rFonts w:ascii="Book Antiqua" w:hAnsi="Book Antiqua" w:cs="Arial"/>
        </w:rPr>
        <w:t>M</w:t>
      </w:r>
      <w:r w:rsidR="00BE37C2">
        <w:rPr>
          <w:rFonts w:ascii="Book Antiqua" w:hAnsi="Book Antiqua" w:cs="Arial"/>
        </w:rPr>
        <w:t xml:space="preserve">arch 2017, </w:t>
      </w:r>
      <w:r w:rsidR="00DB681F">
        <w:rPr>
          <w:rFonts w:ascii="Book Antiqua" w:hAnsi="Book Antiqua" w:cs="Arial"/>
        </w:rPr>
        <w:t>so as to qualify</w:t>
      </w:r>
      <w:r w:rsidR="00E36C81">
        <w:rPr>
          <w:rFonts w:ascii="Book Antiqua" w:hAnsi="Book Antiqua" w:cs="Arial"/>
        </w:rPr>
        <w:t xml:space="preserve"> </w:t>
      </w:r>
      <w:r w:rsidR="0002413B">
        <w:rPr>
          <w:rFonts w:ascii="Book Antiqua" w:hAnsi="Book Antiqua" w:cs="Arial"/>
        </w:rPr>
        <w:t xml:space="preserve">for the threshold of imperative grounds of public security (regulation 27 (4)).  This was </w:t>
      </w:r>
      <w:r w:rsidR="00BE37C2">
        <w:rPr>
          <w:rFonts w:ascii="Book Antiqua" w:hAnsi="Book Antiqua" w:cs="Arial"/>
        </w:rPr>
        <w:t xml:space="preserve">because </w:t>
      </w:r>
      <w:r w:rsidR="00224509">
        <w:rPr>
          <w:rFonts w:ascii="Book Antiqua" w:hAnsi="Book Antiqua" w:cs="Arial"/>
        </w:rPr>
        <w:t>residence</w:t>
      </w:r>
      <w:r w:rsidR="00ED7DFA">
        <w:rPr>
          <w:rFonts w:ascii="Book Antiqua" w:hAnsi="Book Antiqua" w:cs="Arial"/>
        </w:rPr>
        <w:t xml:space="preserve"> for purposes of the regulations was broken </w:t>
      </w:r>
      <w:r w:rsidR="00F04B7C">
        <w:rPr>
          <w:rFonts w:ascii="Book Antiqua" w:hAnsi="Book Antiqua" w:cs="Arial"/>
        </w:rPr>
        <w:t>by periods of imprisonment</w:t>
      </w:r>
      <w:r w:rsidR="00BA4D05">
        <w:rPr>
          <w:rFonts w:ascii="Book Antiqua" w:hAnsi="Book Antiqua" w:cs="Arial"/>
        </w:rPr>
        <w:t>; lack of evidence for certain periods</w:t>
      </w:r>
      <w:r w:rsidR="007F52DA">
        <w:rPr>
          <w:rFonts w:ascii="Book Antiqua" w:hAnsi="Book Antiqua" w:cs="Arial"/>
        </w:rPr>
        <w:t>; and discontinuity of employment.</w:t>
      </w:r>
      <w:r w:rsidR="00A368EC">
        <w:rPr>
          <w:rFonts w:ascii="Book Antiqua" w:hAnsi="Book Antiqua" w:cs="Arial"/>
        </w:rPr>
        <w:t xml:space="preserve">  The decision further states that the appellant would not meet</w:t>
      </w:r>
      <w:r w:rsidR="00C61E5D">
        <w:rPr>
          <w:rFonts w:ascii="Book Antiqua" w:hAnsi="Book Antiqua" w:cs="Arial"/>
        </w:rPr>
        <w:t xml:space="preserve"> the “integration test” </w:t>
      </w:r>
      <w:r w:rsidR="00CF49D5">
        <w:rPr>
          <w:rFonts w:ascii="Book Antiqua" w:hAnsi="Book Antiqua" w:cs="Arial"/>
        </w:rPr>
        <w:t>of the Free Movement Directive and case law</w:t>
      </w:r>
      <w:r w:rsidR="000F7FAD">
        <w:rPr>
          <w:rFonts w:ascii="Book Antiqua" w:hAnsi="Book Antiqua" w:cs="Arial"/>
        </w:rPr>
        <w:t>.</w:t>
      </w:r>
    </w:p>
    <w:p w:rsidR="00DB10B7" w:rsidRPr="00A73168" w:rsidRDefault="00A73168" w:rsidP="00007BAC">
      <w:pPr>
        <w:numPr>
          <w:ilvl w:val="0"/>
          <w:numId w:val="2"/>
        </w:numPr>
        <w:spacing w:before="240"/>
        <w:jc w:val="both"/>
        <w:rPr>
          <w:rFonts w:ascii="Book Antiqua" w:hAnsi="Book Antiqua" w:cs="Arial"/>
        </w:rPr>
      </w:pPr>
      <w:r w:rsidRPr="00A73168">
        <w:rPr>
          <w:rFonts w:ascii="Book Antiqua" w:hAnsi="Book Antiqua" w:cs="Arial"/>
        </w:rPr>
        <w:t>(</w:t>
      </w:r>
      <w:r w:rsidR="000F7FAD" w:rsidRPr="00A73168">
        <w:rPr>
          <w:rFonts w:ascii="Book Antiqua" w:hAnsi="Book Antiqua" w:cs="Arial"/>
        </w:rPr>
        <w:t xml:space="preserve">This decision </w:t>
      </w:r>
      <w:r w:rsidRPr="00A73168">
        <w:rPr>
          <w:rFonts w:ascii="Book Antiqua" w:hAnsi="Book Antiqua" w:cs="Arial"/>
        </w:rPr>
        <w:t>is somewhat</w:t>
      </w:r>
      <w:r w:rsidR="000F7FAD" w:rsidRPr="00A73168">
        <w:rPr>
          <w:rFonts w:ascii="Book Antiqua" w:hAnsi="Book Antiqua" w:cs="Arial"/>
        </w:rPr>
        <w:t xml:space="preserve"> </w:t>
      </w:r>
      <w:r w:rsidR="004344FB" w:rsidRPr="00A73168">
        <w:rPr>
          <w:rFonts w:ascii="Book Antiqua" w:hAnsi="Book Antiqua" w:cs="Arial"/>
        </w:rPr>
        <w:t>obscure</w:t>
      </w:r>
      <w:r w:rsidR="000F7FAD" w:rsidRPr="00A73168">
        <w:rPr>
          <w:rFonts w:ascii="Book Antiqua" w:hAnsi="Book Antiqua" w:cs="Arial"/>
        </w:rPr>
        <w:t>.  Its references to authority are incomplete.</w:t>
      </w:r>
      <w:r w:rsidR="009C0C22" w:rsidRPr="00A73168">
        <w:rPr>
          <w:rFonts w:ascii="Book Antiqua" w:hAnsi="Book Antiqua" w:cs="Arial"/>
        </w:rPr>
        <w:t xml:space="preserve">  </w:t>
      </w:r>
      <w:r w:rsidR="00DB10B7" w:rsidRPr="00A73168">
        <w:rPr>
          <w:rFonts w:ascii="Book Antiqua" w:hAnsi="Book Antiqua" w:cs="Arial"/>
        </w:rPr>
        <w:t xml:space="preserve">The authority </w:t>
      </w:r>
      <w:r w:rsidR="00342E5E" w:rsidRPr="00A73168">
        <w:rPr>
          <w:rFonts w:ascii="Book Antiqua" w:hAnsi="Book Antiqua" w:cs="Arial"/>
        </w:rPr>
        <w:t>on imprisonment interrupting</w:t>
      </w:r>
      <w:r w:rsidR="005F2346" w:rsidRPr="00A73168">
        <w:rPr>
          <w:rFonts w:ascii="Book Antiqua" w:hAnsi="Book Antiqua" w:cs="Arial"/>
        </w:rPr>
        <w:t xml:space="preserve"> continuity of residence counting towards 10 years is </w:t>
      </w:r>
      <w:r w:rsidR="005F2346" w:rsidRPr="00A73168">
        <w:rPr>
          <w:rFonts w:ascii="Book Antiqua" w:hAnsi="Book Antiqua" w:cs="Arial"/>
          <w:i/>
        </w:rPr>
        <w:t>Warsame v SSHD</w:t>
      </w:r>
      <w:r w:rsidR="001F7E3D" w:rsidRPr="00A73168">
        <w:rPr>
          <w:rFonts w:ascii="Book Antiqua" w:hAnsi="Book Antiqua" w:cs="Arial"/>
        </w:rPr>
        <w:t xml:space="preserve"> [2016] EWCA Civ 16.  That case is on the 2006 Regulations, but the relevant provisions are identical.</w:t>
      </w:r>
      <w:r>
        <w:rPr>
          <w:rFonts w:ascii="Book Antiqua" w:hAnsi="Book Antiqua" w:cs="Arial"/>
        </w:rPr>
        <w:t>)</w:t>
      </w:r>
    </w:p>
    <w:p w:rsidR="00BE0CDD" w:rsidRDefault="00641C8D" w:rsidP="00007BAC">
      <w:pPr>
        <w:numPr>
          <w:ilvl w:val="0"/>
          <w:numId w:val="2"/>
        </w:numPr>
        <w:spacing w:before="240"/>
        <w:jc w:val="both"/>
        <w:rPr>
          <w:rFonts w:ascii="Book Antiqua" w:hAnsi="Book Antiqua" w:cs="Arial"/>
        </w:rPr>
      </w:pPr>
      <w:r>
        <w:rPr>
          <w:rFonts w:ascii="Book Antiqua" w:hAnsi="Book Antiqua" w:cs="Arial"/>
        </w:rPr>
        <w:t xml:space="preserve">FtT Judge Cas O’Garro allowed the appellant’s appeal </w:t>
      </w:r>
      <w:r w:rsidR="0098657C">
        <w:rPr>
          <w:rFonts w:ascii="Book Antiqua" w:hAnsi="Book Antiqua" w:cs="Arial"/>
        </w:rPr>
        <w:t>by a decision promulgated on 5 July 2017.</w:t>
      </w:r>
    </w:p>
    <w:p w:rsidR="003D0782" w:rsidRDefault="00BE0CDD" w:rsidP="00007BAC">
      <w:pPr>
        <w:numPr>
          <w:ilvl w:val="0"/>
          <w:numId w:val="2"/>
        </w:numPr>
        <w:spacing w:before="240"/>
        <w:jc w:val="both"/>
        <w:rPr>
          <w:rFonts w:ascii="Book Antiqua" w:hAnsi="Book Antiqua" w:cs="Arial"/>
        </w:rPr>
      </w:pPr>
      <w:r>
        <w:rPr>
          <w:rFonts w:ascii="Book Antiqua" w:hAnsi="Book Antiqua" w:cs="Arial"/>
        </w:rPr>
        <w:t xml:space="preserve">By a decision dated </w:t>
      </w:r>
      <w:r w:rsidR="005577AE">
        <w:rPr>
          <w:rFonts w:ascii="Book Antiqua" w:hAnsi="Book Antiqua" w:cs="Arial"/>
        </w:rPr>
        <w:t>5 October 2017</w:t>
      </w:r>
      <w:r w:rsidR="002D0898">
        <w:rPr>
          <w:rFonts w:ascii="Book Antiqua" w:hAnsi="Book Antiqua" w:cs="Arial"/>
        </w:rPr>
        <w:t>, which should be read with this decision,</w:t>
      </w:r>
      <w:r w:rsidR="005577AE">
        <w:rPr>
          <w:rFonts w:ascii="Book Antiqua" w:hAnsi="Book Antiqua" w:cs="Arial"/>
        </w:rPr>
        <w:t xml:space="preserve"> UT Judge Kopi</w:t>
      </w:r>
      <w:r w:rsidR="00B91D19">
        <w:rPr>
          <w:rFonts w:ascii="Book Antiqua" w:hAnsi="Book Antiqua" w:cs="Arial"/>
        </w:rPr>
        <w:t xml:space="preserve">eczek set aside the decision of the FtT and directed a further hearing in the UT for </w:t>
      </w:r>
      <w:r w:rsidR="003D0782">
        <w:rPr>
          <w:rFonts w:ascii="Book Antiqua" w:hAnsi="Book Antiqua" w:cs="Arial"/>
        </w:rPr>
        <w:t>its remaking.</w:t>
      </w:r>
    </w:p>
    <w:p w:rsidR="009573DF" w:rsidRDefault="0054011F" w:rsidP="00007BAC">
      <w:pPr>
        <w:numPr>
          <w:ilvl w:val="0"/>
          <w:numId w:val="2"/>
        </w:numPr>
        <w:spacing w:before="240"/>
        <w:jc w:val="both"/>
        <w:rPr>
          <w:rFonts w:ascii="Book Antiqua" w:hAnsi="Book Antiqua" w:cs="Arial"/>
        </w:rPr>
      </w:pPr>
      <w:r>
        <w:rPr>
          <w:rFonts w:ascii="Book Antiqua" w:hAnsi="Book Antiqua" w:cs="Arial"/>
        </w:rPr>
        <w:t>T</w:t>
      </w:r>
      <w:r w:rsidR="006C3E2D">
        <w:rPr>
          <w:rFonts w:ascii="Book Antiqua" w:hAnsi="Book Antiqua" w:cs="Arial"/>
        </w:rPr>
        <w:t>he appellant was</w:t>
      </w:r>
      <w:r w:rsidR="00FE3269">
        <w:rPr>
          <w:rFonts w:ascii="Book Antiqua" w:hAnsi="Book Antiqua" w:cs="Arial"/>
        </w:rPr>
        <w:t xml:space="preserve"> released on immigration bail </w:t>
      </w:r>
      <w:r w:rsidR="008D0533">
        <w:rPr>
          <w:rFonts w:ascii="Book Antiqua" w:hAnsi="Book Antiqua" w:cs="Arial"/>
        </w:rPr>
        <w:t>in December 2017</w:t>
      </w:r>
      <w:r w:rsidR="00A263CA">
        <w:rPr>
          <w:rFonts w:ascii="Book Antiqua" w:hAnsi="Book Antiqua" w:cs="Arial"/>
        </w:rPr>
        <w:t>.</w:t>
      </w:r>
      <w:r w:rsidR="008D0533">
        <w:rPr>
          <w:rFonts w:ascii="Book Antiqua" w:hAnsi="Book Antiqua" w:cs="Arial"/>
        </w:rPr>
        <w:t xml:space="preserve"> </w:t>
      </w:r>
    </w:p>
    <w:p w:rsidR="00A47203" w:rsidRDefault="009573DF" w:rsidP="00007BAC">
      <w:pPr>
        <w:numPr>
          <w:ilvl w:val="0"/>
          <w:numId w:val="2"/>
        </w:numPr>
        <w:spacing w:before="240"/>
        <w:jc w:val="both"/>
        <w:rPr>
          <w:rFonts w:ascii="Book Antiqua" w:hAnsi="Book Antiqua" w:cs="Arial"/>
        </w:rPr>
      </w:pPr>
      <w:r>
        <w:rPr>
          <w:rFonts w:ascii="Book Antiqua" w:hAnsi="Book Antiqua" w:cs="Arial"/>
        </w:rPr>
        <w:t xml:space="preserve">A transfer order was made to enable the hearing to be completed </w:t>
      </w:r>
      <w:r w:rsidR="002E1EED">
        <w:rPr>
          <w:rFonts w:ascii="Book Antiqua" w:hAnsi="Book Antiqua" w:cs="Arial"/>
        </w:rPr>
        <w:t>by another UT Judge.</w:t>
      </w:r>
      <w:r w:rsidR="00FE3269">
        <w:rPr>
          <w:rFonts w:ascii="Book Antiqua" w:hAnsi="Book Antiqua" w:cs="Arial"/>
        </w:rPr>
        <w:t xml:space="preserve">  </w:t>
      </w:r>
    </w:p>
    <w:p w:rsidR="00731725" w:rsidRDefault="00F826A8" w:rsidP="00731725">
      <w:pPr>
        <w:numPr>
          <w:ilvl w:val="0"/>
          <w:numId w:val="2"/>
        </w:numPr>
        <w:spacing w:before="240"/>
        <w:jc w:val="both"/>
        <w:rPr>
          <w:rFonts w:ascii="Book Antiqua" w:hAnsi="Book Antiqua" w:cs="Arial"/>
        </w:rPr>
      </w:pPr>
      <w:r>
        <w:rPr>
          <w:rFonts w:ascii="Book Antiqua" w:hAnsi="Book Antiqua" w:cs="Arial"/>
        </w:rPr>
        <w:t>Following various procedure,</w:t>
      </w:r>
      <w:r w:rsidR="00731725">
        <w:rPr>
          <w:rFonts w:ascii="Book Antiqua" w:hAnsi="Book Antiqua" w:cs="Arial"/>
        </w:rPr>
        <w:t xml:space="preserve"> the hearing </w:t>
      </w:r>
      <w:r w:rsidR="0017281C">
        <w:rPr>
          <w:rFonts w:ascii="Book Antiqua" w:hAnsi="Book Antiqua" w:cs="Arial"/>
        </w:rPr>
        <w:t>for the purposes of remaking the decision took place on 9 May</w:t>
      </w:r>
      <w:r w:rsidR="00731725">
        <w:rPr>
          <w:rFonts w:ascii="Book Antiqua" w:hAnsi="Book Antiqua" w:cs="Arial"/>
        </w:rPr>
        <w:t xml:space="preserve"> 2018.</w:t>
      </w:r>
    </w:p>
    <w:p w:rsidR="000A4EAF" w:rsidRDefault="000A4EAF" w:rsidP="00731725">
      <w:pPr>
        <w:numPr>
          <w:ilvl w:val="0"/>
          <w:numId w:val="2"/>
        </w:numPr>
        <w:spacing w:before="240"/>
        <w:jc w:val="both"/>
        <w:rPr>
          <w:rFonts w:ascii="Book Antiqua" w:hAnsi="Book Antiqua" w:cs="Arial"/>
        </w:rPr>
      </w:pPr>
      <w:r>
        <w:rPr>
          <w:rFonts w:ascii="Book Antiqua" w:hAnsi="Book Antiqua" w:cs="Arial"/>
        </w:rPr>
        <w:t xml:space="preserve">There are </w:t>
      </w:r>
      <w:r w:rsidR="00D97B45">
        <w:rPr>
          <w:rFonts w:ascii="Book Antiqua" w:hAnsi="Book Antiqua" w:cs="Arial"/>
        </w:rPr>
        <w:t>some</w:t>
      </w:r>
      <w:r>
        <w:rPr>
          <w:rFonts w:ascii="Book Antiqua" w:hAnsi="Book Antiqua" w:cs="Arial"/>
        </w:rPr>
        <w:t xml:space="preserve"> documents</w:t>
      </w:r>
      <w:r w:rsidR="00D97B45">
        <w:rPr>
          <w:rFonts w:ascii="Book Antiqua" w:hAnsi="Book Antiqua" w:cs="Arial"/>
        </w:rPr>
        <w:t xml:space="preserve">, </w:t>
      </w:r>
      <w:r w:rsidR="001F6281">
        <w:rPr>
          <w:rFonts w:ascii="Book Antiqua" w:hAnsi="Book Antiqua" w:cs="Arial"/>
        </w:rPr>
        <w:t xml:space="preserve">both </w:t>
      </w:r>
      <w:r w:rsidR="00D97B45">
        <w:rPr>
          <w:rFonts w:ascii="Book Antiqua" w:hAnsi="Book Antiqua" w:cs="Arial"/>
        </w:rPr>
        <w:t>loose and partly in bundles,</w:t>
      </w:r>
      <w:r>
        <w:rPr>
          <w:rFonts w:ascii="Book Antiqua" w:hAnsi="Book Antiqua" w:cs="Arial"/>
        </w:rPr>
        <w:t xml:space="preserve"> on file from previous procedure, during parts of which the appellant had representation.  The papers are not in good order.  Neither Mr Govan nor the appellant made any reference to the documents</w:t>
      </w:r>
      <w:r w:rsidR="000558F7">
        <w:rPr>
          <w:rFonts w:ascii="Book Antiqua" w:hAnsi="Book Antiqua" w:cs="Arial"/>
        </w:rPr>
        <w:t xml:space="preserve">, apart from </w:t>
      </w:r>
      <w:r w:rsidR="008D76DC">
        <w:rPr>
          <w:rFonts w:ascii="Book Antiqua" w:hAnsi="Book Antiqua" w:cs="Arial"/>
        </w:rPr>
        <w:t xml:space="preserve">Mr Govan relying on </w:t>
      </w:r>
      <w:r w:rsidR="000558F7">
        <w:rPr>
          <w:rFonts w:ascii="Book Antiqua" w:hAnsi="Book Antiqua" w:cs="Arial"/>
        </w:rPr>
        <w:t>the decision letter</w:t>
      </w:r>
      <w:r>
        <w:rPr>
          <w:rFonts w:ascii="Book Antiqua" w:hAnsi="Book Antiqua" w:cs="Arial"/>
        </w:rPr>
        <w:t>.  The</w:t>
      </w:r>
      <w:r w:rsidR="000558F7">
        <w:rPr>
          <w:rFonts w:ascii="Book Antiqua" w:hAnsi="Book Antiqua" w:cs="Arial"/>
        </w:rPr>
        <w:t xml:space="preserve"> bundles </w:t>
      </w:r>
      <w:r>
        <w:rPr>
          <w:rFonts w:ascii="Book Antiqua" w:hAnsi="Book Antiqua" w:cs="Arial"/>
        </w:rPr>
        <w:t>include various social work and medical histories and reports.</w:t>
      </w:r>
      <w:r w:rsidR="00DD2126">
        <w:rPr>
          <w:rFonts w:ascii="Book Antiqua" w:hAnsi="Book Antiqua" w:cs="Arial"/>
        </w:rPr>
        <w:t xml:space="preserve">  The most recent report</w:t>
      </w:r>
      <w:r w:rsidR="005D1B51">
        <w:rPr>
          <w:rFonts w:ascii="Book Antiqua" w:hAnsi="Book Antiqua" w:cs="Arial"/>
        </w:rPr>
        <w:t>, dated 25 November 2016,</w:t>
      </w:r>
      <w:r w:rsidR="00DD2126">
        <w:rPr>
          <w:rFonts w:ascii="Book Antiqua" w:hAnsi="Book Antiqua" w:cs="Arial"/>
        </w:rPr>
        <w:t xml:space="preserve"> considers the appellant to represent a moderate </w:t>
      </w:r>
      <w:r w:rsidR="003A6CBD">
        <w:rPr>
          <w:rFonts w:ascii="Book Antiqua" w:hAnsi="Book Antiqua" w:cs="Arial"/>
        </w:rPr>
        <w:t>risk of reoffending.</w:t>
      </w:r>
      <w:r>
        <w:rPr>
          <w:rFonts w:ascii="Book Antiqua" w:hAnsi="Book Antiqua" w:cs="Arial"/>
        </w:rPr>
        <w:t xml:space="preserve">  </w:t>
      </w:r>
    </w:p>
    <w:p w:rsidR="006F33B4" w:rsidRPr="00AC0E9A" w:rsidRDefault="0054023B" w:rsidP="00731725">
      <w:pPr>
        <w:numPr>
          <w:ilvl w:val="0"/>
          <w:numId w:val="2"/>
        </w:numPr>
        <w:spacing w:before="240"/>
        <w:jc w:val="both"/>
        <w:rPr>
          <w:rFonts w:ascii="Book Antiqua" w:hAnsi="Book Antiqua" w:cs="Arial"/>
        </w:rPr>
      </w:pPr>
      <w:r w:rsidRPr="00AC0E9A">
        <w:rPr>
          <w:rFonts w:ascii="Book Antiqua" w:hAnsi="Book Antiqua" w:cs="Arial"/>
        </w:rPr>
        <w:t xml:space="preserve">I take the </w:t>
      </w:r>
      <w:r w:rsidR="00BB011D" w:rsidRPr="00AC0E9A">
        <w:rPr>
          <w:rFonts w:ascii="Book Antiqua" w:hAnsi="Book Antiqua" w:cs="Arial"/>
        </w:rPr>
        <w:t xml:space="preserve">basic </w:t>
      </w:r>
      <w:r w:rsidRPr="00AC0E9A">
        <w:rPr>
          <w:rFonts w:ascii="Book Antiqua" w:hAnsi="Book Antiqua" w:cs="Arial"/>
        </w:rPr>
        <w:t>background</w:t>
      </w:r>
      <w:r w:rsidR="000A4EAF" w:rsidRPr="00AC0E9A">
        <w:rPr>
          <w:rFonts w:ascii="Book Antiqua" w:hAnsi="Book Antiqua" w:cs="Arial"/>
        </w:rPr>
        <w:t xml:space="preserve"> from the papers on file and </w:t>
      </w:r>
      <w:r w:rsidR="00403384" w:rsidRPr="00AC0E9A">
        <w:rPr>
          <w:rFonts w:ascii="Book Antiqua" w:hAnsi="Book Antiqua" w:cs="Arial"/>
        </w:rPr>
        <w:t>from information</w:t>
      </w:r>
      <w:r w:rsidR="00CC269E" w:rsidRPr="00AC0E9A">
        <w:rPr>
          <w:rFonts w:ascii="Book Antiqua" w:hAnsi="Book Antiqua" w:cs="Arial"/>
        </w:rPr>
        <w:t xml:space="preserve"> the appellant </w:t>
      </w:r>
      <w:r w:rsidR="00403384" w:rsidRPr="00AC0E9A">
        <w:rPr>
          <w:rFonts w:ascii="Book Antiqua" w:hAnsi="Book Antiqua" w:cs="Arial"/>
        </w:rPr>
        <w:t>provided at the hearing</w:t>
      </w:r>
      <w:r w:rsidR="006874D4" w:rsidRPr="00AC0E9A">
        <w:rPr>
          <w:rFonts w:ascii="Book Antiqua" w:hAnsi="Book Antiqua" w:cs="Arial"/>
        </w:rPr>
        <w:t xml:space="preserve">.  </w:t>
      </w:r>
      <w:r w:rsidR="009C4014">
        <w:rPr>
          <w:rFonts w:ascii="Book Antiqua" w:hAnsi="Book Antiqua" w:cs="Arial"/>
        </w:rPr>
        <w:t>The appellant is a citizen of Poland, born on 17 February 1968.</w:t>
      </w:r>
      <w:r w:rsidR="00593D49">
        <w:rPr>
          <w:rFonts w:ascii="Book Antiqua" w:hAnsi="Book Antiqua" w:cs="Arial"/>
        </w:rPr>
        <w:t xml:space="preserve">  </w:t>
      </w:r>
      <w:r w:rsidR="006874D4" w:rsidRPr="00AC0E9A">
        <w:rPr>
          <w:rFonts w:ascii="Book Antiqua" w:hAnsi="Book Antiqua" w:cs="Arial"/>
        </w:rPr>
        <w:t xml:space="preserve">He </w:t>
      </w:r>
      <w:r w:rsidR="00CC269E" w:rsidRPr="00AC0E9A">
        <w:rPr>
          <w:rFonts w:ascii="Book Antiqua" w:hAnsi="Book Antiqua" w:cs="Arial"/>
        </w:rPr>
        <w:t xml:space="preserve">came to Scotland with his former wife and their son, </w:t>
      </w:r>
      <w:r w:rsidR="007F1B17">
        <w:rPr>
          <w:rFonts w:ascii="Book Antiqua" w:hAnsi="Book Antiqua" w:cs="Arial"/>
        </w:rPr>
        <w:t>[</w:t>
      </w:r>
      <w:r w:rsidR="00CC269E" w:rsidRPr="00AC0E9A">
        <w:rPr>
          <w:rFonts w:ascii="Book Antiqua" w:hAnsi="Book Antiqua" w:cs="Arial"/>
        </w:rPr>
        <w:t>K</w:t>
      </w:r>
      <w:r w:rsidR="007F1B17">
        <w:rPr>
          <w:rFonts w:ascii="Book Antiqua" w:hAnsi="Book Antiqua" w:cs="Arial"/>
        </w:rPr>
        <w:t xml:space="preserve">] </w:t>
      </w:r>
      <w:r w:rsidR="006874D4" w:rsidRPr="00AC0E9A">
        <w:rPr>
          <w:rFonts w:ascii="Book Antiqua" w:hAnsi="Book Antiqua" w:cs="Arial"/>
        </w:rPr>
        <w:t xml:space="preserve">(born on </w:t>
      </w:r>
      <w:proofErr w:type="gramStart"/>
      <w:r w:rsidR="007F1B17">
        <w:rPr>
          <w:rFonts w:ascii="Book Antiqua" w:hAnsi="Book Antiqua" w:cs="Arial"/>
        </w:rPr>
        <w:t>[ ]</w:t>
      </w:r>
      <w:proofErr w:type="gramEnd"/>
      <w:r w:rsidR="007F1B17">
        <w:rPr>
          <w:rFonts w:ascii="Book Antiqua" w:hAnsi="Book Antiqua" w:cs="Arial"/>
        </w:rPr>
        <w:t xml:space="preserve"> </w:t>
      </w:r>
      <w:r w:rsidR="006874D4" w:rsidRPr="00AC0E9A">
        <w:rPr>
          <w:rFonts w:ascii="Book Antiqua" w:hAnsi="Book Antiqua" w:cs="Arial"/>
        </w:rPr>
        <w:t xml:space="preserve">2002) </w:t>
      </w:r>
      <w:r w:rsidR="00F54C4E">
        <w:rPr>
          <w:rFonts w:ascii="Book Antiqua" w:hAnsi="Book Antiqua" w:cs="Arial"/>
        </w:rPr>
        <w:t>in</w:t>
      </w:r>
      <w:r w:rsidR="009B1ABD" w:rsidRPr="00AC0E9A">
        <w:rPr>
          <w:rFonts w:ascii="Book Antiqua" w:hAnsi="Book Antiqua" w:cs="Arial"/>
        </w:rPr>
        <w:t xml:space="preserve"> 2006.  He is divorced from his wife </w:t>
      </w:r>
      <w:r w:rsidR="00FD3454" w:rsidRPr="00AC0E9A">
        <w:rPr>
          <w:rFonts w:ascii="Book Antiqua" w:hAnsi="Book Antiqua" w:cs="Arial"/>
        </w:rPr>
        <w:t xml:space="preserve">but on good terms with her.  She </w:t>
      </w:r>
      <w:r w:rsidR="00FD3454" w:rsidRPr="00AC0E9A">
        <w:rPr>
          <w:rFonts w:ascii="Book Antiqua" w:hAnsi="Book Antiqua" w:cs="Arial"/>
        </w:rPr>
        <w:lastRenderedPageBreak/>
        <w:t xml:space="preserve">and </w:t>
      </w:r>
      <w:r w:rsidR="007F1B17">
        <w:rPr>
          <w:rFonts w:ascii="Book Antiqua" w:hAnsi="Book Antiqua" w:cs="Arial"/>
        </w:rPr>
        <w:t>[</w:t>
      </w:r>
      <w:r w:rsidR="00FD3454" w:rsidRPr="00AC0E9A">
        <w:rPr>
          <w:rFonts w:ascii="Book Antiqua" w:hAnsi="Book Antiqua" w:cs="Arial"/>
        </w:rPr>
        <w:t>K</w:t>
      </w:r>
      <w:r w:rsidR="007F1B17">
        <w:rPr>
          <w:rFonts w:ascii="Book Antiqua" w:hAnsi="Book Antiqua" w:cs="Arial"/>
        </w:rPr>
        <w:t xml:space="preserve">] </w:t>
      </w:r>
      <w:r w:rsidR="00FD3454" w:rsidRPr="00AC0E9A">
        <w:rPr>
          <w:rFonts w:ascii="Book Antiqua" w:hAnsi="Book Antiqua" w:cs="Arial"/>
        </w:rPr>
        <w:t>live in Coatbridge, not far from where he lives in Airdrie.</w:t>
      </w:r>
      <w:r w:rsidR="006A26C5" w:rsidRPr="00AC0E9A">
        <w:rPr>
          <w:rFonts w:ascii="Book Antiqua" w:hAnsi="Book Antiqua" w:cs="Arial"/>
        </w:rPr>
        <w:t xml:space="preserve">  </w:t>
      </w:r>
      <w:r w:rsidR="007F1B17">
        <w:rPr>
          <w:rFonts w:ascii="Book Antiqua" w:hAnsi="Book Antiqua" w:cs="Arial"/>
        </w:rPr>
        <w:t>[</w:t>
      </w:r>
      <w:r w:rsidR="00FB7F60" w:rsidRPr="00AC0E9A">
        <w:rPr>
          <w:rFonts w:ascii="Book Antiqua" w:hAnsi="Book Antiqua" w:cs="Arial"/>
        </w:rPr>
        <w:t>K</w:t>
      </w:r>
      <w:r w:rsidR="007F1B17">
        <w:rPr>
          <w:rFonts w:ascii="Book Antiqua" w:hAnsi="Book Antiqua" w:cs="Arial"/>
        </w:rPr>
        <w:t xml:space="preserve">] </w:t>
      </w:r>
      <w:r w:rsidR="00FB7F60" w:rsidRPr="00AC0E9A">
        <w:rPr>
          <w:rFonts w:ascii="Book Antiqua" w:hAnsi="Book Antiqua" w:cs="Arial"/>
        </w:rPr>
        <w:t>attends school in Coatbridge.  The appellant sees him regularly</w:t>
      </w:r>
      <w:r w:rsidR="00B17C83" w:rsidRPr="00AC0E9A">
        <w:rPr>
          <w:rFonts w:ascii="Book Antiqua" w:hAnsi="Book Antiqua" w:cs="Arial"/>
        </w:rPr>
        <w:t>, spending most of a day with h</w:t>
      </w:r>
      <w:r w:rsidR="00075AAF" w:rsidRPr="00AC0E9A">
        <w:rPr>
          <w:rFonts w:ascii="Book Antiqua" w:hAnsi="Book Antiqua" w:cs="Arial"/>
        </w:rPr>
        <w:t>i</w:t>
      </w:r>
      <w:r w:rsidR="00B17C83" w:rsidRPr="00AC0E9A">
        <w:rPr>
          <w:rFonts w:ascii="Book Antiqua" w:hAnsi="Book Antiqua" w:cs="Arial"/>
        </w:rPr>
        <w:t xml:space="preserve">m at the weekend.  They are in telephone contact daily.  </w:t>
      </w:r>
      <w:r w:rsidR="00075AAF" w:rsidRPr="00AC0E9A">
        <w:rPr>
          <w:rFonts w:ascii="Book Antiqua" w:hAnsi="Book Antiqua" w:cs="Arial"/>
        </w:rPr>
        <w:t xml:space="preserve">He </w:t>
      </w:r>
      <w:r w:rsidR="00ED5C20" w:rsidRPr="00AC0E9A">
        <w:rPr>
          <w:rFonts w:ascii="Book Antiqua" w:hAnsi="Book Antiqua" w:cs="Arial"/>
        </w:rPr>
        <w:t>is not in any relationship with a partner.</w:t>
      </w:r>
      <w:r w:rsidR="00FB7F60" w:rsidRPr="00AC0E9A">
        <w:rPr>
          <w:rFonts w:ascii="Book Antiqua" w:hAnsi="Book Antiqua" w:cs="Arial"/>
        </w:rPr>
        <w:t xml:space="preserve">  He </w:t>
      </w:r>
      <w:r w:rsidR="00075AAF" w:rsidRPr="00AC0E9A">
        <w:rPr>
          <w:rFonts w:ascii="Book Antiqua" w:hAnsi="Book Antiqua" w:cs="Arial"/>
        </w:rPr>
        <w:t xml:space="preserve">has an adult daughter </w:t>
      </w:r>
      <w:r w:rsidR="00DC2A4A" w:rsidRPr="00AC0E9A">
        <w:rPr>
          <w:rFonts w:ascii="Book Antiqua" w:hAnsi="Book Antiqua" w:cs="Arial"/>
        </w:rPr>
        <w:t>in Pol</w:t>
      </w:r>
      <w:r w:rsidR="00C23BF5" w:rsidRPr="00AC0E9A">
        <w:rPr>
          <w:rFonts w:ascii="Book Antiqua" w:hAnsi="Book Antiqua" w:cs="Arial"/>
        </w:rPr>
        <w:t>a</w:t>
      </w:r>
      <w:r w:rsidR="00DC2A4A" w:rsidRPr="00AC0E9A">
        <w:rPr>
          <w:rFonts w:ascii="Book Antiqua" w:hAnsi="Book Antiqua" w:cs="Arial"/>
        </w:rPr>
        <w:t>nd</w:t>
      </w:r>
      <w:r w:rsidR="00C23BF5" w:rsidRPr="00AC0E9A">
        <w:rPr>
          <w:rFonts w:ascii="Book Antiqua" w:hAnsi="Book Antiqua" w:cs="Arial"/>
        </w:rPr>
        <w:t>, and a</w:t>
      </w:r>
      <w:r w:rsidR="00075AAF" w:rsidRPr="00AC0E9A">
        <w:rPr>
          <w:rFonts w:ascii="Book Antiqua" w:hAnsi="Book Antiqua" w:cs="Arial"/>
        </w:rPr>
        <w:t xml:space="preserve"> sister</w:t>
      </w:r>
      <w:r w:rsidR="00D51449" w:rsidRPr="00AC0E9A">
        <w:rPr>
          <w:rFonts w:ascii="Book Antiqua" w:hAnsi="Book Antiqua" w:cs="Arial"/>
        </w:rPr>
        <w:t>. He</w:t>
      </w:r>
      <w:r w:rsidR="00075AAF" w:rsidRPr="00AC0E9A">
        <w:rPr>
          <w:rFonts w:ascii="Book Antiqua" w:hAnsi="Book Antiqua" w:cs="Arial"/>
        </w:rPr>
        <w:t xml:space="preserve"> </w:t>
      </w:r>
      <w:r w:rsidR="006A26C5" w:rsidRPr="00AC0E9A">
        <w:rPr>
          <w:rFonts w:ascii="Book Antiqua" w:hAnsi="Book Antiqua" w:cs="Arial"/>
        </w:rPr>
        <w:t>lives with a friend who is not in good health and to whom he provides assistance in excha</w:t>
      </w:r>
      <w:r w:rsidR="00155962" w:rsidRPr="00AC0E9A">
        <w:rPr>
          <w:rFonts w:ascii="Book Antiqua" w:hAnsi="Book Antiqua" w:cs="Arial"/>
        </w:rPr>
        <w:t>n</w:t>
      </w:r>
      <w:r w:rsidR="006A26C5" w:rsidRPr="00AC0E9A">
        <w:rPr>
          <w:rFonts w:ascii="Book Antiqua" w:hAnsi="Book Antiqua" w:cs="Arial"/>
        </w:rPr>
        <w:t>ge for his keep.</w:t>
      </w:r>
      <w:r w:rsidR="00043E77" w:rsidRPr="00AC0E9A">
        <w:rPr>
          <w:rFonts w:ascii="Book Antiqua" w:hAnsi="Book Antiqua" w:cs="Arial"/>
        </w:rPr>
        <w:t xml:space="preserve">  He has </w:t>
      </w:r>
      <w:r w:rsidR="00C23BF5" w:rsidRPr="00AC0E9A">
        <w:rPr>
          <w:rFonts w:ascii="Book Antiqua" w:hAnsi="Book Antiqua" w:cs="Arial"/>
        </w:rPr>
        <w:t>no income</w:t>
      </w:r>
      <w:r w:rsidR="00883961" w:rsidRPr="00AC0E9A">
        <w:rPr>
          <w:rFonts w:ascii="Book Antiqua" w:hAnsi="Book Antiqua" w:cs="Arial"/>
        </w:rPr>
        <w:t xml:space="preserve">.  He has </w:t>
      </w:r>
      <w:r w:rsidR="00043E77" w:rsidRPr="00AC0E9A">
        <w:rPr>
          <w:rFonts w:ascii="Book Antiqua" w:hAnsi="Book Antiqua" w:cs="Arial"/>
        </w:rPr>
        <w:t xml:space="preserve">worked </w:t>
      </w:r>
      <w:r w:rsidR="005008D9" w:rsidRPr="00AC0E9A">
        <w:rPr>
          <w:rFonts w:ascii="Book Antiqua" w:hAnsi="Book Antiqua" w:cs="Arial"/>
        </w:rPr>
        <w:t>in</w:t>
      </w:r>
      <w:r w:rsidR="00043E77" w:rsidRPr="00AC0E9A">
        <w:rPr>
          <w:rFonts w:ascii="Book Antiqua" w:hAnsi="Book Antiqua" w:cs="Arial"/>
        </w:rPr>
        <w:t xml:space="preserve"> the past but not</w:t>
      </w:r>
      <w:r w:rsidR="00C64ED0" w:rsidRPr="00AC0E9A">
        <w:rPr>
          <w:rFonts w:ascii="Book Antiqua" w:hAnsi="Book Antiqua" w:cs="Arial"/>
        </w:rPr>
        <w:t xml:space="preserve"> </w:t>
      </w:r>
      <w:r w:rsidR="005008D9" w:rsidRPr="00AC0E9A">
        <w:rPr>
          <w:rFonts w:ascii="Book Antiqua" w:hAnsi="Book Antiqua" w:cs="Arial"/>
        </w:rPr>
        <w:t>recently</w:t>
      </w:r>
      <w:r w:rsidR="00C64ED0" w:rsidRPr="00AC0E9A">
        <w:rPr>
          <w:rFonts w:ascii="Book Antiqua" w:hAnsi="Book Antiqua" w:cs="Arial"/>
        </w:rPr>
        <w:t>.</w:t>
      </w:r>
      <w:r w:rsidR="00051822" w:rsidRPr="00AC0E9A">
        <w:rPr>
          <w:rFonts w:ascii="Book Antiqua" w:hAnsi="Book Antiqua" w:cs="Arial"/>
        </w:rPr>
        <w:t xml:space="preserve">  He has </w:t>
      </w:r>
      <w:r w:rsidR="00A644A0" w:rsidRPr="00AC0E9A">
        <w:rPr>
          <w:rFonts w:ascii="Book Antiqua" w:hAnsi="Book Antiqua" w:cs="Arial"/>
        </w:rPr>
        <w:t xml:space="preserve">had no contact with the police and has not been </w:t>
      </w:r>
      <w:r w:rsidR="00883961" w:rsidRPr="00AC0E9A">
        <w:rPr>
          <w:rFonts w:ascii="Book Antiqua" w:hAnsi="Book Antiqua" w:cs="Arial"/>
        </w:rPr>
        <w:t>in court</w:t>
      </w:r>
      <w:r w:rsidR="00A644A0" w:rsidRPr="00AC0E9A">
        <w:rPr>
          <w:rFonts w:ascii="Book Antiqua" w:hAnsi="Book Antiqua" w:cs="Arial"/>
        </w:rPr>
        <w:t xml:space="preserve"> since the last conviction relied upon by the SSHD.</w:t>
      </w:r>
      <w:r w:rsidR="00BB011D" w:rsidRPr="00AC0E9A">
        <w:rPr>
          <w:rFonts w:ascii="Book Antiqua" w:hAnsi="Book Antiqua" w:cs="Arial"/>
        </w:rPr>
        <w:t xml:space="preserve">  All his offending related to </w:t>
      </w:r>
      <w:r w:rsidR="00796E2A" w:rsidRPr="00AC0E9A">
        <w:rPr>
          <w:rFonts w:ascii="Book Antiqua" w:hAnsi="Book Antiqua" w:cs="Arial"/>
        </w:rPr>
        <w:t>his relationship with his former partner, now deceased,</w:t>
      </w:r>
      <w:r w:rsidR="00DE0748" w:rsidRPr="00AC0E9A">
        <w:rPr>
          <w:rFonts w:ascii="Book Antiqua" w:hAnsi="Book Antiqua" w:cs="Arial"/>
        </w:rPr>
        <w:t xml:space="preserve"> who had serious problems with alcohol </w:t>
      </w:r>
      <w:r w:rsidR="000C65A0" w:rsidRPr="00AC0E9A">
        <w:rPr>
          <w:rFonts w:ascii="Book Antiqua" w:hAnsi="Book Antiqua" w:cs="Arial"/>
        </w:rPr>
        <w:t>and</w:t>
      </w:r>
      <w:r w:rsidR="00DE0748" w:rsidRPr="00AC0E9A">
        <w:rPr>
          <w:rFonts w:ascii="Book Antiqua" w:hAnsi="Book Antiqua" w:cs="Arial"/>
        </w:rPr>
        <w:t xml:space="preserve"> with drugs, which led to her death.</w:t>
      </w:r>
      <w:r w:rsidR="00AC0E9A" w:rsidRPr="00AC0E9A">
        <w:rPr>
          <w:rFonts w:ascii="Book Antiqua" w:hAnsi="Book Antiqua" w:cs="Arial"/>
        </w:rPr>
        <w:t xml:space="preserve">  He</w:t>
      </w:r>
      <w:r w:rsidR="003E5D7C" w:rsidRPr="00AC0E9A">
        <w:rPr>
          <w:rFonts w:ascii="Book Antiqua" w:hAnsi="Book Antiqua" w:cs="Arial"/>
        </w:rPr>
        <w:t xml:space="preserve"> has had serious alcohol problems </w:t>
      </w:r>
      <w:r w:rsidR="00524C0B" w:rsidRPr="00AC0E9A">
        <w:rPr>
          <w:rFonts w:ascii="Book Antiqua" w:hAnsi="Book Antiqua" w:cs="Arial"/>
        </w:rPr>
        <w:t xml:space="preserve">for many years.  There are reports </w:t>
      </w:r>
      <w:r w:rsidR="00D323D3" w:rsidRPr="00AC0E9A">
        <w:rPr>
          <w:rFonts w:ascii="Book Antiqua" w:hAnsi="Book Antiqua" w:cs="Arial"/>
        </w:rPr>
        <w:t xml:space="preserve">in the documents </w:t>
      </w:r>
      <w:r w:rsidR="00524C0B" w:rsidRPr="00AC0E9A">
        <w:rPr>
          <w:rFonts w:ascii="Book Antiqua" w:hAnsi="Book Antiqua" w:cs="Arial"/>
        </w:rPr>
        <w:t>of periods of very high consumption but also of periods of low consumption or even abstinence over periods of weeks or months.</w:t>
      </w:r>
      <w:r w:rsidR="00283D78" w:rsidRPr="00AC0E9A">
        <w:rPr>
          <w:rFonts w:ascii="Book Antiqua" w:hAnsi="Book Antiqua" w:cs="Arial"/>
        </w:rPr>
        <w:t xml:space="preserve">  The appellant said at the </w:t>
      </w:r>
      <w:r w:rsidR="00120393" w:rsidRPr="00AC0E9A">
        <w:rPr>
          <w:rFonts w:ascii="Book Antiqua" w:hAnsi="Book Antiqua" w:cs="Arial"/>
        </w:rPr>
        <w:t>hearing</w:t>
      </w:r>
      <w:r w:rsidR="00283D78" w:rsidRPr="00AC0E9A">
        <w:rPr>
          <w:rFonts w:ascii="Book Antiqua" w:hAnsi="Book Antiqua" w:cs="Arial"/>
        </w:rPr>
        <w:t xml:space="preserve"> that he </w:t>
      </w:r>
      <w:r w:rsidR="005D7EF4" w:rsidRPr="00AC0E9A">
        <w:rPr>
          <w:rFonts w:ascii="Book Antiqua" w:hAnsi="Book Antiqua" w:cs="Arial"/>
        </w:rPr>
        <w:t>is “not drinking at the moment”</w:t>
      </w:r>
      <w:r w:rsidR="0089228D" w:rsidRPr="00AC0E9A">
        <w:rPr>
          <w:rFonts w:ascii="Book Antiqua" w:hAnsi="Book Antiqua" w:cs="Arial"/>
        </w:rPr>
        <w:t xml:space="preserve"> but </w:t>
      </w:r>
      <w:r w:rsidR="009C21C3">
        <w:rPr>
          <w:rFonts w:ascii="Book Antiqua" w:hAnsi="Book Antiqua" w:cs="Arial"/>
        </w:rPr>
        <w:t>“sometimes I have a beer</w:t>
      </w:r>
      <w:r w:rsidR="00065040">
        <w:rPr>
          <w:rFonts w:ascii="Book Antiqua" w:hAnsi="Book Antiqua" w:cs="Arial"/>
        </w:rPr>
        <w:t xml:space="preserve">”.  </w:t>
      </w:r>
      <w:r w:rsidR="00B234AB" w:rsidRPr="00AC0E9A">
        <w:rPr>
          <w:rFonts w:ascii="Book Antiqua" w:hAnsi="Book Antiqua" w:cs="Arial"/>
        </w:rPr>
        <w:t>He is not on any regime of treatment for alcoholism at present.</w:t>
      </w:r>
    </w:p>
    <w:p w:rsidR="004C2CA5" w:rsidRDefault="00AC0E9A" w:rsidP="00AC0E9A">
      <w:pPr>
        <w:numPr>
          <w:ilvl w:val="0"/>
          <w:numId w:val="2"/>
        </w:numPr>
        <w:spacing w:before="240"/>
        <w:jc w:val="both"/>
        <w:rPr>
          <w:rFonts w:ascii="Book Antiqua" w:hAnsi="Book Antiqua" w:cs="Arial"/>
        </w:rPr>
      </w:pPr>
      <w:r>
        <w:rPr>
          <w:rFonts w:ascii="Book Antiqua" w:hAnsi="Book Antiqua" w:cs="Arial"/>
        </w:rPr>
        <w:t xml:space="preserve">When questioned by Mr Govan, the appellant said </w:t>
      </w:r>
      <w:r w:rsidR="00065040">
        <w:rPr>
          <w:rFonts w:ascii="Book Antiqua" w:hAnsi="Book Antiqua" w:cs="Arial"/>
        </w:rPr>
        <w:t xml:space="preserve">of his drinking </w:t>
      </w:r>
      <w:r>
        <w:rPr>
          <w:rFonts w:ascii="Book Antiqua" w:hAnsi="Book Antiqua" w:cs="Arial"/>
        </w:rPr>
        <w:t>that</w:t>
      </w:r>
      <w:r w:rsidR="00065040">
        <w:rPr>
          <w:rFonts w:ascii="Book Antiqua" w:hAnsi="Book Antiqua" w:cs="Arial"/>
        </w:rPr>
        <w:t xml:space="preserve"> “two beers would be tops”.  </w:t>
      </w:r>
      <w:r w:rsidR="00B878A9">
        <w:rPr>
          <w:rFonts w:ascii="Book Antiqua" w:hAnsi="Book Antiqua" w:cs="Arial"/>
        </w:rPr>
        <w:t>He knows he is an alcoholic</w:t>
      </w:r>
      <w:r w:rsidR="00330197">
        <w:rPr>
          <w:rFonts w:ascii="Book Antiqua" w:hAnsi="Book Antiqua" w:cs="Arial"/>
        </w:rPr>
        <w:t>.  He was dependent at the time of his offe</w:t>
      </w:r>
      <w:r w:rsidR="00C00D8C">
        <w:rPr>
          <w:rFonts w:ascii="Book Antiqua" w:hAnsi="Book Antiqua" w:cs="Arial"/>
        </w:rPr>
        <w:t>nding but not now.  He is not totally abstaining but is on his way to full recovery.</w:t>
      </w:r>
      <w:r w:rsidR="00BD47B2">
        <w:rPr>
          <w:rFonts w:ascii="Book Antiqua" w:hAnsi="Book Antiqua" w:cs="Arial"/>
        </w:rPr>
        <w:t xml:space="preserve">  He was due to undertake Antabuse </w:t>
      </w:r>
      <w:r w:rsidR="00052290">
        <w:rPr>
          <w:rFonts w:ascii="Book Antiqua" w:hAnsi="Book Antiqua" w:cs="Arial"/>
        </w:rPr>
        <w:t>treatment</w:t>
      </w:r>
      <w:r w:rsidR="00BD47B2">
        <w:rPr>
          <w:rFonts w:ascii="Book Antiqua" w:hAnsi="Book Antiqua" w:cs="Arial"/>
        </w:rPr>
        <w:t xml:space="preserve"> but that did not go ahead because he was imprisoned.</w:t>
      </w:r>
      <w:r w:rsidR="008D39AB">
        <w:rPr>
          <w:rFonts w:ascii="Book Antiqua" w:hAnsi="Book Antiqua" w:cs="Arial"/>
        </w:rPr>
        <w:t xml:space="preserve">  While he was with his partner they both drank vodka and cider </w:t>
      </w:r>
      <w:r w:rsidR="00F02E6D">
        <w:rPr>
          <w:rFonts w:ascii="Book Antiqua" w:hAnsi="Book Antiqua" w:cs="Arial"/>
        </w:rPr>
        <w:t>daily, enough to get “legless drunk”.  He was last drunk to that extent two years ago.</w:t>
      </w:r>
      <w:r w:rsidR="004F568C">
        <w:rPr>
          <w:rFonts w:ascii="Book Antiqua" w:hAnsi="Book Antiqua" w:cs="Arial"/>
        </w:rPr>
        <w:t xml:space="preserve">  He lost his partner due to alcohol and it is now “just not an option” for him to </w:t>
      </w:r>
      <w:r w:rsidR="0078056D">
        <w:rPr>
          <w:rFonts w:ascii="Book Antiqua" w:hAnsi="Book Antiqua" w:cs="Arial"/>
        </w:rPr>
        <w:t>drink like that again.  He accep</w:t>
      </w:r>
      <w:r w:rsidR="00CC0889">
        <w:rPr>
          <w:rFonts w:ascii="Book Antiqua" w:hAnsi="Book Antiqua" w:cs="Arial"/>
        </w:rPr>
        <w:t>t</w:t>
      </w:r>
      <w:r w:rsidR="0078056D">
        <w:rPr>
          <w:rFonts w:ascii="Book Antiqua" w:hAnsi="Book Antiqua" w:cs="Arial"/>
        </w:rPr>
        <w:t xml:space="preserve">ed he did not comply with bail conditions </w:t>
      </w:r>
      <w:r w:rsidR="00CC0889">
        <w:rPr>
          <w:rFonts w:ascii="Book Antiqua" w:hAnsi="Book Antiqua" w:cs="Arial"/>
        </w:rPr>
        <w:t>requiring</w:t>
      </w:r>
      <w:r w:rsidR="0078056D">
        <w:rPr>
          <w:rFonts w:ascii="Book Antiqua" w:hAnsi="Book Antiqua" w:cs="Arial"/>
        </w:rPr>
        <w:t xml:space="preserve"> him to report</w:t>
      </w:r>
      <w:r w:rsidR="00CC0889">
        <w:rPr>
          <w:rFonts w:ascii="Book Antiqua" w:hAnsi="Book Antiqua" w:cs="Arial"/>
        </w:rPr>
        <w:t xml:space="preserve"> weekly</w:t>
      </w:r>
      <w:r w:rsidR="0078056D">
        <w:rPr>
          <w:rFonts w:ascii="Book Antiqua" w:hAnsi="Book Antiqua" w:cs="Arial"/>
        </w:rPr>
        <w:t>.</w:t>
      </w:r>
      <w:r w:rsidR="00CC0889">
        <w:rPr>
          <w:rFonts w:ascii="Book Antiqua" w:hAnsi="Book Antiqua" w:cs="Arial"/>
        </w:rPr>
        <w:t xml:space="preserve">  He did not have the money to travel from </w:t>
      </w:r>
      <w:r w:rsidR="008A4429">
        <w:rPr>
          <w:rFonts w:ascii="Book Antiqua" w:hAnsi="Book Antiqua" w:cs="Arial"/>
        </w:rPr>
        <w:t>Airdrie</w:t>
      </w:r>
      <w:r w:rsidR="00CC0889">
        <w:rPr>
          <w:rFonts w:ascii="Book Antiqua" w:hAnsi="Book Antiqua" w:cs="Arial"/>
        </w:rPr>
        <w:t xml:space="preserve"> to Glasgo</w:t>
      </w:r>
      <w:r w:rsidR="008A4429">
        <w:rPr>
          <w:rFonts w:ascii="Book Antiqua" w:hAnsi="Book Antiqua" w:cs="Arial"/>
        </w:rPr>
        <w:t>w</w:t>
      </w:r>
      <w:r w:rsidR="00CC0889">
        <w:rPr>
          <w:rFonts w:ascii="Book Antiqua" w:hAnsi="Book Antiqua" w:cs="Arial"/>
        </w:rPr>
        <w:t xml:space="preserve"> to do so (</w:t>
      </w:r>
      <w:r w:rsidR="008A4429">
        <w:rPr>
          <w:rFonts w:ascii="Book Antiqua" w:hAnsi="Book Antiqua" w:cs="Arial"/>
        </w:rPr>
        <w:t>£7 return).</w:t>
      </w:r>
      <w:r w:rsidR="004746E3">
        <w:rPr>
          <w:rFonts w:ascii="Book Antiqua" w:hAnsi="Book Antiqua" w:cs="Arial"/>
        </w:rPr>
        <w:t xml:space="preserve">  Having once </w:t>
      </w:r>
      <w:r w:rsidR="00726CC4">
        <w:rPr>
          <w:rFonts w:ascii="Book Antiqua" w:hAnsi="Book Antiqua" w:cs="Arial"/>
        </w:rPr>
        <w:t>failed</w:t>
      </w:r>
      <w:r w:rsidR="004746E3">
        <w:rPr>
          <w:rFonts w:ascii="Book Antiqua" w:hAnsi="Book Antiqua" w:cs="Arial"/>
        </w:rPr>
        <w:t xml:space="preserve"> to attend, he was afraid to turn up in case he would be detained</w:t>
      </w:r>
      <w:r w:rsidR="00CE3039">
        <w:rPr>
          <w:rFonts w:ascii="Book Antiqua" w:hAnsi="Book Antiqua" w:cs="Arial"/>
        </w:rPr>
        <w:t>, leading him back into depression, so he just avoided the whole situation.</w:t>
      </w:r>
      <w:r w:rsidR="00726CC4">
        <w:rPr>
          <w:rFonts w:ascii="Book Antiqua" w:hAnsi="Book Antiqua" w:cs="Arial"/>
        </w:rPr>
        <w:t xml:space="preserve">  He accepted that he had no good reason for not telephoning the Home Office to explain that he could not afford to report.</w:t>
      </w:r>
    </w:p>
    <w:p w:rsidR="00C75674" w:rsidRDefault="00313BC3" w:rsidP="00AC0E9A">
      <w:pPr>
        <w:numPr>
          <w:ilvl w:val="0"/>
          <w:numId w:val="2"/>
        </w:numPr>
        <w:spacing w:before="240"/>
        <w:jc w:val="both"/>
        <w:rPr>
          <w:rFonts w:ascii="Book Antiqua" w:hAnsi="Book Antiqua" w:cs="Arial"/>
        </w:rPr>
      </w:pPr>
      <w:r>
        <w:rPr>
          <w:rFonts w:ascii="Book Antiqua" w:hAnsi="Book Antiqua" w:cs="Arial"/>
        </w:rPr>
        <w:t>Further to relying on the decision letter, Mr Govan submitted thus.</w:t>
      </w:r>
      <w:r w:rsidR="00524F78">
        <w:rPr>
          <w:rFonts w:ascii="Book Antiqua" w:hAnsi="Book Antiqua" w:cs="Arial"/>
        </w:rPr>
        <w:t xml:space="preserve">  The appellant’s offending was all alcohol related.  He admitted he was</w:t>
      </w:r>
      <w:r w:rsidR="00735023">
        <w:rPr>
          <w:rFonts w:ascii="Book Antiqua" w:hAnsi="Book Antiqua" w:cs="Arial"/>
        </w:rPr>
        <w:t xml:space="preserve"> still drinking and not engaged with any agency</w:t>
      </w:r>
      <w:r w:rsidR="00FA6B68">
        <w:rPr>
          <w:rFonts w:ascii="Book Antiqua" w:hAnsi="Book Antiqua" w:cs="Arial"/>
        </w:rPr>
        <w:t>.  It had to be queried whether he was likely to relapse.</w:t>
      </w:r>
      <w:r w:rsidR="00830A48">
        <w:rPr>
          <w:rFonts w:ascii="Book Antiqua" w:hAnsi="Book Antiqua" w:cs="Arial"/>
        </w:rPr>
        <w:t xml:space="preserve"> His criminal history </w:t>
      </w:r>
      <w:r w:rsidR="00310F2B">
        <w:rPr>
          <w:rFonts w:ascii="Book Antiqua" w:hAnsi="Book Antiqua" w:cs="Arial"/>
        </w:rPr>
        <w:t xml:space="preserve">showed persistent non-compliance with bail conditions. </w:t>
      </w:r>
      <w:r w:rsidR="00A202F5">
        <w:rPr>
          <w:rFonts w:ascii="Book Antiqua" w:hAnsi="Book Antiqua" w:cs="Arial"/>
        </w:rPr>
        <w:t xml:space="preserve">  His attitude to immigration reporting showed a similar pattern.</w:t>
      </w:r>
      <w:r w:rsidR="00D57CCD">
        <w:rPr>
          <w:rFonts w:ascii="Book Antiqua" w:hAnsi="Book Antiqua" w:cs="Arial"/>
        </w:rPr>
        <w:t xml:space="preserve">  He </w:t>
      </w:r>
      <w:r w:rsidR="00BE29C4">
        <w:rPr>
          <w:rFonts w:ascii="Book Antiqua" w:hAnsi="Book Antiqua" w:cs="Arial"/>
        </w:rPr>
        <w:t>had</w:t>
      </w:r>
      <w:r w:rsidR="00D57CCD">
        <w:rPr>
          <w:rFonts w:ascii="Book Antiqua" w:hAnsi="Book Antiqua" w:cs="Arial"/>
        </w:rPr>
        <w:t xml:space="preserve"> not re-offended, but has been at liberty for only </w:t>
      </w:r>
      <w:r w:rsidR="00BE29C4">
        <w:rPr>
          <w:rFonts w:ascii="Book Antiqua" w:hAnsi="Book Antiqua" w:cs="Arial"/>
        </w:rPr>
        <w:t>5 months.</w:t>
      </w:r>
      <w:r w:rsidR="00310F2B">
        <w:rPr>
          <w:rFonts w:ascii="Book Antiqua" w:hAnsi="Book Antiqua" w:cs="Arial"/>
        </w:rPr>
        <w:t xml:space="preserve"> </w:t>
      </w:r>
      <w:r w:rsidR="00BE29C4">
        <w:rPr>
          <w:rFonts w:ascii="Book Antiqua" w:hAnsi="Book Antiqua" w:cs="Arial"/>
        </w:rPr>
        <w:t xml:space="preserve">  Given his history, there was </w:t>
      </w:r>
      <w:r w:rsidR="000C0643">
        <w:rPr>
          <w:rFonts w:ascii="Book Antiqua" w:hAnsi="Book Antiqua" w:cs="Arial"/>
        </w:rPr>
        <w:t>a risk of re-offending</w:t>
      </w:r>
      <w:r w:rsidR="00A12D8B">
        <w:rPr>
          <w:rFonts w:ascii="Book Antiqua" w:hAnsi="Book Antiqua" w:cs="Arial"/>
        </w:rPr>
        <w:t xml:space="preserve"> and a level of threat to the public which justified his deportation.</w:t>
      </w:r>
      <w:r w:rsidR="000C0643">
        <w:rPr>
          <w:rFonts w:ascii="Book Antiqua" w:hAnsi="Book Antiqua" w:cs="Arial"/>
        </w:rPr>
        <w:t xml:space="preserve"> </w:t>
      </w:r>
    </w:p>
    <w:p w:rsidR="00AC0E9A" w:rsidRDefault="00C75674" w:rsidP="00AC0E9A">
      <w:pPr>
        <w:numPr>
          <w:ilvl w:val="0"/>
          <w:numId w:val="2"/>
        </w:numPr>
        <w:spacing w:before="240"/>
        <w:jc w:val="both"/>
        <w:rPr>
          <w:rFonts w:ascii="Book Antiqua" w:hAnsi="Book Antiqua" w:cs="Arial"/>
        </w:rPr>
      </w:pPr>
      <w:r>
        <w:rPr>
          <w:rFonts w:ascii="Book Antiqua" w:hAnsi="Book Antiqua" w:cs="Arial"/>
        </w:rPr>
        <w:t>I reserved my decision.</w:t>
      </w:r>
      <w:r w:rsidR="00726CC4">
        <w:rPr>
          <w:rFonts w:ascii="Book Antiqua" w:hAnsi="Book Antiqua" w:cs="Arial"/>
        </w:rPr>
        <w:t xml:space="preserve"> </w:t>
      </w:r>
      <w:r w:rsidR="0078056D">
        <w:rPr>
          <w:rFonts w:ascii="Book Antiqua" w:hAnsi="Book Antiqua" w:cs="Arial"/>
        </w:rPr>
        <w:t xml:space="preserve">  </w:t>
      </w:r>
      <w:r w:rsidR="004F568C">
        <w:rPr>
          <w:rFonts w:ascii="Book Antiqua" w:hAnsi="Book Antiqua" w:cs="Arial"/>
        </w:rPr>
        <w:t xml:space="preserve"> </w:t>
      </w:r>
      <w:r w:rsidR="00B878A9">
        <w:rPr>
          <w:rFonts w:ascii="Book Antiqua" w:hAnsi="Book Antiqua" w:cs="Arial"/>
        </w:rPr>
        <w:t xml:space="preserve">  </w:t>
      </w:r>
      <w:r w:rsidR="00AC0E9A">
        <w:rPr>
          <w:rFonts w:ascii="Book Antiqua" w:hAnsi="Book Antiqua" w:cs="Arial"/>
        </w:rPr>
        <w:t xml:space="preserve">  </w:t>
      </w:r>
    </w:p>
    <w:p w:rsidR="00282591" w:rsidRDefault="006F33B4" w:rsidP="00731725">
      <w:pPr>
        <w:numPr>
          <w:ilvl w:val="0"/>
          <w:numId w:val="2"/>
        </w:numPr>
        <w:spacing w:before="240"/>
        <w:jc w:val="both"/>
        <w:rPr>
          <w:rFonts w:ascii="Book Antiqua" w:hAnsi="Book Antiqua" w:cs="Arial"/>
        </w:rPr>
      </w:pPr>
      <w:r>
        <w:rPr>
          <w:rFonts w:ascii="Book Antiqua" w:hAnsi="Book Antiqua" w:cs="Arial"/>
        </w:rPr>
        <w:t>Althou</w:t>
      </w:r>
      <w:r w:rsidR="001E6A15">
        <w:rPr>
          <w:rFonts w:ascii="Book Antiqua" w:hAnsi="Book Antiqua" w:cs="Arial"/>
        </w:rPr>
        <w:t>gh it was</w:t>
      </w:r>
      <w:r>
        <w:rPr>
          <w:rFonts w:ascii="Book Antiqua" w:hAnsi="Book Antiqua" w:cs="Arial"/>
        </w:rPr>
        <w:t xml:space="preserve"> part of the SSHD’s </w:t>
      </w:r>
      <w:r w:rsidR="001E6A15">
        <w:rPr>
          <w:rFonts w:ascii="Book Antiqua" w:hAnsi="Book Antiqua" w:cs="Arial"/>
        </w:rPr>
        <w:t>grounds of appeal</w:t>
      </w:r>
      <w:r w:rsidR="0055211C">
        <w:rPr>
          <w:rFonts w:ascii="Book Antiqua" w:hAnsi="Book Antiqua" w:cs="Arial"/>
        </w:rPr>
        <w:t xml:space="preserve"> to the UT that there was nothing to confirm that the appellant’s former partner was, as he claimed, deceased, </w:t>
      </w:r>
      <w:r w:rsidR="00014474">
        <w:rPr>
          <w:rFonts w:ascii="Book Antiqua" w:hAnsi="Book Antiqua" w:cs="Arial"/>
        </w:rPr>
        <w:t xml:space="preserve">I have found on the file (detached from the bundle of which it formed part) a copy of </w:t>
      </w:r>
      <w:r w:rsidR="0011286F">
        <w:rPr>
          <w:rFonts w:ascii="Book Antiqua" w:hAnsi="Book Antiqua" w:cs="Arial"/>
        </w:rPr>
        <w:t xml:space="preserve">the certificate of her death on </w:t>
      </w:r>
      <w:r w:rsidR="009A28C4">
        <w:rPr>
          <w:rFonts w:ascii="Book Antiqua" w:hAnsi="Book Antiqua" w:cs="Arial"/>
        </w:rPr>
        <w:t>15 March 2017, caused by (a) bilateral pneumonia and (b) decompensated alcoholic liver disease.</w:t>
      </w:r>
    </w:p>
    <w:p w:rsidR="00723DF8" w:rsidRDefault="002B12FD" w:rsidP="00731725">
      <w:pPr>
        <w:numPr>
          <w:ilvl w:val="0"/>
          <w:numId w:val="2"/>
        </w:numPr>
        <w:spacing w:before="240"/>
        <w:jc w:val="both"/>
        <w:rPr>
          <w:rFonts w:ascii="Book Antiqua" w:hAnsi="Book Antiqua" w:cs="Arial"/>
        </w:rPr>
      </w:pPr>
      <w:r>
        <w:rPr>
          <w:rFonts w:ascii="Book Antiqua" w:hAnsi="Book Antiqua" w:cs="Arial"/>
        </w:rPr>
        <w:lastRenderedPageBreak/>
        <w:t>The issue i</w:t>
      </w:r>
      <w:r w:rsidR="002E780F">
        <w:rPr>
          <w:rFonts w:ascii="Book Antiqua" w:hAnsi="Book Antiqua" w:cs="Arial"/>
        </w:rPr>
        <w:t>s whether th</w:t>
      </w:r>
      <w:r w:rsidR="006F4A00">
        <w:rPr>
          <w:rFonts w:ascii="Book Antiqua" w:hAnsi="Book Antiqua" w:cs="Arial"/>
        </w:rPr>
        <w:t>e evidence shows</w:t>
      </w:r>
      <w:r>
        <w:rPr>
          <w:rFonts w:ascii="Book Antiqua" w:hAnsi="Book Antiqua" w:cs="Arial"/>
        </w:rPr>
        <w:t xml:space="preserve"> that the appellant </w:t>
      </w:r>
      <w:r w:rsidR="002E780F">
        <w:rPr>
          <w:rFonts w:ascii="Book Antiqua" w:hAnsi="Book Antiqua" w:cs="Arial"/>
        </w:rPr>
        <w:t>represents</w:t>
      </w:r>
      <w:r>
        <w:rPr>
          <w:rFonts w:ascii="Book Antiqua" w:hAnsi="Book Antiqua" w:cs="Arial"/>
        </w:rPr>
        <w:t xml:space="preserve"> a genuine, present </w:t>
      </w:r>
      <w:r w:rsidR="00BC182D">
        <w:rPr>
          <w:rFonts w:ascii="Book Antiqua" w:hAnsi="Book Antiqua" w:cs="Arial"/>
        </w:rPr>
        <w:t>and sufficiently serious threat affecting one of the fundamental interests of society</w:t>
      </w:r>
      <w:r w:rsidR="00723DF8">
        <w:rPr>
          <w:rFonts w:ascii="Book Antiqua" w:hAnsi="Book Antiqua" w:cs="Arial"/>
        </w:rPr>
        <w:t>,</w:t>
      </w:r>
      <w:r w:rsidR="002E780F">
        <w:rPr>
          <w:rFonts w:ascii="Book Antiqua" w:hAnsi="Book Antiqua" w:cs="Arial"/>
        </w:rPr>
        <w:t xml:space="preserve"> so as to justify the decision to deport him.</w:t>
      </w:r>
    </w:p>
    <w:p w:rsidR="000028FD" w:rsidRDefault="00723DF8" w:rsidP="00731725">
      <w:pPr>
        <w:numPr>
          <w:ilvl w:val="0"/>
          <w:numId w:val="2"/>
        </w:numPr>
        <w:spacing w:before="240"/>
        <w:jc w:val="both"/>
        <w:rPr>
          <w:rFonts w:ascii="Book Antiqua" w:hAnsi="Book Antiqua" w:cs="Arial"/>
        </w:rPr>
      </w:pPr>
      <w:r>
        <w:rPr>
          <w:rFonts w:ascii="Book Antiqua" w:hAnsi="Book Antiqua" w:cs="Arial"/>
        </w:rPr>
        <w:t>The appellant’s convictions centred upon domestic abuse</w:t>
      </w:r>
      <w:r w:rsidR="002723D3">
        <w:rPr>
          <w:rFonts w:ascii="Book Antiqua" w:hAnsi="Book Antiqua" w:cs="Arial"/>
        </w:rPr>
        <w:t xml:space="preserve"> within a troubled relationship </w:t>
      </w:r>
      <w:r w:rsidR="00FE5EB1">
        <w:rPr>
          <w:rFonts w:ascii="Book Antiqua" w:hAnsi="Book Antiqua" w:cs="Arial"/>
        </w:rPr>
        <w:t>of mutual addiction to drink</w:t>
      </w:r>
      <w:r w:rsidR="00C73DA6">
        <w:rPr>
          <w:rFonts w:ascii="Book Antiqua" w:hAnsi="Book Antiqua" w:cs="Arial"/>
        </w:rPr>
        <w:t>, regular involvement with the police and the court</w:t>
      </w:r>
      <w:r w:rsidR="00405B43">
        <w:rPr>
          <w:rFonts w:ascii="Book Antiqua" w:hAnsi="Book Antiqua" w:cs="Arial"/>
        </w:rPr>
        <w:t xml:space="preserve">, </w:t>
      </w:r>
      <w:r w:rsidR="00D41845">
        <w:rPr>
          <w:rFonts w:ascii="Book Antiqua" w:hAnsi="Book Antiqua" w:cs="Arial"/>
        </w:rPr>
        <w:t>and non-compl</w:t>
      </w:r>
      <w:r w:rsidR="00405B43">
        <w:rPr>
          <w:rFonts w:ascii="Book Antiqua" w:hAnsi="Book Antiqua" w:cs="Arial"/>
        </w:rPr>
        <w:t xml:space="preserve">iance </w:t>
      </w:r>
      <w:r w:rsidR="00D41845">
        <w:rPr>
          <w:rFonts w:ascii="Book Antiqua" w:hAnsi="Book Antiqua" w:cs="Arial"/>
        </w:rPr>
        <w:t xml:space="preserve">with </w:t>
      </w:r>
      <w:r w:rsidR="00405B43">
        <w:rPr>
          <w:rFonts w:ascii="Book Antiqua" w:hAnsi="Book Antiqua" w:cs="Arial"/>
        </w:rPr>
        <w:t>conditions imposed by the court.</w:t>
      </w:r>
      <w:r w:rsidR="00043051">
        <w:rPr>
          <w:rFonts w:ascii="Book Antiqua" w:hAnsi="Book Antiqua" w:cs="Arial"/>
        </w:rPr>
        <w:t xml:space="preserve">  It is in the fundamental interests of society to </w:t>
      </w:r>
      <w:r w:rsidR="005229AB">
        <w:rPr>
          <w:rFonts w:ascii="Book Antiqua" w:hAnsi="Book Antiqua" w:cs="Arial"/>
        </w:rPr>
        <w:t xml:space="preserve">take proceedings to tackle abuse of domestic partners, </w:t>
      </w:r>
      <w:r w:rsidR="00A361E6">
        <w:rPr>
          <w:rFonts w:ascii="Book Antiqua" w:hAnsi="Book Antiqua" w:cs="Arial"/>
        </w:rPr>
        <w:t xml:space="preserve">and that </w:t>
      </w:r>
      <w:r w:rsidR="00D11FD9">
        <w:rPr>
          <w:rFonts w:ascii="Book Antiqua" w:hAnsi="Book Antiqua" w:cs="Arial"/>
        </w:rPr>
        <w:t xml:space="preserve">orders of courts are respected.  </w:t>
      </w:r>
      <w:r w:rsidR="002B3017">
        <w:rPr>
          <w:rFonts w:ascii="Book Antiqua" w:hAnsi="Book Antiqua" w:cs="Arial"/>
        </w:rPr>
        <w:t>Apart from harm to his former partner, t</w:t>
      </w:r>
      <w:r w:rsidR="00AE50A2">
        <w:rPr>
          <w:rFonts w:ascii="Book Antiqua" w:hAnsi="Book Antiqua" w:cs="Arial"/>
        </w:rPr>
        <w:t xml:space="preserve">he appellant has </w:t>
      </w:r>
      <w:r w:rsidR="002B3017">
        <w:rPr>
          <w:rFonts w:ascii="Book Antiqua" w:hAnsi="Book Antiqua" w:cs="Arial"/>
        </w:rPr>
        <w:t xml:space="preserve">been a </w:t>
      </w:r>
      <w:r w:rsidR="00EC1271">
        <w:rPr>
          <w:rFonts w:ascii="Book Antiqua" w:hAnsi="Book Antiqua" w:cs="Arial"/>
        </w:rPr>
        <w:t>significant</w:t>
      </w:r>
      <w:r w:rsidR="002B3017">
        <w:rPr>
          <w:rFonts w:ascii="Book Antiqua" w:hAnsi="Book Antiqua" w:cs="Arial"/>
        </w:rPr>
        <w:t xml:space="preserve"> nuisance and ca</w:t>
      </w:r>
      <w:r w:rsidR="00EC1271">
        <w:rPr>
          <w:rFonts w:ascii="Book Antiqua" w:hAnsi="Book Antiqua" w:cs="Arial"/>
        </w:rPr>
        <w:t>u</w:t>
      </w:r>
      <w:r w:rsidR="002B3017">
        <w:rPr>
          <w:rFonts w:ascii="Book Antiqua" w:hAnsi="Book Antiqua" w:cs="Arial"/>
        </w:rPr>
        <w:t>se o</w:t>
      </w:r>
      <w:r w:rsidR="00EC1271">
        <w:rPr>
          <w:rFonts w:ascii="Book Antiqua" w:hAnsi="Book Antiqua" w:cs="Arial"/>
        </w:rPr>
        <w:t>f public expense.</w:t>
      </w:r>
    </w:p>
    <w:p w:rsidR="00C80635" w:rsidRDefault="00752327" w:rsidP="00731725">
      <w:pPr>
        <w:numPr>
          <w:ilvl w:val="0"/>
          <w:numId w:val="2"/>
        </w:numPr>
        <w:spacing w:before="240"/>
        <w:jc w:val="both"/>
        <w:rPr>
          <w:rFonts w:ascii="Book Antiqua" w:hAnsi="Book Antiqua" w:cs="Arial"/>
        </w:rPr>
      </w:pPr>
      <w:r>
        <w:rPr>
          <w:rFonts w:ascii="Book Antiqua" w:hAnsi="Book Antiqua" w:cs="Arial"/>
        </w:rPr>
        <w:t>A</w:t>
      </w:r>
      <w:r w:rsidR="009672AC">
        <w:rPr>
          <w:rFonts w:ascii="Book Antiqua" w:hAnsi="Book Antiqua" w:cs="Arial"/>
        </w:rPr>
        <w:t xml:space="preserve">ny </w:t>
      </w:r>
      <w:r>
        <w:rPr>
          <w:rFonts w:ascii="Book Antiqua" w:hAnsi="Book Antiqua" w:cs="Arial"/>
        </w:rPr>
        <w:t>ongoi</w:t>
      </w:r>
      <w:r w:rsidR="00FB6966">
        <w:rPr>
          <w:rFonts w:ascii="Book Antiqua" w:hAnsi="Book Antiqua" w:cs="Arial"/>
        </w:rPr>
        <w:t xml:space="preserve">ng similar </w:t>
      </w:r>
      <w:r w:rsidR="009672AC">
        <w:rPr>
          <w:rFonts w:ascii="Book Antiqua" w:hAnsi="Book Antiqua" w:cs="Arial"/>
        </w:rPr>
        <w:t xml:space="preserve">threat </w:t>
      </w:r>
      <w:r w:rsidR="00FB6966">
        <w:rPr>
          <w:rFonts w:ascii="Book Antiqua" w:hAnsi="Book Antiqua" w:cs="Arial"/>
        </w:rPr>
        <w:t xml:space="preserve">which </w:t>
      </w:r>
      <w:r w:rsidR="000028FD">
        <w:rPr>
          <w:rFonts w:ascii="Book Antiqua" w:hAnsi="Book Antiqua" w:cs="Arial"/>
        </w:rPr>
        <w:t>t</w:t>
      </w:r>
      <w:r w:rsidR="009672AC">
        <w:rPr>
          <w:rFonts w:ascii="Book Antiqua" w:hAnsi="Book Antiqua" w:cs="Arial"/>
        </w:rPr>
        <w:t xml:space="preserve">he </w:t>
      </w:r>
      <w:r w:rsidR="000028FD">
        <w:rPr>
          <w:rFonts w:ascii="Book Antiqua" w:hAnsi="Book Antiqua" w:cs="Arial"/>
        </w:rPr>
        <w:t xml:space="preserve">appellant </w:t>
      </w:r>
      <w:r w:rsidR="009672AC">
        <w:rPr>
          <w:rFonts w:ascii="Book Antiqua" w:hAnsi="Book Antiqua" w:cs="Arial"/>
        </w:rPr>
        <w:t>poses affect</w:t>
      </w:r>
      <w:r w:rsidR="00FB6966">
        <w:rPr>
          <w:rFonts w:ascii="Book Antiqua" w:hAnsi="Book Antiqua" w:cs="Arial"/>
        </w:rPr>
        <w:t>s</w:t>
      </w:r>
      <w:r w:rsidR="009672AC">
        <w:rPr>
          <w:rFonts w:ascii="Book Antiqua" w:hAnsi="Book Antiqua" w:cs="Arial"/>
        </w:rPr>
        <w:t xml:space="preserve"> the fundamental interests of society.</w:t>
      </w:r>
    </w:p>
    <w:p w:rsidR="00FF5ACC" w:rsidRDefault="009B0F42" w:rsidP="00731725">
      <w:pPr>
        <w:numPr>
          <w:ilvl w:val="0"/>
          <w:numId w:val="2"/>
        </w:numPr>
        <w:spacing w:before="240"/>
        <w:jc w:val="both"/>
        <w:rPr>
          <w:rFonts w:ascii="Book Antiqua" w:hAnsi="Book Antiqua" w:cs="Arial"/>
        </w:rPr>
      </w:pPr>
      <w:r>
        <w:rPr>
          <w:rFonts w:ascii="Book Antiqua" w:hAnsi="Book Antiqua" w:cs="Arial"/>
        </w:rPr>
        <w:t xml:space="preserve">The appellant gave evidence of his present circumstances in a </w:t>
      </w:r>
      <w:r w:rsidR="0084547C">
        <w:rPr>
          <w:rFonts w:ascii="Book Antiqua" w:hAnsi="Book Antiqua" w:cs="Arial"/>
        </w:rPr>
        <w:t xml:space="preserve">straightforward and </w:t>
      </w:r>
      <w:r w:rsidR="00D22400">
        <w:rPr>
          <w:rFonts w:ascii="Book Antiqua" w:hAnsi="Book Antiqua" w:cs="Arial"/>
        </w:rPr>
        <w:t>apparently</w:t>
      </w:r>
      <w:r w:rsidR="0084547C">
        <w:rPr>
          <w:rFonts w:ascii="Book Antiqua" w:hAnsi="Book Antiqua" w:cs="Arial"/>
        </w:rPr>
        <w:t xml:space="preserve"> genuine manner, and was not </w:t>
      </w:r>
      <w:r w:rsidR="00D22400">
        <w:rPr>
          <w:rFonts w:ascii="Book Antiqua" w:hAnsi="Book Antiqua" w:cs="Arial"/>
        </w:rPr>
        <w:t>undermined</w:t>
      </w:r>
      <w:r w:rsidR="0084547C">
        <w:rPr>
          <w:rFonts w:ascii="Book Antiqua" w:hAnsi="Book Antiqua" w:cs="Arial"/>
        </w:rPr>
        <w:t xml:space="preserve"> </w:t>
      </w:r>
      <w:r w:rsidR="001F1C83">
        <w:rPr>
          <w:rFonts w:ascii="Book Antiqua" w:hAnsi="Book Antiqua" w:cs="Arial"/>
        </w:rPr>
        <w:t>in</w:t>
      </w:r>
      <w:r w:rsidR="0084547C">
        <w:rPr>
          <w:rFonts w:ascii="Book Antiqua" w:hAnsi="Book Antiqua" w:cs="Arial"/>
        </w:rPr>
        <w:t xml:space="preserve"> cross-examination.  However, good intentions are easily expressed</w:t>
      </w:r>
      <w:r w:rsidR="00D22400">
        <w:rPr>
          <w:rFonts w:ascii="Book Antiqua" w:hAnsi="Book Antiqua" w:cs="Arial"/>
        </w:rPr>
        <w:t>.  It</w:t>
      </w:r>
      <w:r w:rsidR="0084547C">
        <w:rPr>
          <w:rFonts w:ascii="Book Antiqua" w:hAnsi="Book Antiqua" w:cs="Arial"/>
        </w:rPr>
        <w:t xml:space="preserve"> </w:t>
      </w:r>
      <w:r w:rsidR="00D22400">
        <w:rPr>
          <w:rFonts w:ascii="Book Antiqua" w:hAnsi="Book Antiqua" w:cs="Arial"/>
        </w:rPr>
        <w:t>w</w:t>
      </w:r>
      <w:r w:rsidR="00C80635">
        <w:rPr>
          <w:rFonts w:ascii="Book Antiqua" w:hAnsi="Book Antiqua" w:cs="Arial"/>
        </w:rPr>
        <w:t xml:space="preserve">ould be naïve to conclude that there is no risk </w:t>
      </w:r>
      <w:r w:rsidR="00384051">
        <w:rPr>
          <w:rFonts w:ascii="Book Antiqua" w:hAnsi="Book Antiqua" w:cs="Arial"/>
        </w:rPr>
        <w:t>that he might relapse</w:t>
      </w:r>
      <w:r w:rsidR="00C80635">
        <w:rPr>
          <w:rFonts w:ascii="Book Antiqua" w:hAnsi="Book Antiqua" w:cs="Arial"/>
        </w:rPr>
        <w:t xml:space="preserve"> into alcoholism and anti-social conduct</w:t>
      </w:r>
      <w:r w:rsidR="004E1F83">
        <w:rPr>
          <w:rFonts w:ascii="Book Antiqua" w:hAnsi="Book Antiqua" w:cs="Arial"/>
        </w:rPr>
        <w:t xml:space="preserve">, or that he might never again </w:t>
      </w:r>
      <w:r w:rsidR="00477709">
        <w:rPr>
          <w:rFonts w:ascii="Book Antiqua" w:hAnsi="Book Antiqua" w:cs="Arial"/>
        </w:rPr>
        <w:t>be involved in</w:t>
      </w:r>
      <w:r w:rsidR="004E1F83">
        <w:rPr>
          <w:rFonts w:ascii="Book Antiqua" w:hAnsi="Book Antiqua" w:cs="Arial"/>
        </w:rPr>
        <w:t xml:space="preserve"> an abusive relationship</w:t>
      </w:r>
      <w:r w:rsidR="00C80635">
        <w:rPr>
          <w:rFonts w:ascii="Book Antiqua" w:hAnsi="Book Antiqua" w:cs="Arial"/>
        </w:rPr>
        <w:t>.</w:t>
      </w:r>
    </w:p>
    <w:p w:rsidR="00A97D20" w:rsidRDefault="00A97D20" w:rsidP="00731725">
      <w:pPr>
        <w:numPr>
          <w:ilvl w:val="0"/>
          <w:numId w:val="2"/>
        </w:numPr>
        <w:spacing w:before="240"/>
        <w:jc w:val="both"/>
        <w:rPr>
          <w:rFonts w:ascii="Book Antiqua" w:hAnsi="Book Antiqua" w:cs="Arial"/>
        </w:rPr>
      </w:pPr>
      <w:r>
        <w:rPr>
          <w:rFonts w:ascii="Book Antiqua" w:hAnsi="Book Antiqua" w:cs="Arial"/>
        </w:rPr>
        <w:t>The absence of enga</w:t>
      </w:r>
      <w:r w:rsidR="0073449C">
        <w:rPr>
          <w:rFonts w:ascii="Book Antiqua" w:hAnsi="Book Antiqua" w:cs="Arial"/>
        </w:rPr>
        <w:t>ge</w:t>
      </w:r>
      <w:r>
        <w:rPr>
          <w:rFonts w:ascii="Book Antiqua" w:hAnsi="Book Antiqua" w:cs="Arial"/>
        </w:rPr>
        <w:t xml:space="preserve">ment with any organisation for </w:t>
      </w:r>
      <w:r w:rsidR="0073449C">
        <w:rPr>
          <w:rFonts w:ascii="Book Antiqua" w:hAnsi="Book Antiqua" w:cs="Arial"/>
        </w:rPr>
        <w:t xml:space="preserve">help with alcoholism is a negative sign.  The appellant said that no ongoing assistance was offered after he left detention, but </w:t>
      </w:r>
      <w:r w:rsidR="004E47C6">
        <w:rPr>
          <w:rFonts w:ascii="Book Antiqua" w:hAnsi="Book Antiqua" w:cs="Arial"/>
        </w:rPr>
        <w:t>I consider that NHS, social work and voluntary organisations would be available</w:t>
      </w:r>
      <w:r w:rsidR="00477709">
        <w:rPr>
          <w:rFonts w:ascii="Book Antiqua" w:hAnsi="Book Antiqua" w:cs="Arial"/>
        </w:rPr>
        <w:t>.  T</w:t>
      </w:r>
      <w:r w:rsidR="004E47C6">
        <w:rPr>
          <w:rFonts w:ascii="Book Antiqua" w:hAnsi="Book Antiqua" w:cs="Arial"/>
        </w:rPr>
        <w:t xml:space="preserve">he </w:t>
      </w:r>
      <w:r w:rsidR="00477709">
        <w:rPr>
          <w:rFonts w:ascii="Book Antiqua" w:hAnsi="Book Antiqua" w:cs="Arial"/>
        </w:rPr>
        <w:t>documents</w:t>
      </w:r>
      <w:r w:rsidR="004E47C6">
        <w:rPr>
          <w:rFonts w:ascii="Book Antiqua" w:hAnsi="Book Antiqua" w:cs="Arial"/>
        </w:rPr>
        <w:t xml:space="preserve"> show that </w:t>
      </w:r>
      <w:r w:rsidR="00054FD9">
        <w:rPr>
          <w:rFonts w:ascii="Book Antiqua" w:hAnsi="Book Antiqua" w:cs="Arial"/>
        </w:rPr>
        <w:t>he has</w:t>
      </w:r>
      <w:r w:rsidR="004E47C6">
        <w:rPr>
          <w:rFonts w:ascii="Book Antiqua" w:hAnsi="Book Antiqua" w:cs="Arial"/>
        </w:rPr>
        <w:t xml:space="preserve"> had </w:t>
      </w:r>
      <w:r w:rsidR="000C65A0">
        <w:rPr>
          <w:rFonts w:ascii="Book Antiqua" w:hAnsi="Book Antiqua" w:cs="Arial"/>
        </w:rPr>
        <w:t>help from</w:t>
      </w:r>
      <w:r w:rsidR="004E47C6">
        <w:rPr>
          <w:rFonts w:ascii="Book Antiqua" w:hAnsi="Book Antiqua" w:cs="Arial"/>
        </w:rPr>
        <w:t xml:space="preserve"> such </w:t>
      </w:r>
      <w:r w:rsidR="00054FD9">
        <w:rPr>
          <w:rFonts w:ascii="Book Antiqua" w:hAnsi="Book Antiqua" w:cs="Arial"/>
        </w:rPr>
        <w:t>sources in the past.</w:t>
      </w:r>
      <w:r w:rsidR="00A36C3F">
        <w:rPr>
          <w:rFonts w:ascii="Book Antiqua" w:hAnsi="Book Antiqua" w:cs="Arial"/>
        </w:rPr>
        <w:t xml:space="preserve">  There is only the appellant’s word that he is not drinking at any significant leve</w:t>
      </w:r>
      <w:r w:rsidR="00AE2A96">
        <w:rPr>
          <w:rFonts w:ascii="Book Antiqua" w:hAnsi="Book Antiqua" w:cs="Arial"/>
        </w:rPr>
        <w:t>l.  Equally, there is only his own admission that he is drinking at all.</w:t>
      </w:r>
      <w:r w:rsidR="004E47C6">
        <w:rPr>
          <w:rFonts w:ascii="Book Antiqua" w:hAnsi="Book Antiqua" w:cs="Arial"/>
        </w:rPr>
        <w:t xml:space="preserve"> </w:t>
      </w:r>
    </w:p>
    <w:p w:rsidR="00C63A5C" w:rsidRDefault="00276D87" w:rsidP="00731725">
      <w:pPr>
        <w:numPr>
          <w:ilvl w:val="0"/>
          <w:numId w:val="2"/>
        </w:numPr>
        <w:spacing w:before="240"/>
        <w:jc w:val="both"/>
        <w:rPr>
          <w:rFonts w:ascii="Book Antiqua" w:hAnsi="Book Antiqua" w:cs="Arial"/>
        </w:rPr>
      </w:pPr>
      <w:r>
        <w:rPr>
          <w:rFonts w:ascii="Book Antiqua" w:hAnsi="Book Antiqua" w:cs="Arial"/>
        </w:rPr>
        <w:t>A</w:t>
      </w:r>
      <w:r w:rsidR="00FF5ACC">
        <w:rPr>
          <w:rFonts w:ascii="Book Antiqua" w:hAnsi="Book Antiqua" w:cs="Arial"/>
        </w:rPr>
        <w:t xml:space="preserve">part </w:t>
      </w:r>
      <w:r w:rsidR="0070339D">
        <w:rPr>
          <w:rFonts w:ascii="Book Antiqua" w:hAnsi="Book Antiqua" w:cs="Arial"/>
        </w:rPr>
        <w:t xml:space="preserve">from one conviction in </w:t>
      </w:r>
      <w:r w:rsidR="00EE4549">
        <w:rPr>
          <w:rFonts w:ascii="Book Antiqua" w:hAnsi="Book Antiqua" w:cs="Arial"/>
        </w:rPr>
        <w:t>November</w:t>
      </w:r>
      <w:r w:rsidR="0070339D">
        <w:rPr>
          <w:rFonts w:ascii="Book Antiqua" w:hAnsi="Book Antiqua" w:cs="Arial"/>
        </w:rPr>
        <w:t xml:space="preserve"> 2012, the appellant’s convictions are </w:t>
      </w:r>
      <w:r w:rsidR="00694983">
        <w:rPr>
          <w:rFonts w:ascii="Book Antiqua" w:hAnsi="Book Antiqua" w:cs="Arial"/>
        </w:rPr>
        <w:t>concentrated into the period from May 2015 to De</w:t>
      </w:r>
      <w:r w:rsidR="00EE4549">
        <w:rPr>
          <w:rFonts w:ascii="Book Antiqua" w:hAnsi="Book Antiqua" w:cs="Arial"/>
        </w:rPr>
        <w:t>cember 2016</w:t>
      </w:r>
      <w:r w:rsidR="00DE10CB">
        <w:rPr>
          <w:rFonts w:ascii="Book Antiqua" w:hAnsi="Book Antiqua" w:cs="Arial"/>
        </w:rPr>
        <w:t>, and are all inter-related</w:t>
      </w:r>
      <w:r w:rsidR="00EE4549">
        <w:rPr>
          <w:rFonts w:ascii="Book Antiqua" w:hAnsi="Book Antiqua" w:cs="Arial"/>
        </w:rPr>
        <w:t>.  Th</w:t>
      </w:r>
      <w:r w:rsidR="005D4654">
        <w:rPr>
          <w:rFonts w:ascii="Book Antiqua" w:hAnsi="Book Antiqua" w:cs="Arial"/>
        </w:rPr>
        <w:t>at</w:t>
      </w:r>
      <w:r w:rsidR="00EE4549">
        <w:rPr>
          <w:rFonts w:ascii="Book Antiqua" w:hAnsi="Book Antiqua" w:cs="Arial"/>
        </w:rPr>
        <w:t xml:space="preserve"> is an episode of behaviour</w:t>
      </w:r>
      <w:r w:rsidR="00DE10CB">
        <w:rPr>
          <w:rFonts w:ascii="Book Antiqua" w:hAnsi="Book Antiqua" w:cs="Arial"/>
        </w:rPr>
        <w:t xml:space="preserve"> beginning quite late in his adult life and not foreshadowed</w:t>
      </w:r>
      <w:r w:rsidR="004E1F83">
        <w:rPr>
          <w:rFonts w:ascii="Book Antiqua" w:hAnsi="Book Antiqua" w:cs="Arial"/>
        </w:rPr>
        <w:t xml:space="preserve"> by earlier</w:t>
      </w:r>
      <w:r w:rsidR="0002551D">
        <w:rPr>
          <w:rFonts w:ascii="Book Antiqua" w:hAnsi="Book Antiqua" w:cs="Arial"/>
        </w:rPr>
        <w:t xml:space="preserve"> events.</w:t>
      </w:r>
      <w:r w:rsidR="00B949A9">
        <w:rPr>
          <w:rFonts w:ascii="Book Antiqua" w:hAnsi="Book Antiqua" w:cs="Arial"/>
        </w:rPr>
        <w:t xml:space="preserve">  The </w:t>
      </w:r>
      <w:r w:rsidR="000654CC">
        <w:rPr>
          <w:rFonts w:ascii="Book Antiqua" w:hAnsi="Book Antiqua" w:cs="Arial"/>
        </w:rPr>
        <w:t>offences</w:t>
      </w:r>
      <w:r w:rsidR="00A03CC9">
        <w:rPr>
          <w:rFonts w:ascii="Book Antiqua" w:hAnsi="Book Antiqua" w:cs="Arial"/>
        </w:rPr>
        <w:t xml:space="preserve"> were multiple, but all stemmed from the appellant </w:t>
      </w:r>
      <w:r w:rsidR="000654CC">
        <w:rPr>
          <w:rFonts w:ascii="Book Antiqua" w:hAnsi="Book Antiqua" w:cs="Arial"/>
        </w:rPr>
        <w:t>failing to stay away from his partner and the block of flats where she lived.</w:t>
      </w:r>
      <w:r w:rsidR="0036755A">
        <w:rPr>
          <w:rFonts w:ascii="Book Antiqua" w:hAnsi="Book Antiqua" w:cs="Arial"/>
        </w:rPr>
        <w:t xml:space="preserve">  He </w:t>
      </w:r>
      <w:r w:rsidR="00B949A9">
        <w:rPr>
          <w:rFonts w:ascii="Book Antiqua" w:hAnsi="Book Antiqua" w:cs="Arial"/>
        </w:rPr>
        <w:t xml:space="preserve">is no longer in </w:t>
      </w:r>
      <w:r w:rsidR="0036755A">
        <w:rPr>
          <w:rFonts w:ascii="Book Antiqua" w:hAnsi="Book Antiqua" w:cs="Arial"/>
        </w:rPr>
        <w:t>that</w:t>
      </w:r>
      <w:r w:rsidR="00B949A9">
        <w:rPr>
          <w:rFonts w:ascii="Book Antiqua" w:hAnsi="Book Antiqua" w:cs="Arial"/>
        </w:rPr>
        <w:t xml:space="preserve"> relationship of mutual near self-destruction</w:t>
      </w:r>
      <w:r w:rsidR="005D4654">
        <w:rPr>
          <w:rFonts w:ascii="Book Antiqua" w:hAnsi="Book Antiqua" w:cs="Arial"/>
        </w:rPr>
        <w:t>.  He</w:t>
      </w:r>
      <w:r w:rsidR="0036755A">
        <w:rPr>
          <w:rFonts w:ascii="Book Antiqua" w:hAnsi="Book Antiqua" w:cs="Arial"/>
        </w:rPr>
        <w:t xml:space="preserve"> has at least some insight into how disastrous that period of his life was.</w:t>
      </w:r>
      <w:r w:rsidR="004E1F83">
        <w:rPr>
          <w:rFonts w:ascii="Book Antiqua" w:hAnsi="Book Antiqua" w:cs="Arial"/>
        </w:rPr>
        <w:t xml:space="preserve"> </w:t>
      </w:r>
      <w:r w:rsidR="00DE10CB">
        <w:rPr>
          <w:rFonts w:ascii="Book Antiqua" w:hAnsi="Book Antiqua" w:cs="Arial"/>
        </w:rPr>
        <w:t xml:space="preserve"> </w:t>
      </w:r>
      <w:r w:rsidR="00EE4549">
        <w:rPr>
          <w:rFonts w:ascii="Book Antiqua" w:hAnsi="Book Antiqua" w:cs="Arial"/>
        </w:rPr>
        <w:t xml:space="preserve">   </w:t>
      </w:r>
      <w:r w:rsidR="00AE50A2">
        <w:rPr>
          <w:rFonts w:ascii="Book Antiqua" w:hAnsi="Book Antiqua" w:cs="Arial"/>
        </w:rPr>
        <w:t xml:space="preserve"> </w:t>
      </w:r>
      <w:r w:rsidR="00D41845">
        <w:rPr>
          <w:rFonts w:ascii="Book Antiqua" w:hAnsi="Book Antiqua" w:cs="Arial"/>
        </w:rPr>
        <w:t xml:space="preserve"> </w:t>
      </w:r>
      <w:r w:rsidR="00723DF8">
        <w:rPr>
          <w:rFonts w:ascii="Book Antiqua" w:hAnsi="Book Antiqua" w:cs="Arial"/>
        </w:rPr>
        <w:t xml:space="preserve"> </w:t>
      </w:r>
      <w:r w:rsidR="002E780F">
        <w:rPr>
          <w:rFonts w:ascii="Book Antiqua" w:hAnsi="Book Antiqua" w:cs="Arial"/>
        </w:rPr>
        <w:t xml:space="preserve">  </w:t>
      </w:r>
      <w:r w:rsidR="0055211C">
        <w:rPr>
          <w:rFonts w:ascii="Book Antiqua" w:hAnsi="Book Antiqua" w:cs="Arial"/>
        </w:rPr>
        <w:t xml:space="preserve">  </w:t>
      </w:r>
      <w:r w:rsidR="001E6A15">
        <w:rPr>
          <w:rFonts w:ascii="Book Antiqua" w:hAnsi="Book Antiqua" w:cs="Arial"/>
        </w:rPr>
        <w:t xml:space="preserve"> </w:t>
      </w:r>
      <w:r w:rsidR="00155962">
        <w:rPr>
          <w:rFonts w:ascii="Book Antiqua" w:hAnsi="Book Antiqua" w:cs="Arial"/>
        </w:rPr>
        <w:t xml:space="preserve">  </w:t>
      </w:r>
    </w:p>
    <w:p w:rsidR="005B0256" w:rsidRDefault="00F166CC" w:rsidP="00007BAC">
      <w:pPr>
        <w:numPr>
          <w:ilvl w:val="0"/>
          <w:numId w:val="2"/>
        </w:numPr>
        <w:spacing w:before="240"/>
        <w:jc w:val="both"/>
        <w:rPr>
          <w:rFonts w:ascii="Book Antiqua" w:hAnsi="Book Antiqua" w:cs="Arial"/>
        </w:rPr>
      </w:pPr>
      <w:r>
        <w:rPr>
          <w:rFonts w:ascii="Book Antiqua" w:hAnsi="Book Antiqua" w:cs="Arial"/>
        </w:rPr>
        <w:t xml:space="preserve">The appellant said that he was not presently working but that </w:t>
      </w:r>
      <w:r w:rsidR="00EA6622">
        <w:rPr>
          <w:rFonts w:ascii="Book Antiqua" w:hAnsi="Book Antiqua" w:cs="Arial"/>
        </w:rPr>
        <w:t xml:space="preserve">he could readily find work </w:t>
      </w:r>
      <w:r w:rsidR="00FA6B68">
        <w:rPr>
          <w:rFonts w:ascii="Book Antiqua" w:hAnsi="Book Antiqua" w:cs="Arial"/>
        </w:rPr>
        <w:t>through an agency</w:t>
      </w:r>
      <w:r w:rsidR="00EA6622">
        <w:rPr>
          <w:rFonts w:ascii="Book Antiqua" w:hAnsi="Book Antiqua" w:cs="Arial"/>
        </w:rPr>
        <w:t xml:space="preserve"> </w:t>
      </w:r>
      <w:r w:rsidR="00625891">
        <w:rPr>
          <w:rFonts w:ascii="Book Antiqua" w:hAnsi="Book Antiqua" w:cs="Arial"/>
        </w:rPr>
        <w:t xml:space="preserve">if he was no longer subject to deportation.  </w:t>
      </w:r>
      <w:r w:rsidR="001B2855">
        <w:rPr>
          <w:rFonts w:ascii="Book Antiqua" w:hAnsi="Book Antiqua" w:cs="Arial"/>
        </w:rPr>
        <w:t>He could work in a factory</w:t>
      </w:r>
      <w:r w:rsidR="00C3084D">
        <w:rPr>
          <w:rFonts w:ascii="Book Antiqua" w:hAnsi="Book Antiqua" w:cs="Arial"/>
        </w:rPr>
        <w:t xml:space="preserve">, as a painter and decorator, or as </w:t>
      </w:r>
      <w:r w:rsidR="004C46B4">
        <w:rPr>
          <w:rFonts w:ascii="Book Antiqua" w:hAnsi="Book Antiqua" w:cs="Arial"/>
        </w:rPr>
        <w:t xml:space="preserve">a </w:t>
      </w:r>
      <w:r w:rsidR="00C3084D">
        <w:rPr>
          <w:rFonts w:ascii="Book Antiqua" w:hAnsi="Book Antiqua" w:cs="Arial"/>
        </w:rPr>
        <w:t>scaffolder.</w:t>
      </w:r>
      <w:r w:rsidR="004C46B4">
        <w:rPr>
          <w:rFonts w:ascii="Book Antiqua" w:hAnsi="Book Antiqua" w:cs="Arial"/>
        </w:rPr>
        <w:t xml:space="preserve">  That appea</w:t>
      </w:r>
      <w:r w:rsidR="00A35943">
        <w:rPr>
          <w:rFonts w:ascii="Book Antiqua" w:hAnsi="Book Antiqua" w:cs="Arial"/>
        </w:rPr>
        <w:t>rs</w:t>
      </w:r>
      <w:r w:rsidR="004C46B4">
        <w:rPr>
          <w:rFonts w:ascii="Book Antiqua" w:hAnsi="Book Antiqua" w:cs="Arial"/>
        </w:rPr>
        <w:t xml:space="preserve"> consistent with </w:t>
      </w:r>
      <w:r w:rsidR="007C0D6B">
        <w:rPr>
          <w:rFonts w:ascii="Book Antiqua" w:hAnsi="Book Antiqua" w:cs="Arial"/>
        </w:rPr>
        <w:t>his previous working history.  While not drinking to excess, and with regular immigration status, it seems more than likely that the appellant could and would find employment.</w:t>
      </w:r>
    </w:p>
    <w:p w:rsidR="00091483" w:rsidRDefault="00AF3F56" w:rsidP="00007BAC">
      <w:pPr>
        <w:numPr>
          <w:ilvl w:val="0"/>
          <w:numId w:val="2"/>
        </w:numPr>
        <w:spacing w:before="240"/>
        <w:jc w:val="both"/>
        <w:rPr>
          <w:rFonts w:ascii="Book Antiqua" w:hAnsi="Book Antiqua" w:cs="Arial"/>
        </w:rPr>
      </w:pPr>
      <w:r>
        <w:rPr>
          <w:rFonts w:ascii="Book Antiqua" w:hAnsi="Book Antiqua" w:cs="Arial"/>
        </w:rPr>
        <w:t xml:space="preserve">The appellant summed up his case by expressing his </w:t>
      </w:r>
      <w:r w:rsidR="006F5142">
        <w:rPr>
          <w:rFonts w:ascii="Book Antiqua" w:hAnsi="Book Antiqua" w:cs="Arial"/>
        </w:rPr>
        <w:t xml:space="preserve">wish to remain near his son.  </w:t>
      </w:r>
      <w:r w:rsidR="009F5B24">
        <w:rPr>
          <w:rFonts w:ascii="Book Antiqua" w:hAnsi="Book Antiqua" w:cs="Arial"/>
        </w:rPr>
        <w:t>His son was not brought to give evidence, but a letter from him produced earlier in proceedings</w:t>
      </w:r>
      <w:r w:rsidR="00253D19">
        <w:rPr>
          <w:rFonts w:ascii="Book Antiqua" w:hAnsi="Book Antiqua" w:cs="Arial"/>
        </w:rPr>
        <w:t>,</w:t>
      </w:r>
      <w:r w:rsidR="009F5B24">
        <w:rPr>
          <w:rFonts w:ascii="Book Antiqua" w:hAnsi="Book Antiqua" w:cs="Arial"/>
        </w:rPr>
        <w:t xml:space="preserve"> and </w:t>
      </w:r>
      <w:r w:rsidR="004B3B61">
        <w:rPr>
          <w:rFonts w:ascii="Book Antiqua" w:hAnsi="Book Antiqua" w:cs="Arial"/>
        </w:rPr>
        <w:t>references in the reports</w:t>
      </w:r>
      <w:r w:rsidR="00253D19">
        <w:rPr>
          <w:rFonts w:ascii="Book Antiqua" w:hAnsi="Book Antiqua" w:cs="Arial"/>
        </w:rPr>
        <w:t>,</w:t>
      </w:r>
      <w:r w:rsidR="004B3B61">
        <w:rPr>
          <w:rFonts w:ascii="Book Antiqua" w:hAnsi="Book Antiqua" w:cs="Arial"/>
        </w:rPr>
        <w:t xml:space="preserve"> confirm a genuine ongoing relationship.</w:t>
      </w:r>
      <w:r w:rsidR="003307E6">
        <w:rPr>
          <w:rFonts w:ascii="Book Antiqua" w:hAnsi="Book Antiqua" w:cs="Arial"/>
        </w:rPr>
        <w:t xml:space="preserve">  The appellant is well aware how close he has come to deportation being effected.</w:t>
      </w:r>
      <w:r w:rsidR="00F67730">
        <w:rPr>
          <w:rFonts w:ascii="Book Antiqua" w:hAnsi="Book Antiqua" w:cs="Arial"/>
        </w:rPr>
        <w:t xml:space="preserve">  This is not a guarantee of future good behaviour, but it is a genuinely felt incentive.</w:t>
      </w:r>
    </w:p>
    <w:p w:rsidR="00F74FC6" w:rsidRDefault="00D837D4" w:rsidP="00007BAC">
      <w:pPr>
        <w:numPr>
          <w:ilvl w:val="0"/>
          <w:numId w:val="2"/>
        </w:numPr>
        <w:spacing w:before="240"/>
        <w:jc w:val="both"/>
        <w:rPr>
          <w:rFonts w:ascii="Book Antiqua" w:hAnsi="Book Antiqua" w:cs="Arial"/>
        </w:rPr>
      </w:pPr>
      <w:r>
        <w:rPr>
          <w:rFonts w:ascii="Book Antiqua" w:hAnsi="Book Antiqua" w:cs="Arial"/>
        </w:rPr>
        <w:lastRenderedPageBreak/>
        <w:t>Although of lesser importance, the appellant also has a network of supportive friends here.</w:t>
      </w:r>
    </w:p>
    <w:p w:rsidR="00AF3F56" w:rsidRDefault="00D837D4" w:rsidP="00007BAC">
      <w:pPr>
        <w:numPr>
          <w:ilvl w:val="0"/>
          <w:numId w:val="2"/>
        </w:numPr>
        <w:spacing w:before="240"/>
        <w:jc w:val="both"/>
        <w:rPr>
          <w:rFonts w:ascii="Book Antiqua" w:hAnsi="Book Antiqua" w:cs="Arial"/>
        </w:rPr>
      </w:pPr>
      <w:r>
        <w:rPr>
          <w:rFonts w:ascii="Book Antiqua" w:hAnsi="Book Antiqua" w:cs="Arial"/>
        </w:rPr>
        <w:t xml:space="preserve">No doubt </w:t>
      </w:r>
      <w:r w:rsidR="00F74FC6">
        <w:rPr>
          <w:rFonts w:ascii="Book Antiqua" w:hAnsi="Book Antiqua" w:cs="Arial"/>
        </w:rPr>
        <w:t>t</w:t>
      </w:r>
      <w:r>
        <w:rPr>
          <w:rFonts w:ascii="Book Antiqua" w:hAnsi="Book Antiqua" w:cs="Arial"/>
        </w:rPr>
        <w:t xml:space="preserve">he </w:t>
      </w:r>
      <w:r w:rsidR="00F74FC6">
        <w:rPr>
          <w:rFonts w:ascii="Book Antiqua" w:hAnsi="Book Antiqua" w:cs="Arial"/>
        </w:rPr>
        <w:t xml:space="preserve">appellant </w:t>
      </w:r>
      <w:r>
        <w:rPr>
          <w:rFonts w:ascii="Book Antiqua" w:hAnsi="Book Antiqua" w:cs="Arial"/>
        </w:rPr>
        <w:t xml:space="preserve">could </w:t>
      </w:r>
      <w:r w:rsidR="00F81330">
        <w:rPr>
          <w:rFonts w:ascii="Book Antiqua" w:hAnsi="Book Antiqua" w:cs="Arial"/>
        </w:rPr>
        <w:t>re</w:t>
      </w:r>
      <w:r w:rsidR="00091483">
        <w:rPr>
          <w:rFonts w:ascii="Book Antiqua" w:hAnsi="Book Antiqua" w:cs="Arial"/>
        </w:rPr>
        <w:t>adjust</w:t>
      </w:r>
      <w:r w:rsidR="00F81330">
        <w:rPr>
          <w:rFonts w:ascii="Book Antiqua" w:hAnsi="Book Antiqua" w:cs="Arial"/>
        </w:rPr>
        <w:t xml:space="preserve"> without </w:t>
      </w:r>
      <w:r w:rsidR="00091483">
        <w:rPr>
          <w:rFonts w:ascii="Book Antiqua" w:hAnsi="Book Antiqua" w:cs="Arial"/>
        </w:rPr>
        <w:t>any great</w:t>
      </w:r>
      <w:r w:rsidR="00F81330">
        <w:rPr>
          <w:rFonts w:ascii="Book Antiqua" w:hAnsi="Book Antiqua" w:cs="Arial"/>
        </w:rPr>
        <w:t xml:space="preserve"> difficulty to life in Poland, but </w:t>
      </w:r>
      <w:r w:rsidR="00F74FC6">
        <w:rPr>
          <w:rFonts w:ascii="Book Antiqua" w:hAnsi="Book Antiqua" w:cs="Arial"/>
        </w:rPr>
        <w:t xml:space="preserve">surrounding </w:t>
      </w:r>
      <w:r w:rsidR="007D53E2">
        <w:rPr>
          <w:rFonts w:ascii="Book Antiqua" w:hAnsi="Book Antiqua" w:cs="Arial"/>
        </w:rPr>
        <w:t xml:space="preserve">circumstances would not be so beneficial, and ongoing rehabilitation would be somewhat less likely. </w:t>
      </w:r>
      <w:r>
        <w:rPr>
          <w:rFonts w:ascii="Book Antiqua" w:hAnsi="Book Antiqua" w:cs="Arial"/>
        </w:rPr>
        <w:t xml:space="preserve"> </w:t>
      </w:r>
      <w:r w:rsidR="00F67730">
        <w:rPr>
          <w:rFonts w:ascii="Book Antiqua" w:hAnsi="Book Antiqua" w:cs="Arial"/>
        </w:rPr>
        <w:t xml:space="preserve"> </w:t>
      </w:r>
      <w:r w:rsidR="003307E6">
        <w:rPr>
          <w:rFonts w:ascii="Book Antiqua" w:hAnsi="Book Antiqua" w:cs="Arial"/>
        </w:rPr>
        <w:t xml:space="preserve">  </w:t>
      </w:r>
      <w:r w:rsidR="004B3B61">
        <w:rPr>
          <w:rFonts w:ascii="Book Antiqua" w:hAnsi="Book Antiqua" w:cs="Arial"/>
        </w:rPr>
        <w:t xml:space="preserve">  </w:t>
      </w:r>
      <w:r w:rsidR="009F5B24">
        <w:rPr>
          <w:rFonts w:ascii="Book Antiqua" w:hAnsi="Book Antiqua" w:cs="Arial"/>
        </w:rPr>
        <w:t xml:space="preserve"> </w:t>
      </w:r>
    </w:p>
    <w:p w:rsidR="000B12D0" w:rsidRDefault="005B0256" w:rsidP="00007BAC">
      <w:pPr>
        <w:numPr>
          <w:ilvl w:val="0"/>
          <w:numId w:val="2"/>
        </w:numPr>
        <w:spacing w:before="240"/>
        <w:jc w:val="both"/>
        <w:rPr>
          <w:rFonts w:ascii="Book Antiqua" w:hAnsi="Book Antiqua" w:cs="Arial"/>
        </w:rPr>
      </w:pPr>
      <w:r>
        <w:rPr>
          <w:rFonts w:ascii="Book Antiqua" w:hAnsi="Book Antiqua" w:cs="Arial"/>
        </w:rPr>
        <w:t xml:space="preserve">In </w:t>
      </w:r>
      <w:r w:rsidR="00DC2075">
        <w:rPr>
          <w:rFonts w:ascii="Book Antiqua" w:hAnsi="Book Antiqua" w:cs="Arial"/>
        </w:rPr>
        <w:t>the</w:t>
      </w:r>
      <w:r>
        <w:rPr>
          <w:rFonts w:ascii="Book Antiqua" w:hAnsi="Book Antiqua" w:cs="Arial"/>
        </w:rPr>
        <w:t xml:space="preserve"> grounds of appeal to the UT, the SSHD took the line that</w:t>
      </w:r>
      <w:r w:rsidR="00DC2075">
        <w:rPr>
          <w:rFonts w:ascii="Book Antiqua" w:hAnsi="Book Antiqua" w:cs="Arial"/>
        </w:rPr>
        <w:t xml:space="preserve"> a threat did not have to be imminent, and that </w:t>
      </w:r>
      <w:r w:rsidR="00A35943">
        <w:rPr>
          <w:rFonts w:ascii="Book Antiqua" w:hAnsi="Book Antiqua" w:cs="Arial"/>
        </w:rPr>
        <w:t>a decision might be justified on preventative grounds.</w:t>
      </w:r>
      <w:r w:rsidR="00D07222">
        <w:rPr>
          <w:rFonts w:ascii="Book Antiqua" w:hAnsi="Book Antiqua" w:cs="Arial"/>
        </w:rPr>
        <w:t xml:space="preserve">  </w:t>
      </w:r>
      <w:r w:rsidR="008D126F">
        <w:rPr>
          <w:rFonts w:ascii="Book Antiqua" w:hAnsi="Book Antiqua" w:cs="Arial"/>
        </w:rPr>
        <w:t>I find this case to be on the borderline.</w:t>
      </w:r>
      <w:r w:rsidR="0068104A">
        <w:rPr>
          <w:rFonts w:ascii="Book Antiqua" w:hAnsi="Book Antiqua" w:cs="Arial"/>
        </w:rPr>
        <w:t xml:space="preserve">  On balance, however, I think that the evidence </w:t>
      </w:r>
      <w:r w:rsidR="00AF3F56">
        <w:rPr>
          <w:rFonts w:ascii="Book Antiqua" w:hAnsi="Book Antiqua" w:cs="Arial"/>
        </w:rPr>
        <w:t>tips towards a finding that</w:t>
      </w:r>
      <w:r w:rsidR="00E502DE">
        <w:rPr>
          <w:rFonts w:ascii="Book Antiqua" w:hAnsi="Book Antiqua" w:cs="Arial"/>
        </w:rPr>
        <w:t xml:space="preserve"> under present circumstances, and under circumstances so far as they can be </w:t>
      </w:r>
      <w:r w:rsidR="00FA1DB2">
        <w:rPr>
          <w:rFonts w:ascii="Book Antiqua" w:hAnsi="Book Antiqua" w:cs="Arial"/>
        </w:rPr>
        <w:t xml:space="preserve">realistically </w:t>
      </w:r>
      <w:r w:rsidR="00E502DE">
        <w:rPr>
          <w:rFonts w:ascii="Book Antiqua" w:hAnsi="Book Antiqua" w:cs="Arial"/>
        </w:rPr>
        <w:t>fore</w:t>
      </w:r>
      <w:r w:rsidR="00FA1DB2">
        <w:rPr>
          <w:rFonts w:ascii="Book Antiqua" w:hAnsi="Book Antiqua" w:cs="Arial"/>
        </w:rPr>
        <w:t>cast</w:t>
      </w:r>
      <w:r w:rsidR="00E502DE">
        <w:rPr>
          <w:rFonts w:ascii="Book Antiqua" w:hAnsi="Book Antiqua" w:cs="Arial"/>
        </w:rPr>
        <w:t xml:space="preserve">, the </w:t>
      </w:r>
      <w:r w:rsidR="0048420A">
        <w:rPr>
          <w:rFonts w:ascii="Book Antiqua" w:hAnsi="Book Antiqua" w:cs="Arial"/>
        </w:rPr>
        <w:t xml:space="preserve">risk of re-offending is no longer moderate but </w:t>
      </w:r>
      <w:r w:rsidR="000C40FC">
        <w:rPr>
          <w:rFonts w:ascii="Book Antiqua" w:hAnsi="Book Antiqua" w:cs="Arial"/>
        </w:rPr>
        <w:t xml:space="preserve">is </w:t>
      </w:r>
      <w:r w:rsidR="0048420A">
        <w:rPr>
          <w:rFonts w:ascii="Book Antiqua" w:hAnsi="Book Antiqua" w:cs="Arial"/>
        </w:rPr>
        <w:t xml:space="preserve">low, and the </w:t>
      </w:r>
      <w:r w:rsidR="00E502DE">
        <w:rPr>
          <w:rFonts w:ascii="Book Antiqua" w:hAnsi="Book Antiqua" w:cs="Arial"/>
        </w:rPr>
        <w:t xml:space="preserve">threat posed by the appellant does not reach the </w:t>
      </w:r>
      <w:r w:rsidR="000B12D0">
        <w:rPr>
          <w:rFonts w:ascii="Book Antiqua" w:hAnsi="Book Antiqua" w:cs="Arial"/>
        </w:rPr>
        <w:t>level required by the regulations.</w:t>
      </w:r>
    </w:p>
    <w:p w:rsidR="00972161" w:rsidRDefault="000B12D0" w:rsidP="00007BAC">
      <w:pPr>
        <w:numPr>
          <w:ilvl w:val="0"/>
          <w:numId w:val="2"/>
        </w:numPr>
        <w:spacing w:before="240"/>
        <w:jc w:val="both"/>
        <w:rPr>
          <w:rFonts w:ascii="Book Antiqua" w:hAnsi="Book Antiqua" w:cs="Arial"/>
        </w:rPr>
      </w:pPr>
      <w:r>
        <w:rPr>
          <w:rFonts w:ascii="Book Antiqua" w:hAnsi="Book Antiqua" w:cs="Arial"/>
        </w:rPr>
        <w:t xml:space="preserve">The decision of the FtT has already been </w:t>
      </w:r>
      <w:r w:rsidRPr="00B27DF9">
        <w:rPr>
          <w:rFonts w:ascii="Book Antiqua" w:hAnsi="Book Antiqua" w:cs="Arial"/>
          <w:b/>
        </w:rPr>
        <w:t>set aside</w:t>
      </w:r>
      <w:r>
        <w:rPr>
          <w:rFonts w:ascii="Book Antiqua" w:hAnsi="Book Antiqua" w:cs="Arial"/>
        </w:rPr>
        <w:t xml:space="preserve">.  The following decision is substituted: the appeal, as brought to the FtT, is </w:t>
      </w:r>
      <w:r w:rsidRPr="00B27DF9">
        <w:rPr>
          <w:rFonts w:ascii="Book Antiqua" w:hAnsi="Book Antiqua" w:cs="Arial"/>
          <w:b/>
        </w:rPr>
        <w:t>allowed</w:t>
      </w:r>
      <w:r>
        <w:rPr>
          <w:rFonts w:ascii="Book Antiqua" w:hAnsi="Book Antiqua" w:cs="Arial"/>
        </w:rPr>
        <w:t>.</w:t>
      </w:r>
      <w:r w:rsidR="00E502DE">
        <w:rPr>
          <w:rFonts w:ascii="Book Antiqua" w:hAnsi="Book Antiqua" w:cs="Arial"/>
        </w:rPr>
        <w:t xml:space="preserve"> </w:t>
      </w:r>
      <w:r w:rsidR="00AF3F56">
        <w:rPr>
          <w:rFonts w:ascii="Book Antiqua" w:hAnsi="Book Antiqua" w:cs="Arial"/>
        </w:rPr>
        <w:t xml:space="preserve"> </w:t>
      </w:r>
      <w:r w:rsidR="008D126F">
        <w:rPr>
          <w:rFonts w:ascii="Book Antiqua" w:hAnsi="Book Antiqua" w:cs="Arial"/>
        </w:rPr>
        <w:t xml:space="preserve">  </w:t>
      </w:r>
      <w:r w:rsidR="00A35943">
        <w:rPr>
          <w:rFonts w:ascii="Book Antiqua" w:hAnsi="Book Antiqua" w:cs="Arial"/>
        </w:rPr>
        <w:t xml:space="preserve">  </w:t>
      </w:r>
      <w:r w:rsidR="005B0256">
        <w:rPr>
          <w:rFonts w:ascii="Book Antiqua" w:hAnsi="Book Antiqua" w:cs="Arial"/>
        </w:rPr>
        <w:t xml:space="preserve"> </w:t>
      </w:r>
      <w:r w:rsidR="007C0D6B">
        <w:rPr>
          <w:rFonts w:ascii="Book Antiqua" w:hAnsi="Book Antiqua" w:cs="Arial"/>
        </w:rPr>
        <w:t xml:space="preserve"> </w:t>
      </w:r>
      <w:r w:rsidR="00EA6622">
        <w:rPr>
          <w:rFonts w:ascii="Book Antiqua" w:hAnsi="Book Antiqua" w:cs="Arial"/>
        </w:rPr>
        <w:t xml:space="preserve"> </w:t>
      </w:r>
      <w:r w:rsidR="00CD0811">
        <w:rPr>
          <w:rFonts w:ascii="Book Antiqua" w:hAnsi="Book Antiqua" w:cs="Arial"/>
        </w:rPr>
        <w:t xml:space="preserve"> </w:t>
      </w:r>
    </w:p>
    <w:p w:rsidR="00321C6F" w:rsidRPr="00A56832" w:rsidRDefault="00321C6F" w:rsidP="003D0782">
      <w:pPr>
        <w:numPr>
          <w:ilvl w:val="0"/>
          <w:numId w:val="2"/>
        </w:numPr>
        <w:spacing w:before="240"/>
        <w:jc w:val="both"/>
        <w:rPr>
          <w:rFonts w:ascii="Book Antiqua" w:hAnsi="Book Antiqua" w:cs="Arial"/>
        </w:rPr>
      </w:pPr>
      <w:r>
        <w:rPr>
          <w:rFonts w:ascii="Book Antiqua" w:hAnsi="Book Antiqua" w:cs="Arial"/>
        </w:rPr>
        <w:t>No</w:t>
      </w:r>
      <w:r>
        <w:rPr>
          <w:rFonts w:ascii="Book Antiqua" w:hAnsi="Book Antiqua"/>
        </w:rPr>
        <w:t xml:space="preserve"> anonymity direction has been requested or made.  </w:t>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2D3BF1">
        <w:rPr>
          <w:rFonts w:ascii="Book Antiqua" w:hAnsi="Book Antiqua" w:cs="Arial"/>
        </w:rPr>
        <w:t>10 May</w:t>
      </w:r>
      <w:r w:rsidR="003D0782">
        <w:rPr>
          <w:rFonts w:ascii="Book Antiqua" w:hAnsi="Book Antiqua" w:cs="Arial"/>
        </w:rPr>
        <w:t xml:space="preserve">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Pr>
          <w:rFonts w:ascii="Book Antiqua" w:hAnsi="Book Antiqua" w:cs="Arial"/>
        </w:rPr>
        <w:t xml:space="preserve"> </w:t>
      </w:r>
    </w:p>
    <w:p w:rsidR="00321C6F" w:rsidRDefault="00321C6F" w:rsidP="00321C6F">
      <w:pPr>
        <w:jc w:val="both"/>
        <w:rPr>
          <w:rFonts w:ascii="Book Antiqua" w:hAnsi="Book Antiqua" w:cs="Arial"/>
        </w:rPr>
      </w:pPr>
      <w:r>
        <w:rPr>
          <w:rFonts w:ascii="Book Antiqua" w:hAnsi="Book Antiqua" w:cs="Arial"/>
        </w:rPr>
        <w:tab/>
      </w:r>
      <w:r>
        <w:rPr>
          <w:rFonts w:ascii="Book Antiqua" w:hAnsi="Book Antiqua" w:cs="Arial"/>
        </w:rPr>
        <w:tab/>
        <w:t>Upper Tribunal Judge Macleman</w:t>
      </w:r>
    </w:p>
    <w:p w:rsidR="00933B65" w:rsidRPr="00F97703" w:rsidRDefault="00933B65" w:rsidP="00933B65">
      <w:pPr>
        <w:tabs>
          <w:tab w:val="left" w:pos="2520"/>
        </w:tabs>
        <w:ind w:left="4508" w:hanging="539"/>
        <w:rPr>
          <w:rFonts w:ascii="Book Antiqua" w:hAnsi="Book Antiqua" w:cs="Arial"/>
          <w:color w:val="000000"/>
        </w:rPr>
      </w:pPr>
    </w:p>
    <w:p w:rsidR="00266FFE" w:rsidRDefault="00266FFE"/>
    <w:p w:rsidR="006D2D9A" w:rsidRDefault="006D2D9A"/>
    <w:sectPr w:rsidR="006D2D9A"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4DA" w:rsidRDefault="00C544DA">
      <w:r>
        <w:separator/>
      </w:r>
    </w:p>
  </w:endnote>
  <w:endnote w:type="continuationSeparator" w:id="0">
    <w:p w:rsidR="00C544DA" w:rsidRDefault="00C5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593795" w:rsidRDefault="008D47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D602B5">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C47F51">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4DA" w:rsidRDefault="00C544DA">
      <w:r>
        <w:separator/>
      </w:r>
    </w:p>
  </w:footnote>
  <w:footnote w:type="continuationSeparator" w:id="0">
    <w:p w:rsidR="00C544DA" w:rsidRDefault="00C54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C47F51" w:rsidRDefault="00C47F51" w:rsidP="00C47F51">
    <w:pPr>
      <w:pStyle w:val="Header"/>
      <w:jc w:val="right"/>
    </w:pPr>
    <w:r w:rsidRPr="00C47F51">
      <w:rPr>
        <w:rFonts w:ascii="Arial" w:hAnsi="Arial" w:cs="Arial"/>
        <w:sz w:val="16"/>
        <w:szCs w:val="16"/>
      </w:rPr>
      <w:t>DA/00202/2017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F42E71C-F46E-4E4B-B391-43826EC2B196}"/>
    <w:docVar w:name="dgnword-eventsink" w:val="640486200"/>
  </w:docVars>
  <w:rsids>
    <w:rsidRoot w:val="00933B65"/>
    <w:rsid w:val="000028FD"/>
    <w:rsid w:val="00005159"/>
    <w:rsid w:val="00007BAC"/>
    <w:rsid w:val="00014474"/>
    <w:rsid w:val="0002413B"/>
    <w:rsid w:val="0002551D"/>
    <w:rsid w:val="000332A3"/>
    <w:rsid w:val="00043051"/>
    <w:rsid w:val="00043E77"/>
    <w:rsid w:val="00050F40"/>
    <w:rsid w:val="00051822"/>
    <w:rsid w:val="00052290"/>
    <w:rsid w:val="00054FD9"/>
    <w:rsid w:val="000558F7"/>
    <w:rsid w:val="00061B11"/>
    <w:rsid w:val="00065040"/>
    <w:rsid w:val="000654CC"/>
    <w:rsid w:val="0007107B"/>
    <w:rsid w:val="00075AAF"/>
    <w:rsid w:val="00086935"/>
    <w:rsid w:val="00087C41"/>
    <w:rsid w:val="00091483"/>
    <w:rsid w:val="00097DC5"/>
    <w:rsid w:val="000A0F16"/>
    <w:rsid w:val="000A468F"/>
    <w:rsid w:val="000A4EAF"/>
    <w:rsid w:val="000B12D0"/>
    <w:rsid w:val="000B442A"/>
    <w:rsid w:val="000C0643"/>
    <w:rsid w:val="000C40FC"/>
    <w:rsid w:val="000C51FC"/>
    <w:rsid w:val="000C65A0"/>
    <w:rsid w:val="000F7FAD"/>
    <w:rsid w:val="001103E2"/>
    <w:rsid w:val="0011286F"/>
    <w:rsid w:val="00117089"/>
    <w:rsid w:val="00120393"/>
    <w:rsid w:val="001222C4"/>
    <w:rsid w:val="00135179"/>
    <w:rsid w:val="0014350F"/>
    <w:rsid w:val="00155962"/>
    <w:rsid w:val="00155E5A"/>
    <w:rsid w:val="00172233"/>
    <w:rsid w:val="0017281C"/>
    <w:rsid w:val="0019177F"/>
    <w:rsid w:val="001B2855"/>
    <w:rsid w:val="001D20AE"/>
    <w:rsid w:val="001D6343"/>
    <w:rsid w:val="001E0145"/>
    <w:rsid w:val="001E6A15"/>
    <w:rsid w:val="001F1C83"/>
    <w:rsid w:val="001F3A81"/>
    <w:rsid w:val="001F6281"/>
    <w:rsid w:val="001F7E3D"/>
    <w:rsid w:val="00201C03"/>
    <w:rsid w:val="002065B8"/>
    <w:rsid w:val="002135A6"/>
    <w:rsid w:val="002154EF"/>
    <w:rsid w:val="00221DD1"/>
    <w:rsid w:val="00224509"/>
    <w:rsid w:val="00253D19"/>
    <w:rsid w:val="0026339E"/>
    <w:rsid w:val="00266FFE"/>
    <w:rsid w:val="002723D3"/>
    <w:rsid w:val="00274F92"/>
    <w:rsid w:val="00276D87"/>
    <w:rsid w:val="00276EF6"/>
    <w:rsid w:val="00282591"/>
    <w:rsid w:val="00283D78"/>
    <w:rsid w:val="00290204"/>
    <w:rsid w:val="002B12FD"/>
    <w:rsid w:val="002B3017"/>
    <w:rsid w:val="002B31CA"/>
    <w:rsid w:val="002C4286"/>
    <w:rsid w:val="002C683E"/>
    <w:rsid w:val="002D0898"/>
    <w:rsid w:val="002D3BF1"/>
    <w:rsid w:val="002E1EED"/>
    <w:rsid w:val="002E780F"/>
    <w:rsid w:val="00310F2B"/>
    <w:rsid w:val="00313BC3"/>
    <w:rsid w:val="00321C6F"/>
    <w:rsid w:val="003267A2"/>
    <w:rsid w:val="00330197"/>
    <w:rsid w:val="003307E6"/>
    <w:rsid w:val="00342E5E"/>
    <w:rsid w:val="003562C4"/>
    <w:rsid w:val="0036755A"/>
    <w:rsid w:val="003812EE"/>
    <w:rsid w:val="00384051"/>
    <w:rsid w:val="00391B71"/>
    <w:rsid w:val="00395087"/>
    <w:rsid w:val="003A6CBD"/>
    <w:rsid w:val="003C1934"/>
    <w:rsid w:val="003D0782"/>
    <w:rsid w:val="003D7D3D"/>
    <w:rsid w:val="003D7F34"/>
    <w:rsid w:val="003E553D"/>
    <w:rsid w:val="003E5D7C"/>
    <w:rsid w:val="003E6445"/>
    <w:rsid w:val="003E7294"/>
    <w:rsid w:val="00402694"/>
    <w:rsid w:val="00403384"/>
    <w:rsid w:val="00405B43"/>
    <w:rsid w:val="004171D0"/>
    <w:rsid w:val="004344FB"/>
    <w:rsid w:val="004415AC"/>
    <w:rsid w:val="00441640"/>
    <w:rsid w:val="004541E5"/>
    <w:rsid w:val="004556B3"/>
    <w:rsid w:val="0046122D"/>
    <w:rsid w:val="00470675"/>
    <w:rsid w:val="004746E3"/>
    <w:rsid w:val="00477709"/>
    <w:rsid w:val="0048420A"/>
    <w:rsid w:val="004A012D"/>
    <w:rsid w:val="004A6340"/>
    <w:rsid w:val="004B3B61"/>
    <w:rsid w:val="004C0971"/>
    <w:rsid w:val="004C2CA5"/>
    <w:rsid w:val="004C376F"/>
    <w:rsid w:val="004C46B4"/>
    <w:rsid w:val="004E1F83"/>
    <w:rsid w:val="004E47C6"/>
    <w:rsid w:val="004F568C"/>
    <w:rsid w:val="005008D9"/>
    <w:rsid w:val="00513527"/>
    <w:rsid w:val="005229AB"/>
    <w:rsid w:val="00524C0B"/>
    <w:rsid w:val="00524F78"/>
    <w:rsid w:val="0054011F"/>
    <w:rsid w:val="0054023B"/>
    <w:rsid w:val="0055211C"/>
    <w:rsid w:val="005537C8"/>
    <w:rsid w:val="005577AE"/>
    <w:rsid w:val="005662FE"/>
    <w:rsid w:val="0057020B"/>
    <w:rsid w:val="00575C30"/>
    <w:rsid w:val="0057700A"/>
    <w:rsid w:val="00590CEE"/>
    <w:rsid w:val="00593D49"/>
    <w:rsid w:val="00594CA2"/>
    <w:rsid w:val="005A1712"/>
    <w:rsid w:val="005B0256"/>
    <w:rsid w:val="005D1B51"/>
    <w:rsid w:val="005D4654"/>
    <w:rsid w:val="005D7EF4"/>
    <w:rsid w:val="005F2346"/>
    <w:rsid w:val="005F6D40"/>
    <w:rsid w:val="00614020"/>
    <w:rsid w:val="00614E94"/>
    <w:rsid w:val="00625891"/>
    <w:rsid w:val="0063091E"/>
    <w:rsid w:val="006353C8"/>
    <w:rsid w:val="00641B14"/>
    <w:rsid w:val="00641C8D"/>
    <w:rsid w:val="0065091A"/>
    <w:rsid w:val="006535B5"/>
    <w:rsid w:val="00657E4A"/>
    <w:rsid w:val="006634BA"/>
    <w:rsid w:val="00665CEB"/>
    <w:rsid w:val="006664E9"/>
    <w:rsid w:val="0068104A"/>
    <w:rsid w:val="006874D4"/>
    <w:rsid w:val="00694983"/>
    <w:rsid w:val="006976EE"/>
    <w:rsid w:val="006A0A81"/>
    <w:rsid w:val="006A26C5"/>
    <w:rsid w:val="006A3BE1"/>
    <w:rsid w:val="006A5A48"/>
    <w:rsid w:val="006B07A7"/>
    <w:rsid w:val="006B0843"/>
    <w:rsid w:val="006C3E2D"/>
    <w:rsid w:val="006C4BFC"/>
    <w:rsid w:val="006D2D9A"/>
    <w:rsid w:val="006D7C16"/>
    <w:rsid w:val="006E3DE1"/>
    <w:rsid w:val="006E457A"/>
    <w:rsid w:val="006F33B4"/>
    <w:rsid w:val="006F4A00"/>
    <w:rsid w:val="006F5142"/>
    <w:rsid w:val="0070339D"/>
    <w:rsid w:val="00723DF8"/>
    <w:rsid w:val="00726CC4"/>
    <w:rsid w:val="00731725"/>
    <w:rsid w:val="0073449C"/>
    <w:rsid w:val="00734D2D"/>
    <w:rsid w:val="00735023"/>
    <w:rsid w:val="007412E0"/>
    <w:rsid w:val="00752327"/>
    <w:rsid w:val="0075406B"/>
    <w:rsid w:val="00764E7F"/>
    <w:rsid w:val="00774C7C"/>
    <w:rsid w:val="00775289"/>
    <w:rsid w:val="0078056D"/>
    <w:rsid w:val="007849D9"/>
    <w:rsid w:val="00796E2A"/>
    <w:rsid w:val="007A68B7"/>
    <w:rsid w:val="007C0D6B"/>
    <w:rsid w:val="007C68E2"/>
    <w:rsid w:val="007D53E2"/>
    <w:rsid w:val="007E6523"/>
    <w:rsid w:val="007F1B17"/>
    <w:rsid w:val="007F52DA"/>
    <w:rsid w:val="007F7538"/>
    <w:rsid w:val="0080239D"/>
    <w:rsid w:val="00810338"/>
    <w:rsid w:val="00830A48"/>
    <w:rsid w:val="00841D51"/>
    <w:rsid w:val="0084433E"/>
    <w:rsid w:val="0084547C"/>
    <w:rsid w:val="00861DE2"/>
    <w:rsid w:val="00870398"/>
    <w:rsid w:val="008832E8"/>
    <w:rsid w:val="00883961"/>
    <w:rsid w:val="0089228D"/>
    <w:rsid w:val="008A4429"/>
    <w:rsid w:val="008A64A7"/>
    <w:rsid w:val="008B5B9B"/>
    <w:rsid w:val="008C2761"/>
    <w:rsid w:val="008D0533"/>
    <w:rsid w:val="008D126F"/>
    <w:rsid w:val="008D39AB"/>
    <w:rsid w:val="008D4782"/>
    <w:rsid w:val="008D51EB"/>
    <w:rsid w:val="008D76DC"/>
    <w:rsid w:val="008D7973"/>
    <w:rsid w:val="008F2CE1"/>
    <w:rsid w:val="00923BA9"/>
    <w:rsid w:val="00926DE2"/>
    <w:rsid w:val="00933B65"/>
    <w:rsid w:val="009573DF"/>
    <w:rsid w:val="009653F4"/>
    <w:rsid w:val="009672AC"/>
    <w:rsid w:val="009701EB"/>
    <w:rsid w:val="00972161"/>
    <w:rsid w:val="0098657C"/>
    <w:rsid w:val="00991D72"/>
    <w:rsid w:val="009A28C4"/>
    <w:rsid w:val="009B0164"/>
    <w:rsid w:val="009B0F42"/>
    <w:rsid w:val="009B1ABD"/>
    <w:rsid w:val="009C0C22"/>
    <w:rsid w:val="009C21C3"/>
    <w:rsid w:val="009C36CB"/>
    <w:rsid w:val="009C4014"/>
    <w:rsid w:val="009C427B"/>
    <w:rsid w:val="009C484C"/>
    <w:rsid w:val="009E3D21"/>
    <w:rsid w:val="009F361B"/>
    <w:rsid w:val="009F4788"/>
    <w:rsid w:val="009F5B24"/>
    <w:rsid w:val="00A03A4E"/>
    <w:rsid w:val="00A03CC9"/>
    <w:rsid w:val="00A12D8B"/>
    <w:rsid w:val="00A202F5"/>
    <w:rsid w:val="00A263CA"/>
    <w:rsid w:val="00A32CF0"/>
    <w:rsid w:val="00A35943"/>
    <w:rsid w:val="00A361E6"/>
    <w:rsid w:val="00A368EC"/>
    <w:rsid w:val="00A36C3F"/>
    <w:rsid w:val="00A47203"/>
    <w:rsid w:val="00A518FC"/>
    <w:rsid w:val="00A644A0"/>
    <w:rsid w:val="00A73168"/>
    <w:rsid w:val="00A760F6"/>
    <w:rsid w:val="00A810D2"/>
    <w:rsid w:val="00A86A8D"/>
    <w:rsid w:val="00A97D20"/>
    <w:rsid w:val="00AA25A1"/>
    <w:rsid w:val="00AA5502"/>
    <w:rsid w:val="00AB0922"/>
    <w:rsid w:val="00AC0E9A"/>
    <w:rsid w:val="00AD098B"/>
    <w:rsid w:val="00AE2A96"/>
    <w:rsid w:val="00AE50A2"/>
    <w:rsid w:val="00AF3F56"/>
    <w:rsid w:val="00B14C92"/>
    <w:rsid w:val="00B170ED"/>
    <w:rsid w:val="00B17C83"/>
    <w:rsid w:val="00B20DF4"/>
    <w:rsid w:val="00B234AB"/>
    <w:rsid w:val="00B27DF9"/>
    <w:rsid w:val="00B34795"/>
    <w:rsid w:val="00B42230"/>
    <w:rsid w:val="00B52844"/>
    <w:rsid w:val="00B878A9"/>
    <w:rsid w:val="00B91D19"/>
    <w:rsid w:val="00B949A9"/>
    <w:rsid w:val="00BA4D05"/>
    <w:rsid w:val="00BA6BCE"/>
    <w:rsid w:val="00BB011D"/>
    <w:rsid w:val="00BB2B34"/>
    <w:rsid w:val="00BB470C"/>
    <w:rsid w:val="00BB69F4"/>
    <w:rsid w:val="00BC0611"/>
    <w:rsid w:val="00BC182D"/>
    <w:rsid w:val="00BC220A"/>
    <w:rsid w:val="00BD47B2"/>
    <w:rsid w:val="00BE0CDD"/>
    <w:rsid w:val="00BE29C4"/>
    <w:rsid w:val="00BE34CF"/>
    <w:rsid w:val="00BE37C2"/>
    <w:rsid w:val="00C00D8C"/>
    <w:rsid w:val="00C01F6A"/>
    <w:rsid w:val="00C026AA"/>
    <w:rsid w:val="00C115D1"/>
    <w:rsid w:val="00C15A7E"/>
    <w:rsid w:val="00C23BF5"/>
    <w:rsid w:val="00C3084D"/>
    <w:rsid w:val="00C31147"/>
    <w:rsid w:val="00C47F51"/>
    <w:rsid w:val="00C51B29"/>
    <w:rsid w:val="00C544DA"/>
    <w:rsid w:val="00C61E5D"/>
    <w:rsid w:val="00C61ED0"/>
    <w:rsid w:val="00C628F1"/>
    <w:rsid w:val="00C63A5C"/>
    <w:rsid w:val="00C64ED0"/>
    <w:rsid w:val="00C73DA6"/>
    <w:rsid w:val="00C75674"/>
    <w:rsid w:val="00C80635"/>
    <w:rsid w:val="00C8291C"/>
    <w:rsid w:val="00C97FE6"/>
    <w:rsid w:val="00CA3245"/>
    <w:rsid w:val="00CB2520"/>
    <w:rsid w:val="00CC0889"/>
    <w:rsid w:val="00CC269E"/>
    <w:rsid w:val="00CD0811"/>
    <w:rsid w:val="00CD5AEE"/>
    <w:rsid w:val="00CE3039"/>
    <w:rsid w:val="00CF0FE6"/>
    <w:rsid w:val="00CF4724"/>
    <w:rsid w:val="00CF49D5"/>
    <w:rsid w:val="00D02A08"/>
    <w:rsid w:val="00D07222"/>
    <w:rsid w:val="00D11FD9"/>
    <w:rsid w:val="00D22400"/>
    <w:rsid w:val="00D323D3"/>
    <w:rsid w:val="00D41845"/>
    <w:rsid w:val="00D44C2B"/>
    <w:rsid w:val="00D51449"/>
    <w:rsid w:val="00D57CCD"/>
    <w:rsid w:val="00D602B5"/>
    <w:rsid w:val="00D76C5C"/>
    <w:rsid w:val="00D837D4"/>
    <w:rsid w:val="00D97B45"/>
    <w:rsid w:val="00DA3D04"/>
    <w:rsid w:val="00DB10B7"/>
    <w:rsid w:val="00DB681F"/>
    <w:rsid w:val="00DC2075"/>
    <w:rsid w:val="00DC2A4A"/>
    <w:rsid w:val="00DC5865"/>
    <w:rsid w:val="00DC699D"/>
    <w:rsid w:val="00DD1B95"/>
    <w:rsid w:val="00DD2126"/>
    <w:rsid w:val="00DE0748"/>
    <w:rsid w:val="00DE10CB"/>
    <w:rsid w:val="00E11DB1"/>
    <w:rsid w:val="00E20C6C"/>
    <w:rsid w:val="00E327C2"/>
    <w:rsid w:val="00E36C81"/>
    <w:rsid w:val="00E43FA7"/>
    <w:rsid w:val="00E502DE"/>
    <w:rsid w:val="00E70B19"/>
    <w:rsid w:val="00E816DB"/>
    <w:rsid w:val="00EA3D98"/>
    <w:rsid w:val="00EA6622"/>
    <w:rsid w:val="00EC1271"/>
    <w:rsid w:val="00EC4DB2"/>
    <w:rsid w:val="00EC7BBB"/>
    <w:rsid w:val="00ED5C20"/>
    <w:rsid w:val="00ED7DFA"/>
    <w:rsid w:val="00EE4549"/>
    <w:rsid w:val="00EE6CE7"/>
    <w:rsid w:val="00F02E6D"/>
    <w:rsid w:val="00F04B7C"/>
    <w:rsid w:val="00F166CC"/>
    <w:rsid w:val="00F40619"/>
    <w:rsid w:val="00F447CF"/>
    <w:rsid w:val="00F5121C"/>
    <w:rsid w:val="00F54C4E"/>
    <w:rsid w:val="00F648C0"/>
    <w:rsid w:val="00F6551E"/>
    <w:rsid w:val="00F67730"/>
    <w:rsid w:val="00F72A51"/>
    <w:rsid w:val="00F74FC6"/>
    <w:rsid w:val="00F81330"/>
    <w:rsid w:val="00F826A8"/>
    <w:rsid w:val="00F85C8A"/>
    <w:rsid w:val="00FA0A2E"/>
    <w:rsid w:val="00FA1DB2"/>
    <w:rsid w:val="00FA2A43"/>
    <w:rsid w:val="00FA6B68"/>
    <w:rsid w:val="00FA7FC0"/>
    <w:rsid w:val="00FB0516"/>
    <w:rsid w:val="00FB6966"/>
    <w:rsid w:val="00FB7F60"/>
    <w:rsid w:val="00FD3454"/>
    <w:rsid w:val="00FE0046"/>
    <w:rsid w:val="00FE2E80"/>
    <w:rsid w:val="00FE3269"/>
    <w:rsid w:val="00FE50BC"/>
    <w:rsid w:val="00FE5EB1"/>
    <w:rsid w:val="00FF48BE"/>
    <w:rsid w:val="00FF5ACC"/>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3115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7C68E2"/>
    <w:rPr>
      <w:rFonts w:ascii="Segoe UI" w:hAnsi="Segoe UI" w:cs="Segoe UI"/>
      <w:sz w:val="18"/>
      <w:szCs w:val="18"/>
    </w:rPr>
  </w:style>
  <w:style w:type="character" w:customStyle="1" w:styleId="BalloonTextChar">
    <w:name w:val="Balloon Text Char"/>
    <w:basedOn w:val="DefaultParagraphFont"/>
    <w:link w:val="BalloonText"/>
    <w:semiHidden/>
    <w:rsid w:val="007C68E2"/>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FAD0-674D-47AA-A704-BB435A06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1942</Words>
  <Characters>9506</Characters>
  <Application>Microsoft Office Word</Application>
  <DocSecurity>0</DocSecurity>
  <Lines>79</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2018-06-05T13:58:00Z</dcterms:created>
  <dcterms:modified xsi:type="dcterms:W3CDTF">2018-06-05T13:58:00Z</dcterms:modified>
</cp:coreProperties>
</file>