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E4" w:rsidRPr="000C2BCE" w:rsidRDefault="000C2BCE" w:rsidP="000C2BCE">
      <w:pPr>
        <w:jc w:val="center"/>
        <w:rPr>
          <w:rFonts w:ascii="Book Antiqua" w:hAnsi="Book Antiqua"/>
          <w:noProof/>
          <w:sz w:val="16"/>
          <w:szCs w:val="16"/>
          <w:lang w:val="en-US" w:eastAsia="en-US"/>
        </w:rPr>
      </w:pPr>
      <w:r w:rsidRPr="000C2BCE">
        <w:rPr>
          <w:rFonts w:ascii="Book Antiqua" w:hAnsi="Book Antiqua"/>
          <w:noProof/>
          <w:sz w:val="16"/>
          <w:szCs w:val="16"/>
          <w:lang w:val="en-US" w:eastAsia="en-US"/>
        </w:rPr>
        <w:drawing>
          <wp:inline distT="0" distB="0" distL="0" distR="0" wp14:anchorId="7E0194C7" wp14:editId="1DB591C7">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D219F1" w:rsidRPr="000C2BCE" w:rsidRDefault="00D219F1" w:rsidP="000C2BCE">
      <w:pPr>
        <w:jc w:val="cente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 xml:space="preserve">(Immigration and Asylum </w:t>
      </w:r>
      <w:proofErr w:type="gramStart"/>
      <w:r w:rsidRPr="00BB0BED">
        <w:rPr>
          <w:rFonts w:ascii="Book Antiqua" w:hAnsi="Book Antiqua" w:cs="Arial"/>
          <w:b/>
          <w:color w:val="000000"/>
        </w:rPr>
        <w:t>Chamber)</w:t>
      </w:r>
      <w:r w:rsidR="002D30F3">
        <w:rPr>
          <w:rFonts w:ascii="Book Antiqua" w:hAnsi="Book Antiqua" w:cs="Arial"/>
          <w:b/>
          <w:color w:val="000000"/>
        </w:rPr>
        <w:t xml:space="preserve">   </w:t>
      </w:r>
      <w:proofErr w:type="gramEnd"/>
      <w:r w:rsidR="002D30F3">
        <w:rPr>
          <w:rFonts w:ascii="Book Antiqua" w:hAnsi="Book Antiqua" w:cs="Arial"/>
          <w:b/>
          <w:color w:val="000000"/>
        </w:rPr>
        <w:t xml:space="preserve">                               </w:t>
      </w:r>
      <w:r w:rsidR="00CF4F17">
        <w:rPr>
          <w:rFonts w:ascii="Book Antiqua" w:hAnsi="Book Antiqua" w:cs="Arial"/>
          <w:color w:val="000000"/>
        </w:rPr>
        <w:t>Appeal Number</w:t>
      </w:r>
      <w:r w:rsidR="002D30F3">
        <w:rPr>
          <w:rFonts w:ascii="Book Antiqua" w:hAnsi="Book Antiqua" w:cs="Arial"/>
          <w:color w:val="000000"/>
        </w:rPr>
        <w:t xml:space="preserve">: </w:t>
      </w:r>
      <w:bookmarkStart w:id="0" w:name="_GoBack"/>
      <w:bookmarkEnd w:id="0"/>
      <w:r w:rsidR="002D30F3">
        <w:rPr>
          <w:rFonts w:ascii="Book Antiqua" w:hAnsi="Book Antiqua" w:cs="Arial"/>
          <w:color w:val="000000"/>
        </w:rPr>
        <w:t>DA</w:t>
      </w:r>
      <w:r w:rsidR="001E6A6B">
        <w:rPr>
          <w:rFonts w:ascii="Book Antiqua" w:hAnsi="Book Antiqua" w:cs="Arial"/>
          <w:color w:val="000000"/>
        </w:rPr>
        <w:t>/00294</w:t>
      </w:r>
      <w:r w:rsidR="005B338F">
        <w:rPr>
          <w:rFonts w:ascii="Book Antiqua" w:hAnsi="Book Antiqua" w:cs="Arial"/>
          <w:color w:val="000000"/>
        </w:rPr>
        <w:t>/</w:t>
      </w:r>
      <w:r w:rsidR="001E6A6B">
        <w:rPr>
          <w:rFonts w:ascii="Book Antiqua" w:hAnsi="Book Antiqua" w:cs="Arial"/>
          <w:color w:val="000000"/>
        </w:rPr>
        <w:t>20</w:t>
      </w:r>
      <w:r w:rsidR="005B338F">
        <w:rPr>
          <w:rFonts w:ascii="Book Antiqua" w:hAnsi="Book Antiqua" w:cs="Arial"/>
          <w:color w:val="000000"/>
        </w:rPr>
        <w:t>17</w:t>
      </w:r>
    </w:p>
    <w:p w:rsidR="00D676BC" w:rsidRDefault="00D676BC" w:rsidP="000C2BCE">
      <w:pPr>
        <w:tabs>
          <w:tab w:val="right" w:pos="9720"/>
        </w:tabs>
        <w:ind w:right="-82"/>
        <w:jc w:val="center"/>
        <w:rPr>
          <w:rFonts w:ascii="Book Antiqua" w:hAnsi="Book Antiqua" w:cs="Arial"/>
          <w:color w:val="000000"/>
        </w:rPr>
      </w:pPr>
    </w:p>
    <w:p w:rsidR="00D219F1" w:rsidRPr="00BB0BED" w:rsidRDefault="00D219F1" w:rsidP="000C2BCE">
      <w:pPr>
        <w:tabs>
          <w:tab w:val="right" w:pos="9720"/>
        </w:tabs>
        <w:ind w:right="-82"/>
        <w:jc w:val="center"/>
        <w:rPr>
          <w:rFonts w:ascii="Book Antiqua" w:hAnsi="Book Antiqua" w:cs="Arial"/>
          <w:color w:val="000000"/>
        </w:rPr>
      </w:pPr>
    </w:p>
    <w:p w:rsidR="00D219F1" w:rsidRPr="00BB0BED" w:rsidRDefault="00D219F1" w:rsidP="000C2BCE">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0C2BCE">
      <w:pPr>
        <w:jc w:val="center"/>
        <w:rPr>
          <w:rFonts w:ascii="Book Antiqua" w:hAnsi="Book Antiqua" w:cs="Arial"/>
          <w:b/>
          <w:u w:val="single"/>
        </w:rPr>
      </w:pPr>
    </w:p>
    <w:p w:rsidR="00585E1E" w:rsidRPr="00BB0BED" w:rsidRDefault="00585E1E" w:rsidP="000C2BCE">
      <w:pPr>
        <w:jc w:val="center"/>
        <w:rPr>
          <w:rFonts w:ascii="Book Antiqua" w:hAnsi="Book Antiqua" w:cs="Arial"/>
          <w:b/>
          <w:u w:val="single"/>
        </w:rPr>
      </w:pPr>
    </w:p>
    <w:tbl>
      <w:tblPr>
        <w:tblW w:w="0" w:type="auto"/>
        <w:tblLook w:val="01E0" w:firstRow="1" w:lastRow="1" w:firstColumn="1" w:lastColumn="1" w:noHBand="0" w:noVBand="0"/>
      </w:tblPr>
      <w:tblGrid>
        <w:gridCol w:w="4556"/>
        <w:gridCol w:w="5082"/>
      </w:tblGrid>
      <w:tr w:rsidR="00D219F1" w:rsidRPr="00C03009" w:rsidTr="001E6A6B">
        <w:tc>
          <w:tcPr>
            <w:tcW w:w="4644" w:type="dxa"/>
          </w:tcPr>
          <w:p w:rsidR="00D219F1" w:rsidRPr="00C03009" w:rsidRDefault="005B338F" w:rsidP="00256F9B">
            <w:pPr>
              <w:jc w:val="both"/>
              <w:rPr>
                <w:rFonts w:ascii="Book Antiqua" w:hAnsi="Book Antiqua" w:cs="Arial"/>
                <w:b/>
              </w:rPr>
            </w:pPr>
            <w:r>
              <w:rPr>
                <w:rFonts w:ascii="Book Antiqua" w:hAnsi="Book Antiqua" w:cs="Arial"/>
                <w:b/>
              </w:rPr>
              <w:t>Heard at: Birmingham</w:t>
            </w:r>
          </w:p>
        </w:tc>
        <w:tc>
          <w:tcPr>
            <w:tcW w:w="5184" w:type="dxa"/>
          </w:tcPr>
          <w:p w:rsidR="00D219F1" w:rsidRPr="00C03009" w:rsidRDefault="00D806C5" w:rsidP="00256F9B">
            <w:pPr>
              <w:jc w:val="both"/>
              <w:rPr>
                <w:rFonts w:ascii="Book Antiqua" w:hAnsi="Book Antiqua" w:cs="Arial"/>
                <w:b/>
                <w:color w:val="000000"/>
              </w:rPr>
            </w:pPr>
            <w:r>
              <w:rPr>
                <w:rFonts w:ascii="Book Antiqua" w:hAnsi="Book Antiqua" w:cs="Arial"/>
                <w:b/>
                <w:color w:val="000000"/>
              </w:rPr>
              <w:t>Decision</w:t>
            </w:r>
            <w:r w:rsidR="001E6A6B">
              <w:rPr>
                <w:rFonts w:ascii="Book Antiqua" w:hAnsi="Book Antiqua" w:cs="Arial"/>
                <w:b/>
                <w:color w:val="000000"/>
              </w:rPr>
              <w:t xml:space="preserve"> &amp; Reasons</w:t>
            </w:r>
            <w:r>
              <w:rPr>
                <w:rFonts w:ascii="Book Antiqua" w:hAnsi="Book Antiqua" w:cs="Arial"/>
                <w:b/>
                <w:color w:val="000000"/>
              </w:rPr>
              <w:t xml:space="preserve"> </w:t>
            </w:r>
            <w:r w:rsidR="00D219F1" w:rsidRPr="00C03009">
              <w:rPr>
                <w:rFonts w:ascii="Book Antiqua" w:hAnsi="Book Antiqua" w:cs="Arial"/>
                <w:b/>
                <w:color w:val="000000"/>
              </w:rPr>
              <w:t>Promulgated</w:t>
            </w:r>
          </w:p>
        </w:tc>
      </w:tr>
      <w:tr w:rsidR="00D219F1" w:rsidRPr="00C03009" w:rsidTr="001E6A6B">
        <w:trPr>
          <w:trHeight w:val="320"/>
        </w:trPr>
        <w:tc>
          <w:tcPr>
            <w:tcW w:w="4644" w:type="dxa"/>
          </w:tcPr>
          <w:p w:rsidR="00D219F1" w:rsidRPr="00C03009" w:rsidRDefault="00D219F1" w:rsidP="00030A29">
            <w:pPr>
              <w:jc w:val="both"/>
              <w:rPr>
                <w:rFonts w:ascii="Book Antiqua" w:hAnsi="Book Antiqua" w:cs="Arial"/>
                <w:b/>
              </w:rPr>
            </w:pPr>
            <w:r w:rsidRPr="00C03009">
              <w:rPr>
                <w:rFonts w:ascii="Book Antiqua" w:hAnsi="Book Antiqua" w:cs="Arial"/>
                <w:b/>
              </w:rPr>
              <w:t>On</w:t>
            </w:r>
            <w:r>
              <w:rPr>
                <w:rFonts w:ascii="Book Antiqua" w:hAnsi="Book Antiqua" w:cs="Arial"/>
                <w:b/>
              </w:rPr>
              <w:t>:</w:t>
            </w:r>
            <w:r w:rsidR="005B338F">
              <w:rPr>
                <w:rFonts w:ascii="Book Antiqua" w:hAnsi="Book Antiqua" w:cs="Arial"/>
                <w:b/>
              </w:rPr>
              <w:t xml:space="preserve"> </w:t>
            </w:r>
            <w:r w:rsidR="00417A4F">
              <w:rPr>
                <w:rFonts w:ascii="Book Antiqua" w:hAnsi="Book Antiqua" w:cs="Arial"/>
                <w:b/>
              </w:rPr>
              <w:t>1</w:t>
            </w:r>
            <w:r w:rsidR="005B338F">
              <w:rPr>
                <w:rFonts w:ascii="Book Antiqua" w:hAnsi="Book Antiqua" w:cs="Arial"/>
                <w:b/>
              </w:rPr>
              <w:t>7</w:t>
            </w:r>
            <w:r w:rsidR="005B338F" w:rsidRPr="005B338F">
              <w:rPr>
                <w:rFonts w:ascii="Book Antiqua" w:hAnsi="Book Antiqua" w:cs="Arial"/>
                <w:b/>
                <w:vertAlign w:val="superscript"/>
              </w:rPr>
              <w:t>th</w:t>
            </w:r>
            <w:r w:rsidR="00417A4F">
              <w:rPr>
                <w:rFonts w:ascii="Book Antiqua" w:hAnsi="Book Antiqua" w:cs="Arial"/>
                <w:b/>
              </w:rPr>
              <w:t xml:space="preserve"> September </w:t>
            </w:r>
            <w:r w:rsidR="005B338F">
              <w:rPr>
                <w:rFonts w:ascii="Book Antiqua" w:hAnsi="Book Antiqua" w:cs="Arial"/>
                <w:b/>
              </w:rPr>
              <w:t>2018</w:t>
            </w:r>
          </w:p>
        </w:tc>
        <w:tc>
          <w:tcPr>
            <w:tcW w:w="5184" w:type="dxa"/>
          </w:tcPr>
          <w:p w:rsidR="00D219F1" w:rsidRPr="00C03009" w:rsidRDefault="001E6A6B" w:rsidP="00256F9B">
            <w:pPr>
              <w:jc w:val="both"/>
              <w:rPr>
                <w:rFonts w:ascii="Book Antiqua" w:hAnsi="Book Antiqua" w:cs="Arial"/>
                <w:b/>
              </w:rPr>
            </w:pPr>
            <w:r>
              <w:rPr>
                <w:rFonts w:ascii="Book Antiqua" w:hAnsi="Book Antiqua" w:cs="Arial"/>
                <w:b/>
              </w:rPr>
              <w:t>On: 18</w:t>
            </w:r>
            <w:r w:rsidRPr="001E6A6B">
              <w:rPr>
                <w:rFonts w:ascii="Book Antiqua" w:hAnsi="Book Antiqua" w:cs="Arial"/>
                <w:b/>
                <w:vertAlign w:val="superscript"/>
              </w:rPr>
              <w:t>th</w:t>
            </w:r>
            <w:r>
              <w:rPr>
                <w:rFonts w:ascii="Book Antiqua" w:hAnsi="Book Antiqua" w:cs="Arial"/>
                <w:b/>
              </w:rPr>
              <w:t xml:space="preserve"> September 2018</w:t>
            </w:r>
          </w:p>
        </w:tc>
      </w:tr>
      <w:tr w:rsidR="00D219F1" w:rsidRPr="00C03009" w:rsidTr="001E6A6B">
        <w:tc>
          <w:tcPr>
            <w:tcW w:w="4644" w:type="dxa"/>
          </w:tcPr>
          <w:p w:rsidR="00D219F1" w:rsidRPr="00C03009" w:rsidRDefault="00D219F1" w:rsidP="00256F9B">
            <w:pPr>
              <w:jc w:val="both"/>
              <w:rPr>
                <w:rFonts w:ascii="Book Antiqua" w:hAnsi="Book Antiqua" w:cs="Arial"/>
                <w:b/>
              </w:rPr>
            </w:pPr>
          </w:p>
        </w:tc>
        <w:tc>
          <w:tcPr>
            <w:tcW w:w="5184" w:type="dxa"/>
          </w:tcPr>
          <w:p w:rsidR="00D219F1" w:rsidRPr="00C03009" w:rsidRDefault="00D219F1" w:rsidP="00256F9B">
            <w:pPr>
              <w:jc w:val="both"/>
              <w:rPr>
                <w:rFonts w:ascii="Book Antiqua" w:hAnsi="Book Antiqua" w:cs="Arial"/>
                <w:b/>
              </w:rPr>
            </w:pPr>
          </w:p>
        </w:tc>
      </w:tr>
    </w:tbl>
    <w:p w:rsidR="00D219F1" w:rsidRPr="00BB0BED" w:rsidRDefault="00D219F1"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0C2BCE" w:rsidRDefault="000C2BCE"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887409" w:rsidRDefault="00887409" w:rsidP="00887409">
      <w:pPr>
        <w:jc w:val="center"/>
        <w:rPr>
          <w:rFonts w:ascii="Book Antiqua" w:hAnsi="Book Antiqua" w:cs="Arial"/>
          <w:b/>
        </w:rPr>
      </w:pPr>
    </w:p>
    <w:p w:rsidR="00887409" w:rsidRPr="00030A29" w:rsidRDefault="005B338F" w:rsidP="00887409">
      <w:pPr>
        <w:jc w:val="center"/>
        <w:rPr>
          <w:rFonts w:ascii="Book Antiqua" w:hAnsi="Book Antiqua" w:cs="Arial"/>
          <w:b/>
        </w:rPr>
      </w:pPr>
      <w:r>
        <w:rPr>
          <w:rFonts w:ascii="Book Antiqua" w:hAnsi="Book Antiqua" w:cs="Arial"/>
          <w:b/>
        </w:rPr>
        <w:t>Marcin-Krzysztof Janicki</w:t>
      </w:r>
    </w:p>
    <w:p w:rsidR="00887409" w:rsidRPr="00030A29" w:rsidRDefault="00887409" w:rsidP="00887409">
      <w:pPr>
        <w:jc w:val="center"/>
        <w:rPr>
          <w:rFonts w:ascii="Book Antiqua" w:hAnsi="Book Antiqua" w:cs="Arial"/>
          <w:b/>
        </w:rPr>
      </w:pPr>
      <w:r>
        <w:rPr>
          <w:rFonts w:ascii="Book Antiqua" w:hAnsi="Book Antiqua" w:cs="Arial"/>
          <w:b/>
        </w:rPr>
        <w:t>(</w:t>
      </w:r>
      <w:r w:rsidR="00F10C70">
        <w:rPr>
          <w:rFonts w:ascii="Book Antiqua" w:hAnsi="Book Antiqua" w:cs="Arial"/>
          <w:b/>
        </w:rPr>
        <w:t xml:space="preserve">no </w:t>
      </w:r>
      <w:r w:rsidRPr="00030A29">
        <w:rPr>
          <w:rFonts w:ascii="Book Antiqua" w:hAnsi="Book Antiqua" w:cs="Arial"/>
          <w:b/>
        </w:rPr>
        <w:t>anonymity directi</w:t>
      </w:r>
      <w:r>
        <w:rPr>
          <w:rFonts w:ascii="Book Antiqua" w:hAnsi="Book Antiqua" w:cs="Arial"/>
          <w:b/>
        </w:rPr>
        <w:t>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887409" w:rsidRPr="0073178F" w:rsidRDefault="00887409" w:rsidP="00887409">
      <w:pPr>
        <w:jc w:val="center"/>
        <w:rPr>
          <w:rFonts w:ascii="Book Antiqua" w:hAnsi="Book Antiqua" w:cs="Arial"/>
          <w:b/>
        </w:rPr>
      </w:pPr>
      <w:r w:rsidRPr="0073178F">
        <w:rPr>
          <w:rFonts w:ascii="Book Antiqua" w:hAnsi="Book Antiqua" w:cs="Arial"/>
          <w:b/>
        </w:rPr>
        <w:t>The Secretary of State for the Home Department</w:t>
      </w:r>
    </w:p>
    <w:p w:rsidR="00D219F1" w:rsidRPr="0073178F" w:rsidRDefault="00D219F1" w:rsidP="006B153F">
      <w:pPr>
        <w:jc w:val="right"/>
        <w:outlineLvl w:val="0"/>
        <w:rPr>
          <w:rFonts w:ascii="Book Antiqua" w:hAnsi="Book Antiqua" w:cs="Arial"/>
          <w:u w:val="single"/>
        </w:rPr>
      </w:pPr>
      <w:r w:rsidRPr="0073178F">
        <w:rPr>
          <w:rFonts w:ascii="Book Antiqua" w:hAnsi="Book Antiqua" w:cs="Arial"/>
          <w:u w:val="single"/>
        </w:rPr>
        <w:t>Respondent</w:t>
      </w:r>
    </w:p>
    <w:p w:rsidR="006B153F" w:rsidRPr="0073178F" w:rsidRDefault="006B153F" w:rsidP="006B153F">
      <w:pPr>
        <w:jc w:val="right"/>
        <w:outlineLvl w:val="0"/>
        <w:rPr>
          <w:rFonts w:ascii="Book Antiqua" w:hAnsi="Book Antiqua" w:cs="Arial"/>
          <w:u w:val="single"/>
        </w:rPr>
      </w:pPr>
    </w:p>
    <w:p w:rsidR="00CF4F17" w:rsidRPr="0073178F" w:rsidRDefault="00CF4F17" w:rsidP="00503887">
      <w:pPr>
        <w:rPr>
          <w:rFonts w:ascii="Book Antiqua" w:hAnsi="Book Antiqua" w:cs="Arial"/>
          <w:u w:val="single"/>
        </w:rPr>
      </w:pPr>
    </w:p>
    <w:p w:rsidR="00863892" w:rsidRPr="002E4D8A" w:rsidRDefault="00030A29" w:rsidP="00863892">
      <w:pPr>
        <w:ind w:left="2880" w:hanging="2880"/>
        <w:rPr>
          <w:rFonts w:ascii="Book Antiqua" w:hAnsi="Book Antiqua" w:cs="Arial"/>
          <w:b/>
        </w:rPr>
      </w:pPr>
      <w:r w:rsidRPr="002E4D8A">
        <w:rPr>
          <w:rFonts w:ascii="Book Antiqua" w:hAnsi="Book Antiqua" w:cs="Arial"/>
          <w:b/>
        </w:rPr>
        <w:t>For the Appellant</w:t>
      </w:r>
      <w:r w:rsidR="00FB7FFE" w:rsidRPr="002E4D8A">
        <w:rPr>
          <w:rFonts w:ascii="Book Antiqua" w:hAnsi="Book Antiqua" w:cs="Arial"/>
          <w:b/>
        </w:rPr>
        <w:t>:</w:t>
      </w:r>
      <w:r w:rsidR="00863892" w:rsidRPr="002E4D8A">
        <w:rPr>
          <w:rFonts w:ascii="Book Antiqua" w:hAnsi="Book Antiqua" w:cs="Arial"/>
          <w:b/>
        </w:rPr>
        <w:t xml:space="preserve">  </w:t>
      </w:r>
      <w:r w:rsidR="00863892" w:rsidRPr="002E4D8A">
        <w:rPr>
          <w:rFonts w:ascii="Book Antiqua" w:hAnsi="Book Antiqua" w:cs="Arial"/>
          <w:b/>
        </w:rPr>
        <w:tab/>
      </w:r>
      <w:r w:rsidR="00417A4F">
        <w:rPr>
          <w:rFonts w:ascii="Book Antiqua" w:hAnsi="Book Antiqua" w:cs="Arial"/>
          <w:b/>
        </w:rPr>
        <w:t>-</w:t>
      </w:r>
    </w:p>
    <w:p w:rsidR="00555389" w:rsidRPr="002E4D8A" w:rsidRDefault="00863892" w:rsidP="00863892">
      <w:pPr>
        <w:ind w:left="2880" w:hanging="2880"/>
        <w:rPr>
          <w:rFonts w:ascii="Book Antiqua" w:hAnsi="Book Antiqua" w:cs="Arial"/>
          <w:b/>
        </w:rPr>
      </w:pPr>
      <w:r w:rsidRPr="002E4D8A">
        <w:rPr>
          <w:rFonts w:ascii="Book Antiqua" w:hAnsi="Book Antiqua" w:cs="Arial"/>
          <w:b/>
        </w:rPr>
        <w:t>For</w:t>
      </w:r>
      <w:r w:rsidR="00764A18" w:rsidRPr="002E4D8A">
        <w:rPr>
          <w:rFonts w:ascii="Book Antiqua" w:hAnsi="Book Antiqua" w:cs="Arial"/>
          <w:b/>
        </w:rPr>
        <w:t xml:space="preserve"> the Respondent:</w:t>
      </w:r>
      <w:r w:rsidR="00764A18" w:rsidRPr="002E4D8A">
        <w:rPr>
          <w:rFonts w:ascii="Book Antiqua" w:hAnsi="Book Antiqua" w:cs="Arial"/>
          <w:b/>
        </w:rPr>
        <w:tab/>
      </w:r>
      <w:r w:rsidR="006B7BF0" w:rsidRPr="002E4D8A">
        <w:rPr>
          <w:rFonts w:ascii="Book Antiqua" w:hAnsi="Book Antiqua" w:cs="Arial"/>
          <w:b/>
        </w:rPr>
        <w:t>Mr</w:t>
      </w:r>
      <w:r w:rsidR="002E4D8A" w:rsidRPr="002E4D8A">
        <w:rPr>
          <w:rFonts w:ascii="Book Antiqua" w:hAnsi="Book Antiqua" w:cs="Arial"/>
          <w:b/>
        </w:rPr>
        <w:t xml:space="preserve"> Mills,</w:t>
      </w:r>
      <w:r w:rsidR="006B7BF0" w:rsidRPr="002E4D8A">
        <w:rPr>
          <w:rFonts w:ascii="Book Antiqua" w:hAnsi="Book Antiqua" w:cs="Arial"/>
          <w:b/>
        </w:rPr>
        <w:t xml:space="preserve"> </w:t>
      </w:r>
      <w:r w:rsidR="00887409" w:rsidRPr="002E4D8A">
        <w:rPr>
          <w:rFonts w:ascii="Book Antiqua" w:hAnsi="Book Antiqua" w:cs="Arial"/>
          <w:b/>
        </w:rPr>
        <w:t>Senior Home Office Presenting Officer</w:t>
      </w:r>
    </w:p>
    <w:p w:rsidR="006F4E5F" w:rsidRDefault="006F4E5F" w:rsidP="00473C4B">
      <w:pPr>
        <w:rPr>
          <w:rFonts w:ascii="Book Antiqua" w:hAnsi="Book Antiqua" w:cs="Arial"/>
          <w:b/>
        </w:rPr>
      </w:pPr>
    </w:p>
    <w:p w:rsidR="000C2BCE" w:rsidRPr="002E4D8A" w:rsidRDefault="000C2BCE" w:rsidP="00473C4B">
      <w:pPr>
        <w:rPr>
          <w:rFonts w:ascii="Book Antiqua" w:hAnsi="Book Antiqua" w:cs="Arial"/>
          <w:b/>
        </w:rPr>
      </w:pPr>
    </w:p>
    <w:p w:rsidR="00A10684" w:rsidRPr="002E4D8A" w:rsidRDefault="00417A4F" w:rsidP="00ED7C3A">
      <w:pPr>
        <w:tabs>
          <w:tab w:val="left" w:pos="2520"/>
        </w:tabs>
        <w:jc w:val="center"/>
        <w:outlineLvl w:val="0"/>
        <w:rPr>
          <w:rFonts w:ascii="Book Antiqua" w:hAnsi="Book Antiqua" w:cs="Arial"/>
          <w:b/>
          <w:u w:val="single"/>
        </w:rPr>
      </w:pPr>
      <w:r>
        <w:rPr>
          <w:rFonts w:ascii="Book Antiqua" w:hAnsi="Book Antiqua" w:cs="Arial"/>
          <w:b/>
          <w:u w:val="single"/>
        </w:rPr>
        <w:t>DECISION AND REASONS</w:t>
      </w:r>
    </w:p>
    <w:p w:rsidR="006F4E5F" w:rsidRPr="002E4D8A" w:rsidRDefault="006F4E5F" w:rsidP="00503887">
      <w:pPr>
        <w:tabs>
          <w:tab w:val="left" w:pos="2520"/>
        </w:tabs>
        <w:ind w:right="567"/>
        <w:jc w:val="both"/>
        <w:rPr>
          <w:rFonts w:ascii="Book Antiqua" w:hAnsi="Book Antiqua" w:cs="Arial"/>
        </w:rPr>
      </w:pPr>
    </w:p>
    <w:p w:rsidR="00791A93" w:rsidRDefault="00030A29" w:rsidP="00C26016">
      <w:pPr>
        <w:numPr>
          <w:ilvl w:val="0"/>
          <w:numId w:val="1"/>
        </w:numPr>
        <w:tabs>
          <w:tab w:val="left" w:pos="567"/>
        </w:tabs>
        <w:ind w:left="567" w:right="567"/>
        <w:jc w:val="both"/>
        <w:rPr>
          <w:rFonts w:ascii="Book Antiqua" w:hAnsi="Book Antiqua" w:cs="Arial"/>
        </w:rPr>
      </w:pPr>
      <w:r w:rsidRPr="002E4D8A">
        <w:rPr>
          <w:rFonts w:ascii="Book Antiqua" w:hAnsi="Book Antiqua" w:cs="Arial"/>
        </w:rPr>
        <w:t>The</w:t>
      </w:r>
      <w:r w:rsidR="00D83015" w:rsidRPr="002E4D8A">
        <w:rPr>
          <w:rFonts w:ascii="Book Antiqua" w:hAnsi="Book Antiqua" w:cs="Arial"/>
        </w:rPr>
        <w:t xml:space="preserve"> </w:t>
      </w:r>
      <w:r w:rsidR="00887409" w:rsidRPr="002E4D8A">
        <w:rPr>
          <w:rFonts w:ascii="Book Antiqua" w:hAnsi="Book Antiqua" w:cs="Arial"/>
        </w:rPr>
        <w:t xml:space="preserve">Appellant </w:t>
      </w:r>
      <w:r w:rsidR="005B338F">
        <w:rPr>
          <w:rFonts w:ascii="Book Antiqua" w:hAnsi="Book Antiqua" w:cs="Arial"/>
        </w:rPr>
        <w:t>is a national of Poland</w:t>
      </w:r>
      <w:r w:rsidR="00791A93">
        <w:rPr>
          <w:rFonts w:ascii="Book Antiqua" w:hAnsi="Book Antiqua" w:cs="Arial"/>
        </w:rPr>
        <w:t xml:space="preserve"> born o</w:t>
      </w:r>
      <w:r w:rsidR="00CE0AAD" w:rsidRPr="002E4D8A">
        <w:rPr>
          <w:rFonts w:ascii="Book Antiqua" w:hAnsi="Book Antiqua" w:cs="Arial"/>
        </w:rPr>
        <w:t xml:space="preserve">n </w:t>
      </w:r>
      <w:r w:rsidR="00791A93">
        <w:rPr>
          <w:rFonts w:ascii="Book Antiqua" w:hAnsi="Book Antiqua" w:cs="Arial"/>
        </w:rPr>
        <w:t>the 12</w:t>
      </w:r>
      <w:r w:rsidR="00791A93" w:rsidRPr="00791A93">
        <w:rPr>
          <w:rFonts w:ascii="Book Antiqua" w:hAnsi="Book Antiqua" w:cs="Arial"/>
          <w:vertAlign w:val="superscript"/>
        </w:rPr>
        <w:t>th</w:t>
      </w:r>
      <w:r w:rsidR="005B338F">
        <w:rPr>
          <w:rFonts w:ascii="Book Antiqua" w:hAnsi="Book Antiqua" w:cs="Arial"/>
        </w:rPr>
        <w:t xml:space="preserve"> October 1981</w:t>
      </w:r>
      <w:r w:rsidR="00887409" w:rsidRPr="002E4D8A">
        <w:rPr>
          <w:rFonts w:ascii="Book Antiqua" w:hAnsi="Book Antiqua" w:cs="Arial"/>
        </w:rPr>
        <w:t>.   He appeal</w:t>
      </w:r>
      <w:r w:rsidR="00477417" w:rsidRPr="002E4D8A">
        <w:rPr>
          <w:rFonts w:ascii="Book Antiqua" w:hAnsi="Book Antiqua" w:cs="Arial"/>
        </w:rPr>
        <w:t>s with permission</w:t>
      </w:r>
      <w:r w:rsidR="00B12C25">
        <w:rPr>
          <w:rStyle w:val="FootnoteReference"/>
          <w:rFonts w:ascii="Book Antiqua" w:hAnsi="Book Antiqua"/>
        </w:rPr>
        <w:footnoteReference w:id="1"/>
      </w:r>
      <w:r w:rsidR="00477417" w:rsidRPr="002E4D8A">
        <w:rPr>
          <w:rFonts w:ascii="Book Antiqua" w:hAnsi="Book Antiqua" w:cs="Arial"/>
        </w:rPr>
        <w:t xml:space="preserve"> the</w:t>
      </w:r>
      <w:r w:rsidR="00887409" w:rsidRPr="002E4D8A">
        <w:rPr>
          <w:rFonts w:ascii="Book Antiqua" w:hAnsi="Book Antiqua" w:cs="Arial"/>
        </w:rPr>
        <w:t xml:space="preserve"> decision of the First-tier Tribunal</w:t>
      </w:r>
      <w:r w:rsidR="005B338F">
        <w:rPr>
          <w:rFonts w:ascii="Book Antiqua" w:hAnsi="Book Antiqua" w:cs="Arial"/>
        </w:rPr>
        <w:t xml:space="preserve"> (Judge James</w:t>
      </w:r>
      <w:r w:rsidR="00887409" w:rsidRPr="002E4D8A">
        <w:rPr>
          <w:rFonts w:ascii="Book Antiqua" w:hAnsi="Book Antiqua" w:cs="Arial"/>
        </w:rPr>
        <w:t>) to dismiss</w:t>
      </w:r>
      <w:r w:rsidR="00887409">
        <w:rPr>
          <w:rFonts w:ascii="Book Antiqua" w:hAnsi="Book Antiqua" w:cs="Arial"/>
        </w:rPr>
        <w:t xml:space="preserve"> his appeal</w:t>
      </w:r>
      <w:r w:rsidR="00511269">
        <w:rPr>
          <w:rFonts w:ascii="Book Antiqua" w:hAnsi="Book Antiqua" w:cs="Arial"/>
        </w:rPr>
        <w:t xml:space="preserve"> against the Respondent’s decision to</w:t>
      </w:r>
      <w:r w:rsidR="00791A93">
        <w:rPr>
          <w:rFonts w:ascii="Book Antiqua" w:hAnsi="Book Antiqua" w:cs="Arial"/>
        </w:rPr>
        <w:t xml:space="preserve"> deport him in accordance with </w:t>
      </w:r>
      <w:r w:rsidR="00791A93">
        <w:rPr>
          <w:rFonts w:ascii="Book Antiqua" w:hAnsi="Book Antiqua" w:cs="Arial"/>
        </w:rPr>
        <w:lastRenderedPageBreak/>
        <w:t>the terms of the Immigration (European Economic Area)</w:t>
      </w:r>
      <w:r w:rsidR="00511269">
        <w:rPr>
          <w:rFonts w:ascii="Book Antiqua" w:hAnsi="Book Antiqua" w:cs="Arial"/>
        </w:rPr>
        <w:t xml:space="preserve"> </w:t>
      </w:r>
      <w:r w:rsidR="0078385C">
        <w:rPr>
          <w:rFonts w:ascii="Book Antiqua" w:hAnsi="Book Antiqua" w:cs="Arial"/>
        </w:rPr>
        <w:t>Regulations 201</w:t>
      </w:r>
      <w:r w:rsidR="00791A93">
        <w:rPr>
          <w:rFonts w:ascii="Book Antiqua" w:hAnsi="Book Antiqua" w:cs="Arial"/>
        </w:rPr>
        <w:t>6</w:t>
      </w:r>
      <w:r w:rsidR="001B725D">
        <w:rPr>
          <w:rFonts w:ascii="Book Antiqua" w:hAnsi="Book Antiqua" w:cs="Arial"/>
        </w:rPr>
        <w:t xml:space="preserve"> (‘the </w:t>
      </w:r>
      <w:proofErr w:type="spellStart"/>
      <w:r w:rsidR="001B725D">
        <w:rPr>
          <w:rFonts w:ascii="Book Antiqua" w:hAnsi="Book Antiqua" w:cs="Arial"/>
        </w:rPr>
        <w:t>Regs</w:t>
      </w:r>
      <w:proofErr w:type="spellEnd"/>
      <w:r w:rsidR="001B725D">
        <w:rPr>
          <w:rFonts w:ascii="Book Antiqua" w:hAnsi="Book Antiqua" w:cs="Arial"/>
        </w:rPr>
        <w:t>’)</w:t>
      </w:r>
      <w:r w:rsidR="00791A93">
        <w:rPr>
          <w:rFonts w:ascii="Book Antiqua" w:hAnsi="Book Antiqua" w:cs="Arial"/>
        </w:rPr>
        <w:t>.</w:t>
      </w:r>
    </w:p>
    <w:p w:rsidR="00791A93" w:rsidRDefault="00791A93" w:rsidP="00791A93">
      <w:pPr>
        <w:tabs>
          <w:tab w:val="left" w:pos="567"/>
        </w:tabs>
        <w:ind w:left="567" w:right="567"/>
        <w:jc w:val="both"/>
        <w:rPr>
          <w:rFonts w:ascii="Book Antiqua" w:hAnsi="Book Antiqua" w:cs="Arial"/>
        </w:rPr>
      </w:pPr>
    </w:p>
    <w:p w:rsidR="00B12C25" w:rsidRDefault="00791A93"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reason for the decision to deport was that </w:t>
      </w:r>
      <w:r w:rsidR="00B12C25">
        <w:rPr>
          <w:rFonts w:ascii="Book Antiqua" w:hAnsi="Book Antiqua" w:cs="Arial"/>
        </w:rPr>
        <w:t>the Respondent has concluded that the Appellant, by virtue of his persistent offending, poses a genuine, present and sufficiently</w:t>
      </w:r>
      <w:r w:rsidR="001B725D">
        <w:rPr>
          <w:rFonts w:ascii="Book Antiqua" w:hAnsi="Book Antiqua" w:cs="Arial"/>
        </w:rPr>
        <w:t xml:space="preserve"> serious threat to public safety, one of the fundamental interests of society</w:t>
      </w:r>
      <w:r w:rsidR="00B12C25">
        <w:rPr>
          <w:rFonts w:ascii="Book Antiqua" w:hAnsi="Book Antiqua" w:cs="Arial"/>
        </w:rPr>
        <w:t>.  At the date of the decision to deport on the 15</w:t>
      </w:r>
      <w:r w:rsidR="00B12C25" w:rsidRPr="00B12C25">
        <w:rPr>
          <w:rFonts w:ascii="Book Antiqua" w:hAnsi="Book Antiqua" w:cs="Arial"/>
          <w:vertAlign w:val="superscript"/>
        </w:rPr>
        <w:t>th</w:t>
      </w:r>
      <w:r w:rsidR="00B12C25">
        <w:rPr>
          <w:rFonts w:ascii="Book Antiqua" w:hAnsi="Book Antiqua" w:cs="Arial"/>
        </w:rPr>
        <w:t xml:space="preserve"> May 2017 the Appellant had committed a significant number of criminal offences, including:</w:t>
      </w:r>
    </w:p>
    <w:p w:rsidR="000339ED" w:rsidRDefault="000339ED" w:rsidP="000339ED">
      <w:pPr>
        <w:pStyle w:val="ListParagraph"/>
        <w:rPr>
          <w:rFonts w:ascii="Book Antiqua" w:hAnsi="Book Antiqua" w:cs="Arial"/>
        </w:rPr>
      </w:pPr>
    </w:p>
    <w:p w:rsidR="001B725D" w:rsidRPr="004C02A0" w:rsidRDefault="001B725D" w:rsidP="001B725D">
      <w:pPr>
        <w:numPr>
          <w:ilvl w:val="0"/>
          <w:numId w:val="24"/>
        </w:numPr>
        <w:tabs>
          <w:tab w:val="left" w:pos="567"/>
        </w:tabs>
        <w:ind w:right="567"/>
        <w:jc w:val="both"/>
        <w:rPr>
          <w:rFonts w:ascii="Book Antiqua" w:hAnsi="Book Antiqua" w:cs="Arial"/>
        </w:rPr>
      </w:pPr>
      <w:r w:rsidRPr="004C02A0">
        <w:rPr>
          <w:rFonts w:ascii="Book Antiqua" w:hAnsi="Book Antiqua" w:cs="Arial"/>
        </w:rPr>
        <w:t>On the 3</w:t>
      </w:r>
      <w:r w:rsidRPr="004C02A0">
        <w:rPr>
          <w:rFonts w:ascii="Book Antiqua" w:hAnsi="Book Antiqua" w:cs="Arial"/>
          <w:vertAlign w:val="superscript"/>
        </w:rPr>
        <w:t>rd</w:t>
      </w:r>
      <w:r w:rsidRPr="004C02A0">
        <w:rPr>
          <w:rFonts w:ascii="Book Antiqua" w:hAnsi="Book Antiqua" w:cs="Arial"/>
        </w:rPr>
        <w:t xml:space="preserve"> March 2017 the Appellant drove a motor vehicle with no test certificate, insurance or licence, whilst under the influence of excess alcohol. He was sentenced to 20 weeks in prison.  Prior to this he had been convicted of 11 other serious motoring offences including taking a vehicle without consent, driving whilst disqualified, driving under the influence of alcohol and failing to provide a specimen. He had received various sentences arising from these offences including 3 months in prison in December 2014, 3 months in prison in July 2014, and a number of fines</w:t>
      </w:r>
      <w:r>
        <w:rPr>
          <w:rFonts w:ascii="Book Antiqua" w:hAnsi="Book Antiqua" w:cs="Arial"/>
        </w:rPr>
        <w:t>.</w:t>
      </w:r>
    </w:p>
    <w:p w:rsidR="001B725D" w:rsidRPr="009A6881" w:rsidRDefault="001B725D" w:rsidP="001B725D">
      <w:pPr>
        <w:pStyle w:val="ListParagraph"/>
        <w:rPr>
          <w:rFonts w:ascii="Book Antiqua" w:hAnsi="Book Antiqua" w:cs="Arial"/>
        </w:rPr>
      </w:pPr>
    </w:p>
    <w:p w:rsidR="001B725D" w:rsidRPr="009A6881" w:rsidRDefault="001B725D" w:rsidP="001B725D">
      <w:pPr>
        <w:numPr>
          <w:ilvl w:val="0"/>
          <w:numId w:val="24"/>
        </w:numPr>
        <w:tabs>
          <w:tab w:val="left" w:pos="567"/>
        </w:tabs>
        <w:ind w:right="567"/>
        <w:jc w:val="both"/>
        <w:rPr>
          <w:rFonts w:ascii="Book Antiqua" w:hAnsi="Book Antiqua" w:cs="Arial"/>
        </w:rPr>
      </w:pPr>
      <w:r w:rsidRPr="009A6881">
        <w:rPr>
          <w:rFonts w:ascii="Book Antiqua" w:hAnsi="Book Antiqua" w:cs="Arial"/>
        </w:rPr>
        <w:t>On the 2</w:t>
      </w:r>
      <w:r w:rsidRPr="009A6881">
        <w:rPr>
          <w:rFonts w:ascii="Book Antiqua" w:hAnsi="Book Antiqua" w:cs="Arial"/>
          <w:vertAlign w:val="superscript"/>
        </w:rPr>
        <w:t>nd</w:t>
      </w:r>
      <w:r w:rsidRPr="009A6881">
        <w:rPr>
          <w:rFonts w:ascii="Book Antiqua" w:hAnsi="Book Antiqua" w:cs="Arial"/>
        </w:rPr>
        <w:t xml:space="preserve"> January 2015, whilst on bail for another offence, the Appellant was convicted of burglary and theft, and taking a vehicle without consent for which he was sentenced to 8 weeks imprisonment</w:t>
      </w:r>
      <w:r>
        <w:rPr>
          <w:rFonts w:ascii="Book Antiqua" w:hAnsi="Book Antiqua" w:cs="Arial"/>
        </w:rPr>
        <w:t>.</w:t>
      </w:r>
    </w:p>
    <w:p w:rsidR="001B725D" w:rsidRPr="00B12C25" w:rsidRDefault="001B725D" w:rsidP="001B725D">
      <w:pPr>
        <w:pStyle w:val="ListParagraph"/>
        <w:rPr>
          <w:rFonts w:ascii="Book Antiqua" w:hAnsi="Book Antiqua" w:cs="Arial"/>
          <w:highlight w:val="yellow"/>
        </w:rPr>
      </w:pPr>
    </w:p>
    <w:p w:rsidR="001B725D" w:rsidRPr="004C02A0" w:rsidRDefault="001B725D" w:rsidP="001B725D">
      <w:pPr>
        <w:numPr>
          <w:ilvl w:val="0"/>
          <w:numId w:val="24"/>
        </w:numPr>
        <w:tabs>
          <w:tab w:val="left" w:pos="567"/>
        </w:tabs>
        <w:ind w:right="567"/>
        <w:jc w:val="both"/>
        <w:rPr>
          <w:rFonts w:ascii="Book Antiqua" w:hAnsi="Book Antiqua" w:cs="Arial"/>
        </w:rPr>
      </w:pPr>
      <w:r w:rsidRPr="009A6881">
        <w:rPr>
          <w:rFonts w:ascii="Book Antiqua" w:hAnsi="Book Antiqua" w:cs="Arial"/>
        </w:rPr>
        <w:t>On the 22</w:t>
      </w:r>
      <w:r w:rsidRPr="009A6881">
        <w:rPr>
          <w:rFonts w:ascii="Book Antiqua" w:hAnsi="Book Antiqua" w:cs="Arial"/>
          <w:vertAlign w:val="superscript"/>
        </w:rPr>
        <w:t>nd</w:t>
      </w:r>
      <w:r w:rsidRPr="009A6881">
        <w:rPr>
          <w:rFonts w:ascii="Book Antiqua" w:hAnsi="Book Antiqua" w:cs="Arial"/>
        </w:rPr>
        <w:t xml:space="preserve"> April 2014 the Appellant was convicted of possession of an imitation firearm with intent to cause fear of violence. He was sentenced to 8 months in prison. On the same date he was convicted of possession of a controlled drug, Class B </w:t>
      </w:r>
      <w:r w:rsidRPr="004C02A0">
        <w:rPr>
          <w:rFonts w:ascii="Book Antiqua" w:hAnsi="Book Antiqua" w:cs="Arial"/>
        </w:rPr>
        <w:t>amphetamine but received no separate penalty.</w:t>
      </w:r>
    </w:p>
    <w:p w:rsidR="001B725D" w:rsidRPr="004C02A0" w:rsidRDefault="001B725D" w:rsidP="001B725D">
      <w:pPr>
        <w:pStyle w:val="ListParagraph"/>
        <w:rPr>
          <w:rFonts w:ascii="Book Antiqua" w:hAnsi="Book Antiqua" w:cs="Arial"/>
        </w:rPr>
      </w:pPr>
    </w:p>
    <w:p w:rsidR="001B725D" w:rsidRPr="004C02A0" w:rsidRDefault="001B725D" w:rsidP="001B725D">
      <w:pPr>
        <w:numPr>
          <w:ilvl w:val="0"/>
          <w:numId w:val="24"/>
        </w:numPr>
        <w:tabs>
          <w:tab w:val="left" w:pos="567"/>
        </w:tabs>
        <w:ind w:right="567"/>
        <w:jc w:val="both"/>
        <w:rPr>
          <w:rFonts w:ascii="Book Antiqua" w:hAnsi="Book Antiqua" w:cs="Arial"/>
        </w:rPr>
      </w:pPr>
      <w:r w:rsidRPr="004C02A0">
        <w:rPr>
          <w:rFonts w:ascii="Book Antiqua" w:hAnsi="Book Antiqua" w:cs="Arial"/>
        </w:rPr>
        <w:t>On the 22</w:t>
      </w:r>
      <w:r w:rsidRPr="004C02A0">
        <w:rPr>
          <w:rFonts w:ascii="Book Antiqua" w:hAnsi="Book Antiqua" w:cs="Arial"/>
          <w:vertAlign w:val="superscript"/>
        </w:rPr>
        <w:t>nd</w:t>
      </w:r>
      <w:r w:rsidRPr="004C02A0">
        <w:rPr>
          <w:rFonts w:ascii="Book Antiqua" w:hAnsi="Book Antiqua" w:cs="Arial"/>
        </w:rPr>
        <w:t xml:space="preserve"> August 2012 the Appellant received a warning for possession of a controlled drug, Class B amphetamine.</w:t>
      </w:r>
    </w:p>
    <w:p w:rsidR="001B725D" w:rsidRDefault="001B725D" w:rsidP="000339ED">
      <w:pPr>
        <w:pStyle w:val="ListParagraph"/>
        <w:rPr>
          <w:rFonts w:ascii="Book Antiqua" w:hAnsi="Book Antiqua" w:cs="Arial"/>
        </w:rPr>
      </w:pPr>
    </w:p>
    <w:p w:rsidR="000339ED" w:rsidRDefault="001B725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decision to deport was made with reference to regulation 23(6)(b) of the 2016 </w:t>
      </w:r>
      <w:proofErr w:type="spellStart"/>
      <w:r>
        <w:rPr>
          <w:rFonts w:ascii="Book Antiqua" w:hAnsi="Book Antiqua" w:cs="Arial"/>
        </w:rPr>
        <w:t>Regs</w:t>
      </w:r>
      <w:proofErr w:type="spellEnd"/>
      <w:r>
        <w:rPr>
          <w:rFonts w:ascii="Book Antiqua" w:hAnsi="Book Antiqua" w:cs="Arial"/>
        </w:rPr>
        <w:t>.  The Respondent was not satisfied that the Appellant had acquired a permanent right of residence in the UK. She noted his claim to have lived here for over 11 years but he had failed to produce any evidence of the same. The earliest record of his presence in this country was the arrest in 2011. The Appellant had provided only one payslip for the entire perio</w:t>
      </w:r>
      <w:r w:rsidR="00417A4F">
        <w:rPr>
          <w:rFonts w:ascii="Book Antiqua" w:hAnsi="Book Antiqua" w:cs="Arial"/>
        </w:rPr>
        <w:t>d, showing he had worked for a (plant) n</w:t>
      </w:r>
      <w:r>
        <w:rPr>
          <w:rFonts w:ascii="Book Antiqua" w:hAnsi="Book Antiqua" w:cs="Arial"/>
        </w:rPr>
        <w:t>ursery in February 2017.  He therefore failed to qualify for any enhanced protection from removal.</w:t>
      </w:r>
      <w:r w:rsidR="00F833B0">
        <w:rPr>
          <w:rFonts w:ascii="Book Antiqua" w:hAnsi="Book Antiqua" w:cs="Arial"/>
        </w:rPr>
        <w:t xml:space="preserve">  The Respondent considered the matter of the Appellant’s family life in the UK but concluded nonetheless that deportation was proportionate.</w:t>
      </w:r>
    </w:p>
    <w:p w:rsidR="00D70CF9" w:rsidRDefault="00D70CF9" w:rsidP="00D70CF9">
      <w:pPr>
        <w:tabs>
          <w:tab w:val="left" w:pos="567"/>
        </w:tabs>
        <w:ind w:left="567" w:right="567"/>
        <w:jc w:val="both"/>
        <w:rPr>
          <w:rFonts w:ascii="Book Antiqua" w:hAnsi="Book Antiqua" w:cs="Arial"/>
        </w:rPr>
      </w:pPr>
    </w:p>
    <w:p w:rsidR="00D70CF9" w:rsidRDefault="00D70CF9" w:rsidP="00C26016">
      <w:pPr>
        <w:numPr>
          <w:ilvl w:val="0"/>
          <w:numId w:val="1"/>
        </w:numPr>
        <w:tabs>
          <w:tab w:val="left" w:pos="567"/>
        </w:tabs>
        <w:ind w:left="567" w:right="567"/>
        <w:jc w:val="both"/>
        <w:rPr>
          <w:rFonts w:ascii="Book Antiqua" w:hAnsi="Book Antiqua" w:cs="Arial"/>
        </w:rPr>
      </w:pPr>
      <w:r>
        <w:rPr>
          <w:rFonts w:ascii="Book Antiqua" w:hAnsi="Book Antiqua" w:cs="Arial"/>
        </w:rPr>
        <w:t>When the matter came before the First-tier Tribunal the Appellant resisted deportation on the following grounds.</w:t>
      </w:r>
    </w:p>
    <w:p w:rsidR="00D70CF9" w:rsidRDefault="00D70CF9" w:rsidP="00D70CF9">
      <w:pPr>
        <w:tabs>
          <w:tab w:val="left" w:pos="567"/>
        </w:tabs>
        <w:ind w:left="567" w:right="567"/>
        <w:jc w:val="both"/>
        <w:rPr>
          <w:rFonts w:ascii="Book Antiqua" w:hAnsi="Book Antiqua" w:cs="Arial"/>
        </w:rPr>
      </w:pPr>
    </w:p>
    <w:p w:rsidR="00D70CF9" w:rsidRDefault="00D70CF9"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First, he submitted that </w:t>
      </w:r>
      <w:r w:rsidR="00286216">
        <w:rPr>
          <w:rFonts w:ascii="Book Antiqua" w:hAnsi="Book Antiqua" w:cs="Arial"/>
        </w:rPr>
        <w:t xml:space="preserve">he had acquired a permanent right of residence. </w:t>
      </w:r>
      <w:r w:rsidR="003C2B2B">
        <w:rPr>
          <w:rFonts w:ascii="Book Antiqua" w:hAnsi="Book Antiqua" w:cs="Arial"/>
        </w:rPr>
        <w:t xml:space="preserve">He asserted that he had worked since his arrival in the UK in 2007, although he conceded that his employment had not been continuous. There were for instance spells when his wife had worked so he had stopped work to look after the children. </w:t>
      </w:r>
      <w:r w:rsidR="009A1CAF">
        <w:rPr>
          <w:rFonts w:ascii="Book Antiqua" w:hAnsi="Book Antiqua" w:cs="Arial"/>
        </w:rPr>
        <w:t xml:space="preserve"> He produced some evidence from the HMRC to demonstrate that he had been paying tax. </w:t>
      </w:r>
    </w:p>
    <w:p w:rsidR="009A1CAF" w:rsidRDefault="009A1CAF" w:rsidP="009A1CAF">
      <w:pPr>
        <w:pStyle w:val="ListParagraph"/>
        <w:rPr>
          <w:rFonts w:ascii="Book Antiqua" w:hAnsi="Book Antiqua" w:cs="Arial"/>
        </w:rPr>
      </w:pPr>
    </w:p>
    <w:p w:rsidR="00D966DE" w:rsidRDefault="009A1CAF"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Second, he submitted that even if he could not demonstrate a permanent right of residence, and so gain enhanced protection from deportation, there was mitigation for his offending behaviour in that he had been devastated by the death of his father and had not been thinking straight. </w:t>
      </w:r>
      <w:r w:rsidR="00D966DE">
        <w:rPr>
          <w:rFonts w:ascii="Book Antiqua" w:hAnsi="Book Antiqua" w:cs="Arial"/>
        </w:rPr>
        <w:t xml:space="preserve">  He had remorse and insight into his offending and it could not be shown that his deportation was justified under the Regulations.</w:t>
      </w:r>
      <w:r w:rsidR="00F833B0">
        <w:rPr>
          <w:rFonts w:ascii="Book Antiqua" w:hAnsi="Book Antiqua" w:cs="Arial"/>
        </w:rPr>
        <w:t xml:space="preserve">  He did not pose a threat to one of the fundamental interests of society.</w:t>
      </w:r>
    </w:p>
    <w:p w:rsidR="00D966DE" w:rsidRDefault="00D966DE" w:rsidP="00D966DE">
      <w:pPr>
        <w:pStyle w:val="ListParagraph"/>
        <w:rPr>
          <w:rFonts w:ascii="Book Antiqua" w:hAnsi="Book Antiqua" w:cs="Arial"/>
        </w:rPr>
      </w:pPr>
    </w:p>
    <w:p w:rsidR="009A1CAF" w:rsidRDefault="00D966DE" w:rsidP="00C26016">
      <w:pPr>
        <w:numPr>
          <w:ilvl w:val="0"/>
          <w:numId w:val="1"/>
        </w:numPr>
        <w:tabs>
          <w:tab w:val="left" w:pos="567"/>
        </w:tabs>
        <w:ind w:left="567" w:right="567"/>
        <w:jc w:val="both"/>
        <w:rPr>
          <w:rFonts w:ascii="Book Antiqua" w:hAnsi="Book Antiqua" w:cs="Arial"/>
        </w:rPr>
      </w:pPr>
      <w:r>
        <w:rPr>
          <w:rFonts w:ascii="Book Antiqua" w:hAnsi="Book Antiqua" w:cs="Arial"/>
        </w:rPr>
        <w:t>Third, it was submitted that h</w:t>
      </w:r>
      <w:r w:rsidR="009A1CAF">
        <w:rPr>
          <w:rFonts w:ascii="Book Antiqua" w:hAnsi="Book Antiqua" w:cs="Arial"/>
        </w:rPr>
        <w:t xml:space="preserve">is deportation would have a very detrimental impact on his three children who all live in the UK; although he and his wife were separated at the date of the hearing, she confirmed his evidence that he continued to see the children on a daily basis. The Appellant was living only 200 metres from the family home.   In all the circumstances the decision to deport him could not be said to be proportionate. </w:t>
      </w:r>
    </w:p>
    <w:p w:rsidR="009A1CAF" w:rsidRDefault="009A1CAF" w:rsidP="009A1CAF">
      <w:pPr>
        <w:pStyle w:val="ListParagraph"/>
        <w:rPr>
          <w:rFonts w:ascii="Book Antiqua" w:hAnsi="Book Antiqua" w:cs="Arial"/>
        </w:rPr>
      </w:pPr>
    </w:p>
    <w:p w:rsidR="009A1CAF" w:rsidRDefault="009A1CAF" w:rsidP="00C26016">
      <w:pPr>
        <w:numPr>
          <w:ilvl w:val="0"/>
          <w:numId w:val="1"/>
        </w:numPr>
        <w:tabs>
          <w:tab w:val="left" w:pos="567"/>
        </w:tabs>
        <w:ind w:left="567" w:right="567"/>
        <w:jc w:val="both"/>
        <w:rPr>
          <w:rFonts w:ascii="Book Antiqua" w:hAnsi="Book Antiqua" w:cs="Arial"/>
        </w:rPr>
      </w:pPr>
      <w:r>
        <w:rPr>
          <w:rFonts w:ascii="Book Antiqua" w:hAnsi="Book Antiqua" w:cs="Arial"/>
        </w:rPr>
        <w:t>The First-tier Tribunal found against t</w:t>
      </w:r>
      <w:r w:rsidR="00D966DE">
        <w:rPr>
          <w:rFonts w:ascii="Book Antiqua" w:hAnsi="Book Antiqua" w:cs="Arial"/>
        </w:rPr>
        <w:t xml:space="preserve">he Appellant in respect of all three </w:t>
      </w:r>
      <w:r>
        <w:rPr>
          <w:rFonts w:ascii="Book Antiqua" w:hAnsi="Book Antiqua" w:cs="Arial"/>
        </w:rPr>
        <w:t xml:space="preserve">matters and dismissed the appeal.  </w:t>
      </w:r>
    </w:p>
    <w:p w:rsidR="009A1CAF" w:rsidRDefault="009A1CAF" w:rsidP="009A1CAF">
      <w:pPr>
        <w:pStyle w:val="ListParagraph"/>
        <w:rPr>
          <w:rFonts w:ascii="Book Antiqua" w:hAnsi="Book Antiqua" w:cs="Arial"/>
        </w:rPr>
      </w:pPr>
    </w:p>
    <w:p w:rsidR="009A1CAF" w:rsidRDefault="009A1CAF" w:rsidP="009A1CAF">
      <w:pPr>
        <w:tabs>
          <w:tab w:val="left" w:pos="567"/>
        </w:tabs>
        <w:ind w:left="567" w:right="567"/>
        <w:jc w:val="both"/>
        <w:rPr>
          <w:rFonts w:ascii="Book Antiqua" w:hAnsi="Book Antiqua" w:cs="Arial"/>
        </w:rPr>
      </w:pPr>
    </w:p>
    <w:p w:rsidR="009A1CAF" w:rsidRDefault="009A1CAF" w:rsidP="009A1CAF">
      <w:pPr>
        <w:tabs>
          <w:tab w:val="left" w:pos="567"/>
        </w:tabs>
        <w:ind w:left="567" w:right="567"/>
        <w:jc w:val="both"/>
        <w:rPr>
          <w:rFonts w:ascii="Book Antiqua" w:hAnsi="Book Antiqua" w:cs="Arial"/>
          <w:b/>
        </w:rPr>
      </w:pPr>
      <w:r w:rsidRPr="009A1CAF">
        <w:rPr>
          <w:rFonts w:ascii="Book Antiqua" w:hAnsi="Book Antiqua" w:cs="Arial"/>
          <w:b/>
        </w:rPr>
        <w:t>Error of Law: Discussion and Findings</w:t>
      </w:r>
    </w:p>
    <w:p w:rsidR="009A1CAF" w:rsidRDefault="009A1CAF" w:rsidP="009A1CAF">
      <w:pPr>
        <w:tabs>
          <w:tab w:val="left" w:pos="567"/>
        </w:tabs>
        <w:ind w:right="567"/>
        <w:jc w:val="both"/>
        <w:rPr>
          <w:rFonts w:ascii="Book Antiqua" w:hAnsi="Book Antiqua" w:cs="Arial"/>
          <w:b/>
        </w:rPr>
      </w:pPr>
    </w:p>
    <w:p w:rsidR="009A1CAF" w:rsidRPr="009A1CAF" w:rsidRDefault="009A1CAF" w:rsidP="009A1CAF">
      <w:pPr>
        <w:tabs>
          <w:tab w:val="left" w:pos="567"/>
        </w:tabs>
        <w:ind w:right="567"/>
        <w:jc w:val="both"/>
        <w:rPr>
          <w:rFonts w:ascii="Book Antiqua" w:hAnsi="Book Antiqua" w:cs="Arial"/>
          <w:i/>
        </w:rPr>
      </w:pPr>
      <w:r>
        <w:rPr>
          <w:rFonts w:ascii="Book Antiqua" w:hAnsi="Book Antiqua" w:cs="Arial"/>
          <w:b/>
        </w:rPr>
        <w:tab/>
      </w:r>
      <w:r w:rsidRPr="009A1CAF">
        <w:rPr>
          <w:rFonts w:ascii="Book Antiqua" w:hAnsi="Book Antiqua" w:cs="Arial"/>
          <w:i/>
        </w:rPr>
        <w:t>Permanent Residence</w:t>
      </w:r>
    </w:p>
    <w:p w:rsidR="009A1CAF" w:rsidRDefault="009A1CAF" w:rsidP="009A1CAF">
      <w:pPr>
        <w:pStyle w:val="ListParagraph"/>
        <w:rPr>
          <w:rFonts w:ascii="Book Antiqua" w:hAnsi="Book Antiqua" w:cs="Arial"/>
        </w:rPr>
      </w:pPr>
    </w:p>
    <w:p w:rsidR="00D966DE" w:rsidRDefault="009A1CAF" w:rsidP="00D966DE">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First-tier Tribunal </w:t>
      </w:r>
      <w:r w:rsidRPr="009A1CAF">
        <w:rPr>
          <w:rFonts w:ascii="Book Antiqua" w:hAnsi="Book Antiqua" w:cs="Arial"/>
        </w:rPr>
        <w:t xml:space="preserve">did not accept that the Appellant had accrued five years continuous residence in the UK in accordance with the Regulations. </w:t>
      </w:r>
      <w:r w:rsidR="004311E7">
        <w:rPr>
          <w:rFonts w:ascii="Book Antiqua" w:hAnsi="Book Antiqua" w:cs="Arial"/>
        </w:rPr>
        <w:t>Between paragraphs 34 and 37 the determination sets out a detailed analysis of the HMRC records as compared to the payslips adduced by the Appellant.   In summary it is found that the figures in the two sources did not tally.</w:t>
      </w:r>
      <w:r w:rsidR="00D966DE">
        <w:rPr>
          <w:rFonts w:ascii="Book Antiqua" w:hAnsi="Book Antiqua" w:cs="Arial"/>
        </w:rPr>
        <w:t xml:space="preserve">  In particular it is found that that during the tax year 2013-14 there was a break in employment which was significant and u</w:t>
      </w:r>
      <w:r w:rsidR="00D966DE" w:rsidRPr="00D966DE">
        <w:rPr>
          <w:rFonts w:ascii="Book Antiqua" w:hAnsi="Book Antiqua" w:cs="Arial"/>
        </w:rPr>
        <w:t>nexplained.</w:t>
      </w:r>
      <w:r w:rsidR="00D966DE">
        <w:rPr>
          <w:rFonts w:ascii="Book Antiqua" w:hAnsi="Book Antiqua" w:cs="Arial"/>
        </w:rPr>
        <w:t xml:space="preserve">  The Tribunal found there to be insufficient evidence from which it could be established that the Appellant was exercising treaty rights other than through employment in that period. There was no evidence that his wife had been working during that time. </w:t>
      </w:r>
    </w:p>
    <w:p w:rsidR="00D966DE" w:rsidRDefault="00D966DE" w:rsidP="00D966DE">
      <w:pPr>
        <w:tabs>
          <w:tab w:val="left" w:pos="567"/>
        </w:tabs>
        <w:ind w:left="567" w:right="567"/>
        <w:jc w:val="both"/>
        <w:rPr>
          <w:rFonts w:ascii="Book Antiqua" w:hAnsi="Book Antiqua" w:cs="Arial"/>
        </w:rPr>
      </w:pPr>
    </w:p>
    <w:p w:rsidR="00D966DE" w:rsidRDefault="00D966DE" w:rsidP="00D966DE">
      <w:pPr>
        <w:numPr>
          <w:ilvl w:val="0"/>
          <w:numId w:val="1"/>
        </w:numPr>
        <w:tabs>
          <w:tab w:val="left" w:pos="567"/>
        </w:tabs>
        <w:ind w:left="567" w:right="567"/>
        <w:jc w:val="both"/>
        <w:rPr>
          <w:rFonts w:ascii="Book Antiqua" w:hAnsi="Book Antiqua" w:cs="Arial"/>
        </w:rPr>
      </w:pPr>
      <w:r>
        <w:rPr>
          <w:rFonts w:ascii="Book Antiqua" w:hAnsi="Book Antiqua" w:cs="Arial"/>
        </w:rPr>
        <w:t xml:space="preserve">The grounds of appeal took no issue with those finding but in granting permission to appeal Upper Tribunal Judge Pitt identified what she thought to be a </w:t>
      </w:r>
      <w:r w:rsidRPr="00D966DE">
        <w:rPr>
          <w:rFonts w:ascii="Book Antiqua" w:hAnsi="Book Antiqua" w:cs="Arial"/>
          <w:i/>
        </w:rPr>
        <w:t>Robinson</w:t>
      </w:r>
      <w:r>
        <w:rPr>
          <w:rFonts w:ascii="Book Antiqua" w:hAnsi="Book Antiqua" w:cs="Arial"/>
        </w:rPr>
        <w:t xml:space="preserve"> obvious point: </w:t>
      </w:r>
      <w:proofErr w:type="gramStart"/>
      <w:r>
        <w:rPr>
          <w:rFonts w:ascii="Book Antiqua" w:hAnsi="Book Antiqua" w:cs="Arial"/>
        </w:rPr>
        <w:t>the</w:t>
      </w:r>
      <w:proofErr w:type="gramEnd"/>
      <w:r>
        <w:rPr>
          <w:rFonts w:ascii="Book Antiqua" w:hAnsi="Book Antiqua" w:cs="Arial"/>
        </w:rPr>
        <w:t xml:space="preserve"> Tribunal had arguably erred in requiring the Appellant to demonstrate that he had been continually employed during a five year period, and further</w:t>
      </w:r>
      <w:r w:rsidR="00815C32">
        <w:rPr>
          <w:rFonts w:ascii="Book Antiqua" w:hAnsi="Book Antiqua" w:cs="Arial"/>
        </w:rPr>
        <w:t xml:space="preserve"> in failing to give adequate reasons in respect of the Appellant’s wife and her employment.   The Tribunal had heard directly from this witness and had apparently accepted her as a credible witness. </w:t>
      </w:r>
      <w:r w:rsidR="00EC1C3A">
        <w:rPr>
          <w:rFonts w:ascii="Book Antiqua" w:hAnsi="Book Antiqua" w:cs="Arial"/>
        </w:rPr>
        <w:t xml:space="preserve">She had said that she had been working. </w:t>
      </w:r>
      <w:r w:rsidR="00815C32">
        <w:rPr>
          <w:rFonts w:ascii="Book Antiqua" w:hAnsi="Book Antiqua" w:cs="Arial"/>
        </w:rPr>
        <w:t>If the Appellant was living in the UK as her husband, he was residing in accordance with the Regulations.</w:t>
      </w:r>
    </w:p>
    <w:p w:rsidR="00815C32" w:rsidRDefault="00815C32" w:rsidP="00815C32">
      <w:pPr>
        <w:pStyle w:val="ListParagraph"/>
        <w:rPr>
          <w:rFonts w:ascii="Book Antiqua" w:hAnsi="Book Antiqua" w:cs="Arial"/>
        </w:rPr>
      </w:pPr>
    </w:p>
    <w:p w:rsidR="00815C32" w:rsidRDefault="00815C32" w:rsidP="00D966DE">
      <w:pPr>
        <w:numPr>
          <w:ilvl w:val="0"/>
          <w:numId w:val="1"/>
        </w:numPr>
        <w:tabs>
          <w:tab w:val="left" w:pos="567"/>
        </w:tabs>
        <w:ind w:left="567" w:right="567"/>
        <w:jc w:val="both"/>
        <w:rPr>
          <w:rFonts w:ascii="Book Antiqua" w:hAnsi="Book Antiqua" w:cs="Arial"/>
        </w:rPr>
      </w:pPr>
      <w:r>
        <w:rPr>
          <w:rFonts w:ascii="Book Antiqua" w:hAnsi="Book Antiqua" w:cs="Arial"/>
        </w:rPr>
        <w:t xml:space="preserve">In response the Secretary of State pointed to paragraph 38 of the determination, wherein the Tribunal specifically finds that the Appellant’s wife had provided “no evidence” to show that she had been working during that ‘missing’ period in 2013-14. </w:t>
      </w:r>
    </w:p>
    <w:p w:rsidR="00815C32" w:rsidRDefault="00815C32" w:rsidP="00815C32">
      <w:pPr>
        <w:pStyle w:val="ListParagraph"/>
        <w:rPr>
          <w:rFonts w:ascii="Book Antiqua" w:hAnsi="Book Antiqua" w:cs="Arial"/>
        </w:rPr>
      </w:pPr>
    </w:p>
    <w:p w:rsidR="00815C32" w:rsidRDefault="00815C32" w:rsidP="00D966DE">
      <w:pPr>
        <w:numPr>
          <w:ilvl w:val="0"/>
          <w:numId w:val="1"/>
        </w:numPr>
        <w:tabs>
          <w:tab w:val="left" w:pos="567"/>
        </w:tabs>
        <w:ind w:left="567" w:right="567"/>
        <w:jc w:val="both"/>
        <w:rPr>
          <w:rFonts w:ascii="Book Antiqua" w:hAnsi="Book Antiqua" w:cs="Arial"/>
        </w:rPr>
      </w:pPr>
      <w:r>
        <w:rPr>
          <w:rFonts w:ascii="Book Antiqua" w:hAnsi="Book Antiqua" w:cs="Arial"/>
        </w:rPr>
        <w:t>I have read the statement of the Appellant’s wife. She states that he had been the main breadwinner and has supported the family since their arrival in the UK. She works approximately 20 hours per week part time and earns £200 per month.   She provided payslips, and a contract of employment, covering the period 2016-2017.</w:t>
      </w:r>
      <w:r w:rsidR="00EC1C3A">
        <w:rPr>
          <w:rFonts w:ascii="Book Antiqua" w:hAnsi="Book Antiqua" w:cs="Arial"/>
        </w:rPr>
        <w:t xml:space="preserve">  I could see no specific evidence, nor reference in her testimony, to whether she was working in 2013-14.</w:t>
      </w:r>
    </w:p>
    <w:p w:rsidR="00815C32" w:rsidRDefault="00815C32" w:rsidP="00815C32">
      <w:pPr>
        <w:pStyle w:val="ListParagraph"/>
        <w:rPr>
          <w:rFonts w:ascii="Book Antiqua" w:hAnsi="Book Antiqua" w:cs="Arial"/>
        </w:rPr>
      </w:pPr>
    </w:p>
    <w:p w:rsidR="00F833B0" w:rsidRDefault="00815C32" w:rsidP="00D966DE">
      <w:pPr>
        <w:numPr>
          <w:ilvl w:val="0"/>
          <w:numId w:val="1"/>
        </w:numPr>
        <w:tabs>
          <w:tab w:val="left" w:pos="567"/>
        </w:tabs>
        <w:ind w:left="567" w:right="567"/>
        <w:jc w:val="both"/>
        <w:rPr>
          <w:rFonts w:ascii="Book Antiqua" w:hAnsi="Book Antiqua" w:cs="Arial"/>
        </w:rPr>
      </w:pPr>
      <w:r>
        <w:rPr>
          <w:rFonts w:ascii="Book Antiqua" w:hAnsi="Book Antiqua" w:cs="Arial"/>
        </w:rPr>
        <w:t xml:space="preserve">Judge Pitt was correct to identify that there is no requirement for the Appellant to demonstrate that he was continually employed for any given </w:t>
      </w:r>
      <w:proofErr w:type="gramStart"/>
      <w:r>
        <w:rPr>
          <w:rFonts w:ascii="Book Antiqua" w:hAnsi="Book Antiqua" w:cs="Arial"/>
        </w:rPr>
        <w:t>five year</w:t>
      </w:r>
      <w:proofErr w:type="gramEnd"/>
      <w:r>
        <w:rPr>
          <w:rFonts w:ascii="Book Antiqua" w:hAnsi="Book Antiqua" w:cs="Arial"/>
        </w:rPr>
        <w:t xml:space="preserve"> period in order to have acquired a right of permanent residence. The burden lies on the Appellant to show that he has been residing in the UK for that continuous period </w:t>
      </w:r>
      <w:r w:rsidR="00EC1C3A">
        <w:rPr>
          <w:rFonts w:ascii="Book Antiqua" w:hAnsi="Book Antiqua" w:cs="Arial"/>
        </w:rPr>
        <w:t>“</w:t>
      </w:r>
      <w:r>
        <w:rPr>
          <w:rFonts w:ascii="Book Antiqua" w:hAnsi="Book Antiqua" w:cs="Arial"/>
        </w:rPr>
        <w:t>in accordance with</w:t>
      </w:r>
      <w:r w:rsidR="00EC1C3A">
        <w:rPr>
          <w:rFonts w:ascii="Book Antiqua" w:hAnsi="Book Antiqua" w:cs="Arial"/>
        </w:rPr>
        <w:t>”</w:t>
      </w:r>
      <w:r>
        <w:rPr>
          <w:rFonts w:ascii="Book Antiqua" w:hAnsi="Book Antiqua" w:cs="Arial"/>
        </w:rPr>
        <w:t xml:space="preserve"> the Regulations. Although the First-tier Tribunal did place what was perhaps an undue focus on the Appellant’s employment record, upon further consideration I am unable to find that it did ultimately apply the wrong test. That is because th</w:t>
      </w:r>
      <w:r w:rsidR="00EC1C3A">
        <w:rPr>
          <w:rFonts w:ascii="Book Antiqua" w:hAnsi="Book Antiqua" w:cs="Arial"/>
        </w:rPr>
        <w:t>e determination clearly records</w:t>
      </w:r>
      <w:r>
        <w:rPr>
          <w:rFonts w:ascii="Book Antiqua" w:hAnsi="Book Antiqua" w:cs="Arial"/>
        </w:rPr>
        <w:t xml:space="preserve"> at </w:t>
      </w:r>
      <w:r w:rsidR="00EC1C3A">
        <w:rPr>
          <w:rFonts w:ascii="Book Antiqua" w:hAnsi="Book Antiqua" w:cs="Arial"/>
        </w:rPr>
        <w:t xml:space="preserve">paragraph </w:t>
      </w:r>
      <w:r>
        <w:rPr>
          <w:rFonts w:ascii="Book Antiqua" w:hAnsi="Book Antiqua" w:cs="Arial"/>
        </w:rPr>
        <w:t>39 that the</w:t>
      </w:r>
      <w:r w:rsidR="00EC1C3A">
        <w:rPr>
          <w:rFonts w:ascii="Book Antiqua" w:hAnsi="Book Antiqua" w:cs="Arial"/>
        </w:rPr>
        <w:t xml:space="preserve">re is no evidence that he qualified in any other capacity, and at 38 that there was no evidence to show that his wife was working during the operative ‘missing period’ </w:t>
      </w:r>
      <w:proofErr w:type="gramStart"/>
      <w:r w:rsidR="00EC1C3A">
        <w:rPr>
          <w:rFonts w:ascii="Book Antiqua" w:hAnsi="Book Antiqua" w:cs="Arial"/>
        </w:rPr>
        <w:t>in  2013</w:t>
      </w:r>
      <w:proofErr w:type="gramEnd"/>
      <w:r w:rsidR="00EC1C3A">
        <w:rPr>
          <w:rFonts w:ascii="Book Antiqua" w:hAnsi="Book Antiqua" w:cs="Arial"/>
        </w:rPr>
        <w:t xml:space="preserve">-14. </w:t>
      </w:r>
    </w:p>
    <w:p w:rsidR="00F833B0" w:rsidRDefault="00F833B0" w:rsidP="00F833B0">
      <w:pPr>
        <w:pStyle w:val="ListParagraph"/>
        <w:rPr>
          <w:rFonts w:ascii="Book Antiqua" w:hAnsi="Book Antiqua" w:cs="Arial"/>
        </w:rPr>
      </w:pPr>
    </w:p>
    <w:p w:rsidR="00815C32" w:rsidRDefault="00EC1C3A" w:rsidP="00D966DE">
      <w:pPr>
        <w:numPr>
          <w:ilvl w:val="0"/>
          <w:numId w:val="1"/>
        </w:numPr>
        <w:tabs>
          <w:tab w:val="left" w:pos="567"/>
        </w:tabs>
        <w:ind w:left="567" w:right="567"/>
        <w:jc w:val="both"/>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w:t>
      </w:r>
      <w:r w:rsidR="00417A4F">
        <w:rPr>
          <w:rFonts w:ascii="Book Antiqua" w:hAnsi="Book Antiqua" w:cs="Arial"/>
        </w:rPr>
        <w:t>the Appellant could not show that any error of law had</w:t>
      </w:r>
      <w:r>
        <w:rPr>
          <w:rFonts w:ascii="Book Antiqua" w:hAnsi="Book Antiqua" w:cs="Arial"/>
        </w:rPr>
        <w:t xml:space="preserve"> been </w:t>
      </w:r>
      <w:r w:rsidR="00417A4F">
        <w:rPr>
          <w:rFonts w:ascii="Book Antiqua" w:hAnsi="Book Antiqua" w:cs="Arial"/>
        </w:rPr>
        <w:t xml:space="preserve">made </w:t>
      </w:r>
      <w:r>
        <w:rPr>
          <w:rFonts w:ascii="Book Antiqua" w:hAnsi="Book Antiqua" w:cs="Arial"/>
        </w:rPr>
        <w:t>in respect of the findings on ‘permanent residence’.</w:t>
      </w:r>
    </w:p>
    <w:p w:rsidR="00EC1C3A" w:rsidRDefault="00EC1C3A" w:rsidP="00EC1C3A">
      <w:pPr>
        <w:pStyle w:val="ListParagraph"/>
        <w:rPr>
          <w:rFonts w:ascii="Book Antiqua" w:hAnsi="Book Antiqua" w:cs="Arial"/>
        </w:rPr>
      </w:pPr>
    </w:p>
    <w:p w:rsidR="00EC1C3A" w:rsidRDefault="00EC1C3A" w:rsidP="00EC1C3A">
      <w:pPr>
        <w:tabs>
          <w:tab w:val="left" w:pos="567"/>
        </w:tabs>
        <w:ind w:left="567" w:right="567"/>
        <w:jc w:val="both"/>
        <w:rPr>
          <w:rFonts w:ascii="Book Antiqua" w:hAnsi="Book Antiqua" w:cs="Arial"/>
        </w:rPr>
      </w:pPr>
    </w:p>
    <w:p w:rsidR="00EC1C3A" w:rsidRPr="00EC1C3A" w:rsidRDefault="00EC1C3A" w:rsidP="00EC1C3A">
      <w:pPr>
        <w:tabs>
          <w:tab w:val="left" w:pos="567"/>
        </w:tabs>
        <w:ind w:left="567" w:right="567"/>
        <w:jc w:val="both"/>
        <w:rPr>
          <w:rFonts w:ascii="Book Antiqua" w:hAnsi="Book Antiqua" w:cs="Arial"/>
          <w:i/>
        </w:rPr>
      </w:pPr>
      <w:r w:rsidRPr="00EC1C3A">
        <w:rPr>
          <w:rFonts w:ascii="Book Antiqua" w:hAnsi="Book Antiqua" w:cs="Arial"/>
          <w:i/>
        </w:rPr>
        <w:t>A Genuine, Present and Sufficiently Serious Threat?</w:t>
      </w:r>
    </w:p>
    <w:p w:rsidR="00815C32" w:rsidRDefault="00815C32" w:rsidP="00815C32">
      <w:pPr>
        <w:pStyle w:val="ListParagraph"/>
        <w:rPr>
          <w:rFonts w:ascii="Book Antiqua" w:hAnsi="Book Antiqua" w:cs="Arial"/>
        </w:rPr>
      </w:pPr>
    </w:p>
    <w:p w:rsidR="00815C32" w:rsidRDefault="00EC1C3A" w:rsidP="00D966DE">
      <w:pPr>
        <w:numPr>
          <w:ilvl w:val="0"/>
          <w:numId w:val="1"/>
        </w:numPr>
        <w:tabs>
          <w:tab w:val="left" w:pos="567"/>
        </w:tabs>
        <w:ind w:left="567" w:right="567"/>
        <w:jc w:val="both"/>
        <w:rPr>
          <w:rFonts w:ascii="Book Antiqua" w:hAnsi="Book Antiqua" w:cs="Arial"/>
        </w:rPr>
      </w:pPr>
      <w:r>
        <w:rPr>
          <w:rFonts w:ascii="Book Antiqua" w:hAnsi="Book Antiqua" w:cs="Arial"/>
        </w:rPr>
        <w:t xml:space="preserve">The Tribunal noted that the Appellant has committed numerous criminal offences over a 7-year period. His claims to have been rehabilitated were unsupported by any evidence of any actual steps in that regard.  There was for instance no corroborative evidence from the organisation ‘Coventry Rescue’, a group that the Appellant claims to have sought help from.   He has the support of his wife, mother and sister, but he had their support during his offending spree. This failure to take action to address his own offending behaviour, coupled with the frequency of the offences, led the Tribunal to conclude that the </w:t>
      </w:r>
      <w:r w:rsidR="003D06C4">
        <w:rPr>
          <w:rFonts w:ascii="Book Antiqua" w:hAnsi="Book Antiqua" w:cs="Arial"/>
        </w:rPr>
        <w:t xml:space="preserve">relevant </w:t>
      </w:r>
      <w:r w:rsidR="003F16EB">
        <w:rPr>
          <w:rFonts w:ascii="Book Antiqua" w:hAnsi="Book Antiqua" w:cs="Arial"/>
        </w:rPr>
        <w:t>test</w:t>
      </w:r>
      <w:r>
        <w:rPr>
          <w:rFonts w:ascii="Book Antiqua" w:hAnsi="Book Antiqua" w:cs="Arial"/>
        </w:rPr>
        <w:t xml:space="preserve"> in Regulation 27</w:t>
      </w:r>
      <w:r w:rsidR="003F16EB">
        <w:rPr>
          <w:rFonts w:ascii="Book Antiqua" w:hAnsi="Book Antiqua" w:cs="Arial"/>
        </w:rPr>
        <w:t>(5)(c) was</w:t>
      </w:r>
      <w:r>
        <w:rPr>
          <w:rFonts w:ascii="Book Antiqua" w:hAnsi="Book Antiqua" w:cs="Arial"/>
        </w:rPr>
        <w:t xml:space="preserve"> made out.</w:t>
      </w:r>
      <w:r w:rsidR="003D06C4">
        <w:rPr>
          <w:rFonts w:ascii="Book Antiqua" w:hAnsi="Book Antiqua" w:cs="Arial"/>
        </w:rPr>
        <w:t xml:space="preserve">  There was a sufficiently serious threat posed by the Appellant to engage the deportation provisions.</w:t>
      </w:r>
    </w:p>
    <w:p w:rsidR="003D06C4" w:rsidRDefault="003D06C4" w:rsidP="003D06C4">
      <w:pPr>
        <w:tabs>
          <w:tab w:val="left" w:pos="567"/>
        </w:tabs>
        <w:ind w:left="567" w:right="567"/>
        <w:jc w:val="both"/>
        <w:rPr>
          <w:rFonts w:ascii="Book Antiqua" w:hAnsi="Book Antiqua" w:cs="Arial"/>
        </w:rPr>
      </w:pPr>
    </w:p>
    <w:p w:rsidR="003D06C4" w:rsidRDefault="003F16EB" w:rsidP="00D966DE">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w:t>
      </w:r>
      <w:r w:rsidR="00417A4F">
        <w:rPr>
          <w:rFonts w:ascii="Book Antiqua" w:hAnsi="Book Antiqua" w:cs="Arial"/>
        </w:rPr>
        <w:t>took</w:t>
      </w:r>
      <w:r w:rsidR="003D06C4">
        <w:rPr>
          <w:rFonts w:ascii="Book Antiqua" w:hAnsi="Book Antiqua" w:cs="Arial"/>
        </w:rPr>
        <w:t xml:space="preserve"> issue with these findings on the grounds that they were not open to the Tribunal. The Respondent had failed to supply any sentencing remarks from the trial judges in the criminal courts and as such there was insufficient evidence before the Tribunal to warrant a conclusion of future risk. Nor was there any material from probation services.</w:t>
      </w:r>
      <w:r>
        <w:rPr>
          <w:rFonts w:ascii="Book Antiqua" w:hAnsi="Book Antiqua" w:cs="Arial"/>
        </w:rPr>
        <w:t xml:space="preserve">  In the absence of such evidence the Tribunal was not in a position to assess risk, or the prospects of rehabilitation.</w:t>
      </w:r>
    </w:p>
    <w:p w:rsidR="00192333" w:rsidRDefault="00192333" w:rsidP="00192333">
      <w:pPr>
        <w:pStyle w:val="ListParagraph"/>
        <w:rPr>
          <w:rFonts w:ascii="Book Antiqua" w:hAnsi="Book Antiqua" w:cs="Arial"/>
        </w:rPr>
      </w:pPr>
    </w:p>
    <w:p w:rsidR="00192333" w:rsidRDefault="00192333" w:rsidP="00D966DE">
      <w:pPr>
        <w:numPr>
          <w:ilvl w:val="0"/>
          <w:numId w:val="1"/>
        </w:numPr>
        <w:tabs>
          <w:tab w:val="left" w:pos="567"/>
        </w:tabs>
        <w:ind w:left="567" w:right="567"/>
        <w:jc w:val="both"/>
        <w:rPr>
          <w:rFonts w:ascii="Book Antiqua" w:hAnsi="Book Antiqua" w:cs="Arial"/>
        </w:rPr>
      </w:pPr>
      <w:r>
        <w:rPr>
          <w:rFonts w:ascii="Book Antiqua" w:hAnsi="Book Antiqua" w:cs="Arial"/>
        </w:rPr>
        <w:t xml:space="preserve">It is trite law </w:t>
      </w:r>
      <w:r w:rsidR="00F833B0">
        <w:rPr>
          <w:rFonts w:ascii="Book Antiqua" w:hAnsi="Book Antiqua" w:cs="Arial"/>
        </w:rPr>
        <w:t xml:space="preserve">that </w:t>
      </w:r>
      <w:r>
        <w:rPr>
          <w:rFonts w:ascii="Book Antiqua" w:hAnsi="Book Antiqua" w:cs="Arial"/>
        </w:rPr>
        <w:t>the burden of establishing that the Appellant represents a threat rests upon the Respondent.</w:t>
      </w:r>
      <w:r w:rsidR="001A0312">
        <w:rPr>
          <w:rFonts w:ascii="Book Antiqua" w:hAnsi="Book Antiqua" w:cs="Arial"/>
        </w:rPr>
        <w:t xml:space="preserve">  In this case the Respondent submitted that she had done that not just by pointing to the offences themselves – an approach that would be expressly forbidden by the Regulations themselves – but to the persistent nature of the offending, and the fact that the Appellant had apparently done nothing to address his behaviour. That reasoning is summarised at paragraph 20 of the refusal letter:</w:t>
      </w:r>
    </w:p>
    <w:p w:rsidR="001A0312" w:rsidRDefault="001A0312" w:rsidP="001A0312">
      <w:pPr>
        <w:pStyle w:val="ListParagraph"/>
        <w:rPr>
          <w:rFonts w:ascii="Book Antiqua" w:hAnsi="Book Antiqua" w:cs="Arial"/>
        </w:rPr>
      </w:pPr>
    </w:p>
    <w:p w:rsidR="001A0312" w:rsidRDefault="001A0312" w:rsidP="001A0312">
      <w:pPr>
        <w:tabs>
          <w:tab w:val="left" w:pos="567"/>
        </w:tabs>
        <w:ind w:left="1134" w:right="1134"/>
        <w:jc w:val="both"/>
        <w:rPr>
          <w:rFonts w:ascii="Book Antiqua" w:hAnsi="Book Antiqua" w:cs="Arial"/>
        </w:rPr>
      </w:pPr>
      <w:r>
        <w:rPr>
          <w:rFonts w:ascii="Book Antiqua" w:hAnsi="Book Antiqua" w:cs="Arial"/>
        </w:rPr>
        <w:t>“In the absence of evidence that there has been any improvement in your personal circumstances since your conviction, or that you have successfully addressed the issues that prompted you to offend, it is considered reasonable to conclude that there remains a risk of you re-offending and continuing to pose a risk of harm to the public”.</w:t>
      </w:r>
    </w:p>
    <w:p w:rsidR="003F16EB" w:rsidRDefault="003F16EB" w:rsidP="003F16EB">
      <w:pPr>
        <w:pStyle w:val="ListParagraph"/>
        <w:rPr>
          <w:rFonts w:ascii="Book Antiqua" w:hAnsi="Book Antiqua" w:cs="Arial"/>
        </w:rPr>
      </w:pPr>
    </w:p>
    <w:p w:rsidR="003F16EB" w:rsidRDefault="001A0312"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That was the Secretary of State’s case, and it was accepted by the Tribunal. I was shown no authority for the proposition that that burden could only be discharged by the production of the sentencing remarks, or by a probation assessment.   What </w:t>
      </w:r>
      <w:r w:rsidR="00F833B0">
        <w:rPr>
          <w:rFonts w:ascii="Book Antiqua" w:hAnsi="Book Antiqua" w:cs="Arial"/>
        </w:rPr>
        <w:t>a</w:t>
      </w:r>
      <w:r>
        <w:rPr>
          <w:rFonts w:ascii="Book Antiqua" w:hAnsi="Book Antiqua" w:cs="Arial"/>
        </w:rPr>
        <w:t xml:space="preserve"> trial judge might have said about the seriousness of the offending may have been helpful, but it was not a necessary prerequisite for the </w:t>
      </w:r>
      <w:r w:rsidR="00F833B0">
        <w:rPr>
          <w:rFonts w:ascii="Book Antiqua" w:hAnsi="Book Antiqua" w:cs="Arial"/>
        </w:rPr>
        <w:t>test being met. That is because it</w:t>
      </w:r>
      <w:r>
        <w:rPr>
          <w:rFonts w:ascii="Book Antiqua" w:hAnsi="Book Antiqua" w:cs="Arial"/>
        </w:rPr>
        <w:t xml:space="preserve"> was obvious from the various sentences of imprisonment imposed on the Appellant what view the sentencing court took.</w:t>
      </w:r>
      <w:r w:rsidR="00F833B0">
        <w:rPr>
          <w:rFonts w:ascii="Book Antiqua" w:hAnsi="Book Antiqua" w:cs="Arial"/>
        </w:rPr>
        <w:t xml:space="preserve">  </w:t>
      </w:r>
    </w:p>
    <w:p w:rsidR="001A0312" w:rsidRDefault="001A0312" w:rsidP="00F833B0">
      <w:pPr>
        <w:tabs>
          <w:tab w:val="left" w:pos="567"/>
        </w:tabs>
        <w:ind w:left="567" w:right="567"/>
        <w:jc w:val="both"/>
        <w:rPr>
          <w:rFonts w:ascii="Book Antiqua" w:hAnsi="Book Antiqua" w:cs="Arial"/>
        </w:rPr>
      </w:pPr>
    </w:p>
    <w:p w:rsidR="001A0312" w:rsidRDefault="00F833B0" w:rsidP="00C26016">
      <w:pPr>
        <w:numPr>
          <w:ilvl w:val="0"/>
          <w:numId w:val="1"/>
        </w:numPr>
        <w:tabs>
          <w:tab w:val="left" w:pos="567"/>
        </w:tabs>
        <w:ind w:left="567" w:right="567"/>
        <w:jc w:val="both"/>
        <w:rPr>
          <w:rFonts w:ascii="Book Antiqua" w:hAnsi="Book Antiqua" w:cs="Arial"/>
        </w:rPr>
      </w:pPr>
      <w:r>
        <w:rPr>
          <w:rFonts w:ascii="Book Antiqua" w:hAnsi="Book Antiqua" w:cs="Arial"/>
        </w:rPr>
        <w:t>This ground is not made out.</w:t>
      </w:r>
      <w:r w:rsidR="00417A4F">
        <w:rPr>
          <w:rFonts w:ascii="Book Antiqua" w:hAnsi="Book Antiqua" w:cs="Arial"/>
        </w:rPr>
        <w:t xml:space="preserve">  The First-tier Tribunal was entitled to reach the conclusions that it did about the threat posed by the Appellant.</w:t>
      </w:r>
    </w:p>
    <w:p w:rsidR="00F833B0" w:rsidRDefault="00F833B0" w:rsidP="00F833B0">
      <w:pPr>
        <w:tabs>
          <w:tab w:val="left" w:pos="567"/>
        </w:tabs>
        <w:ind w:left="567" w:right="567"/>
        <w:jc w:val="both"/>
        <w:rPr>
          <w:rFonts w:ascii="Book Antiqua" w:hAnsi="Book Antiqua" w:cs="Arial"/>
        </w:rPr>
      </w:pPr>
    </w:p>
    <w:p w:rsidR="00F833B0" w:rsidRPr="00F833B0" w:rsidRDefault="00F833B0" w:rsidP="00F833B0">
      <w:pPr>
        <w:tabs>
          <w:tab w:val="left" w:pos="567"/>
        </w:tabs>
        <w:ind w:left="567" w:right="567"/>
        <w:jc w:val="both"/>
        <w:rPr>
          <w:rFonts w:ascii="Book Antiqua" w:hAnsi="Book Antiqua" w:cs="Arial"/>
          <w:i/>
        </w:rPr>
      </w:pPr>
      <w:r w:rsidRPr="00F833B0">
        <w:rPr>
          <w:rFonts w:ascii="Book Antiqua" w:hAnsi="Book Antiqua" w:cs="Arial"/>
          <w:i/>
        </w:rPr>
        <w:t>Proportionality</w:t>
      </w:r>
    </w:p>
    <w:p w:rsidR="00F833B0" w:rsidRDefault="00F833B0" w:rsidP="00F833B0">
      <w:pPr>
        <w:pStyle w:val="ListParagraph"/>
        <w:rPr>
          <w:rFonts w:ascii="Book Antiqua" w:hAnsi="Book Antiqua" w:cs="Arial"/>
        </w:rPr>
      </w:pPr>
    </w:p>
    <w:p w:rsidR="00F833B0" w:rsidRPr="00417A4F" w:rsidRDefault="00F833B0" w:rsidP="00417A4F">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417A4F">
        <w:rPr>
          <w:rFonts w:ascii="Book Antiqua" w:hAnsi="Book Antiqua" w:cs="Arial"/>
        </w:rPr>
        <w:t xml:space="preserve">First-tier Tribunal </w:t>
      </w:r>
      <w:r w:rsidRPr="00417A4F">
        <w:rPr>
          <w:rFonts w:ascii="Book Antiqua" w:hAnsi="Book Antiqua" w:cs="Arial"/>
        </w:rPr>
        <w:t>determination addresses proportionality at its paragraph 42.  It considers the fact that the Appellant has lived most of his life in Poland and that he speaks the language. He has diabetes but would be able to receive treatment for that condition there. He still has relatives living in Poland. His opportunities for rehabilitation would not be diminished by his deportation. The paragraph concludes “taking these factors into account I am satisfied that the decision satisfies the test of proportionality”.  The determination then proceeds, at paragraph 43, to consider the position of the Appellant’s children in the context of Article 8 ECHR. In doing so it applies the tests found in ss117</w:t>
      </w:r>
      <w:r w:rsidR="000043A9" w:rsidRPr="00417A4F">
        <w:rPr>
          <w:rFonts w:ascii="Book Antiqua" w:hAnsi="Book Antiqua" w:cs="Arial"/>
        </w:rPr>
        <w:t xml:space="preserve">C of the Nationality, Immigration and Asylum Act 2002, and paragraphs 398-399 of the Immigration Rules.   It concludes that it would not be “unduly harsh” on the children if their father were to be removed, </w:t>
      </w:r>
      <w:r w:rsidR="000043A9" w:rsidRPr="00417A4F">
        <w:rPr>
          <w:rFonts w:ascii="Book Antiqua" w:hAnsi="Book Antiqua" w:cs="Arial"/>
          <w:i/>
        </w:rPr>
        <w:t>inter alia</w:t>
      </w:r>
      <w:r w:rsidR="000043A9" w:rsidRPr="00417A4F">
        <w:rPr>
          <w:rFonts w:ascii="Book Antiqua" w:hAnsi="Book Antiqua" w:cs="Arial"/>
        </w:rPr>
        <w:t xml:space="preserve"> because they could maintain contact with him through modern social media.</w:t>
      </w:r>
    </w:p>
    <w:p w:rsidR="000043A9" w:rsidRDefault="000043A9" w:rsidP="000043A9">
      <w:pPr>
        <w:tabs>
          <w:tab w:val="left" w:pos="567"/>
        </w:tabs>
        <w:ind w:left="567" w:right="567"/>
        <w:jc w:val="both"/>
        <w:rPr>
          <w:rFonts w:ascii="Book Antiqua" w:hAnsi="Book Antiqua" w:cs="Arial"/>
        </w:rPr>
      </w:pPr>
    </w:p>
    <w:p w:rsidR="00F833B0" w:rsidRDefault="000043A9" w:rsidP="00C26016">
      <w:pPr>
        <w:numPr>
          <w:ilvl w:val="0"/>
          <w:numId w:val="1"/>
        </w:numPr>
        <w:tabs>
          <w:tab w:val="left" w:pos="567"/>
        </w:tabs>
        <w:ind w:left="567" w:right="567"/>
        <w:jc w:val="both"/>
        <w:rPr>
          <w:rFonts w:ascii="Book Antiqua" w:hAnsi="Book Antiqua" w:cs="Arial"/>
        </w:rPr>
      </w:pPr>
      <w:r>
        <w:rPr>
          <w:rFonts w:ascii="Book Antiqua" w:hAnsi="Book Antiqua" w:cs="Arial"/>
        </w:rPr>
        <w:t>The complaint made about that approach is that the Tribunal has failed to make any assessment of the best interests of the children in accordance with s55 of the Borders and Citizenship Act 2007 and that the findings on the impact on removal were inadequately reasoned.</w:t>
      </w:r>
    </w:p>
    <w:p w:rsidR="000043A9" w:rsidRDefault="000043A9" w:rsidP="000043A9">
      <w:pPr>
        <w:pStyle w:val="ListParagraph"/>
        <w:rPr>
          <w:rFonts w:ascii="Book Antiqua" w:hAnsi="Book Antiqua" w:cs="Arial"/>
        </w:rPr>
      </w:pPr>
    </w:p>
    <w:p w:rsidR="000043A9" w:rsidRDefault="000043A9" w:rsidP="00C26016">
      <w:pPr>
        <w:numPr>
          <w:ilvl w:val="0"/>
          <w:numId w:val="1"/>
        </w:numPr>
        <w:tabs>
          <w:tab w:val="left" w:pos="567"/>
        </w:tabs>
        <w:ind w:left="567" w:right="567"/>
        <w:jc w:val="both"/>
        <w:rPr>
          <w:rFonts w:ascii="Book Antiqua" w:hAnsi="Book Antiqua" w:cs="Arial"/>
        </w:rPr>
      </w:pPr>
      <w:r>
        <w:rPr>
          <w:rFonts w:ascii="Book Antiqua" w:hAnsi="Book Antiqua" w:cs="Arial"/>
        </w:rPr>
        <w:t>I am satisfied that the First-tier Tribunal did err in its approach to proportionality.</w:t>
      </w:r>
    </w:p>
    <w:p w:rsidR="000043A9" w:rsidRDefault="000043A9" w:rsidP="000043A9">
      <w:pPr>
        <w:pStyle w:val="ListParagraph"/>
        <w:rPr>
          <w:rFonts w:ascii="Book Antiqua" w:hAnsi="Book Antiqua" w:cs="Arial"/>
        </w:rPr>
      </w:pPr>
    </w:p>
    <w:p w:rsidR="000043A9" w:rsidRDefault="000043A9" w:rsidP="00C26016">
      <w:pPr>
        <w:numPr>
          <w:ilvl w:val="0"/>
          <w:numId w:val="1"/>
        </w:numPr>
        <w:tabs>
          <w:tab w:val="left" w:pos="567"/>
        </w:tabs>
        <w:ind w:left="567" w:right="567"/>
        <w:jc w:val="both"/>
        <w:rPr>
          <w:rFonts w:ascii="Book Antiqua" w:hAnsi="Book Antiqua" w:cs="Arial"/>
        </w:rPr>
      </w:pPr>
      <w:r>
        <w:rPr>
          <w:rFonts w:ascii="Book Antiqua" w:hAnsi="Book Antiqua" w:cs="Arial"/>
        </w:rPr>
        <w:t>The relevant parts of Regulation 27 are sub-sections (5) and (6):</w:t>
      </w:r>
    </w:p>
    <w:p w:rsidR="000043A9" w:rsidRDefault="000043A9" w:rsidP="000043A9">
      <w:pPr>
        <w:pStyle w:val="ListParagraph"/>
        <w:rPr>
          <w:rFonts w:ascii="Book Antiqua" w:hAnsi="Book Antiqua" w:cs="Arial"/>
        </w:rPr>
      </w:pPr>
    </w:p>
    <w:p w:rsidR="000043A9" w:rsidRDefault="000043A9" w:rsidP="000043A9">
      <w:pPr>
        <w:shd w:val="clear" w:color="auto" w:fill="FFFFFF"/>
        <w:spacing w:after="120" w:line="360" w:lineRule="atLeast"/>
        <w:ind w:left="1134" w:right="1134"/>
        <w:jc w:val="both"/>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 xml:space="preserve">(5) The public policy and public security requirements of the United Kingdom include restricting rights otherwise conferred by these Regulations </w:t>
      </w:r>
      <w:proofErr w:type="gramStart"/>
      <w:r w:rsidRPr="000043A9">
        <w:rPr>
          <w:rFonts w:ascii="Book Antiqua" w:eastAsia="Times New Roman" w:hAnsi="Book Antiqua" w:cs="Arial"/>
          <w:color w:val="494949"/>
          <w:sz w:val="20"/>
          <w:szCs w:val="20"/>
          <w:lang w:val="en"/>
        </w:rPr>
        <w:t>in order to</w:t>
      </w:r>
      <w:proofErr w:type="gramEnd"/>
      <w:r w:rsidRPr="000043A9">
        <w:rPr>
          <w:rFonts w:ascii="Book Antiqua" w:eastAsia="Times New Roman" w:hAnsi="Book Antiqua" w:cs="Arial"/>
          <w:color w:val="494949"/>
          <w:sz w:val="20"/>
          <w:szCs w:val="20"/>
          <w:lang w:val="en"/>
        </w:rPr>
        <w:t xml:space="preserve"> protect the fundamental interests of society, and where a relevant decision is taken on grounds of public policy or public security it must also be taken in accordance with the following principles— </w:t>
      </w:r>
    </w:p>
    <w:p w:rsidR="000043A9" w:rsidRPr="000043A9" w:rsidRDefault="000043A9" w:rsidP="000043A9">
      <w:pPr>
        <w:shd w:val="clear" w:color="auto" w:fill="FFFFFF"/>
        <w:spacing w:after="120" w:line="360" w:lineRule="atLeast"/>
        <w:ind w:left="1134" w:right="1134" w:firstLine="306"/>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(a)</w:t>
      </w:r>
      <w:r>
        <w:rPr>
          <w:rFonts w:ascii="Book Antiqua" w:eastAsia="Times New Roman" w:hAnsi="Book Antiqua" w:cs="Arial"/>
          <w:color w:val="494949"/>
          <w:sz w:val="20"/>
          <w:szCs w:val="20"/>
          <w:lang w:val="en"/>
        </w:rPr>
        <w:t xml:space="preserve"> </w:t>
      </w:r>
      <w:r w:rsidRPr="000043A9">
        <w:rPr>
          <w:rFonts w:ascii="Book Antiqua" w:eastAsia="Times New Roman" w:hAnsi="Book Antiqua" w:cs="Arial"/>
          <w:color w:val="494949"/>
          <w:sz w:val="20"/>
          <w:szCs w:val="20"/>
          <w:lang w:val="en"/>
        </w:rPr>
        <w:t>the decision must comply with the principle of proportionality;</w:t>
      </w:r>
    </w:p>
    <w:p w:rsidR="000043A9" w:rsidRDefault="000043A9" w:rsidP="000043A9">
      <w:pPr>
        <w:shd w:val="clear" w:color="auto" w:fill="FFFFFF"/>
        <w:spacing w:after="120" w:line="360" w:lineRule="atLeast"/>
        <w:ind w:left="720" w:right="1134" w:firstLine="720"/>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(b)</w:t>
      </w:r>
      <w:r>
        <w:rPr>
          <w:rFonts w:ascii="Book Antiqua" w:eastAsia="Times New Roman" w:hAnsi="Book Antiqua" w:cs="Arial"/>
          <w:color w:val="494949"/>
          <w:sz w:val="20"/>
          <w:szCs w:val="20"/>
          <w:lang w:val="en"/>
        </w:rPr>
        <w:t xml:space="preserve"> </w:t>
      </w:r>
      <w:r w:rsidRPr="000043A9">
        <w:rPr>
          <w:rFonts w:ascii="Book Antiqua" w:eastAsia="Times New Roman" w:hAnsi="Book Antiqua" w:cs="Arial"/>
          <w:color w:val="494949"/>
          <w:sz w:val="20"/>
          <w:szCs w:val="20"/>
          <w:lang w:val="en"/>
        </w:rPr>
        <w:t xml:space="preserve">the decision must be based exclusively on the personal conduct of the </w:t>
      </w:r>
    </w:p>
    <w:p w:rsidR="000043A9" w:rsidRPr="000043A9" w:rsidRDefault="000043A9" w:rsidP="000043A9">
      <w:pPr>
        <w:shd w:val="clear" w:color="auto" w:fill="FFFFFF"/>
        <w:spacing w:after="120" w:line="360" w:lineRule="atLeast"/>
        <w:ind w:left="720" w:right="1134" w:firstLine="720"/>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person concerned;</w:t>
      </w:r>
    </w:p>
    <w:p w:rsidR="000043A9" w:rsidRPr="000043A9" w:rsidRDefault="000043A9" w:rsidP="000043A9">
      <w:pPr>
        <w:shd w:val="clear" w:color="auto" w:fill="FFFFFF"/>
        <w:spacing w:after="120" w:line="360" w:lineRule="atLeast"/>
        <w:ind w:left="1440" w:right="1134"/>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(c)</w:t>
      </w:r>
      <w:r>
        <w:rPr>
          <w:rFonts w:ascii="Book Antiqua" w:eastAsia="Times New Roman" w:hAnsi="Book Antiqua" w:cs="Arial"/>
          <w:color w:val="494949"/>
          <w:sz w:val="20"/>
          <w:szCs w:val="20"/>
          <w:lang w:val="en"/>
        </w:rPr>
        <w:t xml:space="preserve"> </w:t>
      </w:r>
      <w:r w:rsidRPr="000043A9">
        <w:rPr>
          <w:rFonts w:ascii="Book Antiqua" w:eastAsia="Times New Roman" w:hAnsi="Book Antiqua" w:cs="Arial"/>
          <w:color w:val="494949"/>
          <w:sz w:val="20"/>
          <w:szCs w:val="20"/>
          <w:lang w:val="en"/>
        </w:rPr>
        <w:t xml:space="preserve">the personal conduct of the person must represent a genuine, present and sufficiently serious threat affecting one of the fundamental interests of society, </w:t>
      </w:r>
      <w:proofErr w:type="gramStart"/>
      <w:r w:rsidRPr="000043A9">
        <w:rPr>
          <w:rFonts w:ascii="Book Antiqua" w:eastAsia="Times New Roman" w:hAnsi="Book Antiqua" w:cs="Arial"/>
          <w:color w:val="494949"/>
          <w:sz w:val="20"/>
          <w:szCs w:val="20"/>
          <w:lang w:val="en"/>
        </w:rPr>
        <w:t>taking into account</w:t>
      </w:r>
      <w:proofErr w:type="gramEnd"/>
      <w:r w:rsidRPr="000043A9">
        <w:rPr>
          <w:rFonts w:ascii="Book Antiqua" w:eastAsia="Times New Roman" w:hAnsi="Book Antiqua" w:cs="Arial"/>
          <w:color w:val="494949"/>
          <w:sz w:val="20"/>
          <w:szCs w:val="20"/>
          <w:lang w:val="en"/>
        </w:rPr>
        <w:t xml:space="preserve"> past conduct of the person and that the threat does not need to be imminent;</w:t>
      </w:r>
    </w:p>
    <w:p w:rsidR="000043A9" w:rsidRPr="000043A9" w:rsidRDefault="000043A9" w:rsidP="000043A9">
      <w:pPr>
        <w:shd w:val="clear" w:color="auto" w:fill="FFFFFF"/>
        <w:spacing w:after="120" w:line="360" w:lineRule="atLeast"/>
        <w:ind w:left="1440" w:right="1134"/>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(d)</w:t>
      </w:r>
      <w:r>
        <w:rPr>
          <w:rFonts w:ascii="Book Antiqua" w:eastAsia="Times New Roman" w:hAnsi="Book Antiqua" w:cs="Arial"/>
          <w:color w:val="494949"/>
          <w:sz w:val="20"/>
          <w:szCs w:val="20"/>
          <w:lang w:val="en"/>
        </w:rPr>
        <w:t xml:space="preserve"> </w:t>
      </w:r>
      <w:r w:rsidRPr="000043A9">
        <w:rPr>
          <w:rFonts w:ascii="Book Antiqua" w:eastAsia="Times New Roman" w:hAnsi="Book Antiqua" w:cs="Arial"/>
          <w:color w:val="494949"/>
          <w:sz w:val="20"/>
          <w:szCs w:val="20"/>
          <w:lang w:val="en"/>
        </w:rPr>
        <w:t xml:space="preserve">matters isolated from the </w:t>
      </w:r>
      <w:proofErr w:type="gramStart"/>
      <w:r w:rsidRPr="000043A9">
        <w:rPr>
          <w:rFonts w:ascii="Book Antiqua" w:eastAsia="Times New Roman" w:hAnsi="Book Antiqua" w:cs="Arial"/>
          <w:color w:val="494949"/>
          <w:sz w:val="20"/>
          <w:szCs w:val="20"/>
          <w:lang w:val="en"/>
        </w:rPr>
        <w:t>particulars of</w:t>
      </w:r>
      <w:proofErr w:type="gramEnd"/>
      <w:r w:rsidRPr="000043A9">
        <w:rPr>
          <w:rFonts w:ascii="Book Antiqua" w:eastAsia="Times New Roman" w:hAnsi="Book Antiqua" w:cs="Arial"/>
          <w:color w:val="494949"/>
          <w:sz w:val="20"/>
          <w:szCs w:val="20"/>
          <w:lang w:val="en"/>
        </w:rPr>
        <w:t xml:space="preserve"> the case or which relate to considerations of general prevention do not justify the decision;</w:t>
      </w:r>
    </w:p>
    <w:p w:rsidR="000043A9" w:rsidRPr="000043A9" w:rsidRDefault="000043A9" w:rsidP="000043A9">
      <w:pPr>
        <w:shd w:val="clear" w:color="auto" w:fill="FFFFFF"/>
        <w:spacing w:after="120" w:line="360" w:lineRule="atLeast"/>
        <w:ind w:left="1440" w:right="1134"/>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(e)</w:t>
      </w:r>
      <w:r>
        <w:rPr>
          <w:rFonts w:ascii="Book Antiqua" w:eastAsia="Times New Roman" w:hAnsi="Book Antiqua" w:cs="Arial"/>
          <w:color w:val="494949"/>
          <w:sz w:val="20"/>
          <w:szCs w:val="20"/>
          <w:lang w:val="en"/>
        </w:rPr>
        <w:t xml:space="preserve"> </w:t>
      </w:r>
      <w:r w:rsidRPr="000043A9">
        <w:rPr>
          <w:rFonts w:ascii="Book Antiqua" w:eastAsia="Times New Roman" w:hAnsi="Book Antiqua" w:cs="Arial"/>
          <w:color w:val="494949"/>
          <w:sz w:val="20"/>
          <w:szCs w:val="20"/>
          <w:lang w:val="en"/>
        </w:rPr>
        <w:t>a person’s previous criminal convictions do not in themselves justify the decision;</w:t>
      </w:r>
    </w:p>
    <w:p w:rsidR="000043A9" w:rsidRPr="000043A9" w:rsidRDefault="000043A9" w:rsidP="000043A9">
      <w:pPr>
        <w:shd w:val="clear" w:color="auto" w:fill="FFFFFF"/>
        <w:spacing w:after="120" w:line="360" w:lineRule="atLeast"/>
        <w:ind w:left="1440" w:right="1134"/>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(f)</w:t>
      </w:r>
      <w:r>
        <w:rPr>
          <w:rFonts w:ascii="Book Antiqua" w:eastAsia="Times New Roman" w:hAnsi="Book Antiqua" w:cs="Arial"/>
          <w:color w:val="494949"/>
          <w:sz w:val="20"/>
          <w:szCs w:val="20"/>
          <w:lang w:val="en"/>
        </w:rPr>
        <w:t xml:space="preserve"> </w:t>
      </w:r>
      <w:r w:rsidRPr="000043A9">
        <w:rPr>
          <w:rFonts w:ascii="Book Antiqua" w:eastAsia="Times New Roman" w:hAnsi="Book Antiqua" w:cs="Arial"/>
          <w:color w:val="494949"/>
          <w:sz w:val="20"/>
          <w:szCs w:val="20"/>
          <w:lang w:val="en"/>
        </w:rPr>
        <w:t>the decision may be taken on preventative grounds, even in the absence of a previous criminal conviction, provided the grounds are specific to the person.</w:t>
      </w:r>
    </w:p>
    <w:p w:rsidR="000043A9" w:rsidRDefault="000043A9" w:rsidP="000043A9">
      <w:pPr>
        <w:shd w:val="clear" w:color="auto" w:fill="FFFFFF"/>
        <w:spacing w:after="120" w:line="360" w:lineRule="atLeast"/>
        <w:ind w:left="1134" w:right="1134"/>
        <w:jc w:val="both"/>
        <w:rPr>
          <w:rFonts w:ascii="Book Antiqua" w:eastAsia="Times New Roman" w:hAnsi="Book Antiqua" w:cs="Arial"/>
          <w:color w:val="494949"/>
          <w:sz w:val="20"/>
          <w:szCs w:val="20"/>
          <w:lang w:val="en"/>
        </w:rPr>
      </w:pPr>
    </w:p>
    <w:p w:rsidR="000043A9" w:rsidRPr="000043A9" w:rsidRDefault="000043A9" w:rsidP="000043A9">
      <w:pPr>
        <w:shd w:val="clear" w:color="auto" w:fill="FFFFFF"/>
        <w:spacing w:after="120" w:line="360" w:lineRule="atLeast"/>
        <w:ind w:left="1134" w:right="1134"/>
        <w:jc w:val="both"/>
        <w:rPr>
          <w:rFonts w:ascii="Book Antiqua" w:eastAsia="Times New Roman" w:hAnsi="Book Antiqua" w:cs="Arial"/>
          <w:color w:val="494949"/>
          <w:sz w:val="20"/>
          <w:szCs w:val="20"/>
          <w:lang w:val="en"/>
        </w:rPr>
      </w:pPr>
      <w:r w:rsidRPr="000043A9">
        <w:rPr>
          <w:rFonts w:ascii="Book Antiqua" w:eastAsia="Times New Roman" w:hAnsi="Book Antiqua" w:cs="Arial"/>
          <w:color w:val="494949"/>
          <w:sz w:val="20"/>
          <w:szCs w:val="20"/>
          <w:lang w:val="en"/>
        </w:rPr>
        <w:t xml:space="preserve">(6) Before taking a relevant decision on the grounds of public policy and public security in relation to a person (“P”) who is resident in the United Kingdom, the decision maker must take account of considerations such as the age, state of health, family and economic situation of P, P’s length of residence in the United Kingdom, P’s social and cultural integration into the United Kingdom and the extent of P’s links with P’s country of origin. </w:t>
      </w:r>
    </w:p>
    <w:p w:rsidR="000043A9" w:rsidRDefault="000043A9" w:rsidP="000043A9">
      <w:pPr>
        <w:pStyle w:val="ListParagraph"/>
        <w:rPr>
          <w:rFonts w:ascii="Book Antiqua" w:hAnsi="Book Antiqua" w:cs="Arial"/>
        </w:rPr>
      </w:pPr>
    </w:p>
    <w:p w:rsidR="00571045" w:rsidRDefault="00571045" w:rsidP="00C26016">
      <w:pPr>
        <w:numPr>
          <w:ilvl w:val="0"/>
          <w:numId w:val="1"/>
        </w:numPr>
        <w:tabs>
          <w:tab w:val="left" w:pos="567"/>
        </w:tabs>
        <w:ind w:left="567" w:right="567"/>
        <w:jc w:val="both"/>
        <w:rPr>
          <w:rFonts w:ascii="Book Antiqua" w:hAnsi="Book Antiqua" w:cs="Arial"/>
        </w:rPr>
      </w:pPr>
      <w:r>
        <w:rPr>
          <w:rFonts w:ascii="Book Antiqua" w:hAnsi="Book Antiqua" w:cs="Arial"/>
        </w:rPr>
        <w:t>T</w:t>
      </w:r>
      <w:r w:rsidR="000043A9">
        <w:rPr>
          <w:rFonts w:ascii="Book Antiqua" w:hAnsi="Book Antiqua" w:cs="Arial"/>
        </w:rPr>
        <w:t xml:space="preserve">he </w:t>
      </w:r>
      <w:r>
        <w:rPr>
          <w:rFonts w:ascii="Book Antiqua" w:hAnsi="Book Antiqua" w:cs="Arial"/>
        </w:rPr>
        <w:t xml:space="preserve">first difficulty is that the </w:t>
      </w:r>
      <w:r w:rsidR="000043A9">
        <w:rPr>
          <w:rFonts w:ascii="Book Antiqua" w:hAnsi="Book Antiqua" w:cs="Arial"/>
        </w:rPr>
        <w:t>structure of the determination gives the clear impression that the Tribunal made two separate assessments. At paragraph 42 it considered</w:t>
      </w:r>
      <w:r w:rsidR="00417A4F">
        <w:rPr>
          <w:rFonts w:ascii="Book Antiqua" w:hAnsi="Book Antiqua" w:cs="Arial"/>
        </w:rPr>
        <w:t>, with no reference to the Appellant’s family,</w:t>
      </w:r>
      <w:r w:rsidR="000043A9">
        <w:rPr>
          <w:rFonts w:ascii="Book Antiqua" w:hAnsi="Book Antiqua" w:cs="Arial"/>
        </w:rPr>
        <w:t xml:space="preserve"> the question of proportionality under the Regulations</w:t>
      </w:r>
      <w:r>
        <w:rPr>
          <w:rFonts w:ascii="Book Antiqua" w:hAnsi="Book Antiqua" w:cs="Arial"/>
        </w:rPr>
        <w:t xml:space="preserve"> and concludes “taking these factors into account I am satisfied that the decision satisfies the test of proportionality”</w:t>
      </w:r>
      <w:r w:rsidR="00301D60">
        <w:rPr>
          <w:rFonts w:ascii="Book Antiqua" w:hAnsi="Book Antiqua" w:cs="Arial"/>
        </w:rPr>
        <w:t>.  A</w:t>
      </w:r>
      <w:r w:rsidR="000043A9">
        <w:rPr>
          <w:rFonts w:ascii="Book Antiqua" w:hAnsi="Book Antiqua" w:cs="Arial"/>
        </w:rPr>
        <w:t xml:space="preserve">t paragraph 43 it </w:t>
      </w:r>
      <w:r w:rsidR="00301D60">
        <w:rPr>
          <w:rFonts w:ascii="Book Antiqua" w:hAnsi="Book Antiqua" w:cs="Arial"/>
        </w:rPr>
        <w:t xml:space="preserve">then </w:t>
      </w:r>
      <w:r>
        <w:rPr>
          <w:rFonts w:ascii="Book Antiqua" w:hAnsi="Book Antiqua" w:cs="Arial"/>
        </w:rPr>
        <w:t>goes on to consider</w:t>
      </w:r>
      <w:r w:rsidR="000043A9">
        <w:rPr>
          <w:rFonts w:ascii="Book Antiqua" w:hAnsi="Book Antiqua" w:cs="Arial"/>
        </w:rPr>
        <w:t xml:space="preserve"> the position </w:t>
      </w:r>
      <w:r w:rsidR="00301D60">
        <w:rPr>
          <w:rFonts w:ascii="Book Antiqua" w:hAnsi="Book Antiqua" w:cs="Arial"/>
        </w:rPr>
        <w:t xml:space="preserve">of the family </w:t>
      </w:r>
      <w:r w:rsidR="000043A9">
        <w:rPr>
          <w:rFonts w:ascii="Book Antiqua" w:hAnsi="Book Antiqua" w:cs="Arial"/>
        </w:rPr>
        <w:t xml:space="preserve">under the Immigration Rules. </w:t>
      </w:r>
      <w:r>
        <w:rPr>
          <w:rFonts w:ascii="Book Antiqua" w:hAnsi="Book Antiqua" w:cs="Arial"/>
        </w:rPr>
        <w:t xml:space="preserve">  That</w:t>
      </w:r>
      <w:r w:rsidR="000043A9">
        <w:rPr>
          <w:rFonts w:ascii="Book Antiqua" w:hAnsi="Book Antiqua" w:cs="Arial"/>
        </w:rPr>
        <w:t xml:space="preserve"> approach </w:t>
      </w:r>
      <w:r>
        <w:rPr>
          <w:rFonts w:ascii="Book Antiqua" w:hAnsi="Book Antiqua" w:cs="Arial"/>
        </w:rPr>
        <w:t xml:space="preserve">is </w:t>
      </w:r>
      <w:r w:rsidR="000043A9">
        <w:rPr>
          <w:rFonts w:ascii="Book Antiqua" w:hAnsi="Book Antiqua" w:cs="Arial"/>
        </w:rPr>
        <w:t>manifestly wrong. The impact on the Appellant’s children, and his family life with them, was at the heart of his defence under the Regulations. He and his wife had both given evidence about the detrimental impact it would have on the children, evidence that was supported by other family members. That was, as can be seen from Reg 27(6)</w:t>
      </w:r>
      <w:r>
        <w:rPr>
          <w:rFonts w:ascii="Book Antiqua" w:hAnsi="Book Antiqua" w:cs="Arial"/>
        </w:rPr>
        <w:t>, a matter that fell to be considered in the context of proportionality under Reg 27(5)(a).   Paragraph 42, wherein the Tribunal purports to conduct that assessment, says nothing at all about his life in the UK, his wife, children or other family members resident here.  That omission was plainly material.</w:t>
      </w:r>
    </w:p>
    <w:p w:rsidR="00571045" w:rsidRDefault="00571045" w:rsidP="00571045">
      <w:pPr>
        <w:tabs>
          <w:tab w:val="left" w:pos="567"/>
        </w:tabs>
        <w:ind w:left="567" w:right="567"/>
        <w:jc w:val="both"/>
        <w:rPr>
          <w:rFonts w:ascii="Book Antiqua" w:hAnsi="Book Antiqua" w:cs="Arial"/>
        </w:rPr>
      </w:pPr>
    </w:p>
    <w:p w:rsidR="000043A9" w:rsidRDefault="00571045"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Mr Mills argued that the two paragraphs should be read together, and </w:t>
      </w:r>
      <w:proofErr w:type="gramStart"/>
      <w:r>
        <w:rPr>
          <w:rFonts w:ascii="Book Antiqua" w:hAnsi="Book Antiqua" w:cs="Arial"/>
        </w:rPr>
        <w:t>that  the</w:t>
      </w:r>
      <w:proofErr w:type="gramEnd"/>
      <w:r>
        <w:rPr>
          <w:rFonts w:ascii="Book Antiqua" w:hAnsi="Book Antiqua" w:cs="Arial"/>
        </w:rPr>
        <w:t xml:space="preserve"> assessment of the children’s position, as elaborated in paragraph 43, should be ‘read-in’ to the overall proportionality assessment at 42. Apart from the obvious problem that this is expressly not the approach the Tribunal took (see above), it raises a discrete error in approach. The relevant test was not that contained in paragraph 399 of the Rules. The Appellant is an EEA national and the Immigration Rules do not therefore apply. The test of undue harshness is not replicated in the Regulations, nor does that framework reflect the presumption in favour of deportation inherent in the statutory scheme under s117C NIAA 2002.   </w:t>
      </w:r>
    </w:p>
    <w:p w:rsidR="000043A9" w:rsidRDefault="000043A9" w:rsidP="000043A9">
      <w:pPr>
        <w:tabs>
          <w:tab w:val="left" w:pos="567"/>
        </w:tabs>
        <w:ind w:left="567" w:right="567"/>
        <w:jc w:val="both"/>
        <w:rPr>
          <w:rFonts w:ascii="Book Antiqua" w:hAnsi="Book Antiqua" w:cs="Arial"/>
        </w:rPr>
      </w:pPr>
    </w:p>
    <w:p w:rsidR="000043A9" w:rsidRDefault="00571045"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I am satisfied that this ground is made out. I set aside the reasoning of the First-tier Tribunal insofar as it relates to proportionality, although I note that upon remaking the decision </w:t>
      </w:r>
      <w:proofErr w:type="gramStart"/>
      <w:r>
        <w:rPr>
          <w:rFonts w:ascii="Book Antiqua" w:hAnsi="Book Antiqua" w:cs="Arial"/>
        </w:rPr>
        <w:t>overall</w:t>
      </w:r>
      <w:proofErr w:type="gramEnd"/>
      <w:r>
        <w:rPr>
          <w:rFonts w:ascii="Book Antiqua" w:hAnsi="Book Antiqua" w:cs="Arial"/>
        </w:rPr>
        <w:t xml:space="preserve"> I will be obliged to take into account any new evidence pertinent to the decision.</w:t>
      </w:r>
    </w:p>
    <w:p w:rsidR="00301D60" w:rsidRDefault="00301D60" w:rsidP="00301D60">
      <w:pPr>
        <w:pStyle w:val="ListParagraph"/>
        <w:rPr>
          <w:rFonts w:ascii="Book Antiqua" w:hAnsi="Book Antiqua" w:cs="Arial"/>
        </w:rPr>
      </w:pPr>
    </w:p>
    <w:p w:rsidR="00301D60" w:rsidRPr="00301D60" w:rsidRDefault="00301D60" w:rsidP="00301D60">
      <w:pPr>
        <w:tabs>
          <w:tab w:val="left" w:pos="567"/>
        </w:tabs>
        <w:ind w:left="567" w:right="567"/>
        <w:jc w:val="both"/>
        <w:rPr>
          <w:rFonts w:ascii="Book Antiqua" w:hAnsi="Book Antiqua" w:cs="Arial"/>
          <w:b/>
        </w:rPr>
      </w:pPr>
      <w:r w:rsidRPr="00301D60">
        <w:rPr>
          <w:rFonts w:ascii="Book Antiqua" w:hAnsi="Book Antiqua" w:cs="Arial"/>
          <w:b/>
        </w:rPr>
        <w:t>The Re-Made Decision</w:t>
      </w:r>
    </w:p>
    <w:p w:rsidR="00571045" w:rsidRDefault="00571045" w:rsidP="00571045">
      <w:pPr>
        <w:pStyle w:val="ListParagraph"/>
        <w:rPr>
          <w:rFonts w:ascii="Book Antiqua" w:hAnsi="Book Antiqua" w:cs="Arial"/>
        </w:rPr>
      </w:pPr>
    </w:p>
    <w:p w:rsidR="00301D60" w:rsidRDefault="00301D60" w:rsidP="00571045">
      <w:pPr>
        <w:numPr>
          <w:ilvl w:val="0"/>
          <w:numId w:val="1"/>
        </w:numPr>
        <w:tabs>
          <w:tab w:val="left" w:pos="567"/>
        </w:tabs>
        <w:ind w:left="567" w:right="567"/>
        <w:jc w:val="both"/>
        <w:rPr>
          <w:rFonts w:ascii="Book Antiqua" w:hAnsi="Book Antiqua" w:cs="Arial"/>
        </w:rPr>
      </w:pPr>
      <w:r>
        <w:rPr>
          <w:rFonts w:ascii="Book Antiqua" w:hAnsi="Book Antiqua" w:cs="Arial"/>
        </w:rPr>
        <w:t>I heard live evidence from the Appellant, and I had regard to his statement dated 10</w:t>
      </w:r>
      <w:r w:rsidRPr="00301D60">
        <w:rPr>
          <w:rFonts w:ascii="Book Antiqua" w:hAnsi="Book Antiqua" w:cs="Arial"/>
          <w:vertAlign w:val="superscript"/>
        </w:rPr>
        <w:t>th</w:t>
      </w:r>
      <w:r>
        <w:rPr>
          <w:rFonts w:ascii="Book Antiqua" w:hAnsi="Book Antiqua" w:cs="Arial"/>
        </w:rPr>
        <w:t xml:space="preserve"> July 2017.  His unchallenged evidence is as follows.</w:t>
      </w:r>
    </w:p>
    <w:p w:rsidR="00301D60" w:rsidRDefault="00301D60" w:rsidP="00301D60">
      <w:pPr>
        <w:tabs>
          <w:tab w:val="left" w:pos="567"/>
        </w:tabs>
        <w:ind w:left="567" w:right="567"/>
        <w:jc w:val="both"/>
        <w:rPr>
          <w:rFonts w:ascii="Book Antiqua" w:hAnsi="Book Antiqua" w:cs="Arial"/>
        </w:rPr>
      </w:pPr>
    </w:p>
    <w:p w:rsidR="00301D60" w:rsidRDefault="00301D60" w:rsidP="00571045">
      <w:pPr>
        <w:numPr>
          <w:ilvl w:val="0"/>
          <w:numId w:val="1"/>
        </w:numPr>
        <w:tabs>
          <w:tab w:val="left" w:pos="567"/>
        </w:tabs>
        <w:ind w:left="567" w:right="567"/>
        <w:jc w:val="both"/>
        <w:rPr>
          <w:rFonts w:ascii="Book Antiqua" w:hAnsi="Book Antiqua" w:cs="Arial"/>
        </w:rPr>
      </w:pPr>
      <w:r>
        <w:rPr>
          <w:rFonts w:ascii="Book Antiqua" w:hAnsi="Book Antiqua" w:cs="Arial"/>
        </w:rPr>
        <w:t>The Appellant came to live in the United Kingdom in 2006. His whole family live here. His parents came around the same time as him, and since his father’s death his mother has been living in Coventry. His sister is here (she accompanied him to the hearing before me), as is his wife, and their three children. The Appellant states that he has no relatives left in Poland. Even all of his in-laws are here: his wife’s parents and siblings.  They all live very close by to each other in Coventry.</w:t>
      </w:r>
    </w:p>
    <w:p w:rsidR="00301D60" w:rsidRDefault="00301D60" w:rsidP="00301D60">
      <w:pPr>
        <w:pStyle w:val="ListParagraph"/>
        <w:rPr>
          <w:rFonts w:ascii="Book Antiqua" w:hAnsi="Book Antiqua" w:cs="Arial"/>
        </w:rPr>
      </w:pPr>
    </w:p>
    <w:p w:rsidR="003A4058" w:rsidRDefault="00CA4D7C" w:rsidP="00CA4D7C">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has three daughters, currently aged 15, 13 and 11 (it was her birthday the day of the hearing). The elder two have lived in the United Kingdom for approximately 12 years. The youngest was born here and has always lived here.  At the time of the First-tier Tribunal hearing the Appellant’s wife had given evidence in support of his appeal. She did not attend the hearing before me: </w:t>
      </w:r>
      <w:proofErr w:type="gramStart"/>
      <w:r>
        <w:rPr>
          <w:rFonts w:ascii="Book Antiqua" w:hAnsi="Book Antiqua" w:cs="Arial"/>
        </w:rPr>
        <w:t>the</w:t>
      </w:r>
      <w:proofErr w:type="gramEnd"/>
      <w:r>
        <w:rPr>
          <w:rFonts w:ascii="Book Antiqua" w:hAnsi="Book Antiqua" w:cs="Arial"/>
        </w:rPr>
        <w:t xml:space="preserve"> Appellant, who is unrepresented, explained that he did not know that it was necessary.  Her evidence at that time (July 2017) was that their marriage had been placed under considerable strain by the Appellant’s drinking and his criminal offending. They had decided to separate but remained on good terms. She and the children live only a few </w:t>
      </w:r>
      <w:proofErr w:type="spellStart"/>
      <w:r>
        <w:rPr>
          <w:rFonts w:ascii="Book Antiqua" w:hAnsi="Book Antiqua" w:cs="Arial"/>
        </w:rPr>
        <w:t>minutes walk</w:t>
      </w:r>
      <w:proofErr w:type="spellEnd"/>
      <w:r>
        <w:rPr>
          <w:rFonts w:ascii="Book Antiqua" w:hAnsi="Book Antiqua" w:cs="Arial"/>
        </w:rPr>
        <w:t xml:space="preserve"> away from the Appellant and his mother and they are in daily contact. In the week they see each other for about 2 hours each evening, but at weekends he is around all day. She believed that his deportation would have a “very negative impact” on the children, who had already suffered a lot when he went to prison. They have a very good relationship with their father and turn to him for support. </w:t>
      </w:r>
    </w:p>
    <w:p w:rsidR="003A4058" w:rsidRDefault="003A4058" w:rsidP="003A4058">
      <w:pPr>
        <w:tabs>
          <w:tab w:val="left" w:pos="567"/>
        </w:tabs>
        <w:ind w:left="567" w:right="567"/>
        <w:jc w:val="both"/>
        <w:rPr>
          <w:rFonts w:ascii="Book Antiqua" w:hAnsi="Book Antiqua" w:cs="Arial"/>
        </w:rPr>
      </w:pPr>
    </w:p>
    <w:p w:rsidR="00CA4D7C" w:rsidRDefault="00CA4D7C" w:rsidP="00CA4D7C">
      <w:pPr>
        <w:numPr>
          <w:ilvl w:val="0"/>
          <w:numId w:val="1"/>
        </w:numPr>
        <w:tabs>
          <w:tab w:val="left" w:pos="567"/>
        </w:tabs>
        <w:ind w:left="567" w:right="567"/>
        <w:jc w:val="both"/>
        <w:rPr>
          <w:rFonts w:ascii="Book Antiqua" w:hAnsi="Book Antiqua" w:cs="Arial"/>
        </w:rPr>
      </w:pPr>
      <w:r>
        <w:rPr>
          <w:rFonts w:ascii="Book Antiqua" w:hAnsi="Book Antiqua" w:cs="Arial"/>
        </w:rPr>
        <w:t>The Appellant told me that this continues</w:t>
      </w:r>
      <w:r w:rsidR="003A4058">
        <w:rPr>
          <w:rFonts w:ascii="Book Antiqua" w:hAnsi="Book Antiqua" w:cs="Arial"/>
        </w:rPr>
        <w:t xml:space="preserve"> to be the case.   The girls</w:t>
      </w:r>
      <w:r>
        <w:rPr>
          <w:rFonts w:ascii="Book Antiqua" w:hAnsi="Book Antiqua" w:cs="Arial"/>
        </w:rPr>
        <w:t xml:space="preserve"> regularly stay overnight with him and his </w:t>
      </w:r>
      <w:proofErr w:type="gramStart"/>
      <w:r>
        <w:rPr>
          <w:rFonts w:ascii="Book Antiqua" w:hAnsi="Book Antiqua" w:cs="Arial"/>
        </w:rPr>
        <w:t>mother  -</w:t>
      </w:r>
      <w:proofErr w:type="gramEnd"/>
      <w:r>
        <w:rPr>
          <w:rFonts w:ascii="Book Antiqua" w:hAnsi="Book Antiqua" w:cs="Arial"/>
        </w:rPr>
        <w:t xml:space="preserve"> particularly the younger two – and he sees all of them every day. They are close. He has attended parents evening and end </w:t>
      </w:r>
      <w:r w:rsidR="00261F1E">
        <w:rPr>
          <w:rFonts w:ascii="Book Antiqua" w:hAnsi="Book Antiqua" w:cs="Arial"/>
        </w:rPr>
        <w:t>of term events at their schools. He did not ask any of them to attend the hearing because he does not want to frighten or worry them. They do know about the Home Office decision but he and his wife have decided not to involve the children.</w:t>
      </w:r>
      <w:r w:rsidR="003A4058">
        <w:rPr>
          <w:rFonts w:ascii="Book Antiqua" w:hAnsi="Book Antiqua" w:cs="Arial"/>
        </w:rPr>
        <w:t xml:space="preserve">  As to his marriage it is the Appellant’s hope that once “all of this” is resolved (</w:t>
      </w:r>
      <w:proofErr w:type="spellStart"/>
      <w:r w:rsidR="003A4058">
        <w:rPr>
          <w:rFonts w:ascii="Book Antiqua" w:hAnsi="Book Antiqua" w:cs="Arial"/>
        </w:rPr>
        <w:t>ie</w:t>
      </w:r>
      <w:proofErr w:type="spellEnd"/>
      <w:r w:rsidR="003A4058">
        <w:rPr>
          <w:rFonts w:ascii="Book Antiqua" w:hAnsi="Book Antiqua" w:cs="Arial"/>
        </w:rPr>
        <w:t xml:space="preserve"> the deportation action) they could be reconciled.</w:t>
      </w:r>
    </w:p>
    <w:p w:rsidR="00CA4D7C" w:rsidRDefault="00CA4D7C" w:rsidP="00CA4D7C">
      <w:pPr>
        <w:pStyle w:val="ListParagraph"/>
        <w:rPr>
          <w:rFonts w:ascii="Book Antiqua" w:hAnsi="Book Antiqua" w:cs="Arial"/>
        </w:rPr>
      </w:pPr>
    </w:p>
    <w:p w:rsidR="006C5937" w:rsidRDefault="00301D60" w:rsidP="00571045">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states that </w:t>
      </w:r>
      <w:r w:rsidR="006C5937">
        <w:rPr>
          <w:rFonts w:ascii="Book Antiqua" w:hAnsi="Book Antiqua" w:cs="Arial"/>
        </w:rPr>
        <w:t>he has regularly worked since his arrival in this country. He has had various jobs, including working in the same plant nursery as his mother, working as a machine operator and in a factory. At the moment the Home Office have his passport so he is unable to get a job. He is making money as a self-employed person by buying and selling second-hand clothes online.  Since his release from prison he has been living with his mother in Coventry. He is managing to support himself and gives his wife £220 per month towards maintenance of the children.</w:t>
      </w:r>
    </w:p>
    <w:p w:rsidR="00261F1E" w:rsidRDefault="00261F1E" w:rsidP="00261F1E">
      <w:pPr>
        <w:pStyle w:val="ListParagraph"/>
        <w:rPr>
          <w:rFonts w:ascii="Book Antiqua" w:hAnsi="Book Antiqua" w:cs="Arial"/>
        </w:rPr>
      </w:pPr>
    </w:p>
    <w:p w:rsidR="00261F1E" w:rsidRDefault="00261F1E" w:rsidP="00571045">
      <w:pPr>
        <w:numPr>
          <w:ilvl w:val="0"/>
          <w:numId w:val="1"/>
        </w:numPr>
        <w:tabs>
          <w:tab w:val="left" w:pos="567"/>
        </w:tabs>
        <w:ind w:left="567" w:right="567"/>
        <w:jc w:val="both"/>
        <w:rPr>
          <w:rFonts w:ascii="Book Antiqua" w:hAnsi="Book Antiqua" w:cs="Arial"/>
        </w:rPr>
      </w:pPr>
      <w:r>
        <w:rPr>
          <w:rFonts w:ascii="Book Antiqua" w:hAnsi="Book Antiqua" w:cs="Arial"/>
        </w:rPr>
        <w:t>The Appellant is a qualified chef but has never actually worked in the catering industry. He has gained work experience in the United Kingdom and worked before he ever left Poland. He had his own business selling fruit and vegetables from a market stall.   The Appellant states that his biggest concern upon returning to Poland would be accommodation. He doesn’t have anyone he could stay with and renting is very expensive.</w:t>
      </w:r>
    </w:p>
    <w:p w:rsidR="00261F1E" w:rsidRDefault="00261F1E" w:rsidP="00261F1E">
      <w:pPr>
        <w:pStyle w:val="ListParagraph"/>
        <w:rPr>
          <w:rFonts w:ascii="Book Antiqua" w:hAnsi="Book Antiqua" w:cs="Arial"/>
        </w:rPr>
      </w:pPr>
    </w:p>
    <w:p w:rsidR="00261F1E" w:rsidRDefault="00261F1E" w:rsidP="00571045">
      <w:pPr>
        <w:numPr>
          <w:ilvl w:val="0"/>
          <w:numId w:val="1"/>
        </w:numPr>
        <w:tabs>
          <w:tab w:val="left" w:pos="567"/>
        </w:tabs>
        <w:ind w:left="567" w:right="567"/>
        <w:jc w:val="both"/>
        <w:rPr>
          <w:rFonts w:ascii="Book Antiqua" w:hAnsi="Book Antiqua" w:cs="Arial"/>
        </w:rPr>
      </w:pPr>
      <w:r>
        <w:rPr>
          <w:rFonts w:ascii="Book Antiqua" w:hAnsi="Book Antiqua" w:cs="Arial"/>
        </w:rPr>
        <w:t>Mr Mills confirmed that the Appellant is not known to have committed any further offences since his</w:t>
      </w:r>
      <w:r w:rsidR="003A4058">
        <w:rPr>
          <w:rFonts w:ascii="Book Antiqua" w:hAnsi="Book Antiqua" w:cs="Arial"/>
        </w:rPr>
        <w:t xml:space="preserve"> conviction for possession of ampheta</w:t>
      </w:r>
      <w:r>
        <w:rPr>
          <w:rFonts w:ascii="Book Antiqua" w:hAnsi="Book Antiqua" w:cs="Arial"/>
        </w:rPr>
        <w:t>mines in July 2017. In evidence he said that he has not consumed alcohol – the root of most, if not all</w:t>
      </w:r>
      <w:r w:rsidR="003A4058">
        <w:rPr>
          <w:rFonts w:ascii="Book Antiqua" w:hAnsi="Book Antiqua" w:cs="Arial"/>
        </w:rPr>
        <w:t>,</w:t>
      </w:r>
      <w:r>
        <w:rPr>
          <w:rFonts w:ascii="Book Antiqua" w:hAnsi="Book Antiqua" w:cs="Arial"/>
        </w:rPr>
        <w:t xml:space="preserve"> of his offending behaviour – since being diagnosed with Type 1 Diabetes in April/May of last year. </w:t>
      </w:r>
      <w:r w:rsidR="00C23F01">
        <w:rPr>
          <w:rFonts w:ascii="Book Antiqua" w:hAnsi="Book Antiqua" w:cs="Arial"/>
        </w:rPr>
        <w:t xml:space="preserve"> He is now unable to tolerate alcohol in any quantity.</w:t>
      </w:r>
    </w:p>
    <w:p w:rsidR="00261F1E" w:rsidRDefault="00261F1E" w:rsidP="00261F1E">
      <w:pPr>
        <w:pStyle w:val="ListParagraph"/>
        <w:rPr>
          <w:rFonts w:ascii="Book Antiqua" w:hAnsi="Book Antiqua" w:cs="Arial"/>
        </w:rPr>
      </w:pPr>
    </w:p>
    <w:p w:rsidR="00261F1E" w:rsidRDefault="00261F1E" w:rsidP="00571045">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weighed all of that evidence in the balance. </w:t>
      </w:r>
      <w:r w:rsidR="002A1F50">
        <w:rPr>
          <w:rFonts w:ascii="Book Antiqua" w:hAnsi="Book Antiqua" w:cs="Arial"/>
        </w:rPr>
        <w:t>I remind myself that the Appellant had not managed to establish that prior to enforcement action being taken he had accrued five years living in the United Kingdom “in accordance with the Regulations”</w:t>
      </w:r>
      <w:r w:rsidR="00505DA4">
        <w:rPr>
          <w:rFonts w:ascii="Book Antiqua" w:hAnsi="Book Antiqua" w:cs="Arial"/>
        </w:rPr>
        <w:t>. Although I accept that he has been living and working in this country for some 12 years his status as a qualified person, or as the family member of a qualified person, has not been consistent, or at least has not been consistently proven. I further remind myself of the reason that the Secretary of State seeks to deport this man: between 2014 and 2017 he committed a series of no less than 18 criminal offences, ranging from possession of a class B drug to possession of an imitation</w:t>
      </w:r>
      <w:r w:rsidR="00C23F01">
        <w:rPr>
          <w:rFonts w:ascii="Book Antiqua" w:hAnsi="Book Antiqua" w:cs="Arial"/>
        </w:rPr>
        <w:t xml:space="preserve"> firearm. Most</w:t>
      </w:r>
      <w:r w:rsidR="003A4058">
        <w:rPr>
          <w:rFonts w:ascii="Book Antiqua" w:hAnsi="Book Antiqua" w:cs="Arial"/>
        </w:rPr>
        <w:t xml:space="preserve"> of t</w:t>
      </w:r>
      <w:r w:rsidR="00505DA4">
        <w:rPr>
          <w:rFonts w:ascii="Book Antiqua" w:hAnsi="Book Antiqua" w:cs="Arial"/>
        </w:rPr>
        <w:t>hese offences were committed under the influence of alcohol, a problem which by the Appellant’s own admission also led to the breakdown of his marriage.</w:t>
      </w:r>
    </w:p>
    <w:p w:rsidR="00505DA4" w:rsidRDefault="00505DA4" w:rsidP="00505DA4">
      <w:pPr>
        <w:pStyle w:val="ListParagraph"/>
        <w:rPr>
          <w:rFonts w:ascii="Book Antiqua" w:hAnsi="Book Antiqua" w:cs="Arial"/>
        </w:rPr>
      </w:pPr>
    </w:p>
    <w:p w:rsidR="00505DA4" w:rsidRDefault="00505DA4" w:rsidP="00571045">
      <w:pPr>
        <w:numPr>
          <w:ilvl w:val="0"/>
          <w:numId w:val="1"/>
        </w:numPr>
        <w:tabs>
          <w:tab w:val="left" w:pos="567"/>
        </w:tabs>
        <w:ind w:left="567" w:right="567"/>
        <w:jc w:val="both"/>
        <w:rPr>
          <w:rFonts w:ascii="Book Antiqua" w:hAnsi="Book Antiqua" w:cs="Arial"/>
        </w:rPr>
      </w:pPr>
      <w:r>
        <w:rPr>
          <w:rFonts w:ascii="Book Antiqua" w:hAnsi="Book Antiqua" w:cs="Arial"/>
        </w:rPr>
        <w:t>The burden rests on the Secretary of State to show that the Appellant’s deportation is necessary to protect the fundamental interests of society.   Having regard to the factors set out at Regulation 27 I find as follows.</w:t>
      </w:r>
    </w:p>
    <w:p w:rsidR="00505DA4" w:rsidRDefault="00505DA4" w:rsidP="00505DA4">
      <w:pPr>
        <w:pStyle w:val="ListParagraph"/>
        <w:rPr>
          <w:rFonts w:ascii="Book Antiqua" w:hAnsi="Book Antiqua" w:cs="Arial"/>
        </w:rPr>
      </w:pPr>
    </w:p>
    <w:p w:rsidR="00505DA4" w:rsidRDefault="00505DA4" w:rsidP="00571045">
      <w:pPr>
        <w:numPr>
          <w:ilvl w:val="0"/>
          <w:numId w:val="1"/>
        </w:numPr>
        <w:tabs>
          <w:tab w:val="left" w:pos="567"/>
        </w:tabs>
        <w:ind w:left="567" w:right="567"/>
        <w:jc w:val="both"/>
        <w:rPr>
          <w:rFonts w:ascii="Book Antiqua" w:hAnsi="Book Antiqua" w:cs="Arial"/>
        </w:rPr>
      </w:pPr>
      <w:r>
        <w:rPr>
          <w:rFonts w:ascii="Book Antiqua" w:hAnsi="Book Antiqua" w:cs="Arial"/>
        </w:rPr>
        <w:t xml:space="preserve">The offences themselves are, I find, a serious indication that whilst he was committing them the Appellant had little to no regard for the safety of the wider public or indeed himself. </w:t>
      </w:r>
      <w:r w:rsidR="003C7DAA">
        <w:rPr>
          <w:rFonts w:ascii="Book Antiqua" w:hAnsi="Book Antiqua" w:cs="Arial"/>
        </w:rPr>
        <w:t>For instance, d</w:t>
      </w:r>
      <w:r w:rsidR="00855FD5">
        <w:rPr>
          <w:rFonts w:ascii="Book Antiqua" w:hAnsi="Book Antiqua" w:cs="Arial"/>
        </w:rPr>
        <w:t>riving under the influence of alcohol</w:t>
      </w:r>
      <w:r w:rsidR="003C7DAA">
        <w:rPr>
          <w:rFonts w:ascii="Book Antiqua" w:hAnsi="Book Antiqua" w:cs="Arial"/>
        </w:rPr>
        <w:t xml:space="preserve"> shows a marked disregard for those around him.  Whilst Mr Mills very fairly acknowledged that there has been no further offending, and that the spree does appear to have come to an end once the Appellant ended his troubled relationship with alcohol, the multiple offences and the repeated nature of the offending is something that I must give significant weight to.</w:t>
      </w:r>
      <w:r>
        <w:rPr>
          <w:rFonts w:ascii="Book Antiqua" w:hAnsi="Book Antiqua" w:cs="Arial"/>
        </w:rPr>
        <w:t xml:space="preserve"> </w:t>
      </w:r>
      <w:r w:rsidR="003C7DAA">
        <w:rPr>
          <w:rFonts w:ascii="Book Antiqua" w:hAnsi="Book Antiqua" w:cs="Arial"/>
        </w:rPr>
        <w:t>The question is whether those factors can be outweighed in the proportionality balancing exercise by the Appellant’s family life.</w:t>
      </w:r>
    </w:p>
    <w:p w:rsidR="003C7DAA" w:rsidRDefault="003C7DAA" w:rsidP="003C7DAA">
      <w:pPr>
        <w:pStyle w:val="ListParagraph"/>
        <w:rPr>
          <w:rFonts w:ascii="Book Antiqua" w:hAnsi="Book Antiqua" w:cs="Arial"/>
        </w:rPr>
      </w:pPr>
    </w:p>
    <w:p w:rsidR="003C7DAA" w:rsidRDefault="00C23F01" w:rsidP="00571045">
      <w:pPr>
        <w:numPr>
          <w:ilvl w:val="0"/>
          <w:numId w:val="1"/>
        </w:numPr>
        <w:tabs>
          <w:tab w:val="left" w:pos="567"/>
        </w:tabs>
        <w:ind w:left="567" w:right="567"/>
        <w:jc w:val="both"/>
        <w:rPr>
          <w:rFonts w:ascii="Book Antiqua" w:hAnsi="Book Antiqua" w:cs="Arial"/>
        </w:rPr>
      </w:pPr>
      <w:r>
        <w:rPr>
          <w:rFonts w:ascii="Book Antiqua" w:hAnsi="Book Antiqua" w:cs="Arial"/>
        </w:rPr>
        <w:t xml:space="preserve">Having considered all of the </w:t>
      </w:r>
      <w:r w:rsidR="001C2EA1">
        <w:rPr>
          <w:rFonts w:ascii="Book Antiqua" w:hAnsi="Book Antiqua" w:cs="Arial"/>
        </w:rPr>
        <w:t xml:space="preserve">evidence </w:t>
      </w:r>
      <w:r>
        <w:rPr>
          <w:rFonts w:ascii="Book Antiqua" w:hAnsi="Book Antiqua" w:cs="Arial"/>
        </w:rPr>
        <w:t xml:space="preserve">I find it </w:t>
      </w:r>
      <w:r w:rsidR="001C2EA1">
        <w:rPr>
          <w:rFonts w:ascii="Book Antiqua" w:hAnsi="Book Antiqua" w:cs="Arial"/>
        </w:rPr>
        <w:t xml:space="preserve">is such that I am unable to find the Appellant’s </w:t>
      </w:r>
      <w:r w:rsidR="003A4058">
        <w:rPr>
          <w:rFonts w:ascii="Book Antiqua" w:hAnsi="Book Antiqua" w:cs="Arial"/>
        </w:rPr>
        <w:t xml:space="preserve">deportation is a proportionate response. </w:t>
      </w:r>
    </w:p>
    <w:p w:rsidR="003A4058" w:rsidRDefault="003A4058" w:rsidP="003A4058">
      <w:pPr>
        <w:pStyle w:val="ListParagraph"/>
        <w:rPr>
          <w:rFonts w:ascii="Book Antiqua" w:hAnsi="Book Antiqua" w:cs="Arial"/>
        </w:rPr>
      </w:pPr>
    </w:p>
    <w:p w:rsidR="00C23F01" w:rsidRDefault="003A4058" w:rsidP="00571045">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has, the Respondent accepts, a genuine and subsisting parental relationship with three children who have grown up with him as a ‘present’ father. He has, since his separation from their mother, maintained daily contact with them. They stay with him, and their paternal grandmother, at least one night per week. He supports them, and their mother, not just financially but emotionally: he takes an active role in their upbringing. Whilst it cannot be said that </w:t>
      </w:r>
      <w:r w:rsidR="00B4574D">
        <w:rPr>
          <w:rFonts w:ascii="Book Antiqua" w:hAnsi="Book Antiqua" w:cs="Arial"/>
        </w:rPr>
        <w:t xml:space="preserve">the relationship would be entirely nullified by his removal, I accept that the interference would be substantial - their normal day to day interaction would be a thing of the past.  I find that it would be strongly in the best interests of these children if their father were not deported. The entire extended family is here, settled in this country. The girls are all in full time education in this country and regard it as their home. The prospects of them and their mother returning to Poland now are negligible.  If they did so in order to preserve their relationship with their father, it would come at the price of their relationships with both sets of grandparents, aunts, uncles and of course their established friendships and </w:t>
      </w:r>
      <w:r w:rsidR="00280BB8">
        <w:rPr>
          <w:rFonts w:ascii="Book Antiqua" w:hAnsi="Book Antiqua" w:cs="Arial"/>
        </w:rPr>
        <w:t>positions in school.  If, in the alternative, they</w:t>
      </w:r>
      <w:r w:rsidR="00140375">
        <w:rPr>
          <w:rFonts w:ascii="Book Antiqua" w:hAnsi="Book Antiqua" w:cs="Arial"/>
        </w:rPr>
        <w:t xml:space="preserve"> did not go, they would in effect lose</w:t>
      </w:r>
      <w:r w:rsidR="00C23F01">
        <w:rPr>
          <w:rFonts w:ascii="Book Antiqua" w:hAnsi="Book Antiqua" w:cs="Arial"/>
        </w:rPr>
        <w:t xml:space="preserve"> their ‘normal’ relationship with their father, a relationship to be replaced by phone calls and occasional visits.   They are not to be in any way blamed for their father’s criminality, yet it is they who would bear the brunt of the consequences.</w:t>
      </w:r>
    </w:p>
    <w:p w:rsidR="003A4058" w:rsidRDefault="00C23F01" w:rsidP="00C23F01">
      <w:pPr>
        <w:tabs>
          <w:tab w:val="left" w:pos="567"/>
        </w:tabs>
        <w:ind w:left="567" w:right="567"/>
        <w:jc w:val="both"/>
        <w:rPr>
          <w:rFonts w:ascii="Book Antiqua" w:hAnsi="Book Antiqua" w:cs="Arial"/>
        </w:rPr>
      </w:pPr>
      <w:r>
        <w:rPr>
          <w:rFonts w:ascii="Book Antiqua" w:hAnsi="Book Antiqua" w:cs="Arial"/>
        </w:rPr>
        <w:t xml:space="preserve"> </w:t>
      </w:r>
    </w:p>
    <w:p w:rsidR="00C23F01" w:rsidRDefault="00C23F01" w:rsidP="00571045">
      <w:pPr>
        <w:numPr>
          <w:ilvl w:val="0"/>
          <w:numId w:val="1"/>
        </w:numPr>
        <w:tabs>
          <w:tab w:val="left" w:pos="567"/>
        </w:tabs>
        <w:ind w:left="567" w:right="567"/>
        <w:jc w:val="both"/>
        <w:rPr>
          <w:rFonts w:ascii="Book Antiqua" w:hAnsi="Book Antiqua" w:cs="Arial"/>
        </w:rPr>
      </w:pPr>
      <w:r>
        <w:rPr>
          <w:rFonts w:ascii="Book Antiqua" w:hAnsi="Book Antiqua" w:cs="Arial"/>
        </w:rPr>
        <w:t>It is of course trite that some</w:t>
      </w:r>
      <w:r w:rsidR="001E6A6B">
        <w:rPr>
          <w:rFonts w:ascii="Book Antiqua" w:hAnsi="Book Antiqua" w:cs="Arial"/>
        </w:rPr>
        <w:t>times, separation and the break</w:t>
      </w:r>
      <w:r>
        <w:rPr>
          <w:rFonts w:ascii="Book Antiqua" w:hAnsi="Book Antiqua" w:cs="Arial"/>
        </w:rPr>
        <w:t xml:space="preserve">up of families is the inevitable and tragic consequence of criminal behaviour. </w:t>
      </w:r>
      <w:proofErr w:type="gramStart"/>
      <w:r>
        <w:rPr>
          <w:rFonts w:ascii="Book Antiqua" w:hAnsi="Book Antiqua" w:cs="Arial"/>
        </w:rPr>
        <w:t>However</w:t>
      </w:r>
      <w:proofErr w:type="gramEnd"/>
      <w:r>
        <w:rPr>
          <w:rFonts w:ascii="Book Antiqua" w:hAnsi="Book Antiqua" w:cs="Arial"/>
        </w:rPr>
        <w:t xml:space="preserve"> in a case like this, where the criminality appears to have been driven by – or at least connected with – a particular life event (the death of the Appellant’s father) and where the underlying cause (alcohol abuse) has been effectively dealt with, serious consideration must be given to whether it is right to make the children suffer the grave consequence of losing their father. In all the circumstances I do not consider that this would be the proportionate </w:t>
      </w:r>
      <w:r w:rsidR="00604269">
        <w:rPr>
          <w:rFonts w:ascii="Book Antiqua" w:hAnsi="Book Antiqua" w:cs="Arial"/>
        </w:rPr>
        <w:t>response.</w:t>
      </w:r>
      <w:r>
        <w:rPr>
          <w:rFonts w:ascii="Book Antiqua" w:hAnsi="Book Antiqua" w:cs="Arial"/>
        </w:rPr>
        <w:t xml:space="preserve"> </w:t>
      </w:r>
    </w:p>
    <w:p w:rsidR="00C23F01" w:rsidRDefault="00C23F01" w:rsidP="00C23F01">
      <w:pPr>
        <w:pStyle w:val="ListParagraph"/>
        <w:rPr>
          <w:rFonts w:ascii="Book Antiqua" w:hAnsi="Book Antiqua" w:cs="Arial"/>
        </w:rPr>
      </w:pPr>
    </w:p>
    <w:p w:rsidR="00C23F01" w:rsidRDefault="00604269" w:rsidP="00571045">
      <w:pPr>
        <w:numPr>
          <w:ilvl w:val="0"/>
          <w:numId w:val="1"/>
        </w:numPr>
        <w:tabs>
          <w:tab w:val="left" w:pos="567"/>
        </w:tabs>
        <w:ind w:left="567" w:right="567"/>
        <w:jc w:val="both"/>
        <w:rPr>
          <w:rFonts w:ascii="Book Antiqua" w:hAnsi="Book Antiqua" w:cs="Arial"/>
        </w:rPr>
      </w:pPr>
      <w:r>
        <w:rPr>
          <w:rFonts w:ascii="Book Antiqua" w:hAnsi="Book Antiqua" w:cs="Arial"/>
        </w:rPr>
        <w:t>For those reasons I allow the appeal.</w:t>
      </w:r>
    </w:p>
    <w:p w:rsidR="00C23F01" w:rsidRDefault="00C23F01" w:rsidP="00C23F01">
      <w:pPr>
        <w:pStyle w:val="ListParagraph"/>
        <w:rPr>
          <w:rFonts w:ascii="Book Antiqua" w:hAnsi="Book Antiqua" w:cs="Arial"/>
        </w:rPr>
      </w:pPr>
    </w:p>
    <w:p w:rsidR="00604269" w:rsidRDefault="00604269" w:rsidP="00C23F01">
      <w:pPr>
        <w:pStyle w:val="ListParagraph"/>
        <w:rPr>
          <w:rFonts w:ascii="Book Antiqua" w:hAnsi="Book Antiqua" w:cs="Arial"/>
        </w:rPr>
      </w:pPr>
    </w:p>
    <w:p w:rsidR="00301D60" w:rsidRPr="00DD3077" w:rsidRDefault="00301D60" w:rsidP="00301D60">
      <w:pPr>
        <w:tabs>
          <w:tab w:val="left" w:pos="567"/>
        </w:tabs>
        <w:ind w:right="567"/>
        <w:jc w:val="both"/>
        <w:rPr>
          <w:rFonts w:ascii="Book Antiqua" w:hAnsi="Book Antiqua" w:cs="Arial"/>
          <w:b/>
        </w:rPr>
      </w:pPr>
      <w:r>
        <w:rPr>
          <w:rFonts w:ascii="Book Antiqua" w:hAnsi="Book Antiqua" w:cs="Arial"/>
          <w:b/>
        </w:rPr>
        <w:tab/>
        <w:t>Decision</w:t>
      </w:r>
    </w:p>
    <w:p w:rsidR="00301D60" w:rsidRDefault="00301D60" w:rsidP="00301D60">
      <w:pPr>
        <w:tabs>
          <w:tab w:val="left" w:pos="567"/>
        </w:tabs>
        <w:ind w:left="567" w:right="567"/>
        <w:jc w:val="both"/>
        <w:rPr>
          <w:rFonts w:ascii="Book Antiqua" w:hAnsi="Book Antiqua" w:cs="Arial"/>
        </w:rPr>
      </w:pPr>
    </w:p>
    <w:p w:rsidR="00CC495A" w:rsidRPr="00571045" w:rsidRDefault="00301D60" w:rsidP="00571045">
      <w:pPr>
        <w:numPr>
          <w:ilvl w:val="0"/>
          <w:numId w:val="1"/>
        </w:numPr>
        <w:tabs>
          <w:tab w:val="left" w:pos="567"/>
        </w:tabs>
        <w:ind w:left="567" w:right="567"/>
        <w:jc w:val="both"/>
        <w:rPr>
          <w:rFonts w:ascii="Book Antiqua" w:hAnsi="Book Antiqua" w:cs="Arial"/>
        </w:rPr>
      </w:pPr>
      <w:r>
        <w:rPr>
          <w:rFonts w:ascii="Book Antiqua" w:hAnsi="Book Antiqua" w:cs="Arial"/>
        </w:rPr>
        <w:t>T</w:t>
      </w:r>
      <w:r w:rsidR="00D219F1" w:rsidRPr="00135F51">
        <w:rPr>
          <w:rFonts w:ascii="Book Antiqua" w:hAnsi="Book Antiqua" w:cs="Arial"/>
        </w:rPr>
        <w:t>he determination of the First-tier Tribunal</w:t>
      </w:r>
      <w:r w:rsidR="00C2165D" w:rsidRPr="00135F51">
        <w:rPr>
          <w:rFonts w:ascii="Book Antiqua" w:hAnsi="Book Antiqua" w:cs="Arial"/>
        </w:rPr>
        <w:t xml:space="preserve"> </w:t>
      </w:r>
      <w:r w:rsidR="00571045">
        <w:rPr>
          <w:rFonts w:ascii="Book Antiqua" w:hAnsi="Book Antiqua" w:cs="Arial"/>
        </w:rPr>
        <w:t>is set aside to the extent identified above.</w:t>
      </w:r>
    </w:p>
    <w:p w:rsidR="00FA1BDC" w:rsidRDefault="00FA1BDC" w:rsidP="00FA1BDC">
      <w:pPr>
        <w:tabs>
          <w:tab w:val="left" w:pos="567"/>
        </w:tabs>
        <w:ind w:left="567" w:right="567"/>
        <w:jc w:val="both"/>
        <w:rPr>
          <w:rFonts w:ascii="Book Antiqua" w:hAnsi="Book Antiqua" w:cs="Arial"/>
        </w:rPr>
      </w:pPr>
    </w:p>
    <w:p w:rsidR="00301D60" w:rsidRDefault="00CC495A" w:rsidP="00135F51">
      <w:pPr>
        <w:numPr>
          <w:ilvl w:val="0"/>
          <w:numId w:val="1"/>
        </w:numPr>
        <w:tabs>
          <w:tab w:val="left" w:pos="567"/>
        </w:tabs>
        <w:ind w:left="567" w:right="567"/>
        <w:jc w:val="both"/>
        <w:rPr>
          <w:rFonts w:ascii="Book Antiqua" w:hAnsi="Book Antiqua" w:cs="Arial"/>
        </w:rPr>
      </w:pPr>
      <w:r>
        <w:rPr>
          <w:rFonts w:ascii="Book Antiqua" w:hAnsi="Book Antiqua" w:cs="Arial"/>
        </w:rPr>
        <w:t>There is no</w:t>
      </w:r>
      <w:r w:rsidR="0077136A" w:rsidRPr="00135F51">
        <w:rPr>
          <w:rFonts w:ascii="Book Antiqua" w:hAnsi="Book Antiqua" w:cs="Arial"/>
        </w:rPr>
        <w:t xml:space="preserve"> </w:t>
      </w:r>
      <w:r w:rsidR="00466992" w:rsidRPr="00135F51">
        <w:rPr>
          <w:rFonts w:ascii="Book Antiqua" w:hAnsi="Book Antiqua" w:cs="Arial"/>
        </w:rPr>
        <w:t>order for anonymity</w:t>
      </w:r>
      <w:r w:rsidR="00301D60">
        <w:rPr>
          <w:rFonts w:ascii="Book Antiqua" w:hAnsi="Book Antiqua" w:cs="Arial"/>
        </w:rPr>
        <w:t>.</w:t>
      </w:r>
    </w:p>
    <w:p w:rsidR="00301D60" w:rsidRDefault="00301D60" w:rsidP="00301D60">
      <w:pPr>
        <w:pStyle w:val="ListParagraph"/>
        <w:rPr>
          <w:rFonts w:ascii="Book Antiqua" w:hAnsi="Book Antiqua" w:cs="Arial"/>
        </w:rPr>
      </w:pPr>
    </w:p>
    <w:p w:rsidR="00301D60" w:rsidRDefault="00301D60" w:rsidP="00135F51">
      <w:pPr>
        <w:numPr>
          <w:ilvl w:val="0"/>
          <w:numId w:val="1"/>
        </w:numPr>
        <w:tabs>
          <w:tab w:val="left" w:pos="567"/>
        </w:tabs>
        <w:ind w:left="567" w:right="567"/>
        <w:jc w:val="both"/>
        <w:rPr>
          <w:rFonts w:ascii="Book Antiqua" w:hAnsi="Book Antiqua" w:cs="Arial"/>
        </w:rPr>
      </w:pPr>
      <w:r>
        <w:rPr>
          <w:rFonts w:ascii="Book Antiqua" w:hAnsi="Book Antiqua" w:cs="Arial"/>
        </w:rPr>
        <w:t>The decision in the appeal is remade as follows: “the appeal is allowed with reference to the Immigration (European Economic Area) Regulations 2016”.</w:t>
      </w:r>
    </w:p>
    <w:p w:rsidR="00301D60" w:rsidRDefault="00301D60" w:rsidP="00301D60">
      <w:pPr>
        <w:pStyle w:val="ListParagraph"/>
        <w:rPr>
          <w:rFonts w:ascii="Book Antiqua" w:hAnsi="Book Antiqua" w:cs="Arial"/>
        </w:rPr>
      </w:pPr>
    </w:p>
    <w:p w:rsidR="00E5687D" w:rsidRPr="00B1620C" w:rsidRDefault="001E6A6B" w:rsidP="00E5687D">
      <w:pPr>
        <w:pStyle w:val="ListParagraph"/>
        <w:ind w:left="5760" w:firstLine="720"/>
        <w:rPr>
          <w:rFonts w:ascii="Book Antiqua" w:hAnsi="Book Antiqua" w:cs="Arial"/>
        </w:rPr>
      </w:pPr>
      <w:r w:rsidRPr="002919A8">
        <w:rPr>
          <w:noProof/>
        </w:rPr>
        <w:drawing>
          <wp:inline distT="0" distB="0" distL="0" distR="0">
            <wp:extent cx="1645920" cy="8153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815340"/>
                    </a:xfrm>
                    <a:prstGeom prst="rect">
                      <a:avLst/>
                    </a:prstGeom>
                    <a:noFill/>
                    <a:ln>
                      <a:noFill/>
                    </a:ln>
                  </pic:spPr>
                </pic:pic>
              </a:graphicData>
            </a:graphic>
          </wp:inline>
        </w:drawing>
      </w: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301D60">
        <w:rPr>
          <w:rFonts w:ascii="Book Antiqua" w:hAnsi="Book Antiqua" w:cs="Arial"/>
        </w:rPr>
        <w:t>1</w:t>
      </w:r>
      <w:r w:rsidR="00E55AD4">
        <w:rPr>
          <w:rFonts w:ascii="Book Antiqua" w:hAnsi="Book Antiqua" w:cs="Arial"/>
        </w:rPr>
        <w:t>7</w:t>
      </w:r>
      <w:r w:rsidR="000F1481" w:rsidRPr="000F1481">
        <w:rPr>
          <w:rFonts w:ascii="Book Antiqua" w:hAnsi="Book Antiqua" w:cs="Arial"/>
          <w:vertAlign w:val="superscript"/>
        </w:rPr>
        <w:t>th</w:t>
      </w:r>
      <w:r w:rsidR="000F1481">
        <w:rPr>
          <w:rFonts w:ascii="Book Antiqua" w:hAnsi="Book Antiqua" w:cs="Arial"/>
        </w:rPr>
        <w:t xml:space="preserve"> </w:t>
      </w:r>
      <w:r w:rsidR="00301D60">
        <w:rPr>
          <w:rFonts w:ascii="Book Antiqua" w:hAnsi="Book Antiqua" w:cs="Arial"/>
        </w:rPr>
        <w:t>September</w:t>
      </w:r>
      <w:r w:rsidR="000F1481">
        <w:rPr>
          <w:rFonts w:ascii="Book Antiqua" w:hAnsi="Book Antiqua" w:cs="Arial"/>
        </w:rPr>
        <w:t xml:space="preserve"> </w:t>
      </w:r>
      <w:r w:rsidR="00456555">
        <w:rPr>
          <w:rFonts w:ascii="Book Antiqua" w:hAnsi="Book Antiqua" w:cs="Arial"/>
        </w:rPr>
        <w:t>2018</w:t>
      </w:r>
    </w:p>
    <w:sectPr w:rsidR="00D219F1" w:rsidSect="00256F9B">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BE1" w:rsidRDefault="00DB3BE1">
      <w:r>
        <w:separator/>
      </w:r>
    </w:p>
  </w:endnote>
  <w:endnote w:type="continuationSeparator" w:id="0">
    <w:p w:rsidR="00DB3BE1" w:rsidRDefault="00DB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12" w:rsidRPr="00593795" w:rsidRDefault="00867912"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15A10">
      <w:rPr>
        <w:rStyle w:val="PageNumber"/>
        <w:rFonts w:ascii="Arial" w:hAnsi="Arial" w:cs="Arial"/>
        <w:noProof/>
        <w:sz w:val="16"/>
        <w:szCs w:val="16"/>
      </w:rPr>
      <w:t>10</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12" w:rsidRPr="00090CF9" w:rsidRDefault="00867912"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BE1" w:rsidRDefault="00DB3BE1">
      <w:r>
        <w:separator/>
      </w:r>
    </w:p>
  </w:footnote>
  <w:footnote w:type="continuationSeparator" w:id="0">
    <w:p w:rsidR="00DB3BE1" w:rsidRDefault="00DB3BE1">
      <w:r>
        <w:continuationSeparator/>
      </w:r>
    </w:p>
  </w:footnote>
  <w:footnote w:id="1">
    <w:p w:rsidR="00867912" w:rsidRDefault="00867912">
      <w:pPr>
        <w:pStyle w:val="FootnoteText"/>
      </w:pPr>
      <w:r>
        <w:rPr>
          <w:rStyle w:val="FootnoteReference"/>
        </w:rPr>
        <w:footnoteRef/>
      </w:r>
      <w:r>
        <w:t xml:space="preserve"> </w:t>
      </w:r>
      <w:r w:rsidRPr="00B12C25">
        <w:rPr>
          <w:rFonts w:ascii="Book Antiqua" w:hAnsi="Book Antiqua"/>
          <w:sz w:val="20"/>
          <w:szCs w:val="20"/>
        </w:rPr>
        <w:t>Permission was refused by First-tier Tribunal Judge Bennett on the 7</w:t>
      </w:r>
      <w:r w:rsidRPr="00B12C25">
        <w:rPr>
          <w:rFonts w:ascii="Book Antiqua" w:hAnsi="Book Antiqua"/>
          <w:sz w:val="20"/>
          <w:szCs w:val="20"/>
          <w:vertAlign w:val="superscript"/>
        </w:rPr>
        <w:t>th</w:t>
      </w:r>
      <w:r w:rsidRPr="00B12C25">
        <w:rPr>
          <w:rFonts w:ascii="Book Antiqua" w:hAnsi="Book Antiqua"/>
          <w:sz w:val="20"/>
          <w:szCs w:val="20"/>
        </w:rPr>
        <w:t xml:space="preserve"> September 2017; it was granted upon renewed application by Upper Tribunal Judge Pitt on the 17</w:t>
      </w:r>
      <w:r w:rsidRPr="00B12C25">
        <w:rPr>
          <w:rFonts w:ascii="Book Antiqua" w:hAnsi="Book Antiqua"/>
          <w:sz w:val="20"/>
          <w:szCs w:val="20"/>
          <w:vertAlign w:val="superscript"/>
        </w:rPr>
        <w:t>th</w:t>
      </w:r>
      <w:r w:rsidRPr="00B12C25">
        <w:rPr>
          <w:rFonts w:ascii="Book Antiqua" w:hAnsi="Book Antiqua"/>
          <w:sz w:val="20"/>
          <w:szCs w:val="20"/>
        </w:rPr>
        <w:t xml:space="preserve"> October 2017</w:t>
      </w:r>
    </w:p>
    <w:p w:rsidR="00867912" w:rsidRDefault="008679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12" w:rsidRDefault="00867912"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DA/00294/</w:t>
    </w:r>
    <w:r w:rsidR="000C2BCE">
      <w:rPr>
        <w:rFonts w:ascii="Book Antiqua" w:hAnsi="Book Antiqua" w:cs="Arial"/>
        <w:color w:val="000000"/>
        <w:sz w:val="20"/>
        <w:szCs w:val="20"/>
      </w:rPr>
      <w:t>20</w:t>
    </w:r>
    <w:r>
      <w:rPr>
        <w:rFonts w:ascii="Book Antiqua" w:hAnsi="Book Antiqua" w:cs="Arial"/>
        <w:color w:val="000000"/>
        <w:sz w:val="20"/>
        <w:szCs w:val="20"/>
      </w:rPr>
      <w:t>17</w:t>
    </w:r>
  </w:p>
  <w:p w:rsidR="00867912" w:rsidRPr="00FE1BCE" w:rsidRDefault="00867912" w:rsidP="00865722">
    <w:pPr>
      <w:tabs>
        <w:tab w:val="right" w:pos="9720"/>
      </w:tabs>
      <w:ind w:right="-82"/>
      <w:rPr>
        <w:rFonts w:ascii="Book Antiqua" w:hAnsi="Book Antiqua" w:cs="Arial"/>
        <w:color w:val="000000"/>
        <w:sz w:val="20"/>
        <w:szCs w:val="20"/>
      </w:rPr>
    </w:pPr>
  </w:p>
  <w:p w:rsidR="00867912" w:rsidRPr="00D25E1A" w:rsidRDefault="00867912" w:rsidP="00FE1BCE">
    <w:pPr>
      <w:pStyle w:val="Header"/>
      <w:rPr>
        <w:rFonts w:ascii="Book Antiqua" w:hAnsi="Book Antiqua"/>
        <w:sz w:val="20"/>
        <w:szCs w:val="20"/>
      </w:rPr>
    </w:pPr>
  </w:p>
  <w:p w:rsidR="00867912" w:rsidRPr="00850A1F" w:rsidRDefault="00867912" w:rsidP="00850A1F">
    <w:pPr>
      <w:pStyle w:val="Header"/>
      <w:jc w:val="right"/>
      <w:rPr>
        <w:rFonts w:ascii="Book Antiqua" w:hAnsi="Book Antiqua"/>
        <w:sz w:val="16"/>
        <w:szCs w:val="16"/>
      </w:rPr>
    </w:pPr>
  </w:p>
  <w:p w:rsidR="00867912" w:rsidRPr="003C5CE5" w:rsidRDefault="00867912"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12" w:rsidRPr="00FE1BCE" w:rsidRDefault="00867912"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867912" w:rsidRPr="00D25E1A" w:rsidRDefault="00867912"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6036F2"/>
    <w:multiLevelType w:val="hybridMultilevel"/>
    <w:tmpl w:val="281629DE"/>
    <w:lvl w:ilvl="0" w:tplc="6A50E0D6">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3" w15:restartNumberingAfterBreak="0">
    <w:nsid w:val="19A15D8B"/>
    <w:multiLevelType w:val="hybridMultilevel"/>
    <w:tmpl w:val="7012C9BA"/>
    <w:lvl w:ilvl="0" w:tplc="A05A4ED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42C63"/>
    <w:multiLevelType w:val="hybridMultilevel"/>
    <w:tmpl w:val="52561AE0"/>
    <w:lvl w:ilvl="0" w:tplc="D096C54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7" w15:restartNumberingAfterBreak="0">
    <w:nsid w:val="215734BA"/>
    <w:multiLevelType w:val="hybridMultilevel"/>
    <w:tmpl w:val="0FFC970E"/>
    <w:lvl w:ilvl="0" w:tplc="A5880090">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9"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2" w15:restartNumberingAfterBreak="0">
    <w:nsid w:val="36DE2A32"/>
    <w:multiLevelType w:val="hybridMultilevel"/>
    <w:tmpl w:val="F416A5A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4" w15:restartNumberingAfterBreak="0">
    <w:nsid w:val="3A2279A0"/>
    <w:multiLevelType w:val="hybridMultilevel"/>
    <w:tmpl w:val="85D6C7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E85467C"/>
    <w:multiLevelType w:val="hybridMultilevel"/>
    <w:tmpl w:val="37284B26"/>
    <w:lvl w:ilvl="0" w:tplc="5B204CA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6"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7" w15:restartNumberingAfterBreak="0">
    <w:nsid w:val="48134E75"/>
    <w:multiLevelType w:val="hybridMultilevel"/>
    <w:tmpl w:val="F58A74A2"/>
    <w:lvl w:ilvl="0" w:tplc="55A4F1E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F597E"/>
    <w:multiLevelType w:val="hybridMultilevel"/>
    <w:tmpl w:val="B4C698F4"/>
    <w:lvl w:ilvl="0" w:tplc="64627F6C">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1"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3"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4"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10"/>
  </w:num>
  <w:num w:numId="2">
    <w:abstractNumId w:val="22"/>
  </w:num>
  <w:num w:numId="3">
    <w:abstractNumId w:val="11"/>
  </w:num>
  <w:num w:numId="4">
    <w:abstractNumId w:val="16"/>
  </w:num>
  <w:num w:numId="5">
    <w:abstractNumId w:val="9"/>
  </w:num>
  <w:num w:numId="6">
    <w:abstractNumId w:val="24"/>
  </w:num>
  <w:num w:numId="7">
    <w:abstractNumId w:val="0"/>
  </w:num>
  <w:num w:numId="8">
    <w:abstractNumId w:val="5"/>
  </w:num>
  <w:num w:numId="9">
    <w:abstractNumId w:val="19"/>
  </w:num>
  <w:num w:numId="10">
    <w:abstractNumId w:val="21"/>
  </w:num>
  <w:num w:numId="11">
    <w:abstractNumId w:val="18"/>
  </w:num>
  <w:num w:numId="12">
    <w:abstractNumId w:val="23"/>
  </w:num>
  <w:num w:numId="13">
    <w:abstractNumId w:val="4"/>
  </w:num>
  <w:num w:numId="14">
    <w:abstractNumId w:val="13"/>
  </w:num>
  <w:num w:numId="15">
    <w:abstractNumId w:val="8"/>
  </w:num>
  <w:num w:numId="16">
    <w:abstractNumId w:val="2"/>
  </w:num>
  <w:num w:numId="17">
    <w:abstractNumId w:val="6"/>
  </w:num>
  <w:num w:numId="18">
    <w:abstractNumId w:val="1"/>
  </w:num>
  <w:num w:numId="19">
    <w:abstractNumId w:val="15"/>
  </w:num>
  <w:num w:numId="20">
    <w:abstractNumId w:val="12"/>
  </w:num>
  <w:num w:numId="21">
    <w:abstractNumId w:val="17"/>
  </w:num>
  <w:num w:numId="22">
    <w:abstractNumId w:val="7"/>
  </w:num>
  <w:num w:numId="23">
    <w:abstractNumId w:val="20"/>
  </w:num>
  <w:num w:numId="24">
    <w:abstractNumId w:val="14"/>
  </w:num>
  <w:num w:numId="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21E794D-76CF-4B88-A65F-AF7EC8E6EA51}"/>
    <w:docVar w:name="dgnword-eventsink" w:val="628943712"/>
  </w:docVars>
  <w:rsids>
    <w:rsidRoot w:val="00503887"/>
    <w:rsid w:val="000001D8"/>
    <w:rsid w:val="00002895"/>
    <w:rsid w:val="00002B9F"/>
    <w:rsid w:val="000043A9"/>
    <w:rsid w:val="000047C3"/>
    <w:rsid w:val="000057A7"/>
    <w:rsid w:val="00010F16"/>
    <w:rsid w:val="0001157F"/>
    <w:rsid w:val="0001581F"/>
    <w:rsid w:val="0001755E"/>
    <w:rsid w:val="00026010"/>
    <w:rsid w:val="000303CD"/>
    <w:rsid w:val="000306E4"/>
    <w:rsid w:val="00030A29"/>
    <w:rsid w:val="000314AA"/>
    <w:rsid w:val="00031EE3"/>
    <w:rsid w:val="00032E9C"/>
    <w:rsid w:val="000339ED"/>
    <w:rsid w:val="000359E1"/>
    <w:rsid w:val="000367D1"/>
    <w:rsid w:val="000456D9"/>
    <w:rsid w:val="0005475F"/>
    <w:rsid w:val="000573C1"/>
    <w:rsid w:val="000603B5"/>
    <w:rsid w:val="00061881"/>
    <w:rsid w:val="00061A71"/>
    <w:rsid w:val="00061DAB"/>
    <w:rsid w:val="00062F11"/>
    <w:rsid w:val="00063897"/>
    <w:rsid w:val="000709A6"/>
    <w:rsid w:val="00071D9B"/>
    <w:rsid w:val="000724F8"/>
    <w:rsid w:val="00074353"/>
    <w:rsid w:val="000768E5"/>
    <w:rsid w:val="00077465"/>
    <w:rsid w:val="00080881"/>
    <w:rsid w:val="0008143E"/>
    <w:rsid w:val="000826B0"/>
    <w:rsid w:val="000828AC"/>
    <w:rsid w:val="000840CD"/>
    <w:rsid w:val="00085742"/>
    <w:rsid w:val="00090CF9"/>
    <w:rsid w:val="0009125E"/>
    <w:rsid w:val="00094C92"/>
    <w:rsid w:val="00095218"/>
    <w:rsid w:val="0009524D"/>
    <w:rsid w:val="00095273"/>
    <w:rsid w:val="000A0053"/>
    <w:rsid w:val="000A2045"/>
    <w:rsid w:val="000A4723"/>
    <w:rsid w:val="000A48CD"/>
    <w:rsid w:val="000B2997"/>
    <w:rsid w:val="000B4FA7"/>
    <w:rsid w:val="000B62F5"/>
    <w:rsid w:val="000C2A47"/>
    <w:rsid w:val="000C2BCE"/>
    <w:rsid w:val="000C4611"/>
    <w:rsid w:val="000E1274"/>
    <w:rsid w:val="000E2DE4"/>
    <w:rsid w:val="000F1481"/>
    <w:rsid w:val="000F16CD"/>
    <w:rsid w:val="000F53DF"/>
    <w:rsid w:val="000F5A43"/>
    <w:rsid w:val="001031F3"/>
    <w:rsid w:val="001072D3"/>
    <w:rsid w:val="00107AFB"/>
    <w:rsid w:val="00107DD5"/>
    <w:rsid w:val="0011297E"/>
    <w:rsid w:val="00114635"/>
    <w:rsid w:val="00114FC1"/>
    <w:rsid w:val="00115B62"/>
    <w:rsid w:val="00120ACC"/>
    <w:rsid w:val="00121965"/>
    <w:rsid w:val="00123787"/>
    <w:rsid w:val="00125F39"/>
    <w:rsid w:val="00127055"/>
    <w:rsid w:val="00132470"/>
    <w:rsid w:val="001343F7"/>
    <w:rsid w:val="00135F51"/>
    <w:rsid w:val="00137136"/>
    <w:rsid w:val="0013798B"/>
    <w:rsid w:val="00140375"/>
    <w:rsid w:val="0014562B"/>
    <w:rsid w:val="001463BD"/>
    <w:rsid w:val="0014764F"/>
    <w:rsid w:val="001476CF"/>
    <w:rsid w:val="00150932"/>
    <w:rsid w:val="00150B50"/>
    <w:rsid w:val="001515D9"/>
    <w:rsid w:val="001526BE"/>
    <w:rsid w:val="00154921"/>
    <w:rsid w:val="00155439"/>
    <w:rsid w:val="0015610E"/>
    <w:rsid w:val="00171179"/>
    <w:rsid w:val="00176367"/>
    <w:rsid w:val="0018031B"/>
    <w:rsid w:val="001835EF"/>
    <w:rsid w:val="00184C72"/>
    <w:rsid w:val="00187C19"/>
    <w:rsid w:val="00192333"/>
    <w:rsid w:val="0019638F"/>
    <w:rsid w:val="001A0312"/>
    <w:rsid w:val="001A4307"/>
    <w:rsid w:val="001A52DE"/>
    <w:rsid w:val="001B026B"/>
    <w:rsid w:val="001B53B5"/>
    <w:rsid w:val="001B725D"/>
    <w:rsid w:val="001B7ECB"/>
    <w:rsid w:val="001B7FB0"/>
    <w:rsid w:val="001C02C2"/>
    <w:rsid w:val="001C1BBC"/>
    <w:rsid w:val="001C2EA1"/>
    <w:rsid w:val="001D0A72"/>
    <w:rsid w:val="001D1E88"/>
    <w:rsid w:val="001D2332"/>
    <w:rsid w:val="001D6D8C"/>
    <w:rsid w:val="001E0004"/>
    <w:rsid w:val="001E2BF6"/>
    <w:rsid w:val="001E4A2B"/>
    <w:rsid w:val="001E60B2"/>
    <w:rsid w:val="001E6A6B"/>
    <w:rsid w:val="001F0771"/>
    <w:rsid w:val="001F1C8A"/>
    <w:rsid w:val="001F2745"/>
    <w:rsid w:val="001F2D22"/>
    <w:rsid w:val="001F5A49"/>
    <w:rsid w:val="00200B97"/>
    <w:rsid w:val="00201EDB"/>
    <w:rsid w:val="00202103"/>
    <w:rsid w:val="002065DC"/>
    <w:rsid w:val="00206BBA"/>
    <w:rsid w:val="00210993"/>
    <w:rsid w:val="0021355E"/>
    <w:rsid w:val="0021520B"/>
    <w:rsid w:val="00221DAE"/>
    <w:rsid w:val="002259D9"/>
    <w:rsid w:val="00230487"/>
    <w:rsid w:val="00233627"/>
    <w:rsid w:val="00234616"/>
    <w:rsid w:val="0023493B"/>
    <w:rsid w:val="002357DA"/>
    <w:rsid w:val="00237E82"/>
    <w:rsid w:val="002438F7"/>
    <w:rsid w:val="0024659B"/>
    <w:rsid w:val="00250646"/>
    <w:rsid w:val="0025134C"/>
    <w:rsid w:val="0025455C"/>
    <w:rsid w:val="00254594"/>
    <w:rsid w:val="00256F9B"/>
    <w:rsid w:val="00261F1E"/>
    <w:rsid w:val="002621B2"/>
    <w:rsid w:val="0026298A"/>
    <w:rsid w:val="002641D7"/>
    <w:rsid w:val="002648D3"/>
    <w:rsid w:val="00264B7B"/>
    <w:rsid w:val="00266A8E"/>
    <w:rsid w:val="00270B84"/>
    <w:rsid w:val="00271175"/>
    <w:rsid w:val="00280BB8"/>
    <w:rsid w:val="00286216"/>
    <w:rsid w:val="0029559E"/>
    <w:rsid w:val="002965A3"/>
    <w:rsid w:val="002A1F50"/>
    <w:rsid w:val="002A2EA9"/>
    <w:rsid w:val="002A363E"/>
    <w:rsid w:val="002A37A8"/>
    <w:rsid w:val="002A4453"/>
    <w:rsid w:val="002A75C1"/>
    <w:rsid w:val="002B4614"/>
    <w:rsid w:val="002B591E"/>
    <w:rsid w:val="002B5A2B"/>
    <w:rsid w:val="002B649D"/>
    <w:rsid w:val="002C0DB8"/>
    <w:rsid w:val="002C30EF"/>
    <w:rsid w:val="002C3376"/>
    <w:rsid w:val="002C6905"/>
    <w:rsid w:val="002C703C"/>
    <w:rsid w:val="002D15BB"/>
    <w:rsid w:val="002D30F3"/>
    <w:rsid w:val="002D6068"/>
    <w:rsid w:val="002D7C57"/>
    <w:rsid w:val="002D7D6C"/>
    <w:rsid w:val="002E0694"/>
    <w:rsid w:val="002E3BAE"/>
    <w:rsid w:val="002E4D8A"/>
    <w:rsid w:val="002E6B4A"/>
    <w:rsid w:val="002E6F61"/>
    <w:rsid w:val="002E6FC1"/>
    <w:rsid w:val="002F0807"/>
    <w:rsid w:val="002F0836"/>
    <w:rsid w:val="00301D60"/>
    <w:rsid w:val="0030356D"/>
    <w:rsid w:val="003046EB"/>
    <w:rsid w:val="003069DF"/>
    <w:rsid w:val="003136C6"/>
    <w:rsid w:val="003139B3"/>
    <w:rsid w:val="0031473D"/>
    <w:rsid w:val="00315913"/>
    <w:rsid w:val="00317ACD"/>
    <w:rsid w:val="003222CB"/>
    <w:rsid w:val="00323C1A"/>
    <w:rsid w:val="00326012"/>
    <w:rsid w:val="00326F1B"/>
    <w:rsid w:val="0032748C"/>
    <w:rsid w:val="00331032"/>
    <w:rsid w:val="00334C01"/>
    <w:rsid w:val="00337B01"/>
    <w:rsid w:val="00342564"/>
    <w:rsid w:val="00343950"/>
    <w:rsid w:val="003447F8"/>
    <w:rsid w:val="00345F6F"/>
    <w:rsid w:val="00346DB0"/>
    <w:rsid w:val="00352A26"/>
    <w:rsid w:val="00353334"/>
    <w:rsid w:val="00353CF1"/>
    <w:rsid w:val="003554AD"/>
    <w:rsid w:val="00355B7F"/>
    <w:rsid w:val="00362425"/>
    <w:rsid w:val="00363022"/>
    <w:rsid w:val="003631B2"/>
    <w:rsid w:val="00363205"/>
    <w:rsid w:val="003657EB"/>
    <w:rsid w:val="00365F83"/>
    <w:rsid w:val="00372DE9"/>
    <w:rsid w:val="0037354C"/>
    <w:rsid w:val="00373D18"/>
    <w:rsid w:val="0037541C"/>
    <w:rsid w:val="00380BB4"/>
    <w:rsid w:val="003816CC"/>
    <w:rsid w:val="003839E0"/>
    <w:rsid w:val="00385D5C"/>
    <w:rsid w:val="003874F8"/>
    <w:rsid w:val="0039024C"/>
    <w:rsid w:val="00390BCC"/>
    <w:rsid w:val="003950D6"/>
    <w:rsid w:val="00396522"/>
    <w:rsid w:val="00396E14"/>
    <w:rsid w:val="003A4058"/>
    <w:rsid w:val="003A781E"/>
    <w:rsid w:val="003B04BA"/>
    <w:rsid w:val="003B2863"/>
    <w:rsid w:val="003B41AD"/>
    <w:rsid w:val="003C2B2B"/>
    <w:rsid w:val="003C2BDA"/>
    <w:rsid w:val="003C565F"/>
    <w:rsid w:val="003C5CE5"/>
    <w:rsid w:val="003C7DAA"/>
    <w:rsid w:val="003D06C4"/>
    <w:rsid w:val="003D0A31"/>
    <w:rsid w:val="003D0A9F"/>
    <w:rsid w:val="003D0CC1"/>
    <w:rsid w:val="003D6C95"/>
    <w:rsid w:val="003E0238"/>
    <w:rsid w:val="003E0433"/>
    <w:rsid w:val="003F16EB"/>
    <w:rsid w:val="003F1EF2"/>
    <w:rsid w:val="003F25C0"/>
    <w:rsid w:val="003F26D9"/>
    <w:rsid w:val="003F3816"/>
    <w:rsid w:val="003F6281"/>
    <w:rsid w:val="003F796A"/>
    <w:rsid w:val="004055F5"/>
    <w:rsid w:val="00414BBF"/>
    <w:rsid w:val="00417A4F"/>
    <w:rsid w:val="00425740"/>
    <w:rsid w:val="00430F12"/>
    <w:rsid w:val="004311E7"/>
    <w:rsid w:val="004347D0"/>
    <w:rsid w:val="0044120F"/>
    <w:rsid w:val="00442436"/>
    <w:rsid w:val="00445B82"/>
    <w:rsid w:val="00447E1B"/>
    <w:rsid w:val="00455650"/>
    <w:rsid w:val="00456174"/>
    <w:rsid w:val="00456555"/>
    <w:rsid w:val="00461BBB"/>
    <w:rsid w:val="00464355"/>
    <w:rsid w:val="00466720"/>
    <w:rsid w:val="00466992"/>
    <w:rsid w:val="00466FED"/>
    <w:rsid w:val="00467EE8"/>
    <w:rsid w:val="00473C4B"/>
    <w:rsid w:val="00477417"/>
    <w:rsid w:val="0048104E"/>
    <w:rsid w:val="00485CCA"/>
    <w:rsid w:val="00490CEC"/>
    <w:rsid w:val="0049288D"/>
    <w:rsid w:val="00494224"/>
    <w:rsid w:val="004A0A2C"/>
    <w:rsid w:val="004A1354"/>
    <w:rsid w:val="004A6801"/>
    <w:rsid w:val="004B0370"/>
    <w:rsid w:val="004C02A0"/>
    <w:rsid w:val="004D12F7"/>
    <w:rsid w:val="004D34E4"/>
    <w:rsid w:val="004E180C"/>
    <w:rsid w:val="004E3787"/>
    <w:rsid w:val="004E5313"/>
    <w:rsid w:val="004F0D19"/>
    <w:rsid w:val="004F60D7"/>
    <w:rsid w:val="00500FFF"/>
    <w:rsid w:val="00503887"/>
    <w:rsid w:val="00503D82"/>
    <w:rsid w:val="00505059"/>
    <w:rsid w:val="0050522D"/>
    <w:rsid w:val="00505DA4"/>
    <w:rsid w:val="00511269"/>
    <w:rsid w:val="00512E56"/>
    <w:rsid w:val="005145ED"/>
    <w:rsid w:val="00515521"/>
    <w:rsid w:val="005156F2"/>
    <w:rsid w:val="00524664"/>
    <w:rsid w:val="0052675F"/>
    <w:rsid w:val="00533FBE"/>
    <w:rsid w:val="005361F0"/>
    <w:rsid w:val="005371B6"/>
    <w:rsid w:val="00540695"/>
    <w:rsid w:val="00543D23"/>
    <w:rsid w:val="00555309"/>
    <w:rsid w:val="00555389"/>
    <w:rsid w:val="005576DC"/>
    <w:rsid w:val="00557D4B"/>
    <w:rsid w:val="00560249"/>
    <w:rsid w:val="00565414"/>
    <w:rsid w:val="0056622B"/>
    <w:rsid w:val="00570AF5"/>
    <w:rsid w:val="00571045"/>
    <w:rsid w:val="0058247C"/>
    <w:rsid w:val="005856F3"/>
    <w:rsid w:val="0058575E"/>
    <w:rsid w:val="00585E1E"/>
    <w:rsid w:val="005871F4"/>
    <w:rsid w:val="005907FE"/>
    <w:rsid w:val="005925A3"/>
    <w:rsid w:val="0059261D"/>
    <w:rsid w:val="00592BE6"/>
    <w:rsid w:val="00593795"/>
    <w:rsid w:val="00593EE8"/>
    <w:rsid w:val="00594CEF"/>
    <w:rsid w:val="005A011C"/>
    <w:rsid w:val="005A4826"/>
    <w:rsid w:val="005A7B23"/>
    <w:rsid w:val="005B338F"/>
    <w:rsid w:val="005B3912"/>
    <w:rsid w:val="005B5104"/>
    <w:rsid w:val="005B67E3"/>
    <w:rsid w:val="005B74F3"/>
    <w:rsid w:val="005B75C6"/>
    <w:rsid w:val="005C5DFC"/>
    <w:rsid w:val="005C6730"/>
    <w:rsid w:val="005D3C8B"/>
    <w:rsid w:val="005D4E84"/>
    <w:rsid w:val="005D53CE"/>
    <w:rsid w:val="005E51B0"/>
    <w:rsid w:val="005E5C42"/>
    <w:rsid w:val="005F089A"/>
    <w:rsid w:val="005F4182"/>
    <w:rsid w:val="005F69C1"/>
    <w:rsid w:val="00600892"/>
    <w:rsid w:val="006033D6"/>
    <w:rsid w:val="00604269"/>
    <w:rsid w:val="00604B27"/>
    <w:rsid w:val="00604B2F"/>
    <w:rsid w:val="00611A62"/>
    <w:rsid w:val="00614229"/>
    <w:rsid w:val="00615376"/>
    <w:rsid w:val="006167D5"/>
    <w:rsid w:val="006170AF"/>
    <w:rsid w:val="0062038F"/>
    <w:rsid w:val="00625E15"/>
    <w:rsid w:val="00631606"/>
    <w:rsid w:val="006358B6"/>
    <w:rsid w:val="00643514"/>
    <w:rsid w:val="00644E64"/>
    <w:rsid w:val="00651814"/>
    <w:rsid w:val="006576AB"/>
    <w:rsid w:val="0066264F"/>
    <w:rsid w:val="00662B43"/>
    <w:rsid w:val="00667A06"/>
    <w:rsid w:val="00680546"/>
    <w:rsid w:val="00681497"/>
    <w:rsid w:val="00686518"/>
    <w:rsid w:val="00687454"/>
    <w:rsid w:val="006946B1"/>
    <w:rsid w:val="00694C65"/>
    <w:rsid w:val="006A17DA"/>
    <w:rsid w:val="006A5B71"/>
    <w:rsid w:val="006B14FA"/>
    <w:rsid w:val="006B153F"/>
    <w:rsid w:val="006B2412"/>
    <w:rsid w:val="006B286D"/>
    <w:rsid w:val="006B7BF0"/>
    <w:rsid w:val="006C1A0A"/>
    <w:rsid w:val="006C5937"/>
    <w:rsid w:val="006C6F7B"/>
    <w:rsid w:val="006D3255"/>
    <w:rsid w:val="006D375C"/>
    <w:rsid w:val="006D51E0"/>
    <w:rsid w:val="006E5178"/>
    <w:rsid w:val="006E555E"/>
    <w:rsid w:val="006E5FBE"/>
    <w:rsid w:val="006F04C5"/>
    <w:rsid w:val="006F19BD"/>
    <w:rsid w:val="006F4E5F"/>
    <w:rsid w:val="006F514D"/>
    <w:rsid w:val="006F54E4"/>
    <w:rsid w:val="006F5F52"/>
    <w:rsid w:val="006F6311"/>
    <w:rsid w:val="006F67CA"/>
    <w:rsid w:val="0070210A"/>
    <w:rsid w:val="00705639"/>
    <w:rsid w:val="007065FA"/>
    <w:rsid w:val="00706926"/>
    <w:rsid w:val="00706FF6"/>
    <w:rsid w:val="00707913"/>
    <w:rsid w:val="00713DAA"/>
    <w:rsid w:val="00717695"/>
    <w:rsid w:val="0073178F"/>
    <w:rsid w:val="00737AC2"/>
    <w:rsid w:val="007406E4"/>
    <w:rsid w:val="00742C45"/>
    <w:rsid w:val="007453E2"/>
    <w:rsid w:val="007536DE"/>
    <w:rsid w:val="00756B08"/>
    <w:rsid w:val="007574AC"/>
    <w:rsid w:val="007603C3"/>
    <w:rsid w:val="00760441"/>
    <w:rsid w:val="0076387F"/>
    <w:rsid w:val="00764A18"/>
    <w:rsid w:val="00765AD5"/>
    <w:rsid w:val="00766F15"/>
    <w:rsid w:val="0077136A"/>
    <w:rsid w:val="00773D2E"/>
    <w:rsid w:val="00773FBC"/>
    <w:rsid w:val="00782B90"/>
    <w:rsid w:val="0078385C"/>
    <w:rsid w:val="00784A12"/>
    <w:rsid w:val="0078605C"/>
    <w:rsid w:val="00787920"/>
    <w:rsid w:val="00791A93"/>
    <w:rsid w:val="007923D1"/>
    <w:rsid w:val="00792770"/>
    <w:rsid w:val="0079546D"/>
    <w:rsid w:val="00795636"/>
    <w:rsid w:val="00795F95"/>
    <w:rsid w:val="007977D5"/>
    <w:rsid w:val="007A1944"/>
    <w:rsid w:val="007A22FF"/>
    <w:rsid w:val="007A6DE2"/>
    <w:rsid w:val="007A71DA"/>
    <w:rsid w:val="007B110F"/>
    <w:rsid w:val="007B30C6"/>
    <w:rsid w:val="007B4090"/>
    <w:rsid w:val="007C081E"/>
    <w:rsid w:val="007C3E9C"/>
    <w:rsid w:val="007C6EC2"/>
    <w:rsid w:val="007D2AD0"/>
    <w:rsid w:val="007D2C89"/>
    <w:rsid w:val="007D6EA5"/>
    <w:rsid w:val="007E2269"/>
    <w:rsid w:val="007E389D"/>
    <w:rsid w:val="007E3E26"/>
    <w:rsid w:val="007E4B90"/>
    <w:rsid w:val="007E7D61"/>
    <w:rsid w:val="007F42AD"/>
    <w:rsid w:val="007F5B43"/>
    <w:rsid w:val="00800967"/>
    <w:rsid w:val="0080500E"/>
    <w:rsid w:val="008057DE"/>
    <w:rsid w:val="0080705C"/>
    <w:rsid w:val="008105BA"/>
    <w:rsid w:val="00815C32"/>
    <w:rsid w:val="00816297"/>
    <w:rsid w:val="00822B6E"/>
    <w:rsid w:val="00824023"/>
    <w:rsid w:val="00827F21"/>
    <w:rsid w:val="00835D03"/>
    <w:rsid w:val="00841009"/>
    <w:rsid w:val="00841C15"/>
    <w:rsid w:val="00842F69"/>
    <w:rsid w:val="00843020"/>
    <w:rsid w:val="00847DAC"/>
    <w:rsid w:val="00850A1F"/>
    <w:rsid w:val="00853044"/>
    <w:rsid w:val="00855FD5"/>
    <w:rsid w:val="00862503"/>
    <w:rsid w:val="00863892"/>
    <w:rsid w:val="0086511A"/>
    <w:rsid w:val="00865602"/>
    <w:rsid w:val="00865722"/>
    <w:rsid w:val="00867912"/>
    <w:rsid w:val="0087176C"/>
    <w:rsid w:val="00871869"/>
    <w:rsid w:val="00872C6C"/>
    <w:rsid w:val="00875182"/>
    <w:rsid w:val="00880492"/>
    <w:rsid w:val="008819F7"/>
    <w:rsid w:val="00883BC7"/>
    <w:rsid w:val="00883D7A"/>
    <w:rsid w:val="00886EF3"/>
    <w:rsid w:val="00887409"/>
    <w:rsid w:val="00887DBA"/>
    <w:rsid w:val="00890AC6"/>
    <w:rsid w:val="00890DFD"/>
    <w:rsid w:val="0089340E"/>
    <w:rsid w:val="008963DD"/>
    <w:rsid w:val="0089795C"/>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C7781"/>
    <w:rsid w:val="008D2AA6"/>
    <w:rsid w:val="008D6F05"/>
    <w:rsid w:val="008E29F2"/>
    <w:rsid w:val="008E3E13"/>
    <w:rsid w:val="008E7314"/>
    <w:rsid w:val="008F1984"/>
    <w:rsid w:val="00901ED1"/>
    <w:rsid w:val="0090357B"/>
    <w:rsid w:val="00903D7E"/>
    <w:rsid w:val="009041D9"/>
    <w:rsid w:val="00907A48"/>
    <w:rsid w:val="00915989"/>
    <w:rsid w:val="0093283E"/>
    <w:rsid w:val="00932CE3"/>
    <w:rsid w:val="009330F5"/>
    <w:rsid w:val="00940FF9"/>
    <w:rsid w:val="00941832"/>
    <w:rsid w:val="009425E0"/>
    <w:rsid w:val="009462EE"/>
    <w:rsid w:val="009468E7"/>
    <w:rsid w:val="00946F89"/>
    <w:rsid w:val="009521DF"/>
    <w:rsid w:val="0096131A"/>
    <w:rsid w:val="00963BE5"/>
    <w:rsid w:val="009641FD"/>
    <w:rsid w:val="00966C6A"/>
    <w:rsid w:val="00967518"/>
    <w:rsid w:val="009705A4"/>
    <w:rsid w:val="009705C9"/>
    <w:rsid w:val="00971AC9"/>
    <w:rsid w:val="00972A0B"/>
    <w:rsid w:val="0097445E"/>
    <w:rsid w:val="0097706B"/>
    <w:rsid w:val="00980249"/>
    <w:rsid w:val="009863CF"/>
    <w:rsid w:val="0098660F"/>
    <w:rsid w:val="00992AA1"/>
    <w:rsid w:val="009A0C65"/>
    <w:rsid w:val="009A1CAF"/>
    <w:rsid w:val="009A229B"/>
    <w:rsid w:val="009A33E5"/>
    <w:rsid w:val="009A4981"/>
    <w:rsid w:val="009A64C8"/>
    <w:rsid w:val="009A6881"/>
    <w:rsid w:val="009B0E5C"/>
    <w:rsid w:val="009B7E6D"/>
    <w:rsid w:val="009C6CAD"/>
    <w:rsid w:val="009C7831"/>
    <w:rsid w:val="009C7D5E"/>
    <w:rsid w:val="009D4098"/>
    <w:rsid w:val="009E0515"/>
    <w:rsid w:val="009E27B2"/>
    <w:rsid w:val="009E53A1"/>
    <w:rsid w:val="009F223E"/>
    <w:rsid w:val="009F2737"/>
    <w:rsid w:val="009F71CF"/>
    <w:rsid w:val="00A02099"/>
    <w:rsid w:val="00A024DD"/>
    <w:rsid w:val="00A04125"/>
    <w:rsid w:val="00A05EFA"/>
    <w:rsid w:val="00A10684"/>
    <w:rsid w:val="00A10FB9"/>
    <w:rsid w:val="00A13623"/>
    <w:rsid w:val="00A13E04"/>
    <w:rsid w:val="00A145A7"/>
    <w:rsid w:val="00A1557E"/>
    <w:rsid w:val="00A15A10"/>
    <w:rsid w:val="00A16179"/>
    <w:rsid w:val="00A217CC"/>
    <w:rsid w:val="00A22C41"/>
    <w:rsid w:val="00A23505"/>
    <w:rsid w:val="00A240C8"/>
    <w:rsid w:val="00A24454"/>
    <w:rsid w:val="00A32AF9"/>
    <w:rsid w:val="00A36B01"/>
    <w:rsid w:val="00A40021"/>
    <w:rsid w:val="00A418D6"/>
    <w:rsid w:val="00A463C0"/>
    <w:rsid w:val="00A46C64"/>
    <w:rsid w:val="00A50AB5"/>
    <w:rsid w:val="00A54F8B"/>
    <w:rsid w:val="00A56BBE"/>
    <w:rsid w:val="00A56EA8"/>
    <w:rsid w:val="00A74CBA"/>
    <w:rsid w:val="00A74F81"/>
    <w:rsid w:val="00A757FA"/>
    <w:rsid w:val="00A762C6"/>
    <w:rsid w:val="00A7647F"/>
    <w:rsid w:val="00A819A0"/>
    <w:rsid w:val="00A82F90"/>
    <w:rsid w:val="00A83C17"/>
    <w:rsid w:val="00A840FD"/>
    <w:rsid w:val="00A92190"/>
    <w:rsid w:val="00A936B9"/>
    <w:rsid w:val="00A95CE6"/>
    <w:rsid w:val="00AA3BE8"/>
    <w:rsid w:val="00AA5709"/>
    <w:rsid w:val="00AA746B"/>
    <w:rsid w:val="00AA7821"/>
    <w:rsid w:val="00AB176C"/>
    <w:rsid w:val="00AB2694"/>
    <w:rsid w:val="00AB2D1A"/>
    <w:rsid w:val="00AB7E32"/>
    <w:rsid w:val="00AB7E58"/>
    <w:rsid w:val="00AC4DD4"/>
    <w:rsid w:val="00AC5228"/>
    <w:rsid w:val="00AC6818"/>
    <w:rsid w:val="00AC694F"/>
    <w:rsid w:val="00AC7467"/>
    <w:rsid w:val="00AC7984"/>
    <w:rsid w:val="00AD04C0"/>
    <w:rsid w:val="00AD29BD"/>
    <w:rsid w:val="00AD44AB"/>
    <w:rsid w:val="00AD4B08"/>
    <w:rsid w:val="00AD5EC2"/>
    <w:rsid w:val="00AD620F"/>
    <w:rsid w:val="00AE3221"/>
    <w:rsid w:val="00AE49D7"/>
    <w:rsid w:val="00AE78CA"/>
    <w:rsid w:val="00B02B9C"/>
    <w:rsid w:val="00B10DE7"/>
    <w:rsid w:val="00B12C25"/>
    <w:rsid w:val="00B15B31"/>
    <w:rsid w:val="00B1620C"/>
    <w:rsid w:val="00B16743"/>
    <w:rsid w:val="00B169D7"/>
    <w:rsid w:val="00B205E2"/>
    <w:rsid w:val="00B20C29"/>
    <w:rsid w:val="00B2408F"/>
    <w:rsid w:val="00B24E03"/>
    <w:rsid w:val="00B32EE4"/>
    <w:rsid w:val="00B3406D"/>
    <w:rsid w:val="00B341E5"/>
    <w:rsid w:val="00B35D97"/>
    <w:rsid w:val="00B401CC"/>
    <w:rsid w:val="00B444E9"/>
    <w:rsid w:val="00B4492F"/>
    <w:rsid w:val="00B44AE1"/>
    <w:rsid w:val="00B4574D"/>
    <w:rsid w:val="00B47BA1"/>
    <w:rsid w:val="00B5019A"/>
    <w:rsid w:val="00B54737"/>
    <w:rsid w:val="00B555FE"/>
    <w:rsid w:val="00B55D14"/>
    <w:rsid w:val="00B630C0"/>
    <w:rsid w:val="00B65EBB"/>
    <w:rsid w:val="00B66576"/>
    <w:rsid w:val="00B70C1A"/>
    <w:rsid w:val="00B740FB"/>
    <w:rsid w:val="00B84E76"/>
    <w:rsid w:val="00B8776D"/>
    <w:rsid w:val="00B908CC"/>
    <w:rsid w:val="00B92DD8"/>
    <w:rsid w:val="00B93D0B"/>
    <w:rsid w:val="00B942E3"/>
    <w:rsid w:val="00B958AC"/>
    <w:rsid w:val="00B96348"/>
    <w:rsid w:val="00BA1997"/>
    <w:rsid w:val="00BA601E"/>
    <w:rsid w:val="00BB0BED"/>
    <w:rsid w:val="00BB536A"/>
    <w:rsid w:val="00BC1B4B"/>
    <w:rsid w:val="00BC3EF5"/>
    <w:rsid w:val="00BC5F72"/>
    <w:rsid w:val="00BC7132"/>
    <w:rsid w:val="00BC7414"/>
    <w:rsid w:val="00BC7D84"/>
    <w:rsid w:val="00BD31C7"/>
    <w:rsid w:val="00BE1923"/>
    <w:rsid w:val="00BE2005"/>
    <w:rsid w:val="00BE3664"/>
    <w:rsid w:val="00BE3DFF"/>
    <w:rsid w:val="00C03009"/>
    <w:rsid w:val="00C07D2D"/>
    <w:rsid w:val="00C13211"/>
    <w:rsid w:val="00C141C5"/>
    <w:rsid w:val="00C15791"/>
    <w:rsid w:val="00C15B27"/>
    <w:rsid w:val="00C20821"/>
    <w:rsid w:val="00C2165D"/>
    <w:rsid w:val="00C21AC1"/>
    <w:rsid w:val="00C22F56"/>
    <w:rsid w:val="00C2313A"/>
    <w:rsid w:val="00C23F01"/>
    <w:rsid w:val="00C24189"/>
    <w:rsid w:val="00C2553B"/>
    <w:rsid w:val="00C25708"/>
    <w:rsid w:val="00C26016"/>
    <w:rsid w:val="00C32979"/>
    <w:rsid w:val="00C32DD1"/>
    <w:rsid w:val="00C33717"/>
    <w:rsid w:val="00C36DDB"/>
    <w:rsid w:val="00C419C9"/>
    <w:rsid w:val="00C4400E"/>
    <w:rsid w:val="00C565B6"/>
    <w:rsid w:val="00C5744C"/>
    <w:rsid w:val="00C64188"/>
    <w:rsid w:val="00C64B53"/>
    <w:rsid w:val="00C66600"/>
    <w:rsid w:val="00C736F2"/>
    <w:rsid w:val="00C763F5"/>
    <w:rsid w:val="00C837D6"/>
    <w:rsid w:val="00C8535C"/>
    <w:rsid w:val="00C85E53"/>
    <w:rsid w:val="00C87BD2"/>
    <w:rsid w:val="00C924BC"/>
    <w:rsid w:val="00C93F86"/>
    <w:rsid w:val="00C94463"/>
    <w:rsid w:val="00C9596E"/>
    <w:rsid w:val="00C97347"/>
    <w:rsid w:val="00CA45D9"/>
    <w:rsid w:val="00CA4D7C"/>
    <w:rsid w:val="00CA53B7"/>
    <w:rsid w:val="00CA7A46"/>
    <w:rsid w:val="00CB0A42"/>
    <w:rsid w:val="00CB7EA2"/>
    <w:rsid w:val="00CC495A"/>
    <w:rsid w:val="00CC71E2"/>
    <w:rsid w:val="00CD1205"/>
    <w:rsid w:val="00CD2141"/>
    <w:rsid w:val="00CD2983"/>
    <w:rsid w:val="00CD3D71"/>
    <w:rsid w:val="00CD53A9"/>
    <w:rsid w:val="00CD7808"/>
    <w:rsid w:val="00CD7A85"/>
    <w:rsid w:val="00CE0AAD"/>
    <w:rsid w:val="00CE4856"/>
    <w:rsid w:val="00CE6DB2"/>
    <w:rsid w:val="00CF00A1"/>
    <w:rsid w:val="00CF325C"/>
    <w:rsid w:val="00CF334F"/>
    <w:rsid w:val="00CF3D62"/>
    <w:rsid w:val="00CF47E7"/>
    <w:rsid w:val="00CF4F17"/>
    <w:rsid w:val="00D01F79"/>
    <w:rsid w:val="00D038BD"/>
    <w:rsid w:val="00D1099C"/>
    <w:rsid w:val="00D1200E"/>
    <w:rsid w:val="00D1415A"/>
    <w:rsid w:val="00D219F1"/>
    <w:rsid w:val="00D25E1A"/>
    <w:rsid w:val="00D30510"/>
    <w:rsid w:val="00D30A1B"/>
    <w:rsid w:val="00D3412F"/>
    <w:rsid w:val="00D346B2"/>
    <w:rsid w:val="00D35454"/>
    <w:rsid w:val="00D40585"/>
    <w:rsid w:val="00D43B57"/>
    <w:rsid w:val="00D466BC"/>
    <w:rsid w:val="00D4746E"/>
    <w:rsid w:val="00D51CE6"/>
    <w:rsid w:val="00D544F0"/>
    <w:rsid w:val="00D57C07"/>
    <w:rsid w:val="00D600E0"/>
    <w:rsid w:val="00D61E5A"/>
    <w:rsid w:val="00D66004"/>
    <w:rsid w:val="00D66941"/>
    <w:rsid w:val="00D676BC"/>
    <w:rsid w:val="00D70CF9"/>
    <w:rsid w:val="00D716F5"/>
    <w:rsid w:val="00D743A4"/>
    <w:rsid w:val="00D74572"/>
    <w:rsid w:val="00D7462C"/>
    <w:rsid w:val="00D74C75"/>
    <w:rsid w:val="00D80370"/>
    <w:rsid w:val="00D806C5"/>
    <w:rsid w:val="00D83015"/>
    <w:rsid w:val="00D83AA5"/>
    <w:rsid w:val="00D873D6"/>
    <w:rsid w:val="00D966DE"/>
    <w:rsid w:val="00DA0272"/>
    <w:rsid w:val="00DA26A5"/>
    <w:rsid w:val="00DA454A"/>
    <w:rsid w:val="00DA6A1C"/>
    <w:rsid w:val="00DA77D9"/>
    <w:rsid w:val="00DB3BE1"/>
    <w:rsid w:val="00DB65B2"/>
    <w:rsid w:val="00DC3931"/>
    <w:rsid w:val="00DC4846"/>
    <w:rsid w:val="00DC4D33"/>
    <w:rsid w:val="00DC5A54"/>
    <w:rsid w:val="00DC73B2"/>
    <w:rsid w:val="00DD1F79"/>
    <w:rsid w:val="00DD3077"/>
    <w:rsid w:val="00DD4B9F"/>
    <w:rsid w:val="00DD53D9"/>
    <w:rsid w:val="00DD6FA2"/>
    <w:rsid w:val="00DD723F"/>
    <w:rsid w:val="00DE07E8"/>
    <w:rsid w:val="00DE25FF"/>
    <w:rsid w:val="00DE35A3"/>
    <w:rsid w:val="00DE3880"/>
    <w:rsid w:val="00DE5FA3"/>
    <w:rsid w:val="00DE6A7B"/>
    <w:rsid w:val="00DE7FF2"/>
    <w:rsid w:val="00DF2E88"/>
    <w:rsid w:val="00DF2FD9"/>
    <w:rsid w:val="00DF6E1C"/>
    <w:rsid w:val="00E02D3B"/>
    <w:rsid w:val="00E06215"/>
    <w:rsid w:val="00E10C73"/>
    <w:rsid w:val="00E13CEE"/>
    <w:rsid w:val="00E147CF"/>
    <w:rsid w:val="00E1527D"/>
    <w:rsid w:val="00E1643F"/>
    <w:rsid w:val="00E174ED"/>
    <w:rsid w:val="00E20AE6"/>
    <w:rsid w:val="00E26926"/>
    <w:rsid w:val="00E31F3E"/>
    <w:rsid w:val="00E32DD6"/>
    <w:rsid w:val="00E33B66"/>
    <w:rsid w:val="00E33EA4"/>
    <w:rsid w:val="00E352E3"/>
    <w:rsid w:val="00E40B2C"/>
    <w:rsid w:val="00E41A12"/>
    <w:rsid w:val="00E421CF"/>
    <w:rsid w:val="00E437FB"/>
    <w:rsid w:val="00E536DD"/>
    <w:rsid w:val="00E55787"/>
    <w:rsid w:val="00E55AD4"/>
    <w:rsid w:val="00E5687D"/>
    <w:rsid w:val="00E62B62"/>
    <w:rsid w:val="00E658C6"/>
    <w:rsid w:val="00E65A68"/>
    <w:rsid w:val="00E71723"/>
    <w:rsid w:val="00E7302F"/>
    <w:rsid w:val="00E75986"/>
    <w:rsid w:val="00E82D8A"/>
    <w:rsid w:val="00E84985"/>
    <w:rsid w:val="00E87E66"/>
    <w:rsid w:val="00E91542"/>
    <w:rsid w:val="00E91D95"/>
    <w:rsid w:val="00E93A65"/>
    <w:rsid w:val="00E97964"/>
    <w:rsid w:val="00EA5209"/>
    <w:rsid w:val="00EA778D"/>
    <w:rsid w:val="00EB19CE"/>
    <w:rsid w:val="00EB3D21"/>
    <w:rsid w:val="00EB5C8A"/>
    <w:rsid w:val="00EC13DF"/>
    <w:rsid w:val="00EC1C3A"/>
    <w:rsid w:val="00EC35B3"/>
    <w:rsid w:val="00EC5FA8"/>
    <w:rsid w:val="00ED1A87"/>
    <w:rsid w:val="00ED2509"/>
    <w:rsid w:val="00ED7C3A"/>
    <w:rsid w:val="00EE11A5"/>
    <w:rsid w:val="00EE237B"/>
    <w:rsid w:val="00EF1AE3"/>
    <w:rsid w:val="00EF2367"/>
    <w:rsid w:val="00EF40EB"/>
    <w:rsid w:val="00F032E8"/>
    <w:rsid w:val="00F03917"/>
    <w:rsid w:val="00F03F51"/>
    <w:rsid w:val="00F10C70"/>
    <w:rsid w:val="00F118DE"/>
    <w:rsid w:val="00F12E90"/>
    <w:rsid w:val="00F1518B"/>
    <w:rsid w:val="00F205B2"/>
    <w:rsid w:val="00F22B04"/>
    <w:rsid w:val="00F2314D"/>
    <w:rsid w:val="00F24544"/>
    <w:rsid w:val="00F257EE"/>
    <w:rsid w:val="00F2600D"/>
    <w:rsid w:val="00F26576"/>
    <w:rsid w:val="00F27330"/>
    <w:rsid w:val="00F33EF9"/>
    <w:rsid w:val="00F3749E"/>
    <w:rsid w:val="00F43936"/>
    <w:rsid w:val="00F504EE"/>
    <w:rsid w:val="00F5482B"/>
    <w:rsid w:val="00F60618"/>
    <w:rsid w:val="00F62C83"/>
    <w:rsid w:val="00F6716F"/>
    <w:rsid w:val="00F74D65"/>
    <w:rsid w:val="00F754CD"/>
    <w:rsid w:val="00F81530"/>
    <w:rsid w:val="00F81CDF"/>
    <w:rsid w:val="00F833B0"/>
    <w:rsid w:val="00F8447E"/>
    <w:rsid w:val="00F86DF2"/>
    <w:rsid w:val="00F92914"/>
    <w:rsid w:val="00F94A95"/>
    <w:rsid w:val="00F97369"/>
    <w:rsid w:val="00FA1BDC"/>
    <w:rsid w:val="00FA2EDC"/>
    <w:rsid w:val="00FA48BD"/>
    <w:rsid w:val="00FB3D01"/>
    <w:rsid w:val="00FB537F"/>
    <w:rsid w:val="00FB6EEF"/>
    <w:rsid w:val="00FB7FFE"/>
    <w:rsid w:val="00FC1FDF"/>
    <w:rsid w:val="00FC3B5B"/>
    <w:rsid w:val="00FC3D7C"/>
    <w:rsid w:val="00FD0568"/>
    <w:rsid w:val="00FD0696"/>
    <w:rsid w:val="00FD2B63"/>
    <w:rsid w:val="00FD43C3"/>
    <w:rsid w:val="00FD4C79"/>
    <w:rsid w:val="00FD6447"/>
    <w:rsid w:val="00FD71BF"/>
    <w:rsid w:val="00FE1BCE"/>
    <w:rsid w:val="00FF0343"/>
    <w:rsid w:val="00FF0844"/>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A312F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9"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 w:type="paragraph" w:customStyle="1" w:styleId="legp1paratext1">
    <w:name w:val="legp1paratext1"/>
    <w:basedOn w:val="Normal"/>
    <w:rsid w:val="000A2045"/>
    <w:pPr>
      <w:shd w:val="clear" w:color="auto" w:fill="FFFFFF"/>
      <w:spacing w:after="120" w:line="360" w:lineRule="atLeast"/>
      <w:ind w:firstLine="240"/>
      <w:jc w:val="both"/>
    </w:pPr>
    <w:rPr>
      <w:rFonts w:eastAsia="Times New Roman"/>
      <w:color w:val="494949"/>
      <w:sz w:val="19"/>
      <w:szCs w:val="19"/>
    </w:rPr>
  </w:style>
  <w:style w:type="paragraph" w:customStyle="1" w:styleId="legp2paratext1">
    <w:name w:val="legp2paratext1"/>
    <w:basedOn w:val="Normal"/>
    <w:rsid w:val="000A2045"/>
    <w:pPr>
      <w:shd w:val="clear" w:color="auto" w:fill="FFFFFF"/>
      <w:spacing w:after="120" w:line="360" w:lineRule="atLeast"/>
      <w:ind w:firstLine="240"/>
      <w:jc w:val="both"/>
    </w:pPr>
    <w:rPr>
      <w:rFonts w:eastAsia="Times New Roman"/>
      <w:color w:val="494949"/>
      <w:sz w:val="19"/>
      <w:szCs w:val="19"/>
    </w:rPr>
  </w:style>
  <w:style w:type="character" w:customStyle="1" w:styleId="ennote">
    <w:name w:val="ennote"/>
    <w:rsid w:val="000A2045"/>
  </w:style>
  <w:style w:type="character" w:customStyle="1" w:styleId="legp1no3">
    <w:name w:val="legp1no3"/>
    <w:rsid w:val="000A2045"/>
    <w:rPr>
      <w:b/>
      <w:bCs/>
    </w:rPr>
  </w:style>
  <w:style w:type="paragraph" w:customStyle="1" w:styleId="legclearfix2">
    <w:name w:val="legclearfix2"/>
    <w:basedOn w:val="Normal"/>
    <w:rsid w:val="000A2045"/>
    <w:pPr>
      <w:shd w:val="clear" w:color="auto" w:fill="FFFFFF"/>
      <w:spacing w:after="120" w:line="360" w:lineRule="atLeast"/>
    </w:pPr>
    <w:rPr>
      <w:rFonts w:eastAsia="Times New Roman"/>
      <w:color w:val="494949"/>
      <w:sz w:val="19"/>
      <w:szCs w:val="19"/>
    </w:rPr>
  </w:style>
  <w:style w:type="character" w:customStyle="1" w:styleId="legds2">
    <w:name w:val="legds2"/>
    <w:rsid w:val="000A2045"/>
    <w:rPr>
      <w:vanish w:val="0"/>
      <w:webHidden w:val="0"/>
      <w:specVanish w:val="0"/>
    </w:rPr>
  </w:style>
  <w:style w:type="character" w:styleId="HTMLAcronym">
    <w:name w:val="HTML Acronym"/>
    <w:uiPriority w:val="99"/>
    <w:semiHidden/>
    <w:unhideWhenUsed/>
    <w:rsid w:val="000A2045"/>
  </w:style>
  <w:style w:type="paragraph" w:customStyle="1" w:styleId="Normal1">
    <w:name w:val="Normal1"/>
    <w:basedOn w:val="Normal"/>
    <w:rsid w:val="00A217C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738">
      <w:bodyDiv w:val="1"/>
      <w:marLeft w:val="0"/>
      <w:marRight w:val="0"/>
      <w:marTop w:val="0"/>
      <w:marBottom w:val="0"/>
      <w:divBdr>
        <w:top w:val="none" w:sz="0" w:space="0" w:color="auto"/>
        <w:left w:val="none" w:sz="0" w:space="0" w:color="auto"/>
        <w:bottom w:val="none" w:sz="0" w:space="0" w:color="auto"/>
        <w:right w:val="none" w:sz="0" w:space="0" w:color="auto"/>
      </w:divBdr>
      <w:divsChild>
        <w:div w:id="1605571202">
          <w:marLeft w:val="0"/>
          <w:marRight w:val="0"/>
          <w:marTop w:val="0"/>
          <w:marBottom w:val="0"/>
          <w:divBdr>
            <w:top w:val="none" w:sz="0" w:space="0" w:color="auto"/>
            <w:left w:val="none" w:sz="0" w:space="0" w:color="auto"/>
            <w:bottom w:val="none" w:sz="0" w:space="0" w:color="auto"/>
            <w:right w:val="none" w:sz="0" w:space="0" w:color="auto"/>
          </w:divBdr>
          <w:divsChild>
            <w:div w:id="474838710">
              <w:marLeft w:val="0"/>
              <w:marRight w:val="0"/>
              <w:marTop w:val="0"/>
              <w:marBottom w:val="0"/>
              <w:divBdr>
                <w:top w:val="single" w:sz="2" w:space="0" w:color="FFFFFF"/>
                <w:left w:val="single" w:sz="6" w:space="0" w:color="FFFFFF"/>
                <w:bottom w:val="single" w:sz="6" w:space="0" w:color="FFFFFF"/>
                <w:right w:val="single" w:sz="6" w:space="0" w:color="FFFFFF"/>
              </w:divBdr>
              <w:divsChild>
                <w:div w:id="1367102847">
                  <w:marLeft w:val="0"/>
                  <w:marRight w:val="0"/>
                  <w:marTop w:val="0"/>
                  <w:marBottom w:val="0"/>
                  <w:divBdr>
                    <w:top w:val="single" w:sz="6" w:space="1" w:color="D3D3D3"/>
                    <w:left w:val="none" w:sz="0" w:space="0" w:color="auto"/>
                    <w:bottom w:val="none" w:sz="0" w:space="0" w:color="auto"/>
                    <w:right w:val="none" w:sz="0" w:space="0" w:color="auto"/>
                  </w:divBdr>
                  <w:divsChild>
                    <w:div w:id="109126323">
                      <w:marLeft w:val="0"/>
                      <w:marRight w:val="0"/>
                      <w:marTop w:val="0"/>
                      <w:marBottom w:val="0"/>
                      <w:divBdr>
                        <w:top w:val="none" w:sz="0" w:space="0" w:color="auto"/>
                        <w:left w:val="none" w:sz="0" w:space="0" w:color="auto"/>
                        <w:bottom w:val="none" w:sz="0" w:space="0" w:color="auto"/>
                        <w:right w:val="none" w:sz="0" w:space="0" w:color="auto"/>
                      </w:divBdr>
                      <w:divsChild>
                        <w:div w:id="2146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945617">
      <w:bodyDiv w:val="1"/>
      <w:marLeft w:val="0"/>
      <w:marRight w:val="0"/>
      <w:marTop w:val="0"/>
      <w:marBottom w:val="0"/>
      <w:divBdr>
        <w:top w:val="none" w:sz="0" w:space="0" w:color="auto"/>
        <w:left w:val="none" w:sz="0" w:space="0" w:color="auto"/>
        <w:bottom w:val="none" w:sz="0" w:space="0" w:color="auto"/>
        <w:right w:val="none" w:sz="0" w:space="0" w:color="auto"/>
      </w:divBdr>
      <w:divsChild>
        <w:div w:id="2126460855">
          <w:marLeft w:val="0"/>
          <w:marRight w:val="0"/>
          <w:marTop w:val="0"/>
          <w:marBottom w:val="0"/>
          <w:divBdr>
            <w:top w:val="none" w:sz="0" w:space="0" w:color="auto"/>
            <w:left w:val="none" w:sz="0" w:space="0" w:color="auto"/>
            <w:bottom w:val="none" w:sz="0" w:space="0" w:color="auto"/>
            <w:right w:val="none" w:sz="0" w:space="0" w:color="auto"/>
          </w:divBdr>
          <w:divsChild>
            <w:div w:id="1851144890">
              <w:marLeft w:val="0"/>
              <w:marRight w:val="0"/>
              <w:marTop w:val="0"/>
              <w:marBottom w:val="0"/>
              <w:divBdr>
                <w:top w:val="single" w:sz="2" w:space="0" w:color="FFFFFF"/>
                <w:left w:val="single" w:sz="6" w:space="0" w:color="FFFFFF"/>
                <w:bottom w:val="single" w:sz="6" w:space="0" w:color="FFFFFF"/>
                <w:right w:val="single" w:sz="6" w:space="0" w:color="FFFFFF"/>
              </w:divBdr>
              <w:divsChild>
                <w:div w:id="1933779132">
                  <w:marLeft w:val="0"/>
                  <w:marRight w:val="0"/>
                  <w:marTop w:val="0"/>
                  <w:marBottom w:val="0"/>
                  <w:divBdr>
                    <w:top w:val="single" w:sz="6" w:space="1" w:color="D3D3D3"/>
                    <w:left w:val="none" w:sz="0" w:space="0" w:color="auto"/>
                    <w:bottom w:val="none" w:sz="0" w:space="0" w:color="auto"/>
                    <w:right w:val="none" w:sz="0" w:space="0" w:color="auto"/>
                  </w:divBdr>
                  <w:divsChild>
                    <w:div w:id="168758856">
                      <w:marLeft w:val="0"/>
                      <w:marRight w:val="0"/>
                      <w:marTop w:val="0"/>
                      <w:marBottom w:val="0"/>
                      <w:divBdr>
                        <w:top w:val="none" w:sz="0" w:space="0" w:color="auto"/>
                        <w:left w:val="none" w:sz="0" w:space="0" w:color="auto"/>
                        <w:bottom w:val="none" w:sz="0" w:space="0" w:color="auto"/>
                        <w:right w:val="none" w:sz="0" w:space="0" w:color="auto"/>
                      </w:divBdr>
                      <w:divsChild>
                        <w:div w:id="20236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98117">
      <w:bodyDiv w:val="1"/>
      <w:marLeft w:val="0"/>
      <w:marRight w:val="0"/>
      <w:marTop w:val="0"/>
      <w:marBottom w:val="0"/>
      <w:divBdr>
        <w:top w:val="none" w:sz="0" w:space="0" w:color="auto"/>
        <w:left w:val="none" w:sz="0" w:space="0" w:color="auto"/>
        <w:bottom w:val="none" w:sz="0" w:space="0" w:color="auto"/>
        <w:right w:val="none" w:sz="0" w:space="0" w:color="auto"/>
      </w:divBdr>
      <w:divsChild>
        <w:div w:id="1492482220">
          <w:marLeft w:val="0"/>
          <w:marRight w:val="0"/>
          <w:marTop w:val="0"/>
          <w:marBottom w:val="0"/>
          <w:divBdr>
            <w:top w:val="none" w:sz="0" w:space="0" w:color="auto"/>
            <w:left w:val="none" w:sz="0" w:space="0" w:color="auto"/>
            <w:bottom w:val="none" w:sz="0" w:space="0" w:color="auto"/>
            <w:right w:val="none" w:sz="0" w:space="0" w:color="auto"/>
          </w:divBdr>
          <w:divsChild>
            <w:div w:id="104545136">
              <w:marLeft w:val="0"/>
              <w:marRight w:val="0"/>
              <w:marTop w:val="0"/>
              <w:marBottom w:val="0"/>
              <w:divBdr>
                <w:top w:val="none" w:sz="0" w:space="0" w:color="auto"/>
                <w:left w:val="none" w:sz="0" w:space="0" w:color="auto"/>
                <w:bottom w:val="none" w:sz="0" w:space="0" w:color="auto"/>
                <w:right w:val="none" w:sz="0" w:space="0" w:color="auto"/>
              </w:divBdr>
              <w:divsChild>
                <w:div w:id="1169444586">
                  <w:marLeft w:val="0"/>
                  <w:marRight w:val="0"/>
                  <w:marTop w:val="0"/>
                  <w:marBottom w:val="0"/>
                  <w:divBdr>
                    <w:top w:val="none" w:sz="0" w:space="0" w:color="auto"/>
                    <w:left w:val="none" w:sz="0" w:space="0" w:color="auto"/>
                    <w:bottom w:val="none" w:sz="0" w:space="0" w:color="auto"/>
                    <w:right w:val="none" w:sz="0" w:space="0" w:color="auto"/>
                  </w:divBdr>
                  <w:divsChild>
                    <w:div w:id="460652682">
                      <w:marLeft w:val="0"/>
                      <w:marRight w:val="0"/>
                      <w:marTop w:val="0"/>
                      <w:marBottom w:val="0"/>
                      <w:divBdr>
                        <w:top w:val="none" w:sz="0" w:space="0" w:color="auto"/>
                        <w:left w:val="none" w:sz="0" w:space="0" w:color="auto"/>
                        <w:bottom w:val="none" w:sz="0" w:space="0" w:color="auto"/>
                        <w:right w:val="none" w:sz="0" w:space="0" w:color="auto"/>
                      </w:divBdr>
                      <w:divsChild>
                        <w:div w:id="1529873699">
                          <w:marLeft w:val="0"/>
                          <w:marRight w:val="0"/>
                          <w:marTop w:val="0"/>
                          <w:marBottom w:val="0"/>
                          <w:divBdr>
                            <w:top w:val="none" w:sz="0" w:space="0" w:color="auto"/>
                            <w:left w:val="none" w:sz="0" w:space="0" w:color="auto"/>
                            <w:bottom w:val="none" w:sz="0" w:space="0" w:color="auto"/>
                            <w:right w:val="none" w:sz="0" w:space="0" w:color="auto"/>
                          </w:divBdr>
                          <w:divsChild>
                            <w:div w:id="487868603">
                              <w:marLeft w:val="0"/>
                              <w:marRight w:val="0"/>
                              <w:marTop w:val="0"/>
                              <w:marBottom w:val="0"/>
                              <w:divBdr>
                                <w:top w:val="none" w:sz="0" w:space="0" w:color="auto"/>
                                <w:left w:val="none" w:sz="0" w:space="0" w:color="auto"/>
                                <w:bottom w:val="none" w:sz="0" w:space="0" w:color="auto"/>
                                <w:right w:val="none" w:sz="0" w:space="0" w:color="auto"/>
                              </w:divBdr>
                              <w:divsChild>
                                <w:div w:id="1454054750">
                                  <w:marLeft w:val="0"/>
                                  <w:marRight w:val="0"/>
                                  <w:marTop w:val="0"/>
                                  <w:marBottom w:val="0"/>
                                  <w:divBdr>
                                    <w:top w:val="none" w:sz="0" w:space="0" w:color="auto"/>
                                    <w:left w:val="none" w:sz="0" w:space="0" w:color="auto"/>
                                    <w:bottom w:val="none" w:sz="0" w:space="0" w:color="auto"/>
                                    <w:right w:val="none" w:sz="0" w:space="0" w:color="auto"/>
                                  </w:divBdr>
                                  <w:divsChild>
                                    <w:div w:id="1692801845">
                                      <w:marLeft w:val="0"/>
                                      <w:marRight w:val="0"/>
                                      <w:marTop w:val="0"/>
                                      <w:marBottom w:val="0"/>
                                      <w:divBdr>
                                        <w:top w:val="none" w:sz="0" w:space="0" w:color="auto"/>
                                        <w:left w:val="none" w:sz="0" w:space="0" w:color="auto"/>
                                        <w:bottom w:val="none" w:sz="0" w:space="0" w:color="auto"/>
                                        <w:right w:val="none" w:sz="0" w:space="0" w:color="auto"/>
                                      </w:divBdr>
                                      <w:divsChild>
                                        <w:div w:id="2018775077">
                                          <w:marLeft w:val="0"/>
                                          <w:marRight w:val="0"/>
                                          <w:marTop w:val="0"/>
                                          <w:marBottom w:val="0"/>
                                          <w:divBdr>
                                            <w:top w:val="none" w:sz="0" w:space="0" w:color="auto"/>
                                            <w:left w:val="none" w:sz="0" w:space="0" w:color="auto"/>
                                            <w:bottom w:val="none" w:sz="0" w:space="0" w:color="auto"/>
                                            <w:right w:val="none" w:sz="0" w:space="0" w:color="auto"/>
                                          </w:divBdr>
                                          <w:divsChild>
                                            <w:div w:id="589434964">
                                              <w:marLeft w:val="0"/>
                                              <w:marRight w:val="0"/>
                                              <w:marTop w:val="0"/>
                                              <w:marBottom w:val="0"/>
                                              <w:divBdr>
                                                <w:top w:val="none" w:sz="0" w:space="0" w:color="auto"/>
                                                <w:left w:val="none" w:sz="0" w:space="0" w:color="auto"/>
                                                <w:bottom w:val="none" w:sz="0" w:space="0" w:color="auto"/>
                                                <w:right w:val="none" w:sz="0" w:space="0" w:color="auto"/>
                                              </w:divBdr>
                                              <w:divsChild>
                                                <w:div w:id="9434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371062">
      <w:bodyDiv w:val="1"/>
      <w:marLeft w:val="0"/>
      <w:marRight w:val="0"/>
      <w:marTop w:val="0"/>
      <w:marBottom w:val="0"/>
      <w:divBdr>
        <w:top w:val="none" w:sz="0" w:space="0" w:color="auto"/>
        <w:left w:val="none" w:sz="0" w:space="0" w:color="auto"/>
        <w:bottom w:val="none" w:sz="0" w:space="0" w:color="auto"/>
        <w:right w:val="none" w:sz="0" w:space="0" w:color="auto"/>
      </w:divBdr>
      <w:divsChild>
        <w:div w:id="588150990">
          <w:marLeft w:val="0"/>
          <w:marRight w:val="0"/>
          <w:marTop w:val="0"/>
          <w:marBottom w:val="0"/>
          <w:divBdr>
            <w:top w:val="none" w:sz="0" w:space="0" w:color="auto"/>
            <w:left w:val="none" w:sz="0" w:space="0" w:color="auto"/>
            <w:bottom w:val="none" w:sz="0" w:space="0" w:color="auto"/>
            <w:right w:val="none" w:sz="0" w:space="0" w:color="auto"/>
          </w:divBdr>
          <w:divsChild>
            <w:div w:id="465857201">
              <w:marLeft w:val="0"/>
              <w:marRight w:val="0"/>
              <w:marTop w:val="0"/>
              <w:marBottom w:val="0"/>
              <w:divBdr>
                <w:top w:val="none" w:sz="0" w:space="0" w:color="auto"/>
                <w:left w:val="none" w:sz="0" w:space="0" w:color="auto"/>
                <w:bottom w:val="none" w:sz="0" w:space="0" w:color="auto"/>
                <w:right w:val="none" w:sz="0" w:space="0" w:color="auto"/>
              </w:divBdr>
              <w:divsChild>
                <w:div w:id="1162425035">
                  <w:marLeft w:val="0"/>
                  <w:marRight w:val="0"/>
                  <w:marTop w:val="0"/>
                  <w:marBottom w:val="0"/>
                  <w:divBdr>
                    <w:top w:val="none" w:sz="0" w:space="0" w:color="auto"/>
                    <w:left w:val="none" w:sz="0" w:space="0" w:color="auto"/>
                    <w:bottom w:val="none" w:sz="0" w:space="0" w:color="auto"/>
                    <w:right w:val="none" w:sz="0" w:space="0" w:color="auto"/>
                  </w:divBdr>
                  <w:divsChild>
                    <w:div w:id="433944953">
                      <w:marLeft w:val="0"/>
                      <w:marRight w:val="0"/>
                      <w:marTop w:val="0"/>
                      <w:marBottom w:val="0"/>
                      <w:divBdr>
                        <w:top w:val="none" w:sz="0" w:space="0" w:color="auto"/>
                        <w:left w:val="none" w:sz="0" w:space="0" w:color="auto"/>
                        <w:bottom w:val="none" w:sz="0" w:space="0" w:color="auto"/>
                        <w:right w:val="none" w:sz="0" w:space="0" w:color="auto"/>
                      </w:divBdr>
                      <w:divsChild>
                        <w:div w:id="41831066">
                          <w:marLeft w:val="0"/>
                          <w:marRight w:val="0"/>
                          <w:marTop w:val="0"/>
                          <w:marBottom w:val="0"/>
                          <w:divBdr>
                            <w:top w:val="none" w:sz="0" w:space="0" w:color="auto"/>
                            <w:left w:val="none" w:sz="0" w:space="0" w:color="auto"/>
                            <w:bottom w:val="none" w:sz="0" w:space="0" w:color="auto"/>
                            <w:right w:val="none" w:sz="0" w:space="0" w:color="auto"/>
                          </w:divBdr>
                          <w:divsChild>
                            <w:div w:id="1970938355">
                              <w:marLeft w:val="0"/>
                              <w:marRight w:val="0"/>
                              <w:marTop w:val="0"/>
                              <w:marBottom w:val="0"/>
                              <w:divBdr>
                                <w:top w:val="none" w:sz="0" w:space="0" w:color="auto"/>
                                <w:left w:val="none" w:sz="0" w:space="0" w:color="auto"/>
                                <w:bottom w:val="none" w:sz="0" w:space="0" w:color="auto"/>
                                <w:right w:val="none" w:sz="0" w:space="0" w:color="auto"/>
                              </w:divBdr>
                              <w:divsChild>
                                <w:div w:id="174618502">
                                  <w:marLeft w:val="0"/>
                                  <w:marRight w:val="0"/>
                                  <w:marTop w:val="0"/>
                                  <w:marBottom w:val="0"/>
                                  <w:divBdr>
                                    <w:top w:val="none" w:sz="0" w:space="0" w:color="auto"/>
                                    <w:left w:val="none" w:sz="0" w:space="0" w:color="auto"/>
                                    <w:bottom w:val="none" w:sz="0" w:space="0" w:color="auto"/>
                                    <w:right w:val="none" w:sz="0" w:space="0" w:color="auto"/>
                                  </w:divBdr>
                                  <w:divsChild>
                                    <w:div w:id="1253471224">
                                      <w:marLeft w:val="0"/>
                                      <w:marRight w:val="0"/>
                                      <w:marTop w:val="0"/>
                                      <w:marBottom w:val="0"/>
                                      <w:divBdr>
                                        <w:top w:val="none" w:sz="0" w:space="0" w:color="auto"/>
                                        <w:left w:val="none" w:sz="0" w:space="0" w:color="auto"/>
                                        <w:bottom w:val="none" w:sz="0" w:space="0" w:color="auto"/>
                                        <w:right w:val="none" w:sz="0" w:space="0" w:color="auto"/>
                                      </w:divBdr>
                                      <w:divsChild>
                                        <w:div w:id="1809007419">
                                          <w:marLeft w:val="0"/>
                                          <w:marRight w:val="0"/>
                                          <w:marTop w:val="0"/>
                                          <w:marBottom w:val="0"/>
                                          <w:divBdr>
                                            <w:top w:val="none" w:sz="0" w:space="0" w:color="auto"/>
                                            <w:left w:val="none" w:sz="0" w:space="0" w:color="auto"/>
                                            <w:bottom w:val="none" w:sz="0" w:space="0" w:color="auto"/>
                                            <w:right w:val="none" w:sz="0" w:space="0" w:color="auto"/>
                                          </w:divBdr>
                                          <w:divsChild>
                                            <w:div w:id="981808361">
                                              <w:marLeft w:val="0"/>
                                              <w:marRight w:val="0"/>
                                              <w:marTop w:val="0"/>
                                              <w:marBottom w:val="0"/>
                                              <w:divBdr>
                                                <w:top w:val="none" w:sz="0" w:space="0" w:color="auto"/>
                                                <w:left w:val="none" w:sz="0" w:space="0" w:color="auto"/>
                                                <w:bottom w:val="none" w:sz="0" w:space="0" w:color="auto"/>
                                                <w:right w:val="none" w:sz="0" w:space="0" w:color="auto"/>
                                              </w:divBdr>
                                              <w:divsChild>
                                                <w:div w:id="2765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784678">
      <w:bodyDiv w:val="1"/>
      <w:marLeft w:val="0"/>
      <w:marRight w:val="0"/>
      <w:marTop w:val="0"/>
      <w:marBottom w:val="0"/>
      <w:divBdr>
        <w:top w:val="none" w:sz="0" w:space="0" w:color="auto"/>
        <w:left w:val="none" w:sz="0" w:space="0" w:color="auto"/>
        <w:bottom w:val="none" w:sz="0" w:space="0" w:color="auto"/>
        <w:right w:val="none" w:sz="0" w:space="0" w:color="auto"/>
      </w:divBdr>
      <w:divsChild>
        <w:div w:id="453182289">
          <w:marLeft w:val="0"/>
          <w:marRight w:val="0"/>
          <w:marTop w:val="0"/>
          <w:marBottom w:val="0"/>
          <w:divBdr>
            <w:top w:val="none" w:sz="0" w:space="0" w:color="auto"/>
            <w:left w:val="none" w:sz="0" w:space="0" w:color="auto"/>
            <w:bottom w:val="none" w:sz="0" w:space="0" w:color="auto"/>
            <w:right w:val="none" w:sz="0" w:space="0" w:color="auto"/>
          </w:divBdr>
          <w:divsChild>
            <w:div w:id="1393427010">
              <w:marLeft w:val="0"/>
              <w:marRight w:val="0"/>
              <w:marTop w:val="0"/>
              <w:marBottom w:val="0"/>
              <w:divBdr>
                <w:top w:val="none" w:sz="0" w:space="0" w:color="auto"/>
                <w:left w:val="none" w:sz="0" w:space="0" w:color="auto"/>
                <w:bottom w:val="none" w:sz="0" w:space="0" w:color="auto"/>
                <w:right w:val="none" w:sz="0" w:space="0" w:color="auto"/>
              </w:divBdr>
              <w:divsChild>
                <w:div w:id="315114253">
                  <w:marLeft w:val="0"/>
                  <w:marRight w:val="0"/>
                  <w:marTop w:val="0"/>
                  <w:marBottom w:val="0"/>
                  <w:divBdr>
                    <w:top w:val="none" w:sz="0" w:space="0" w:color="auto"/>
                    <w:left w:val="none" w:sz="0" w:space="0" w:color="auto"/>
                    <w:bottom w:val="none" w:sz="0" w:space="0" w:color="auto"/>
                    <w:right w:val="none" w:sz="0" w:space="0" w:color="auto"/>
                  </w:divBdr>
                  <w:divsChild>
                    <w:div w:id="824856829">
                      <w:marLeft w:val="0"/>
                      <w:marRight w:val="0"/>
                      <w:marTop w:val="0"/>
                      <w:marBottom w:val="0"/>
                      <w:divBdr>
                        <w:top w:val="none" w:sz="0" w:space="0" w:color="auto"/>
                        <w:left w:val="none" w:sz="0" w:space="0" w:color="auto"/>
                        <w:bottom w:val="none" w:sz="0" w:space="0" w:color="auto"/>
                        <w:right w:val="none" w:sz="0" w:space="0" w:color="auto"/>
                      </w:divBdr>
                      <w:divsChild>
                        <w:div w:id="190530806">
                          <w:marLeft w:val="0"/>
                          <w:marRight w:val="0"/>
                          <w:marTop w:val="0"/>
                          <w:marBottom w:val="0"/>
                          <w:divBdr>
                            <w:top w:val="none" w:sz="0" w:space="0" w:color="auto"/>
                            <w:left w:val="none" w:sz="0" w:space="0" w:color="auto"/>
                            <w:bottom w:val="none" w:sz="0" w:space="0" w:color="auto"/>
                            <w:right w:val="none" w:sz="0" w:space="0" w:color="auto"/>
                          </w:divBdr>
                          <w:divsChild>
                            <w:div w:id="1773011952">
                              <w:marLeft w:val="0"/>
                              <w:marRight w:val="0"/>
                              <w:marTop w:val="0"/>
                              <w:marBottom w:val="0"/>
                              <w:divBdr>
                                <w:top w:val="none" w:sz="0" w:space="0" w:color="auto"/>
                                <w:left w:val="none" w:sz="0" w:space="0" w:color="auto"/>
                                <w:bottom w:val="none" w:sz="0" w:space="0" w:color="auto"/>
                                <w:right w:val="none" w:sz="0" w:space="0" w:color="auto"/>
                              </w:divBdr>
                              <w:divsChild>
                                <w:div w:id="1109201373">
                                  <w:marLeft w:val="0"/>
                                  <w:marRight w:val="0"/>
                                  <w:marTop w:val="0"/>
                                  <w:marBottom w:val="0"/>
                                  <w:divBdr>
                                    <w:top w:val="none" w:sz="0" w:space="0" w:color="auto"/>
                                    <w:left w:val="none" w:sz="0" w:space="0" w:color="auto"/>
                                    <w:bottom w:val="none" w:sz="0" w:space="0" w:color="auto"/>
                                    <w:right w:val="none" w:sz="0" w:space="0" w:color="auto"/>
                                  </w:divBdr>
                                  <w:divsChild>
                                    <w:div w:id="664161734">
                                      <w:marLeft w:val="0"/>
                                      <w:marRight w:val="0"/>
                                      <w:marTop w:val="0"/>
                                      <w:marBottom w:val="0"/>
                                      <w:divBdr>
                                        <w:top w:val="none" w:sz="0" w:space="0" w:color="auto"/>
                                        <w:left w:val="none" w:sz="0" w:space="0" w:color="auto"/>
                                        <w:bottom w:val="none" w:sz="0" w:space="0" w:color="auto"/>
                                        <w:right w:val="none" w:sz="0" w:space="0" w:color="auto"/>
                                      </w:divBdr>
                                      <w:divsChild>
                                        <w:div w:id="15097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6260">
      <w:bodyDiv w:val="1"/>
      <w:marLeft w:val="0"/>
      <w:marRight w:val="0"/>
      <w:marTop w:val="0"/>
      <w:marBottom w:val="0"/>
      <w:divBdr>
        <w:top w:val="none" w:sz="0" w:space="0" w:color="auto"/>
        <w:left w:val="none" w:sz="0" w:space="0" w:color="auto"/>
        <w:bottom w:val="none" w:sz="0" w:space="0" w:color="auto"/>
        <w:right w:val="none" w:sz="0" w:space="0" w:color="auto"/>
      </w:divBdr>
      <w:divsChild>
        <w:div w:id="420763746">
          <w:marLeft w:val="0"/>
          <w:marRight w:val="0"/>
          <w:marTop w:val="0"/>
          <w:marBottom w:val="0"/>
          <w:divBdr>
            <w:top w:val="none" w:sz="0" w:space="0" w:color="auto"/>
            <w:left w:val="none" w:sz="0" w:space="0" w:color="auto"/>
            <w:bottom w:val="none" w:sz="0" w:space="0" w:color="auto"/>
            <w:right w:val="none" w:sz="0" w:space="0" w:color="auto"/>
          </w:divBdr>
          <w:divsChild>
            <w:div w:id="1587424944">
              <w:marLeft w:val="0"/>
              <w:marRight w:val="0"/>
              <w:marTop w:val="0"/>
              <w:marBottom w:val="0"/>
              <w:divBdr>
                <w:top w:val="none" w:sz="0" w:space="0" w:color="auto"/>
                <w:left w:val="none" w:sz="0" w:space="0" w:color="auto"/>
                <w:bottom w:val="none" w:sz="0" w:space="0" w:color="auto"/>
                <w:right w:val="none" w:sz="0" w:space="0" w:color="auto"/>
              </w:divBdr>
              <w:divsChild>
                <w:div w:id="627467483">
                  <w:marLeft w:val="0"/>
                  <w:marRight w:val="0"/>
                  <w:marTop w:val="0"/>
                  <w:marBottom w:val="0"/>
                  <w:divBdr>
                    <w:top w:val="none" w:sz="0" w:space="0" w:color="auto"/>
                    <w:left w:val="none" w:sz="0" w:space="0" w:color="auto"/>
                    <w:bottom w:val="none" w:sz="0" w:space="0" w:color="auto"/>
                    <w:right w:val="none" w:sz="0" w:space="0" w:color="auto"/>
                  </w:divBdr>
                  <w:divsChild>
                    <w:div w:id="846942124">
                      <w:marLeft w:val="0"/>
                      <w:marRight w:val="0"/>
                      <w:marTop w:val="0"/>
                      <w:marBottom w:val="0"/>
                      <w:divBdr>
                        <w:top w:val="none" w:sz="0" w:space="0" w:color="auto"/>
                        <w:left w:val="none" w:sz="0" w:space="0" w:color="auto"/>
                        <w:bottom w:val="none" w:sz="0" w:space="0" w:color="auto"/>
                        <w:right w:val="none" w:sz="0" w:space="0" w:color="auto"/>
                      </w:divBdr>
                      <w:divsChild>
                        <w:div w:id="224994705">
                          <w:marLeft w:val="0"/>
                          <w:marRight w:val="0"/>
                          <w:marTop w:val="0"/>
                          <w:marBottom w:val="0"/>
                          <w:divBdr>
                            <w:top w:val="none" w:sz="0" w:space="0" w:color="auto"/>
                            <w:left w:val="none" w:sz="0" w:space="0" w:color="auto"/>
                            <w:bottom w:val="none" w:sz="0" w:space="0" w:color="auto"/>
                            <w:right w:val="none" w:sz="0" w:space="0" w:color="auto"/>
                          </w:divBdr>
                          <w:divsChild>
                            <w:div w:id="1506550083">
                              <w:marLeft w:val="0"/>
                              <w:marRight w:val="0"/>
                              <w:marTop w:val="0"/>
                              <w:marBottom w:val="0"/>
                              <w:divBdr>
                                <w:top w:val="none" w:sz="0" w:space="0" w:color="auto"/>
                                <w:left w:val="none" w:sz="0" w:space="0" w:color="auto"/>
                                <w:bottom w:val="none" w:sz="0" w:space="0" w:color="auto"/>
                                <w:right w:val="none" w:sz="0" w:space="0" w:color="auto"/>
                              </w:divBdr>
                              <w:divsChild>
                                <w:div w:id="890381530">
                                  <w:marLeft w:val="0"/>
                                  <w:marRight w:val="0"/>
                                  <w:marTop w:val="0"/>
                                  <w:marBottom w:val="0"/>
                                  <w:divBdr>
                                    <w:top w:val="none" w:sz="0" w:space="0" w:color="auto"/>
                                    <w:left w:val="none" w:sz="0" w:space="0" w:color="auto"/>
                                    <w:bottom w:val="none" w:sz="0" w:space="0" w:color="auto"/>
                                    <w:right w:val="none" w:sz="0" w:space="0" w:color="auto"/>
                                  </w:divBdr>
                                  <w:divsChild>
                                    <w:div w:id="64423674">
                                      <w:marLeft w:val="0"/>
                                      <w:marRight w:val="0"/>
                                      <w:marTop w:val="0"/>
                                      <w:marBottom w:val="0"/>
                                      <w:divBdr>
                                        <w:top w:val="none" w:sz="0" w:space="0" w:color="auto"/>
                                        <w:left w:val="none" w:sz="0" w:space="0" w:color="auto"/>
                                        <w:bottom w:val="none" w:sz="0" w:space="0" w:color="auto"/>
                                        <w:right w:val="none" w:sz="0" w:space="0" w:color="auto"/>
                                      </w:divBdr>
                                      <w:divsChild>
                                        <w:div w:id="11421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283007">
      <w:bodyDiv w:val="1"/>
      <w:marLeft w:val="0"/>
      <w:marRight w:val="0"/>
      <w:marTop w:val="0"/>
      <w:marBottom w:val="0"/>
      <w:divBdr>
        <w:top w:val="none" w:sz="0" w:space="0" w:color="auto"/>
        <w:left w:val="none" w:sz="0" w:space="0" w:color="auto"/>
        <w:bottom w:val="none" w:sz="0" w:space="0" w:color="auto"/>
        <w:right w:val="none" w:sz="0" w:space="0" w:color="auto"/>
      </w:divBdr>
      <w:divsChild>
        <w:div w:id="240524996">
          <w:marLeft w:val="0"/>
          <w:marRight w:val="0"/>
          <w:marTop w:val="0"/>
          <w:marBottom w:val="0"/>
          <w:divBdr>
            <w:top w:val="none" w:sz="0" w:space="0" w:color="auto"/>
            <w:left w:val="none" w:sz="0" w:space="0" w:color="auto"/>
            <w:bottom w:val="none" w:sz="0" w:space="0" w:color="auto"/>
            <w:right w:val="none" w:sz="0" w:space="0" w:color="auto"/>
          </w:divBdr>
          <w:divsChild>
            <w:div w:id="261884866">
              <w:marLeft w:val="0"/>
              <w:marRight w:val="0"/>
              <w:marTop w:val="0"/>
              <w:marBottom w:val="0"/>
              <w:divBdr>
                <w:top w:val="single" w:sz="2" w:space="0" w:color="FFFFFF"/>
                <w:left w:val="single" w:sz="6" w:space="0" w:color="FFFFFF"/>
                <w:bottom w:val="single" w:sz="6" w:space="0" w:color="FFFFFF"/>
                <w:right w:val="single" w:sz="6" w:space="0" w:color="FFFFFF"/>
              </w:divBdr>
              <w:divsChild>
                <w:div w:id="867329145">
                  <w:marLeft w:val="0"/>
                  <w:marRight w:val="0"/>
                  <w:marTop w:val="0"/>
                  <w:marBottom w:val="0"/>
                  <w:divBdr>
                    <w:top w:val="single" w:sz="6" w:space="1" w:color="D3D3D3"/>
                    <w:left w:val="none" w:sz="0" w:space="0" w:color="auto"/>
                    <w:bottom w:val="none" w:sz="0" w:space="0" w:color="auto"/>
                    <w:right w:val="none" w:sz="0" w:space="0" w:color="auto"/>
                  </w:divBdr>
                  <w:divsChild>
                    <w:div w:id="2076707438">
                      <w:marLeft w:val="0"/>
                      <w:marRight w:val="0"/>
                      <w:marTop w:val="0"/>
                      <w:marBottom w:val="0"/>
                      <w:divBdr>
                        <w:top w:val="none" w:sz="0" w:space="0" w:color="auto"/>
                        <w:left w:val="none" w:sz="0" w:space="0" w:color="auto"/>
                        <w:bottom w:val="none" w:sz="0" w:space="0" w:color="auto"/>
                        <w:right w:val="none" w:sz="0" w:space="0" w:color="auto"/>
                      </w:divBdr>
                      <w:divsChild>
                        <w:div w:id="20590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20235">
      <w:bodyDiv w:val="1"/>
      <w:marLeft w:val="0"/>
      <w:marRight w:val="0"/>
      <w:marTop w:val="0"/>
      <w:marBottom w:val="0"/>
      <w:divBdr>
        <w:top w:val="none" w:sz="0" w:space="0" w:color="auto"/>
        <w:left w:val="none" w:sz="0" w:space="0" w:color="auto"/>
        <w:bottom w:val="none" w:sz="0" w:space="0" w:color="auto"/>
        <w:right w:val="none" w:sz="0" w:space="0" w:color="auto"/>
      </w:divBdr>
      <w:divsChild>
        <w:div w:id="153840577">
          <w:marLeft w:val="0"/>
          <w:marRight w:val="0"/>
          <w:marTop w:val="0"/>
          <w:marBottom w:val="0"/>
          <w:divBdr>
            <w:top w:val="none" w:sz="0" w:space="0" w:color="auto"/>
            <w:left w:val="none" w:sz="0" w:space="0" w:color="auto"/>
            <w:bottom w:val="none" w:sz="0" w:space="0" w:color="auto"/>
            <w:right w:val="none" w:sz="0" w:space="0" w:color="auto"/>
          </w:divBdr>
          <w:divsChild>
            <w:div w:id="1782603242">
              <w:marLeft w:val="0"/>
              <w:marRight w:val="0"/>
              <w:marTop w:val="0"/>
              <w:marBottom w:val="0"/>
              <w:divBdr>
                <w:top w:val="none" w:sz="0" w:space="0" w:color="auto"/>
                <w:left w:val="none" w:sz="0" w:space="0" w:color="auto"/>
                <w:bottom w:val="none" w:sz="0" w:space="0" w:color="auto"/>
                <w:right w:val="none" w:sz="0" w:space="0" w:color="auto"/>
              </w:divBdr>
              <w:divsChild>
                <w:div w:id="143857942">
                  <w:marLeft w:val="0"/>
                  <w:marRight w:val="0"/>
                  <w:marTop w:val="0"/>
                  <w:marBottom w:val="0"/>
                  <w:divBdr>
                    <w:top w:val="none" w:sz="0" w:space="0" w:color="auto"/>
                    <w:left w:val="none" w:sz="0" w:space="0" w:color="auto"/>
                    <w:bottom w:val="none" w:sz="0" w:space="0" w:color="auto"/>
                    <w:right w:val="none" w:sz="0" w:space="0" w:color="auto"/>
                  </w:divBdr>
                  <w:divsChild>
                    <w:div w:id="144902555">
                      <w:marLeft w:val="0"/>
                      <w:marRight w:val="0"/>
                      <w:marTop w:val="0"/>
                      <w:marBottom w:val="0"/>
                      <w:divBdr>
                        <w:top w:val="none" w:sz="0" w:space="0" w:color="auto"/>
                        <w:left w:val="none" w:sz="0" w:space="0" w:color="auto"/>
                        <w:bottom w:val="none" w:sz="0" w:space="0" w:color="auto"/>
                        <w:right w:val="none" w:sz="0" w:space="0" w:color="auto"/>
                      </w:divBdr>
                      <w:divsChild>
                        <w:div w:id="635526961">
                          <w:marLeft w:val="0"/>
                          <w:marRight w:val="0"/>
                          <w:marTop w:val="0"/>
                          <w:marBottom w:val="0"/>
                          <w:divBdr>
                            <w:top w:val="none" w:sz="0" w:space="0" w:color="auto"/>
                            <w:left w:val="none" w:sz="0" w:space="0" w:color="auto"/>
                            <w:bottom w:val="none" w:sz="0" w:space="0" w:color="auto"/>
                            <w:right w:val="none" w:sz="0" w:space="0" w:color="auto"/>
                          </w:divBdr>
                          <w:divsChild>
                            <w:div w:id="1533112896">
                              <w:marLeft w:val="0"/>
                              <w:marRight w:val="0"/>
                              <w:marTop w:val="0"/>
                              <w:marBottom w:val="0"/>
                              <w:divBdr>
                                <w:top w:val="none" w:sz="0" w:space="0" w:color="auto"/>
                                <w:left w:val="none" w:sz="0" w:space="0" w:color="auto"/>
                                <w:bottom w:val="none" w:sz="0" w:space="0" w:color="auto"/>
                                <w:right w:val="none" w:sz="0" w:space="0" w:color="auto"/>
                              </w:divBdr>
                              <w:divsChild>
                                <w:div w:id="949631656">
                                  <w:marLeft w:val="0"/>
                                  <w:marRight w:val="0"/>
                                  <w:marTop w:val="0"/>
                                  <w:marBottom w:val="0"/>
                                  <w:divBdr>
                                    <w:top w:val="none" w:sz="0" w:space="0" w:color="auto"/>
                                    <w:left w:val="none" w:sz="0" w:space="0" w:color="auto"/>
                                    <w:bottom w:val="none" w:sz="0" w:space="0" w:color="auto"/>
                                    <w:right w:val="none" w:sz="0" w:space="0" w:color="auto"/>
                                  </w:divBdr>
                                  <w:divsChild>
                                    <w:div w:id="1599564325">
                                      <w:marLeft w:val="0"/>
                                      <w:marRight w:val="0"/>
                                      <w:marTop w:val="0"/>
                                      <w:marBottom w:val="0"/>
                                      <w:divBdr>
                                        <w:top w:val="none" w:sz="0" w:space="0" w:color="auto"/>
                                        <w:left w:val="none" w:sz="0" w:space="0" w:color="auto"/>
                                        <w:bottom w:val="none" w:sz="0" w:space="0" w:color="auto"/>
                                        <w:right w:val="none" w:sz="0" w:space="0" w:color="auto"/>
                                      </w:divBdr>
                                      <w:divsChild>
                                        <w:div w:id="19212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F41E8-3D55-4343-8E99-C7FFDB28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4084</Words>
  <Characters>20234</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2018-10-05T09:36:00Z</dcterms:created>
  <dcterms:modified xsi:type="dcterms:W3CDTF">2018-10-05T09:36:00Z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