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77F0" w:rsidRPr="00B07E0B" w:rsidRDefault="00D977F0" w:rsidP="00D977F0">
      <w:pPr>
        <w:spacing w:after="0" w:line="240" w:lineRule="auto"/>
        <w:rPr>
          <w:rFonts w:eastAsia="Times New Roman" w:cs="Arial"/>
          <w:color w:val="000000"/>
          <w:sz w:val="16"/>
          <w:szCs w:val="16"/>
          <w:lang w:eastAsia="en-GB"/>
        </w:rPr>
      </w:pPr>
    </w:p>
    <w:p w:rsidR="00D977F0" w:rsidRPr="00B07E0B" w:rsidRDefault="00D977F0" w:rsidP="00D977F0">
      <w:pPr>
        <w:spacing w:after="0" w:line="240" w:lineRule="auto"/>
        <w:jc w:val="center"/>
        <w:rPr>
          <w:rFonts w:eastAsia="Times New Roman" w:cs="Arial"/>
          <w:color w:val="000000"/>
          <w:szCs w:val="24"/>
          <w:lang w:eastAsia="en-GB"/>
        </w:rPr>
      </w:pPr>
      <w:r w:rsidRPr="00B07E0B">
        <w:rPr>
          <w:rFonts w:ascii="Times New Roman" w:eastAsia="Times New Roman" w:hAnsi="Times New Roman"/>
          <w:noProof/>
          <w:szCs w:val="24"/>
          <w:lang w:eastAsia="en-GB"/>
        </w:rPr>
        <w:drawing>
          <wp:inline distT="0" distB="0" distL="0" distR="0" wp14:anchorId="57E76458" wp14:editId="63016EF7">
            <wp:extent cx="1425600" cy="1080000"/>
            <wp:effectExtent l="0" t="0" r="3175"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425600" cy="1080000"/>
                    </a:xfrm>
                    <a:prstGeom prst="rect">
                      <a:avLst/>
                    </a:prstGeom>
                    <a:noFill/>
                    <a:ln>
                      <a:noFill/>
                    </a:ln>
                  </pic:spPr>
                </pic:pic>
              </a:graphicData>
            </a:graphic>
          </wp:inline>
        </w:drawing>
      </w:r>
    </w:p>
    <w:p w:rsidR="00D977F0" w:rsidRPr="00B07E0B" w:rsidRDefault="00D977F0" w:rsidP="00D977F0">
      <w:pPr>
        <w:tabs>
          <w:tab w:val="right" w:pos="9720"/>
        </w:tabs>
        <w:spacing w:after="0" w:line="240" w:lineRule="auto"/>
        <w:ind w:right="-82"/>
        <w:rPr>
          <w:rFonts w:eastAsia="Times New Roman" w:cs="Arial"/>
          <w:b/>
          <w:color w:val="000000"/>
          <w:szCs w:val="24"/>
          <w:lang w:eastAsia="en-GB"/>
        </w:rPr>
      </w:pPr>
      <w:r w:rsidRPr="00B07E0B">
        <w:rPr>
          <w:rFonts w:eastAsia="Times New Roman" w:cs="Arial"/>
          <w:b/>
          <w:color w:val="000000"/>
          <w:szCs w:val="24"/>
          <w:lang w:eastAsia="en-GB"/>
        </w:rPr>
        <w:t xml:space="preserve">Upper Tribunal </w:t>
      </w:r>
    </w:p>
    <w:p w:rsidR="00D977F0" w:rsidRPr="00805924" w:rsidRDefault="00D977F0" w:rsidP="00D977F0">
      <w:pPr>
        <w:tabs>
          <w:tab w:val="right" w:pos="9720"/>
        </w:tabs>
        <w:spacing w:after="0" w:line="240" w:lineRule="auto"/>
        <w:ind w:right="-82"/>
        <w:rPr>
          <w:rFonts w:eastAsia="Times New Roman" w:cs="Arial"/>
          <w:b/>
          <w:caps/>
          <w:color w:val="000000"/>
          <w:szCs w:val="24"/>
          <w:lang w:eastAsia="en-GB"/>
        </w:rPr>
      </w:pPr>
      <w:r w:rsidRPr="00B07E0B">
        <w:rPr>
          <w:rFonts w:eastAsia="Times New Roman" w:cs="Arial"/>
          <w:b/>
          <w:color w:val="000000"/>
          <w:szCs w:val="24"/>
          <w:lang w:eastAsia="en-GB"/>
        </w:rPr>
        <w:t>(</w:t>
      </w:r>
      <w:r w:rsidR="00805924">
        <w:rPr>
          <w:rFonts w:eastAsia="Times New Roman" w:cs="Arial"/>
          <w:b/>
          <w:color w:val="000000"/>
          <w:szCs w:val="24"/>
          <w:lang w:eastAsia="en-GB"/>
        </w:rPr>
        <w:t xml:space="preserve">Immigration and Asylum </w:t>
      </w:r>
      <w:proofErr w:type="gramStart"/>
      <w:r w:rsidR="00805924">
        <w:rPr>
          <w:rFonts w:eastAsia="Times New Roman" w:cs="Arial"/>
          <w:b/>
          <w:color w:val="000000"/>
          <w:szCs w:val="24"/>
          <w:lang w:eastAsia="en-GB"/>
        </w:rPr>
        <w:t xml:space="preserve">Chamber)   </w:t>
      </w:r>
      <w:proofErr w:type="gramEnd"/>
      <w:r w:rsidR="00805924">
        <w:rPr>
          <w:rFonts w:eastAsia="Times New Roman" w:cs="Arial"/>
          <w:b/>
          <w:color w:val="000000"/>
          <w:szCs w:val="24"/>
          <w:lang w:eastAsia="en-GB"/>
        </w:rPr>
        <w:t xml:space="preserve">                   </w:t>
      </w:r>
      <w:r w:rsidRPr="00805924">
        <w:rPr>
          <w:rFonts w:eastAsia="Times New Roman" w:cs="Arial"/>
          <w:b/>
          <w:color w:val="000000"/>
          <w:szCs w:val="24"/>
          <w:lang w:eastAsia="en-GB"/>
        </w:rPr>
        <w:t>Appeal Number:  DA</w:t>
      </w:r>
      <w:r w:rsidRPr="00805924">
        <w:rPr>
          <w:rFonts w:eastAsia="Times New Roman" w:cs="Arial"/>
          <w:b/>
          <w:caps/>
          <w:color w:val="000000"/>
          <w:szCs w:val="24"/>
          <w:lang w:eastAsia="en-GB"/>
        </w:rPr>
        <w:t>/00295/2017</w:t>
      </w:r>
    </w:p>
    <w:p w:rsidR="00805924" w:rsidRDefault="00805924" w:rsidP="00805924">
      <w:pPr>
        <w:tabs>
          <w:tab w:val="right" w:pos="9720"/>
        </w:tabs>
        <w:spacing w:after="0" w:line="240" w:lineRule="auto"/>
        <w:ind w:right="-82"/>
        <w:jc w:val="center"/>
        <w:rPr>
          <w:rFonts w:eastAsia="Times New Roman" w:cs="Arial"/>
          <w:caps/>
          <w:color w:val="000000"/>
          <w:szCs w:val="24"/>
          <w:lang w:eastAsia="en-GB"/>
        </w:rPr>
      </w:pPr>
    </w:p>
    <w:p w:rsidR="00D977F0" w:rsidRPr="00B07E0B" w:rsidRDefault="00D977F0" w:rsidP="00805924">
      <w:pPr>
        <w:tabs>
          <w:tab w:val="right" w:pos="9720"/>
        </w:tabs>
        <w:spacing w:after="0" w:line="240" w:lineRule="auto"/>
        <w:ind w:right="-82"/>
        <w:jc w:val="center"/>
        <w:rPr>
          <w:rFonts w:eastAsia="Times New Roman" w:cs="Arial"/>
          <w:b/>
          <w:color w:val="000000"/>
          <w:szCs w:val="24"/>
          <w:u w:val="single"/>
          <w:lang w:eastAsia="en-GB"/>
        </w:rPr>
      </w:pPr>
      <w:r w:rsidRPr="00B07E0B">
        <w:rPr>
          <w:rFonts w:eastAsia="Times New Roman" w:cs="Arial"/>
          <w:b/>
          <w:color w:val="000000"/>
          <w:szCs w:val="24"/>
          <w:u w:val="single"/>
          <w:lang w:eastAsia="en-GB"/>
        </w:rPr>
        <w:t>THE IMMIGRATION ACTS</w:t>
      </w:r>
    </w:p>
    <w:p w:rsidR="00D977F0" w:rsidRPr="00B07E0B" w:rsidRDefault="00D977F0" w:rsidP="00D977F0">
      <w:pPr>
        <w:spacing w:after="0" w:line="240" w:lineRule="auto"/>
        <w:jc w:val="center"/>
        <w:rPr>
          <w:rFonts w:eastAsia="Times New Roman" w:cs="Arial"/>
          <w:b/>
          <w:szCs w:val="24"/>
          <w:u w:val="single"/>
          <w:lang w:eastAsia="en-GB"/>
        </w:rPr>
      </w:pPr>
    </w:p>
    <w:tbl>
      <w:tblPr>
        <w:tblStyle w:val="TableGrid"/>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103"/>
        <w:gridCol w:w="4678"/>
      </w:tblGrid>
      <w:tr w:rsidR="00D977F0" w:rsidRPr="00B07E0B" w:rsidTr="00805924">
        <w:tc>
          <w:tcPr>
            <w:tcW w:w="5103" w:type="dxa"/>
          </w:tcPr>
          <w:p w:rsidR="00D977F0" w:rsidRPr="00805924" w:rsidRDefault="00D977F0" w:rsidP="007E08B0">
            <w:pPr>
              <w:jc w:val="both"/>
              <w:rPr>
                <w:rFonts w:ascii="Book Antiqua" w:hAnsi="Book Antiqua" w:cs="Arial"/>
                <w:b/>
                <w:sz w:val="24"/>
                <w:szCs w:val="24"/>
              </w:rPr>
            </w:pPr>
            <w:r w:rsidRPr="00805924">
              <w:rPr>
                <w:rFonts w:ascii="Book Antiqua" w:hAnsi="Book Antiqua" w:cs="Arial"/>
                <w:b/>
                <w:sz w:val="24"/>
                <w:szCs w:val="24"/>
              </w:rPr>
              <w:t xml:space="preserve">Heard at the Royal Courts of Justice </w:t>
            </w:r>
          </w:p>
        </w:tc>
        <w:tc>
          <w:tcPr>
            <w:tcW w:w="4678" w:type="dxa"/>
          </w:tcPr>
          <w:p w:rsidR="00D977F0" w:rsidRPr="00805924" w:rsidRDefault="00805924" w:rsidP="007E08B0">
            <w:pPr>
              <w:jc w:val="both"/>
              <w:rPr>
                <w:rFonts w:ascii="Book Antiqua" w:hAnsi="Book Antiqua" w:cs="Arial"/>
                <w:b/>
                <w:color w:val="000000"/>
                <w:sz w:val="24"/>
                <w:szCs w:val="24"/>
              </w:rPr>
            </w:pPr>
            <w:r>
              <w:rPr>
                <w:rFonts w:ascii="Book Antiqua" w:hAnsi="Book Antiqua" w:cs="Arial"/>
                <w:b/>
                <w:color w:val="000000"/>
                <w:sz w:val="24"/>
                <w:szCs w:val="24"/>
              </w:rPr>
              <w:t xml:space="preserve">  </w:t>
            </w:r>
            <w:r w:rsidR="00D977F0" w:rsidRPr="00805924">
              <w:rPr>
                <w:rFonts w:ascii="Book Antiqua" w:hAnsi="Book Antiqua" w:cs="Arial"/>
                <w:b/>
                <w:color w:val="000000"/>
                <w:sz w:val="24"/>
                <w:szCs w:val="24"/>
              </w:rPr>
              <w:t>Determination</w:t>
            </w:r>
            <w:r w:rsidR="008777BA" w:rsidRPr="00805924">
              <w:rPr>
                <w:rFonts w:ascii="Book Antiqua" w:hAnsi="Book Antiqua" w:cs="Arial"/>
                <w:b/>
                <w:color w:val="000000"/>
                <w:sz w:val="24"/>
                <w:szCs w:val="24"/>
              </w:rPr>
              <w:t xml:space="preserve"> &amp; Reasons</w:t>
            </w:r>
            <w:r w:rsidR="00D977F0" w:rsidRPr="00805924">
              <w:rPr>
                <w:rFonts w:ascii="Book Antiqua" w:hAnsi="Book Antiqua" w:cs="Arial"/>
                <w:b/>
                <w:color w:val="000000"/>
                <w:sz w:val="24"/>
                <w:szCs w:val="24"/>
              </w:rPr>
              <w:t xml:space="preserve"> Promulgated</w:t>
            </w:r>
          </w:p>
        </w:tc>
      </w:tr>
      <w:tr w:rsidR="00D977F0" w:rsidRPr="00B07E0B" w:rsidTr="00805924">
        <w:tc>
          <w:tcPr>
            <w:tcW w:w="5103" w:type="dxa"/>
          </w:tcPr>
          <w:p w:rsidR="00D977F0" w:rsidRPr="00805924" w:rsidRDefault="00D977F0" w:rsidP="007E08B0">
            <w:pPr>
              <w:jc w:val="both"/>
              <w:rPr>
                <w:rFonts w:ascii="Book Antiqua" w:hAnsi="Book Antiqua" w:cs="Arial"/>
                <w:b/>
                <w:sz w:val="24"/>
                <w:szCs w:val="24"/>
              </w:rPr>
            </w:pPr>
            <w:r w:rsidRPr="00805924">
              <w:rPr>
                <w:rFonts w:ascii="Book Antiqua" w:hAnsi="Book Antiqua" w:cs="Arial"/>
                <w:b/>
                <w:sz w:val="24"/>
                <w:szCs w:val="24"/>
              </w:rPr>
              <w:t>On 23 July 2018</w:t>
            </w:r>
          </w:p>
        </w:tc>
        <w:tc>
          <w:tcPr>
            <w:tcW w:w="4678" w:type="dxa"/>
          </w:tcPr>
          <w:p w:rsidR="00D977F0" w:rsidRPr="00805924" w:rsidRDefault="00805924" w:rsidP="007E08B0">
            <w:pPr>
              <w:jc w:val="both"/>
              <w:rPr>
                <w:rFonts w:ascii="Book Antiqua" w:hAnsi="Book Antiqua" w:cs="Arial"/>
                <w:b/>
                <w:sz w:val="24"/>
                <w:szCs w:val="24"/>
              </w:rPr>
            </w:pPr>
            <w:r>
              <w:rPr>
                <w:rFonts w:ascii="Book Antiqua" w:hAnsi="Book Antiqua" w:cs="Arial"/>
                <w:b/>
                <w:sz w:val="24"/>
                <w:szCs w:val="24"/>
              </w:rPr>
              <w:t xml:space="preserve">  </w:t>
            </w:r>
            <w:r w:rsidR="00FA108F" w:rsidRPr="00805924">
              <w:rPr>
                <w:rFonts w:ascii="Book Antiqua" w:hAnsi="Book Antiqua" w:cs="Arial"/>
                <w:b/>
                <w:sz w:val="24"/>
                <w:szCs w:val="24"/>
              </w:rPr>
              <w:t>On 30</w:t>
            </w:r>
            <w:r w:rsidR="008777BA" w:rsidRPr="00805924">
              <w:rPr>
                <w:rFonts w:ascii="Book Antiqua" w:hAnsi="Book Antiqua" w:cs="Arial"/>
                <w:b/>
                <w:sz w:val="24"/>
                <w:szCs w:val="24"/>
              </w:rPr>
              <w:t xml:space="preserve"> July 2018 </w:t>
            </w:r>
          </w:p>
        </w:tc>
      </w:tr>
      <w:tr w:rsidR="00D977F0" w:rsidRPr="00B07E0B" w:rsidTr="00805924">
        <w:tc>
          <w:tcPr>
            <w:tcW w:w="5103" w:type="dxa"/>
          </w:tcPr>
          <w:p w:rsidR="00D977F0" w:rsidRPr="00805924" w:rsidRDefault="00D977F0" w:rsidP="007E08B0">
            <w:pPr>
              <w:jc w:val="both"/>
              <w:rPr>
                <w:rFonts w:ascii="Book Antiqua" w:hAnsi="Book Antiqua" w:cs="Arial"/>
                <w:b/>
                <w:sz w:val="24"/>
                <w:szCs w:val="24"/>
              </w:rPr>
            </w:pPr>
          </w:p>
        </w:tc>
        <w:tc>
          <w:tcPr>
            <w:tcW w:w="4678" w:type="dxa"/>
          </w:tcPr>
          <w:p w:rsidR="00D977F0" w:rsidRPr="00805924" w:rsidRDefault="00D977F0" w:rsidP="007E08B0">
            <w:pPr>
              <w:jc w:val="both"/>
              <w:rPr>
                <w:rFonts w:ascii="Book Antiqua" w:hAnsi="Book Antiqua" w:cs="Arial"/>
                <w:b/>
                <w:sz w:val="24"/>
                <w:szCs w:val="24"/>
              </w:rPr>
            </w:pPr>
          </w:p>
        </w:tc>
      </w:tr>
    </w:tbl>
    <w:p w:rsidR="00D977F0" w:rsidRPr="00B07E0B" w:rsidRDefault="00D977F0" w:rsidP="00D977F0">
      <w:pPr>
        <w:spacing w:after="0" w:line="240" w:lineRule="auto"/>
        <w:jc w:val="center"/>
        <w:rPr>
          <w:rFonts w:eastAsia="Times New Roman" w:cs="Arial"/>
          <w:sz w:val="22"/>
          <w:lang w:eastAsia="en-GB"/>
        </w:rPr>
      </w:pPr>
    </w:p>
    <w:p w:rsidR="00D977F0" w:rsidRPr="00B07E0B" w:rsidRDefault="00D977F0" w:rsidP="00D977F0">
      <w:pPr>
        <w:spacing w:after="0" w:line="240" w:lineRule="auto"/>
        <w:jc w:val="center"/>
        <w:rPr>
          <w:rFonts w:eastAsia="Times New Roman" w:cs="Arial"/>
          <w:b/>
          <w:szCs w:val="24"/>
          <w:lang w:eastAsia="en-GB"/>
        </w:rPr>
      </w:pPr>
      <w:r w:rsidRPr="00B07E0B">
        <w:rPr>
          <w:rFonts w:eastAsia="Times New Roman" w:cs="Arial"/>
          <w:b/>
          <w:szCs w:val="24"/>
          <w:lang w:eastAsia="en-GB"/>
        </w:rPr>
        <w:t>Before</w:t>
      </w:r>
    </w:p>
    <w:p w:rsidR="00D977F0" w:rsidRPr="00B07E0B" w:rsidRDefault="00D977F0" w:rsidP="00D977F0">
      <w:pPr>
        <w:spacing w:after="0" w:line="240" w:lineRule="auto"/>
        <w:jc w:val="center"/>
        <w:rPr>
          <w:rFonts w:eastAsia="Times New Roman" w:cs="Arial"/>
          <w:b/>
          <w:szCs w:val="24"/>
          <w:lang w:eastAsia="en-GB"/>
        </w:rPr>
      </w:pPr>
    </w:p>
    <w:p w:rsidR="00D977F0" w:rsidRPr="00B07E0B" w:rsidRDefault="00D977F0" w:rsidP="00D977F0">
      <w:pPr>
        <w:spacing w:after="0" w:line="240" w:lineRule="auto"/>
        <w:jc w:val="center"/>
        <w:rPr>
          <w:rFonts w:eastAsia="Times New Roman" w:cs="Arial"/>
          <w:b/>
          <w:color w:val="000000"/>
          <w:szCs w:val="24"/>
          <w:lang w:eastAsia="en-GB"/>
        </w:rPr>
      </w:pPr>
      <w:r w:rsidRPr="00B07E0B">
        <w:rPr>
          <w:rFonts w:eastAsia="Times New Roman" w:cs="Arial"/>
          <w:b/>
          <w:color w:val="000000"/>
          <w:szCs w:val="24"/>
          <w:lang w:eastAsia="en-GB"/>
        </w:rPr>
        <w:t xml:space="preserve">UPPER TRIBUNAL JUDGE KEKIĆ  </w:t>
      </w:r>
    </w:p>
    <w:p w:rsidR="00D977F0" w:rsidRPr="00B07E0B" w:rsidRDefault="00D977F0" w:rsidP="00D977F0">
      <w:pPr>
        <w:spacing w:after="0" w:line="240" w:lineRule="auto"/>
        <w:jc w:val="center"/>
        <w:rPr>
          <w:rFonts w:eastAsia="Times New Roman" w:cs="Arial"/>
          <w:b/>
          <w:color w:val="000000"/>
          <w:szCs w:val="24"/>
          <w:lang w:eastAsia="en-GB"/>
        </w:rPr>
      </w:pPr>
      <w:bookmarkStart w:id="0" w:name="_GoBack"/>
      <w:bookmarkEnd w:id="0"/>
    </w:p>
    <w:p w:rsidR="00D977F0" w:rsidRPr="00B07E0B" w:rsidRDefault="00D977F0" w:rsidP="00D977F0">
      <w:pPr>
        <w:spacing w:after="0" w:line="240" w:lineRule="auto"/>
        <w:jc w:val="center"/>
        <w:rPr>
          <w:rFonts w:eastAsia="Times New Roman" w:cs="Arial"/>
          <w:b/>
          <w:szCs w:val="24"/>
          <w:lang w:eastAsia="en-GB"/>
        </w:rPr>
      </w:pPr>
    </w:p>
    <w:p w:rsidR="00D977F0" w:rsidRPr="00B07E0B" w:rsidRDefault="00D977F0" w:rsidP="00D977F0">
      <w:pPr>
        <w:spacing w:after="0" w:line="240" w:lineRule="auto"/>
        <w:jc w:val="center"/>
        <w:rPr>
          <w:rFonts w:eastAsia="Times New Roman" w:cs="Arial"/>
          <w:b/>
          <w:szCs w:val="24"/>
          <w:lang w:eastAsia="en-GB"/>
        </w:rPr>
      </w:pPr>
      <w:r w:rsidRPr="00B07E0B">
        <w:rPr>
          <w:rFonts w:eastAsia="Times New Roman" w:cs="Arial"/>
          <w:b/>
          <w:szCs w:val="24"/>
          <w:lang w:eastAsia="en-GB"/>
        </w:rPr>
        <w:t>Between</w:t>
      </w:r>
    </w:p>
    <w:p w:rsidR="00D977F0" w:rsidRPr="00B07E0B" w:rsidRDefault="00D977F0" w:rsidP="00D977F0">
      <w:pPr>
        <w:spacing w:after="0" w:line="240" w:lineRule="auto"/>
        <w:jc w:val="center"/>
        <w:rPr>
          <w:rFonts w:eastAsia="Times New Roman" w:cs="Arial"/>
          <w:b/>
          <w:szCs w:val="24"/>
          <w:lang w:eastAsia="en-GB"/>
        </w:rPr>
      </w:pPr>
    </w:p>
    <w:p w:rsidR="00D977F0" w:rsidRPr="00B07E0B" w:rsidRDefault="00D977F0" w:rsidP="00D977F0">
      <w:pPr>
        <w:spacing w:after="0" w:line="240" w:lineRule="auto"/>
        <w:jc w:val="center"/>
        <w:rPr>
          <w:rFonts w:eastAsia="Times New Roman" w:cs="Arial"/>
          <w:b/>
          <w:caps/>
          <w:szCs w:val="24"/>
          <w:lang w:eastAsia="en-GB"/>
        </w:rPr>
      </w:pPr>
      <w:r>
        <w:rPr>
          <w:rFonts w:eastAsia="Times New Roman" w:cs="Arial"/>
          <w:b/>
          <w:caps/>
          <w:szCs w:val="24"/>
          <w:lang w:eastAsia="en-GB"/>
        </w:rPr>
        <w:t>JONAS BILY</w:t>
      </w:r>
    </w:p>
    <w:p w:rsidR="00D977F0" w:rsidRPr="00805924" w:rsidRDefault="00D977F0" w:rsidP="00D977F0">
      <w:pPr>
        <w:spacing w:after="0" w:line="240" w:lineRule="auto"/>
        <w:jc w:val="center"/>
        <w:rPr>
          <w:rFonts w:eastAsia="Times New Roman" w:cs="Arial"/>
          <w:caps/>
          <w:szCs w:val="24"/>
          <w:lang w:eastAsia="en-GB"/>
        </w:rPr>
      </w:pPr>
      <w:r w:rsidRPr="00805924">
        <w:rPr>
          <w:rFonts w:eastAsia="Times New Roman" w:cs="Arial"/>
          <w:caps/>
          <w:szCs w:val="24"/>
          <w:lang w:eastAsia="en-GB"/>
        </w:rPr>
        <w:t>(anonymity order NOT made)</w:t>
      </w:r>
    </w:p>
    <w:p w:rsidR="00D977F0" w:rsidRPr="00B07E0B" w:rsidRDefault="00D977F0" w:rsidP="00D977F0">
      <w:pPr>
        <w:spacing w:after="0" w:line="240" w:lineRule="auto"/>
        <w:jc w:val="right"/>
        <w:rPr>
          <w:rFonts w:eastAsia="Times New Roman" w:cs="Arial"/>
          <w:szCs w:val="24"/>
          <w:u w:val="single"/>
          <w:lang w:eastAsia="en-GB"/>
        </w:rPr>
      </w:pPr>
      <w:r w:rsidRPr="00B07E0B">
        <w:rPr>
          <w:rFonts w:eastAsia="Times New Roman" w:cs="Arial"/>
          <w:szCs w:val="24"/>
          <w:u w:val="single"/>
          <w:lang w:eastAsia="en-GB"/>
        </w:rPr>
        <w:t>Appellant</w:t>
      </w:r>
    </w:p>
    <w:p w:rsidR="00D977F0" w:rsidRPr="00B07E0B" w:rsidRDefault="00D977F0" w:rsidP="00D977F0">
      <w:pPr>
        <w:spacing w:after="0" w:line="240" w:lineRule="auto"/>
        <w:jc w:val="center"/>
        <w:rPr>
          <w:rFonts w:eastAsia="Times New Roman" w:cs="Arial"/>
          <w:b/>
          <w:szCs w:val="24"/>
          <w:lang w:eastAsia="en-GB"/>
        </w:rPr>
      </w:pPr>
      <w:r w:rsidRPr="00B07E0B">
        <w:rPr>
          <w:rFonts w:eastAsia="Times New Roman" w:cs="Arial"/>
          <w:b/>
          <w:szCs w:val="24"/>
          <w:lang w:eastAsia="en-GB"/>
        </w:rPr>
        <w:t>and</w:t>
      </w:r>
    </w:p>
    <w:p w:rsidR="00D977F0" w:rsidRPr="00B07E0B" w:rsidRDefault="00D977F0" w:rsidP="00D977F0">
      <w:pPr>
        <w:spacing w:after="0" w:line="240" w:lineRule="auto"/>
        <w:jc w:val="center"/>
        <w:rPr>
          <w:rFonts w:eastAsia="Times New Roman" w:cs="Arial"/>
          <w:b/>
          <w:szCs w:val="24"/>
          <w:lang w:eastAsia="en-GB"/>
        </w:rPr>
      </w:pPr>
    </w:p>
    <w:p w:rsidR="00D977F0" w:rsidRDefault="00D977F0" w:rsidP="00D977F0">
      <w:pPr>
        <w:spacing w:after="0" w:line="240" w:lineRule="auto"/>
        <w:jc w:val="center"/>
        <w:rPr>
          <w:rFonts w:eastAsia="Times New Roman" w:cs="Arial"/>
          <w:b/>
          <w:szCs w:val="24"/>
          <w:lang w:eastAsia="en-GB"/>
        </w:rPr>
      </w:pPr>
      <w:r>
        <w:rPr>
          <w:rFonts w:eastAsia="Times New Roman" w:cs="Arial"/>
          <w:b/>
          <w:szCs w:val="24"/>
          <w:lang w:eastAsia="en-GB"/>
        </w:rPr>
        <w:t xml:space="preserve">SECRETARY OF STATE FOR THE HOME DEPARTMENT </w:t>
      </w:r>
    </w:p>
    <w:p w:rsidR="00D977F0" w:rsidRPr="00B07E0B" w:rsidRDefault="00D977F0" w:rsidP="00D977F0">
      <w:pPr>
        <w:spacing w:after="0" w:line="240" w:lineRule="auto"/>
        <w:jc w:val="right"/>
        <w:rPr>
          <w:rFonts w:eastAsia="Times New Roman" w:cs="Arial"/>
          <w:szCs w:val="24"/>
          <w:u w:val="single"/>
          <w:lang w:eastAsia="en-GB"/>
        </w:rPr>
      </w:pPr>
      <w:r w:rsidRPr="00B07E0B">
        <w:rPr>
          <w:rFonts w:eastAsia="Times New Roman" w:cs="Arial"/>
          <w:szCs w:val="24"/>
          <w:u w:val="single"/>
          <w:lang w:eastAsia="en-GB"/>
        </w:rPr>
        <w:t>Respondent</w:t>
      </w:r>
    </w:p>
    <w:p w:rsidR="00805924" w:rsidRDefault="00805924" w:rsidP="00D977F0">
      <w:pPr>
        <w:spacing w:after="0" w:line="240" w:lineRule="auto"/>
        <w:rPr>
          <w:rFonts w:eastAsia="Times New Roman" w:cs="Arial"/>
          <w:b/>
          <w:szCs w:val="24"/>
          <w:u w:val="single"/>
          <w:lang w:eastAsia="en-GB"/>
        </w:rPr>
      </w:pPr>
    </w:p>
    <w:p w:rsidR="00D977F0" w:rsidRPr="00B07E0B" w:rsidRDefault="00D977F0" w:rsidP="00D977F0">
      <w:pPr>
        <w:spacing w:after="0" w:line="240" w:lineRule="auto"/>
        <w:rPr>
          <w:rFonts w:eastAsia="Times New Roman" w:cs="Arial"/>
          <w:szCs w:val="24"/>
          <w:lang w:eastAsia="en-GB"/>
        </w:rPr>
      </w:pPr>
      <w:r w:rsidRPr="00B07E0B">
        <w:rPr>
          <w:rFonts w:eastAsia="Times New Roman" w:cs="Arial"/>
          <w:b/>
          <w:szCs w:val="24"/>
          <w:u w:val="single"/>
          <w:lang w:eastAsia="en-GB"/>
        </w:rPr>
        <w:t>Representation</w:t>
      </w:r>
      <w:r w:rsidRPr="00B07E0B">
        <w:rPr>
          <w:rFonts w:eastAsia="Times New Roman" w:cs="Arial"/>
          <w:b/>
          <w:szCs w:val="24"/>
          <w:lang w:eastAsia="en-GB"/>
        </w:rPr>
        <w:t>:</w:t>
      </w:r>
    </w:p>
    <w:p w:rsidR="00D977F0" w:rsidRPr="00B07E0B" w:rsidRDefault="00D977F0" w:rsidP="00D977F0">
      <w:pPr>
        <w:spacing w:after="0" w:line="240" w:lineRule="auto"/>
        <w:rPr>
          <w:rFonts w:eastAsia="Times New Roman" w:cs="Arial"/>
          <w:szCs w:val="24"/>
          <w:lang w:eastAsia="en-GB"/>
        </w:rPr>
      </w:pPr>
    </w:p>
    <w:p w:rsidR="00D977F0" w:rsidRPr="00B07E0B" w:rsidRDefault="00D977F0" w:rsidP="00D977F0">
      <w:pPr>
        <w:tabs>
          <w:tab w:val="left" w:pos="2520"/>
        </w:tabs>
        <w:spacing w:after="0" w:line="240" w:lineRule="auto"/>
        <w:ind w:left="2520" w:hanging="2520"/>
        <w:rPr>
          <w:rFonts w:eastAsia="Times New Roman" w:cs="Arial"/>
          <w:szCs w:val="24"/>
          <w:lang w:eastAsia="en-GB"/>
        </w:rPr>
      </w:pPr>
      <w:r w:rsidRPr="00B07E0B">
        <w:rPr>
          <w:rFonts w:eastAsia="Times New Roman" w:cs="Arial"/>
          <w:szCs w:val="24"/>
          <w:lang w:eastAsia="en-GB"/>
        </w:rPr>
        <w:t>For the Appellant:</w:t>
      </w:r>
      <w:r w:rsidRPr="00B07E0B">
        <w:rPr>
          <w:rFonts w:eastAsia="Times New Roman" w:cs="Arial"/>
          <w:szCs w:val="24"/>
          <w:lang w:eastAsia="en-GB"/>
        </w:rPr>
        <w:tab/>
      </w:r>
      <w:r>
        <w:rPr>
          <w:rFonts w:eastAsia="Times New Roman" w:cs="Arial"/>
          <w:szCs w:val="24"/>
          <w:lang w:eastAsia="en-GB"/>
        </w:rPr>
        <w:t xml:space="preserve">Ms M Vidal, Counsel instructed by The Legal Guys  </w:t>
      </w:r>
    </w:p>
    <w:p w:rsidR="00D977F0" w:rsidRPr="00B07E0B" w:rsidRDefault="00D977F0" w:rsidP="00D977F0">
      <w:pPr>
        <w:tabs>
          <w:tab w:val="left" w:pos="2520"/>
        </w:tabs>
        <w:spacing w:after="0" w:line="240" w:lineRule="auto"/>
        <w:rPr>
          <w:rFonts w:eastAsia="Times New Roman" w:cs="Arial"/>
          <w:szCs w:val="24"/>
          <w:lang w:eastAsia="en-GB"/>
        </w:rPr>
      </w:pPr>
      <w:r w:rsidRPr="00B07E0B">
        <w:rPr>
          <w:rFonts w:eastAsia="Times New Roman" w:cs="Arial"/>
          <w:szCs w:val="24"/>
          <w:lang w:eastAsia="en-GB"/>
        </w:rPr>
        <w:t>For the Respondent:</w:t>
      </w:r>
      <w:r w:rsidRPr="00B07E0B">
        <w:rPr>
          <w:rFonts w:eastAsia="Times New Roman" w:cs="Arial"/>
          <w:szCs w:val="24"/>
          <w:lang w:eastAsia="en-GB"/>
        </w:rPr>
        <w:tab/>
        <w:t>M</w:t>
      </w:r>
      <w:r>
        <w:rPr>
          <w:rFonts w:eastAsia="Times New Roman" w:cs="Arial"/>
          <w:szCs w:val="24"/>
          <w:lang w:eastAsia="en-GB"/>
        </w:rPr>
        <w:t>r T Melvin</w:t>
      </w:r>
      <w:r w:rsidRPr="00B07E0B">
        <w:rPr>
          <w:rFonts w:eastAsia="Times New Roman" w:cs="Arial"/>
          <w:szCs w:val="24"/>
          <w:lang w:eastAsia="en-GB"/>
        </w:rPr>
        <w:t>, Senior Home Office Presenting Officer</w:t>
      </w:r>
    </w:p>
    <w:p w:rsidR="00D977F0" w:rsidRDefault="00D977F0" w:rsidP="00D977F0">
      <w:pPr>
        <w:tabs>
          <w:tab w:val="left" w:pos="2520"/>
        </w:tabs>
        <w:spacing w:after="0" w:line="240" w:lineRule="auto"/>
        <w:jc w:val="center"/>
        <w:rPr>
          <w:rFonts w:eastAsia="Times New Roman" w:cs="Arial"/>
          <w:szCs w:val="24"/>
          <w:lang w:eastAsia="en-GB"/>
        </w:rPr>
      </w:pPr>
    </w:p>
    <w:p w:rsidR="00D977F0" w:rsidRPr="00B07E0B" w:rsidRDefault="00D977F0" w:rsidP="00D977F0">
      <w:pPr>
        <w:tabs>
          <w:tab w:val="left" w:pos="2520"/>
        </w:tabs>
        <w:spacing w:after="0" w:line="240" w:lineRule="auto"/>
        <w:jc w:val="center"/>
        <w:rPr>
          <w:rFonts w:eastAsia="Times New Roman" w:cs="Arial"/>
          <w:szCs w:val="24"/>
          <w:lang w:eastAsia="en-GB"/>
        </w:rPr>
      </w:pPr>
      <w:r w:rsidRPr="00B07E0B">
        <w:rPr>
          <w:rFonts w:eastAsia="Times New Roman" w:cs="Arial"/>
          <w:b/>
          <w:szCs w:val="24"/>
          <w:u w:val="single"/>
          <w:lang w:eastAsia="en-GB"/>
        </w:rPr>
        <w:t>DETERMINATION AND REASONS</w:t>
      </w:r>
    </w:p>
    <w:p w:rsidR="00D977F0" w:rsidRPr="00B07E0B" w:rsidRDefault="00D977F0" w:rsidP="00D977F0">
      <w:pPr>
        <w:tabs>
          <w:tab w:val="left" w:pos="2520"/>
        </w:tabs>
        <w:spacing w:after="0" w:line="240" w:lineRule="auto"/>
        <w:jc w:val="both"/>
        <w:rPr>
          <w:rFonts w:eastAsia="Times New Roman" w:cs="Arial"/>
          <w:szCs w:val="24"/>
          <w:lang w:eastAsia="en-GB"/>
        </w:rPr>
      </w:pPr>
    </w:p>
    <w:p w:rsidR="00D977F0" w:rsidRDefault="00D977F0" w:rsidP="00D977F0">
      <w:pPr>
        <w:numPr>
          <w:ilvl w:val="0"/>
          <w:numId w:val="1"/>
        </w:numPr>
        <w:tabs>
          <w:tab w:val="left" w:pos="567"/>
        </w:tabs>
        <w:spacing w:after="0" w:line="240" w:lineRule="auto"/>
        <w:contextualSpacing/>
        <w:jc w:val="both"/>
        <w:rPr>
          <w:rFonts w:eastAsia="Times New Roman" w:cs="Arial"/>
          <w:szCs w:val="24"/>
          <w:lang w:eastAsia="en-GB"/>
        </w:rPr>
      </w:pPr>
      <w:r w:rsidRPr="00D32AD4">
        <w:rPr>
          <w:rFonts w:eastAsia="Times New Roman" w:cs="Arial"/>
          <w:szCs w:val="24"/>
          <w:lang w:eastAsia="en-GB"/>
        </w:rPr>
        <w:t xml:space="preserve">The appellant challenges the determination of </w:t>
      </w:r>
      <w:r>
        <w:rPr>
          <w:rFonts w:eastAsia="Times New Roman" w:cs="Arial"/>
          <w:szCs w:val="24"/>
          <w:lang w:eastAsia="en-GB"/>
        </w:rPr>
        <w:t xml:space="preserve">First-tier Tribunal Judge </w:t>
      </w:r>
      <w:proofErr w:type="gramStart"/>
      <w:r>
        <w:rPr>
          <w:rFonts w:eastAsia="Times New Roman" w:cs="Arial"/>
          <w:szCs w:val="24"/>
          <w:lang w:eastAsia="en-GB"/>
        </w:rPr>
        <w:t>A</w:t>
      </w:r>
      <w:proofErr w:type="gramEnd"/>
      <w:r>
        <w:rPr>
          <w:rFonts w:eastAsia="Times New Roman" w:cs="Arial"/>
          <w:szCs w:val="24"/>
          <w:lang w:eastAsia="en-GB"/>
        </w:rPr>
        <w:t xml:space="preserve"> M Black </w:t>
      </w:r>
      <w:r w:rsidRPr="00D32AD4">
        <w:rPr>
          <w:rFonts w:eastAsia="Times New Roman" w:cs="Arial"/>
          <w:szCs w:val="24"/>
          <w:lang w:eastAsia="en-GB"/>
        </w:rPr>
        <w:t xml:space="preserve">promulgated on </w:t>
      </w:r>
      <w:r>
        <w:rPr>
          <w:rFonts w:eastAsia="Times New Roman" w:cs="Arial"/>
          <w:szCs w:val="24"/>
          <w:lang w:eastAsia="en-GB"/>
        </w:rPr>
        <w:t>7 February 2018</w:t>
      </w:r>
      <w:r w:rsidRPr="00D32AD4">
        <w:rPr>
          <w:rFonts w:eastAsia="Times New Roman" w:cs="Arial"/>
          <w:szCs w:val="24"/>
          <w:lang w:eastAsia="en-GB"/>
        </w:rPr>
        <w:t xml:space="preserve"> dismissing h</w:t>
      </w:r>
      <w:r>
        <w:rPr>
          <w:rFonts w:eastAsia="Times New Roman" w:cs="Arial"/>
          <w:szCs w:val="24"/>
          <w:lang w:eastAsia="en-GB"/>
        </w:rPr>
        <w:t>is</w:t>
      </w:r>
      <w:r w:rsidRPr="00D32AD4">
        <w:rPr>
          <w:rFonts w:eastAsia="Times New Roman" w:cs="Arial"/>
          <w:szCs w:val="24"/>
          <w:lang w:eastAsia="en-GB"/>
        </w:rPr>
        <w:t xml:space="preserve"> </w:t>
      </w:r>
      <w:r>
        <w:rPr>
          <w:rFonts w:eastAsia="Times New Roman" w:cs="Arial"/>
          <w:szCs w:val="24"/>
          <w:lang w:eastAsia="en-GB"/>
        </w:rPr>
        <w:t xml:space="preserve">deportation </w:t>
      </w:r>
      <w:r w:rsidRPr="00D32AD4">
        <w:rPr>
          <w:rFonts w:eastAsia="Times New Roman" w:cs="Arial"/>
          <w:szCs w:val="24"/>
          <w:lang w:eastAsia="en-GB"/>
        </w:rPr>
        <w:t>appeal</w:t>
      </w:r>
      <w:r>
        <w:rPr>
          <w:rFonts w:eastAsia="Times New Roman" w:cs="Arial"/>
          <w:szCs w:val="24"/>
          <w:lang w:eastAsia="en-GB"/>
        </w:rPr>
        <w:t xml:space="preserve"> under the EEA Regulations 2016. </w:t>
      </w:r>
      <w:r w:rsidRPr="00D32AD4">
        <w:rPr>
          <w:rFonts w:eastAsia="Times New Roman" w:cs="Arial"/>
          <w:szCs w:val="24"/>
          <w:lang w:eastAsia="en-GB"/>
        </w:rPr>
        <w:t xml:space="preserve"> </w:t>
      </w:r>
      <w:r>
        <w:rPr>
          <w:rFonts w:eastAsia="Times New Roman" w:cs="Arial"/>
          <w:szCs w:val="24"/>
          <w:lang w:eastAsia="en-GB"/>
        </w:rPr>
        <w:t xml:space="preserve">The appellant is a Slovak national </w:t>
      </w:r>
      <w:r w:rsidR="00777A1A">
        <w:rPr>
          <w:rFonts w:eastAsia="Times New Roman" w:cs="Arial"/>
          <w:szCs w:val="24"/>
          <w:lang w:eastAsia="en-GB"/>
        </w:rPr>
        <w:t xml:space="preserve">of Roma ethnicity </w:t>
      </w:r>
      <w:r>
        <w:rPr>
          <w:rFonts w:eastAsia="Times New Roman" w:cs="Arial"/>
          <w:szCs w:val="24"/>
          <w:lang w:eastAsia="en-GB"/>
        </w:rPr>
        <w:t>born on 9 August 1992 who was convicted in November 2015 to 18 months’ imprisonment, varied to five years by the Court of Appeal, for wounding with intent to commit grievous bodily harm.</w:t>
      </w:r>
      <w:r w:rsidR="004F2698">
        <w:rPr>
          <w:rFonts w:eastAsia="Times New Roman" w:cs="Arial"/>
          <w:szCs w:val="24"/>
          <w:lang w:eastAsia="en-GB"/>
        </w:rPr>
        <w:t xml:space="preserve"> He also has numerous other convictions dating back to 2003. These include offences involving burglary, drunk driving, violence and drugs.</w:t>
      </w:r>
    </w:p>
    <w:p w:rsidR="00D977F0" w:rsidRDefault="00D977F0" w:rsidP="00D977F0">
      <w:pPr>
        <w:tabs>
          <w:tab w:val="left" w:pos="567"/>
        </w:tabs>
        <w:spacing w:after="0" w:line="240" w:lineRule="auto"/>
        <w:ind w:left="1137"/>
        <w:contextualSpacing/>
        <w:jc w:val="both"/>
        <w:rPr>
          <w:rFonts w:eastAsia="Times New Roman" w:cs="Arial"/>
          <w:szCs w:val="24"/>
          <w:lang w:eastAsia="en-GB"/>
        </w:rPr>
      </w:pPr>
    </w:p>
    <w:p w:rsidR="00D977F0" w:rsidRDefault="00D977F0" w:rsidP="00D977F0">
      <w:pPr>
        <w:numPr>
          <w:ilvl w:val="0"/>
          <w:numId w:val="1"/>
        </w:numPr>
        <w:tabs>
          <w:tab w:val="left" w:pos="567"/>
        </w:tabs>
        <w:spacing w:after="0" w:line="240" w:lineRule="auto"/>
        <w:contextualSpacing/>
        <w:jc w:val="both"/>
        <w:rPr>
          <w:rFonts w:eastAsia="Times New Roman" w:cs="Arial"/>
          <w:szCs w:val="24"/>
          <w:lang w:eastAsia="en-GB"/>
        </w:rPr>
      </w:pPr>
      <w:r>
        <w:rPr>
          <w:rFonts w:eastAsia="Times New Roman" w:cs="Arial"/>
          <w:szCs w:val="24"/>
          <w:lang w:eastAsia="en-GB"/>
        </w:rPr>
        <w:t xml:space="preserve">The judge heard oral evidence from the appellant, his partner and his mother. She found that the appellant had not been residing in the UK in accordance with the Regulations as there was no evidence that his parents had ever worked or </w:t>
      </w:r>
      <w:r>
        <w:rPr>
          <w:rFonts w:eastAsia="Times New Roman" w:cs="Arial"/>
          <w:szCs w:val="24"/>
          <w:lang w:eastAsia="en-GB"/>
        </w:rPr>
        <w:lastRenderedPageBreak/>
        <w:t xml:space="preserve">that he had comprehensive sickness insurance (CSI) when he had been a student or that he had worked after leaving school. She found he had not completed ten years of residence under the Regulations and </w:t>
      </w:r>
      <w:r w:rsidR="004F2698">
        <w:rPr>
          <w:rFonts w:eastAsia="Times New Roman" w:cs="Arial"/>
          <w:szCs w:val="24"/>
          <w:lang w:eastAsia="en-GB"/>
        </w:rPr>
        <w:t xml:space="preserve">that there was little evidence of integration into British society. She took account of the factors put forward on his behalf but concluded that he represented a genuine, present and sufficiently serious threat to society and that despite his personal circumstances and family life, his deportation was not disproportionate and was not a breach of the Regulations. Accordingly, the appeal was dismissed. </w:t>
      </w:r>
    </w:p>
    <w:p w:rsidR="00D977F0" w:rsidRDefault="00D977F0" w:rsidP="00D977F0">
      <w:pPr>
        <w:pStyle w:val="ListParagraph"/>
        <w:rPr>
          <w:rFonts w:eastAsia="Times New Roman" w:cs="Arial"/>
          <w:szCs w:val="24"/>
          <w:lang w:eastAsia="en-GB"/>
        </w:rPr>
      </w:pPr>
    </w:p>
    <w:p w:rsidR="00D977F0" w:rsidRDefault="00D977F0" w:rsidP="00D977F0">
      <w:pPr>
        <w:numPr>
          <w:ilvl w:val="0"/>
          <w:numId w:val="1"/>
        </w:numPr>
        <w:tabs>
          <w:tab w:val="left" w:pos="567"/>
        </w:tabs>
        <w:spacing w:after="0" w:line="240" w:lineRule="auto"/>
        <w:contextualSpacing/>
        <w:jc w:val="both"/>
        <w:rPr>
          <w:rFonts w:eastAsia="Times New Roman" w:cs="Arial"/>
          <w:szCs w:val="24"/>
          <w:lang w:eastAsia="en-GB"/>
        </w:rPr>
      </w:pPr>
      <w:r>
        <w:rPr>
          <w:rFonts w:eastAsia="Times New Roman" w:cs="Arial"/>
          <w:szCs w:val="24"/>
          <w:lang w:eastAsia="en-GB"/>
        </w:rPr>
        <w:t xml:space="preserve">Permission to appeal was </w:t>
      </w:r>
      <w:r w:rsidR="004F2698">
        <w:rPr>
          <w:rFonts w:eastAsia="Times New Roman" w:cs="Arial"/>
          <w:szCs w:val="24"/>
          <w:lang w:eastAsia="en-GB"/>
        </w:rPr>
        <w:t>refused</w:t>
      </w:r>
      <w:r>
        <w:rPr>
          <w:rFonts w:eastAsia="Times New Roman" w:cs="Arial"/>
          <w:szCs w:val="24"/>
          <w:lang w:eastAsia="en-GB"/>
        </w:rPr>
        <w:t xml:space="preserve"> by First-tier Tribunal Judge </w:t>
      </w:r>
      <w:r w:rsidR="004F2698">
        <w:rPr>
          <w:rFonts w:eastAsia="Times New Roman" w:cs="Arial"/>
          <w:szCs w:val="24"/>
          <w:lang w:eastAsia="en-GB"/>
        </w:rPr>
        <w:t>Lever</w:t>
      </w:r>
      <w:r>
        <w:rPr>
          <w:rFonts w:eastAsia="Times New Roman" w:cs="Arial"/>
          <w:szCs w:val="24"/>
          <w:lang w:eastAsia="en-GB"/>
        </w:rPr>
        <w:t xml:space="preserve"> on </w:t>
      </w:r>
      <w:r w:rsidR="004F2698">
        <w:rPr>
          <w:rFonts w:eastAsia="Times New Roman" w:cs="Arial"/>
          <w:szCs w:val="24"/>
          <w:lang w:eastAsia="en-GB"/>
        </w:rPr>
        <w:t xml:space="preserve">26 February </w:t>
      </w:r>
      <w:r>
        <w:rPr>
          <w:rFonts w:eastAsia="Times New Roman" w:cs="Arial"/>
          <w:szCs w:val="24"/>
          <w:lang w:eastAsia="en-GB"/>
        </w:rPr>
        <w:t xml:space="preserve">2018 </w:t>
      </w:r>
      <w:r w:rsidR="004F2698">
        <w:rPr>
          <w:rFonts w:eastAsia="Times New Roman" w:cs="Arial"/>
          <w:szCs w:val="24"/>
          <w:lang w:eastAsia="en-GB"/>
        </w:rPr>
        <w:t xml:space="preserve">but granted upon renewal by Upper Tribunal Judge Coker on the single ground that the judge may have erred in her conclusion on the period of residence accrued by the appellant. </w:t>
      </w:r>
    </w:p>
    <w:p w:rsidR="00D977F0" w:rsidRDefault="00D977F0" w:rsidP="00D977F0">
      <w:pPr>
        <w:pStyle w:val="ListParagraph"/>
        <w:rPr>
          <w:rFonts w:eastAsia="Times New Roman" w:cs="Arial"/>
          <w:szCs w:val="24"/>
          <w:lang w:eastAsia="en-GB"/>
        </w:rPr>
      </w:pPr>
    </w:p>
    <w:p w:rsidR="00D977F0" w:rsidRPr="00713349" w:rsidRDefault="00D977F0" w:rsidP="00D977F0">
      <w:pPr>
        <w:numPr>
          <w:ilvl w:val="0"/>
          <w:numId w:val="1"/>
        </w:numPr>
        <w:tabs>
          <w:tab w:val="left" w:pos="567"/>
        </w:tabs>
        <w:spacing w:after="0" w:line="240" w:lineRule="auto"/>
        <w:contextualSpacing/>
        <w:jc w:val="both"/>
        <w:rPr>
          <w:rFonts w:eastAsia="Times New Roman" w:cs="Arial"/>
          <w:b/>
          <w:szCs w:val="24"/>
          <w:lang w:eastAsia="en-GB"/>
        </w:rPr>
      </w:pPr>
      <w:r w:rsidRPr="00713349">
        <w:rPr>
          <w:rFonts w:eastAsia="Times New Roman" w:cs="Arial"/>
          <w:b/>
          <w:szCs w:val="24"/>
          <w:lang w:eastAsia="en-GB"/>
        </w:rPr>
        <w:t xml:space="preserve">The Hearing </w:t>
      </w:r>
    </w:p>
    <w:p w:rsidR="00D977F0" w:rsidRDefault="00D977F0" w:rsidP="00D977F0">
      <w:pPr>
        <w:pStyle w:val="ListParagraph"/>
        <w:rPr>
          <w:rFonts w:eastAsia="Times New Roman" w:cs="Arial"/>
          <w:szCs w:val="24"/>
          <w:lang w:eastAsia="en-GB"/>
        </w:rPr>
      </w:pPr>
    </w:p>
    <w:p w:rsidR="00D977F0" w:rsidRDefault="00D977F0" w:rsidP="00D977F0">
      <w:pPr>
        <w:numPr>
          <w:ilvl w:val="0"/>
          <w:numId w:val="1"/>
        </w:numPr>
        <w:tabs>
          <w:tab w:val="left" w:pos="567"/>
        </w:tabs>
        <w:spacing w:after="0" w:line="240" w:lineRule="auto"/>
        <w:contextualSpacing/>
        <w:jc w:val="both"/>
        <w:rPr>
          <w:rFonts w:eastAsia="Times New Roman" w:cs="Arial"/>
          <w:szCs w:val="24"/>
          <w:lang w:eastAsia="en-GB"/>
        </w:rPr>
      </w:pPr>
      <w:r>
        <w:rPr>
          <w:rFonts w:eastAsia="Times New Roman" w:cs="Arial"/>
          <w:szCs w:val="24"/>
          <w:lang w:eastAsia="en-GB"/>
        </w:rPr>
        <w:t>At the hearing before me on 23 July 2018, I heard submissions from the parties. For the appellant, M</w:t>
      </w:r>
      <w:r w:rsidR="004F2698">
        <w:rPr>
          <w:rFonts w:eastAsia="Times New Roman" w:cs="Arial"/>
          <w:szCs w:val="24"/>
          <w:lang w:eastAsia="en-GB"/>
        </w:rPr>
        <w:t xml:space="preserve">s Vidal </w:t>
      </w:r>
      <w:r w:rsidR="008578FD">
        <w:rPr>
          <w:rFonts w:eastAsia="Times New Roman" w:cs="Arial"/>
          <w:szCs w:val="24"/>
          <w:lang w:eastAsia="en-GB"/>
        </w:rPr>
        <w:t xml:space="preserve">acknowledged that the issue was a very narrow one and </w:t>
      </w:r>
      <w:r w:rsidR="004F2698">
        <w:rPr>
          <w:rFonts w:eastAsia="Times New Roman" w:cs="Arial"/>
          <w:szCs w:val="24"/>
          <w:lang w:eastAsia="en-GB"/>
        </w:rPr>
        <w:t>s</w:t>
      </w:r>
      <w:r>
        <w:rPr>
          <w:rFonts w:eastAsia="Times New Roman" w:cs="Arial"/>
          <w:szCs w:val="24"/>
          <w:lang w:eastAsia="en-GB"/>
        </w:rPr>
        <w:t xml:space="preserve">ubmitted that the judge had failed to </w:t>
      </w:r>
      <w:r w:rsidR="003B4DDB">
        <w:rPr>
          <w:rFonts w:eastAsia="Times New Roman" w:cs="Arial"/>
          <w:szCs w:val="24"/>
          <w:lang w:eastAsia="en-GB"/>
        </w:rPr>
        <w:t xml:space="preserve">engage with whether the appellant had accrued ten years of residence in the UK. She confirmed that the period could only commence from 1 May 2004 when Slovakia became an EU member. She submitted that under the transitional arrangements of the respondent’s policy, the applicant did not require CSI until 20 June 2011. She admitted that he had not had any from that date but that nevertheless this point had not been considered by the judge. </w:t>
      </w:r>
    </w:p>
    <w:p w:rsidR="004F2698" w:rsidRDefault="004F2698" w:rsidP="004F2698">
      <w:pPr>
        <w:pStyle w:val="ListParagraph"/>
        <w:rPr>
          <w:rFonts w:eastAsia="Times New Roman" w:cs="Arial"/>
          <w:szCs w:val="24"/>
          <w:lang w:eastAsia="en-GB"/>
        </w:rPr>
      </w:pPr>
    </w:p>
    <w:p w:rsidR="003B4DDB" w:rsidRDefault="00D977F0" w:rsidP="00D977F0">
      <w:pPr>
        <w:numPr>
          <w:ilvl w:val="0"/>
          <w:numId w:val="1"/>
        </w:numPr>
        <w:tabs>
          <w:tab w:val="left" w:pos="567"/>
        </w:tabs>
        <w:spacing w:after="0" w:line="240" w:lineRule="auto"/>
        <w:contextualSpacing/>
        <w:jc w:val="both"/>
        <w:rPr>
          <w:rFonts w:eastAsia="Times New Roman" w:cs="Arial"/>
          <w:szCs w:val="24"/>
          <w:lang w:eastAsia="en-GB"/>
        </w:rPr>
      </w:pPr>
      <w:r w:rsidRPr="00037BCA">
        <w:rPr>
          <w:rFonts w:eastAsia="Times New Roman" w:cs="Arial"/>
          <w:szCs w:val="24"/>
          <w:lang w:eastAsia="en-GB"/>
        </w:rPr>
        <w:t xml:space="preserve">Mr Melvin </w:t>
      </w:r>
      <w:r>
        <w:rPr>
          <w:rFonts w:eastAsia="Times New Roman" w:cs="Arial"/>
          <w:szCs w:val="24"/>
          <w:lang w:eastAsia="en-GB"/>
        </w:rPr>
        <w:t xml:space="preserve">relied on </w:t>
      </w:r>
      <w:r w:rsidRPr="00037BCA">
        <w:rPr>
          <w:rFonts w:eastAsia="Times New Roman" w:cs="Arial"/>
          <w:szCs w:val="24"/>
          <w:lang w:eastAsia="en-GB"/>
        </w:rPr>
        <w:t xml:space="preserve">the contents of the respondent’s Rule 24 response. </w:t>
      </w:r>
      <w:r>
        <w:rPr>
          <w:rFonts w:eastAsia="Times New Roman" w:cs="Arial"/>
          <w:szCs w:val="24"/>
          <w:lang w:eastAsia="en-GB"/>
        </w:rPr>
        <w:t xml:space="preserve">He submitted that </w:t>
      </w:r>
      <w:r w:rsidR="003B4DDB">
        <w:rPr>
          <w:rFonts w:eastAsia="Times New Roman" w:cs="Arial"/>
          <w:szCs w:val="24"/>
          <w:lang w:eastAsia="en-GB"/>
        </w:rPr>
        <w:t>given the appellant’s submissions, it was difficult to see how the appeal could have succeeded. The judge’s findings did not contain any error of law regarding the period of residence which had been considered (at paragraph 38) but even if there had been an error, the appellant could not succeed as he had never had leave under the Regulations and had been granted leave with his parents under the family consideration programme. There was no evidence that the family or the appellant had ever exercised treaty rights and the tran</w:t>
      </w:r>
      <w:r w:rsidR="00FA65DF">
        <w:rPr>
          <w:rFonts w:eastAsia="Times New Roman" w:cs="Arial"/>
          <w:szCs w:val="24"/>
          <w:lang w:eastAsia="en-GB"/>
        </w:rPr>
        <w:t xml:space="preserve">sitional arrangements for CSI would not therefore apply to him. The appellant was not entitled to permanent residency and the appeal had no merit. </w:t>
      </w:r>
    </w:p>
    <w:p w:rsidR="00FA65DF" w:rsidRDefault="00FA65DF" w:rsidP="00FA65DF">
      <w:pPr>
        <w:pStyle w:val="ListParagraph"/>
        <w:rPr>
          <w:rFonts w:eastAsia="Times New Roman" w:cs="Arial"/>
          <w:szCs w:val="24"/>
          <w:lang w:eastAsia="en-GB"/>
        </w:rPr>
      </w:pPr>
    </w:p>
    <w:p w:rsidR="00FA65DF" w:rsidRDefault="00FA65DF" w:rsidP="00D977F0">
      <w:pPr>
        <w:numPr>
          <w:ilvl w:val="0"/>
          <w:numId w:val="1"/>
        </w:numPr>
        <w:tabs>
          <w:tab w:val="left" w:pos="567"/>
        </w:tabs>
        <w:spacing w:after="0" w:line="240" w:lineRule="auto"/>
        <w:contextualSpacing/>
        <w:jc w:val="both"/>
        <w:rPr>
          <w:rFonts w:eastAsia="Times New Roman" w:cs="Arial"/>
          <w:szCs w:val="24"/>
          <w:lang w:eastAsia="en-GB"/>
        </w:rPr>
      </w:pPr>
      <w:r>
        <w:rPr>
          <w:rFonts w:eastAsia="Times New Roman" w:cs="Arial"/>
          <w:szCs w:val="24"/>
          <w:lang w:eastAsia="en-GB"/>
        </w:rPr>
        <w:t xml:space="preserve">Ms Vidal submitted briefly that the judge had only alluded to the </w:t>
      </w:r>
      <w:proofErr w:type="gramStart"/>
      <w:r>
        <w:rPr>
          <w:rFonts w:eastAsia="Times New Roman" w:cs="Arial"/>
          <w:szCs w:val="24"/>
          <w:lang w:eastAsia="en-GB"/>
        </w:rPr>
        <w:t>ten</w:t>
      </w:r>
      <w:r w:rsidR="00C34AA3">
        <w:rPr>
          <w:rFonts w:eastAsia="Times New Roman" w:cs="Arial"/>
          <w:szCs w:val="24"/>
          <w:lang w:eastAsia="en-GB"/>
        </w:rPr>
        <w:t xml:space="preserve"> </w:t>
      </w:r>
      <w:r>
        <w:rPr>
          <w:rFonts w:eastAsia="Times New Roman" w:cs="Arial"/>
          <w:szCs w:val="24"/>
          <w:lang w:eastAsia="en-GB"/>
        </w:rPr>
        <w:t>year</w:t>
      </w:r>
      <w:proofErr w:type="gramEnd"/>
      <w:r>
        <w:rPr>
          <w:rFonts w:eastAsia="Times New Roman" w:cs="Arial"/>
          <w:szCs w:val="24"/>
          <w:lang w:eastAsia="en-GB"/>
        </w:rPr>
        <w:t xml:space="preserve"> provision in the determination and had not considered the absence of a requirement for CSI prior to June 2011. </w:t>
      </w:r>
    </w:p>
    <w:p w:rsidR="003B4DDB" w:rsidRDefault="003B4DDB" w:rsidP="003B4DDB">
      <w:pPr>
        <w:pStyle w:val="ListParagraph"/>
        <w:rPr>
          <w:rFonts w:eastAsia="Times New Roman" w:cs="Arial"/>
          <w:szCs w:val="24"/>
          <w:lang w:eastAsia="en-GB"/>
        </w:rPr>
      </w:pPr>
    </w:p>
    <w:p w:rsidR="00D977F0" w:rsidRDefault="00D977F0" w:rsidP="00D977F0">
      <w:pPr>
        <w:numPr>
          <w:ilvl w:val="0"/>
          <w:numId w:val="1"/>
        </w:numPr>
        <w:tabs>
          <w:tab w:val="left" w:pos="567"/>
        </w:tabs>
        <w:spacing w:after="0" w:line="240" w:lineRule="auto"/>
        <w:contextualSpacing/>
        <w:jc w:val="both"/>
        <w:rPr>
          <w:rFonts w:eastAsia="Times New Roman" w:cs="Arial"/>
          <w:szCs w:val="24"/>
          <w:lang w:eastAsia="en-GB"/>
        </w:rPr>
      </w:pPr>
      <w:r>
        <w:rPr>
          <w:rFonts w:eastAsia="Times New Roman" w:cs="Arial"/>
          <w:szCs w:val="24"/>
          <w:lang w:eastAsia="en-GB"/>
        </w:rPr>
        <w:t>That completed the hearing. I reserved my determination which I now give</w:t>
      </w:r>
      <w:r w:rsidRPr="007A3620">
        <w:rPr>
          <w:rFonts w:eastAsia="Times New Roman" w:cs="Arial"/>
          <w:szCs w:val="24"/>
          <w:lang w:eastAsia="en-GB"/>
        </w:rPr>
        <w:t xml:space="preserve"> </w:t>
      </w:r>
      <w:r>
        <w:rPr>
          <w:rFonts w:eastAsia="Times New Roman" w:cs="Arial"/>
          <w:szCs w:val="24"/>
          <w:lang w:eastAsia="en-GB"/>
        </w:rPr>
        <w:t>with reasons.</w:t>
      </w:r>
    </w:p>
    <w:p w:rsidR="00D977F0" w:rsidRDefault="00D977F0" w:rsidP="00D977F0">
      <w:pPr>
        <w:pStyle w:val="ListParagraph"/>
        <w:rPr>
          <w:rFonts w:eastAsia="Times New Roman" w:cs="Arial"/>
          <w:szCs w:val="24"/>
          <w:lang w:eastAsia="en-GB"/>
        </w:rPr>
      </w:pPr>
    </w:p>
    <w:p w:rsidR="00D977F0" w:rsidRDefault="00D977F0" w:rsidP="00D977F0">
      <w:pPr>
        <w:numPr>
          <w:ilvl w:val="0"/>
          <w:numId w:val="1"/>
        </w:numPr>
        <w:tabs>
          <w:tab w:val="left" w:pos="567"/>
        </w:tabs>
        <w:spacing w:after="0" w:line="240" w:lineRule="auto"/>
        <w:contextualSpacing/>
        <w:jc w:val="both"/>
        <w:rPr>
          <w:rFonts w:eastAsia="Times New Roman" w:cs="Arial"/>
          <w:b/>
          <w:szCs w:val="24"/>
          <w:lang w:eastAsia="en-GB"/>
        </w:rPr>
      </w:pPr>
      <w:r>
        <w:rPr>
          <w:rFonts w:eastAsia="Times New Roman" w:cs="Arial"/>
          <w:b/>
          <w:szCs w:val="24"/>
          <w:lang w:eastAsia="en-GB"/>
        </w:rPr>
        <w:lastRenderedPageBreak/>
        <w:t xml:space="preserve">Findings and </w:t>
      </w:r>
      <w:r w:rsidRPr="002B355E">
        <w:rPr>
          <w:rFonts w:eastAsia="Times New Roman" w:cs="Arial"/>
          <w:b/>
          <w:szCs w:val="24"/>
          <w:lang w:eastAsia="en-GB"/>
        </w:rPr>
        <w:t>Conclusions</w:t>
      </w:r>
    </w:p>
    <w:p w:rsidR="00D977F0" w:rsidRPr="002B355E" w:rsidRDefault="00D977F0" w:rsidP="00D977F0">
      <w:pPr>
        <w:tabs>
          <w:tab w:val="left" w:pos="567"/>
        </w:tabs>
        <w:spacing w:after="0" w:line="240" w:lineRule="auto"/>
        <w:ind w:left="1137"/>
        <w:contextualSpacing/>
        <w:jc w:val="both"/>
        <w:rPr>
          <w:rFonts w:eastAsia="Times New Roman" w:cs="Arial"/>
          <w:b/>
          <w:szCs w:val="24"/>
          <w:lang w:eastAsia="en-GB"/>
        </w:rPr>
      </w:pPr>
    </w:p>
    <w:p w:rsidR="00D977F0" w:rsidRDefault="00FA65DF" w:rsidP="00D977F0">
      <w:pPr>
        <w:numPr>
          <w:ilvl w:val="0"/>
          <w:numId w:val="1"/>
        </w:numPr>
        <w:tabs>
          <w:tab w:val="left" w:pos="567"/>
        </w:tabs>
        <w:spacing w:after="0" w:line="240" w:lineRule="auto"/>
        <w:contextualSpacing/>
        <w:jc w:val="both"/>
        <w:rPr>
          <w:rFonts w:eastAsia="Times New Roman" w:cs="Arial"/>
          <w:szCs w:val="24"/>
          <w:lang w:eastAsia="en-GB"/>
        </w:rPr>
      </w:pPr>
      <w:r>
        <w:rPr>
          <w:rFonts w:eastAsia="Times New Roman" w:cs="Arial"/>
          <w:szCs w:val="24"/>
          <w:lang w:eastAsia="en-GB"/>
        </w:rPr>
        <w:t xml:space="preserve">As submitted by Ms Vida, the issue is a narrow one. </w:t>
      </w:r>
      <w:r w:rsidR="004B0E1D">
        <w:rPr>
          <w:rFonts w:eastAsia="Times New Roman" w:cs="Arial"/>
          <w:szCs w:val="24"/>
          <w:lang w:eastAsia="en-GB"/>
        </w:rPr>
        <w:t>Is the appellant entitled to the higher level of protection afforded by an EEA national with permanent residence or the lower level of protection</w:t>
      </w:r>
      <w:r w:rsidR="002E60D0">
        <w:rPr>
          <w:rFonts w:eastAsia="Times New Roman" w:cs="Arial"/>
          <w:szCs w:val="24"/>
          <w:lang w:eastAsia="en-GB"/>
        </w:rPr>
        <w:t>,</w:t>
      </w:r>
      <w:r w:rsidR="004B0E1D">
        <w:rPr>
          <w:rFonts w:eastAsia="Times New Roman" w:cs="Arial"/>
          <w:szCs w:val="24"/>
          <w:lang w:eastAsia="en-GB"/>
        </w:rPr>
        <w:t xml:space="preserve"> as </w:t>
      </w:r>
      <w:r w:rsidR="002E60D0">
        <w:rPr>
          <w:rFonts w:eastAsia="Times New Roman" w:cs="Arial"/>
          <w:szCs w:val="24"/>
          <w:lang w:eastAsia="en-GB"/>
        </w:rPr>
        <w:t xml:space="preserve">found by </w:t>
      </w:r>
      <w:r w:rsidR="004B0E1D">
        <w:rPr>
          <w:rFonts w:eastAsia="Times New Roman" w:cs="Arial"/>
          <w:szCs w:val="24"/>
          <w:lang w:eastAsia="en-GB"/>
        </w:rPr>
        <w:t xml:space="preserve">the judge. </w:t>
      </w:r>
    </w:p>
    <w:p w:rsidR="004B0E1D" w:rsidRDefault="004B0E1D" w:rsidP="004B0E1D">
      <w:pPr>
        <w:pStyle w:val="ListParagraph"/>
        <w:rPr>
          <w:rFonts w:eastAsia="Times New Roman" w:cs="Arial"/>
          <w:szCs w:val="24"/>
          <w:lang w:eastAsia="en-GB"/>
        </w:rPr>
      </w:pPr>
    </w:p>
    <w:p w:rsidR="004B0E1D" w:rsidRDefault="004B0E1D" w:rsidP="00D977F0">
      <w:pPr>
        <w:numPr>
          <w:ilvl w:val="0"/>
          <w:numId w:val="1"/>
        </w:numPr>
        <w:tabs>
          <w:tab w:val="left" w:pos="567"/>
        </w:tabs>
        <w:spacing w:after="0" w:line="240" w:lineRule="auto"/>
        <w:contextualSpacing/>
        <w:jc w:val="both"/>
        <w:rPr>
          <w:rFonts w:eastAsia="Times New Roman" w:cs="Arial"/>
          <w:szCs w:val="24"/>
          <w:lang w:eastAsia="en-GB"/>
        </w:rPr>
      </w:pPr>
      <w:r>
        <w:rPr>
          <w:rFonts w:eastAsia="Times New Roman" w:cs="Arial"/>
          <w:szCs w:val="24"/>
          <w:lang w:eastAsia="en-GB"/>
        </w:rPr>
        <w:t xml:space="preserve">The applicant’s representatives argue in Ground 1 (on which permission was granted) that as a student, the appellant was exercising treaty rights under reg. 4 between 2004 and 2010 and the judge failed to have regard to this. It is then argued that the appellant did not need CSI until 20 June 2011, that he is entitled to permanent residence and that under reg. 27(3) he is then entitled to the higher level of protection; i.e., there </w:t>
      </w:r>
      <w:proofErr w:type="gramStart"/>
      <w:r>
        <w:rPr>
          <w:rFonts w:eastAsia="Times New Roman" w:cs="Arial"/>
          <w:szCs w:val="24"/>
          <w:lang w:eastAsia="en-GB"/>
        </w:rPr>
        <w:t>have to</w:t>
      </w:r>
      <w:proofErr w:type="gramEnd"/>
      <w:r>
        <w:rPr>
          <w:rFonts w:eastAsia="Times New Roman" w:cs="Arial"/>
          <w:szCs w:val="24"/>
          <w:lang w:eastAsia="en-GB"/>
        </w:rPr>
        <w:t xml:space="preserve"> be imperative grounds to remove him. </w:t>
      </w:r>
    </w:p>
    <w:p w:rsidR="00777A1A" w:rsidRDefault="00777A1A" w:rsidP="00777A1A">
      <w:pPr>
        <w:pStyle w:val="ListParagraph"/>
        <w:rPr>
          <w:rFonts w:eastAsia="Times New Roman" w:cs="Arial"/>
          <w:szCs w:val="24"/>
          <w:lang w:eastAsia="en-GB"/>
        </w:rPr>
      </w:pPr>
    </w:p>
    <w:p w:rsidR="00777A1A" w:rsidRDefault="00777A1A" w:rsidP="00D977F0">
      <w:pPr>
        <w:numPr>
          <w:ilvl w:val="0"/>
          <w:numId w:val="1"/>
        </w:numPr>
        <w:tabs>
          <w:tab w:val="left" w:pos="567"/>
        </w:tabs>
        <w:spacing w:after="0" w:line="240" w:lineRule="auto"/>
        <w:contextualSpacing/>
        <w:jc w:val="both"/>
        <w:rPr>
          <w:rFonts w:eastAsia="Times New Roman" w:cs="Arial"/>
          <w:szCs w:val="24"/>
          <w:lang w:eastAsia="en-GB"/>
        </w:rPr>
      </w:pPr>
      <w:r>
        <w:rPr>
          <w:rFonts w:eastAsia="Times New Roman" w:cs="Arial"/>
          <w:szCs w:val="24"/>
          <w:lang w:eastAsia="en-GB"/>
        </w:rPr>
        <w:t>There are difficulties with this argument which cannot be overcome. I make the following points in no order of priority.</w:t>
      </w:r>
    </w:p>
    <w:p w:rsidR="00777A1A" w:rsidRDefault="00777A1A" w:rsidP="00777A1A">
      <w:pPr>
        <w:pStyle w:val="ListParagraph"/>
        <w:rPr>
          <w:rFonts w:eastAsia="Times New Roman" w:cs="Arial"/>
          <w:szCs w:val="24"/>
          <w:lang w:eastAsia="en-GB"/>
        </w:rPr>
      </w:pPr>
    </w:p>
    <w:p w:rsidR="00777A1A" w:rsidRDefault="00777A1A" w:rsidP="00D977F0">
      <w:pPr>
        <w:numPr>
          <w:ilvl w:val="0"/>
          <w:numId w:val="1"/>
        </w:numPr>
        <w:tabs>
          <w:tab w:val="left" w:pos="567"/>
        </w:tabs>
        <w:spacing w:after="0" w:line="240" w:lineRule="auto"/>
        <w:contextualSpacing/>
        <w:jc w:val="both"/>
        <w:rPr>
          <w:rFonts w:eastAsia="Times New Roman" w:cs="Arial"/>
          <w:szCs w:val="24"/>
          <w:lang w:eastAsia="en-GB"/>
        </w:rPr>
      </w:pPr>
      <w:r>
        <w:rPr>
          <w:rFonts w:eastAsia="Times New Roman" w:cs="Arial"/>
          <w:szCs w:val="24"/>
          <w:lang w:eastAsia="en-GB"/>
        </w:rPr>
        <w:t xml:space="preserve">First, the judge did consider the issue of permanent residence; it is not correct to state that she did so only briefly. At paragraphs 35-43 she considered the issue of the appellant’s status. </w:t>
      </w:r>
    </w:p>
    <w:p w:rsidR="00777A1A" w:rsidRDefault="00777A1A" w:rsidP="00777A1A">
      <w:pPr>
        <w:pStyle w:val="ListParagraph"/>
        <w:rPr>
          <w:rFonts w:eastAsia="Times New Roman" w:cs="Arial"/>
          <w:szCs w:val="24"/>
          <w:lang w:eastAsia="en-GB"/>
        </w:rPr>
      </w:pPr>
    </w:p>
    <w:p w:rsidR="00777A1A" w:rsidRDefault="00777A1A" w:rsidP="00D977F0">
      <w:pPr>
        <w:numPr>
          <w:ilvl w:val="0"/>
          <w:numId w:val="1"/>
        </w:numPr>
        <w:tabs>
          <w:tab w:val="left" w:pos="567"/>
        </w:tabs>
        <w:spacing w:after="0" w:line="240" w:lineRule="auto"/>
        <w:contextualSpacing/>
        <w:jc w:val="both"/>
        <w:rPr>
          <w:rFonts w:eastAsia="Times New Roman" w:cs="Arial"/>
          <w:szCs w:val="24"/>
          <w:lang w:eastAsia="en-GB"/>
        </w:rPr>
      </w:pPr>
      <w:r>
        <w:rPr>
          <w:rFonts w:eastAsia="Times New Roman" w:cs="Arial"/>
          <w:szCs w:val="24"/>
          <w:lang w:eastAsia="en-GB"/>
        </w:rPr>
        <w:t xml:space="preserve">Secondly, the appellant never sought to rely on his rights as an EEA national prior to this appeal because, following an unsuccessful asylum application, he had been granted indefinite leave to remain as the dependant of his father in a family ILR exercise on 5 March 2004, even before Slovakia joined the EU. He had never therefore been here exercising his rights to free movement because he already had indefinite leave to remain.  </w:t>
      </w:r>
    </w:p>
    <w:p w:rsidR="00777A1A" w:rsidRDefault="00777A1A" w:rsidP="00777A1A">
      <w:pPr>
        <w:pStyle w:val="ListParagraph"/>
        <w:rPr>
          <w:rFonts w:eastAsia="Times New Roman" w:cs="Arial"/>
          <w:szCs w:val="24"/>
          <w:lang w:eastAsia="en-GB"/>
        </w:rPr>
      </w:pPr>
    </w:p>
    <w:p w:rsidR="000376F6" w:rsidRDefault="00777A1A" w:rsidP="00D977F0">
      <w:pPr>
        <w:numPr>
          <w:ilvl w:val="0"/>
          <w:numId w:val="1"/>
        </w:numPr>
        <w:tabs>
          <w:tab w:val="left" w:pos="567"/>
        </w:tabs>
        <w:spacing w:after="0" w:line="240" w:lineRule="auto"/>
        <w:contextualSpacing/>
        <w:jc w:val="both"/>
        <w:rPr>
          <w:rFonts w:eastAsia="Times New Roman" w:cs="Arial"/>
          <w:szCs w:val="24"/>
          <w:lang w:eastAsia="en-GB"/>
        </w:rPr>
      </w:pPr>
      <w:r>
        <w:rPr>
          <w:rFonts w:eastAsia="Times New Roman" w:cs="Arial"/>
          <w:szCs w:val="24"/>
          <w:lang w:eastAsia="en-GB"/>
        </w:rPr>
        <w:t xml:space="preserve">Thirdly, even if his position as an EEA national were to be considered, the evidence does not demonstrate that he had completed ten years of </w:t>
      </w:r>
      <w:r w:rsidR="000E49E7">
        <w:rPr>
          <w:rFonts w:eastAsia="Times New Roman" w:cs="Arial"/>
          <w:szCs w:val="24"/>
          <w:lang w:eastAsia="en-GB"/>
        </w:rPr>
        <w:t>residence</w:t>
      </w:r>
      <w:r>
        <w:rPr>
          <w:rFonts w:eastAsia="Times New Roman" w:cs="Arial"/>
          <w:szCs w:val="24"/>
          <w:lang w:eastAsia="en-GB"/>
        </w:rPr>
        <w:t xml:space="preserve"> in accordance wit</w:t>
      </w:r>
      <w:r w:rsidR="000E49E7">
        <w:rPr>
          <w:rFonts w:eastAsia="Times New Roman" w:cs="Arial"/>
          <w:szCs w:val="24"/>
          <w:lang w:eastAsia="en-GB"/>
        </w:rPr>
        <w:t>h</w:t>
      </w:r>
      <w:r>
        <w:rPr>
          <w:rFonts w:eastAsia="Times New Roman" w:cs="Arial"/>
          <w:szCs w:val="24"/>
          <w:lang w:eastAsia="en-GB"/>
        </w:rPr>
        <w:t xml:space="preserve"> the Regulations. Whilst there is evidence that the appellant was a student</w:t>
      </w:r>
      <w:r w:rsidR="000E49E7">
        <w:rPr>
          <w:rFonts w:eastAsia="Times New Roman" w:cs="Arial"/>
          <w:szCs w:val="24"/>
          <w:lang w:eastAsia="en-GB"/>
        </w:rPr>
        <w:t xml:space="preserve">, there is an anomaly with the dates. </w:t>
      </w:r>
      <w:r>
        <w:rPr>
          <w:rFonts w:eastAsia="Times New Roman" w:cs="Arial"/>
          <w:szCs w:val="24"/>
          <w:lang w:eastAsia="en-GB"/>
        </w:rPr>
        <w:t xml:space="preserve"> </w:t>
      </w:r>
      <w:r w:rsidR="000E49E7">
        <w:rPr>
          <w:rFonts w:eastAsia="Times New Roman" w:cs="Arial"/>
          <w:szCs w:val="24"/>
          <w:lang w:eastAsia="en-GB"/>
        </w:rPr>
        <w:t>There is confirmation that the appellant attended primary school from March 2001 – July 2003 (AB: 21) but this predates Slovakia’s admission to the EU and so is irrelevant for our purposes. A letter from King Ethelbert School dated 8 December 2015 states that the appellant was in full time education at the school from 1 September 2003 – 31 August 2008 (AB:22). This, however, conflicts, with the letter</w:t>
      </w:r>
      <w:r w:rsidR="00631139">
        <w:rPr>
          <w:rFonts w:eastAsia="Times New Roman" w:cs="Arial"/>
          <w:szCs w:val="24"/>
          <w:lang w:eastAsia="en-GB"/>
        </w:rPr>
        <w:t xml:space="preserve"> </w:t>
      </w:r>
      <w:r w:rsidR="000E49E7">
        <w:rPr>
          <w:rFonts w:eastAsia="Times New Roman" w:cs="Arial"/>
          <w:szCs w:val="24"/>
          <w:lang w:eastAsia="en-GB"/>
        </w:rPr>
        <w:t>from East Kent College of 21 December 2017 which sta</w:t>
      </w:r>
      <w:r w:rsidR="00631139">
        <w:rPr>
          <w:rFonts w:eastAsia="Times New Roman" w:cs="Arial"/>
          <w:szCs w:val="24"/>
          <w:lang w:eastAsia="en-GB"/>
        </w:rPr>
        <w:t>t</w:t>
      </w:r>
      <w:r w:rsidR="000E49E7">
        <w:rPr>
          <w:rFonts w:eastAsia="Times New Roman" w:cs="Arial"/>
          <w:szCs w:val="24"/>
          <w:lang w:eastAsia="en-GB"/>
        </w:rPr>
        <w:t xml:space="preserve">es that the appellant was studying at that college between 4 September 2006 – 27 June 2008 (AB:23). </w:t>
      </w:r>
      <w:r w:rsidR="00631139">
        <w:rPr>
          <w:rFonts w:eastAsia="Times New Roman" w:cs="Arial"/>
          <w:szCs w:val="24"/>
          <w:lang w:eastAsia="en-GB"/>
        </w:rPr>
        <w:t xml:space="preserve">Plainly, the appellant could not have been attending both school and college full time between 2006 and 2008. The evidence is therefore unreliable and does not assist. However, even taking the evidence at its highest, and disregarding the conflict I have identified, the appellant has only shown that he studied from the relevant start date of 1 May 2004 until September 2009, if the second letter from Kent College (AB:24) is reliable); that is, a total of </w:t>
      </w:r>
      <w:r w:rsidR="000376F6">
        <w:rPr>
          <w:rFonts w:eastAsia="Times New Roman" w:cs="Arial"/>
          <w:szCs w:val="24"/>
          <w:lang w:eastAsia="en-GB"/>
        </w:rPr>
        <w:t xml:space="preserve">five years. Even setting aside the issue of CSI for the </w:t>
      </w:r>
      <w:r w:rsidR="000376F6">
        <w:rPr>
          <w:rFonts w:eastAsia="Times New Roman" w:cs="Arial"/>
          <w:szCs w:val="24"/>
          <w:lang w:eastAsia="en-GB"/>
        </w:rPr>
        <w:lastRenderedPageBreak/>
        <w:t xml:space="preserve">moment, he has not established that he studied for ten years. Certainly, </w:t>
      </w:r>
      <w:r w:rsidR="004E4E09">
        <w:rPr>
          <w:rFonts w:eastAsia="Times New Roman" w:cs="Arial"/>
          <w:szCs w:val="24"/>
          <w:lang w:eastAsia="en-GB"/>
        </w:rPr>
        <w:t xml:space="preserve">given the fact that </w:t>
      </w:r>
      <w:r w:rsidR="000376F6">
        <w:rPr>
          <w:rFonts w:eastAsia="Times New Roman" w:cs="Arial"/>
          <w:szCs w:val="24"/>
          <w:lang w:eastAsia="en-GB"/>
        </w:rPr>
        <w:t xml:space="preserve">he has never had CSI, he cannot show that even if he had been studying until 2014 when he would have completed a period of ten years in accordance with the Regulations. </w:t>
      </w:r>
    </w:p>
    <w:p w:rsidR="004E4E09" w:rsidRDefault="004E4E09" w:rsidP="004E4E09">
      <w:pPr>
        <w:tabs>
          <w:tab w:val="left" w:pos="567"/>
        </w:tabs>
        <w:spacing w:after="0" w:line="240" w:lineRule="auto"/>
        <w:ind w:left="1137"/>
        <w:contextualSpacing/>
        <w:jc w:val="both"/>
        <w:rPr>
          <w:rFonts w:eastAsia="Times New Roman" w:cs="Arial"/>
          <w:szCs w:val="24"/>
          <w:lang w:eastAsia="en-GB"/>
        </w:rPr>
      </w:pPr>
    </w:p>
    <w:p w:rsidR="004E4E09" w:rsidRDefault="00D437A6" w:rsidP="00D977F0">
      <w:pPr>
        <w:numPr>
          <w:ilvl w:val="0"/>
          <w:numId w:val="1"/>
        </w:numPr>
        <w:tabs>
          <w:tab w:val="left" w:pos="567"/>
        </w:tabs>
        <w:spacing w:after="0" w:line="240" w:lineRule="auto"/>
        <w:contextualSpacing/>
        <w:jc w:val="both"/>
        <w:rPr>
          <w:rFonts w:eastAsia="Times New Roman" w:cs="Arial"/>
          <w:szCs w:val="24"/>
          <w:lang w:eastAsia="en-GB"/>
        </w:rPr>
      </w:pPr>
      <w:r>
        <w:rPr>
          <w:rFonts w:eastAsia="Times New Roman" w:cs="Arial"/>
          <w:szCs w:val="24"/>
          <w:lang w:eastAsia="en-GB"/>
        </w:rPr>
        <w:t>Fourthly, t</w:t>
      </w:r>
      <w:r w:rsidR="004E4E09">
        <w:rPr>
          <w:rFonts w:eastAsia="Times New Roman" w:cs="Arial"/>
          <w:szCs w:val="24"/>
          <w:lang w:eastAsia="en-GB"/>
        </w:rPr>
        <w:t>here is no evidence that the appellant worked or was self-employed after he completed his studies</w:t>
      </w:r>
      <w:r>
        <w:rPr>
          <w:rFonts w:eastAsia="Times New Roman" w:cs="Arial"/>
          <w:szCs w:val="24"/>
          <w:lang w:eastAsia="en-GB"/>
        </w:rPr>
        <w:t>; indeed, he appears to have spent his time committing a litany of crimes.</w:t>
      </w:r>
    </w:p>
    <w:p w:rsidR="000376F6" w:rsidRDefault="000376F6" w:rsidP="000376F6">
      <w:pPr>
        <w:tabs>
          <w:tab w:val="left" w:pos="567"/>
        </w:tabs>
        <w:spacing w:after="0" w:line="240" w:lineRule="auto"/>
        <w:ind w:left="1137"/>
        <w:contextualSpacing/>
        <w:jc w:val="both"/>
        <w:rPr>
          <w:rFonts w:eastAsia="Times New Roman" w:cs="Arial"/>
          <w:szCs w:val="24"/>
          <w:lang w:eastAsia="en-GB"/>
        </w:rPr>
      </w:pPr>
    </w:p>
    <w:p w:rsidR="00777A1A" w:rsidRPr="00D437A6" w:rsidRDefault="00D437A6" w:rsidP="00D977F0">
      <w:pPr>
        <w:numPr>
          <w:ilvl w:val="0"/>
          <w:numId w:val="1"/>
        </w:numPr>
        <w:tabs>
          <w:tab w:val="left" w:pos="567"/>
        </w:tabs>
        <w:spacing w:after="0" w:line="240" w:lineRule="auto"/>
        <w:contextualSpacing/>
        <w:jc w:val="both"/>
        <w:rPr>
          <w:rFonts w:eastAsia="Times New Roman" w:cs="Arial"/>
          <w:szCs w:val="24"/>
          <w:lang w:eastAsia="en-GB"/>
        </w:rPr>
      </w:pPr>
      <w:r w:rsidRPr="00D437A6">
        <w:rPr>
          <w:rFonts w:eastAsia="Times New Roman" w:cs="Arial"/>
          <w:szCs w:val="24"/>
          <w:lang w:eastAsia="en-GB"/>
        </w:rPr>
        <w:t>Having carefully considered all the evidence, t</w:t>
      </w:r>
      <w:r w:rsidR="004E4E09" w:rsidRPr="00D437A6">
        <w:rPr>
          <w:rFonts w:eastAsia="Times New Roman" w:cs="Arial"/>
          <w:szCs w:val="24"/>
          <w:lang w:eastAsia="en-GB"/>
        </w:rPr>
        <w:t xml:space="preserve">he judge was, therefore, entitled to conclude that the appellant was not entitled to the higher level of protection. Her assessment of the sufficiently serious threat was properly undertaken and discloses no legal errors. </w:t>
      </w:r>
      <w:r w:rsidRPr="00D437A6">
        <w:rPr>
          <w:rFonts w:eastAsia="Times New Roman" w:cs="Arial"/>
          <w:szCs w:val="24"/>
          <w:lang w:eastAsia="en-GB"/>
        </w:rPr>
        <w:t>The appellant cannot show that he has completed ten years of residence under the Regulations. The judge’s assessment of the other issues raised as part of this appeal are not open to challenge as permission was not granted on any other grounds.</w:t>
      </w:r>
      <w:r w:rsidR="004E4E09" w:rsidRPr="00D437A6">
        <w:rPr>
          <w:rFonts w:eastAsia="Times New Roman" w:cs="Arial"/>
          <w:szCs w:val="24"/>
          <w:lang w:eastAsia="en-GB"/>
        </w:rPr>
        <w:t xml:space="preserve"> </w:t>
      </w:r>
    </w:p>
    <w:p w:rsidR="00D977F0" w:rsidRDefault="00D977F0" w:rsidP="00D977F0">
      <w:pPr>
        <w:pStyle w:val="ListParagraph"/>
        <w:rPr>
          <w:rFonts w:eastAsia="Times New Roman" w:cs="Arial"/>
          <w:szCs w:val="24"/>
          <w:lang w:eastAsia="en-GB"/>
        </w:rPr>
      </w:pPr>
    </w:p>
    <w:p w:rsidR="00D977F0" w:rsidRPr="00D437A6" w:rsidRDefault="00D977F0" w:rsidP="00D977F0">
      <w:pPr>
        <w:numPr>
          <w:ilvl w:val="0"/>
          <w:numId w:val="1"/>
        </w:numPr>
        <w:tabs>
          <w:tab w:val="left" w:pos="567"/>
        </w:tabs>
        <w:spacing w:after="0" w:line="240" w:lineRule="auto"/>
        <w:contextualSpacing/>
        <w:jc w:val="both"/>
        <w:rPr>
          <w:rFonts w:eastAsia="Times New Roman" w:cs="Arial"/>
          <w:b/>
          <w:szCs w:val="24"/>
          <w:u w:val="single"/>
          <w:lang w:eastAsia="en-GB"/>
        </w:rPr>
      </w:pPr>
      <w:r w:rsidRPr="00D437A6">
        <w:rPr>
          <w:rFonts w:eastAsia="Times New Roman" w:cs="Arial"/>
          <w:szCs w:val="24"/>
          <w:lang w:eastAsia="en-GB"/>
        </w:rPr>
        <w:t xml:space="preserve"> </w:t>
      </w:r>
      <w:r w:rsidRPr="00D437A6">
        <w:rPr>
          <w:rFonts w:eastAsia="Times New Roman" w:cs="Arial"/>
          <w:b/>
          <w:szCs w:val="24"/>
          <w:u w:val="single"/>
          <w:lang w:eastAsia="en-GB"/>
        </w:rPr>
        <w:t xml:space="preserve">Decision </w:t>
      </w:r>
    </w:p>
    <w:p w:rsidR="00D977F0" w:rsidRPr="00B07E0B" w:rsidRDefault="00D977F0" w:rsidP="00D977F0">
      <w:pPr>
        <w:spacing w:after="0" w:line="240" w:lineRule="auto"/>
        <w:ind w:left="720"/>
        <w:contextualSpacing/>
        <w:rPr>
          <w:rFonts w:eastAsia="Times New Roman" w:cs="Arial"/>
          <w:szCs w:val="24"/>
          <w:lang w:eastAsia="en-GB"/>
        </w:rPr>
      </w:pPr>
    </w:p>
    <w:p w:rsidR="00D977F0" w:rsidRDefault="00D977F0" w:rsidP="00D977F0">
      <w:pPr>
        <w:numPr>
          <w:ilvl w:val="0"/>
          <w:numId w:val="1"/>
        </w:numPr>
        <w:tabs>
          <w:tab w:val="left" w:pos="567"/>
        </w:tabs>
        <w:spacing w:after="0" w:line="240" w:lineRule="auto"/>
        <w:contextualSpacing/>
        <w:jc w:val="both"/>
        <w:rPr>
          <w:rFonts w:eastAsia="Times New Roman" w:cs="Arial"/>
          <w:szCs w:val="24"/>
          <w:lang w:eastAsia="en-GB"/>
        </w:rPr>
      </w:pPr>
      <w:r w:rsidRPr="0043495E">
        <w:rPr>
          <w:rFonts w:eastAsia="Times New Roman" w:cs="Arial"/>
          <w:szCs w:val="24"/>
          <w:lang w:eastAsia="en-GB"/>
        </w:rPr>
        <w:t xml:space="preserve">The First-tier Tribunal </w:t>
      </w:r>
      <w:r>
        <w:rPr>
          <w:rFonts w:eastAsia="Times New Roman" w:cs="Arial"/>
          <w:szCs w:val="24"/>
          <w:lang w:eastAsia="en-GB"/>
        </w:rPr>
        <w:t>did not make any</w:t>
      </w:r>
      <w:r w:rsidRPr="0043495E">
        <w:rPr>
          <w:rFonts w:eastAsia="Times New Roman" w:cs="Arial"/>
          <w:szCs w:val="24"/>
          <w:lang w:eastAsia="en-GB"/>
        </w:rPr>
        <w:t xml:space="preserve"> errors of law </w:t>
      </w:r>
      <w:r>
        <w:rPr>
          <w:rFonts w:eastAsia="Times New Roman" w:cs="Arial"/>
          <w:szCs w:val="24"/>
          <w:lang w:eastAsia="en-GB"/>
        </w:rPr>
        <w:t xml:space="preserve">and the decision to dismiss the appeal is upheld. </w:t>
      </w:r>
    </w:p>
    <w:p w:rsidR="00A74149" w:rsidRDefault="00A74149" w:rsidP="00A74149">
      <w:pPr>
        <w:pStyle w:val="ListParagraph"/>
        <w:rPr>
          <w:rFonts w:eastAsia="Times New Roman" w:cs="Arial"/>
          <w:szCs w:val="24"/>
          <w:lang w:eastAsia="en-GB"/>
        </w:rPr>
      </w:pPr>
    </w:p>
    <w:p w:rsidR="00D977F0" w:rsidRDefault="00D977F0" w:rsidP="00D977F0">
      <w:pPr>
        <w:numPr>
          <w:ilvl w:val="0"/>
          <w:numId w:val="1"/>
        </w:numPr>
        <w:tabs>
          <w:tab w:val="left" w:pos="567"/>
        </w:tabs>
        <w:spacing w:after="0" w:line="240" w:lineRule="auto"/>
        <w:contextualSpacing/>
        <w:jc w:val="both"/>
        <w:rPr>
          <w:rFonts w:eastAsia="Times New Roman" w:cs="Arial"/>
          <w:b/>
          <w:szCs w:val="24"/>
          <w:u w:val="single"/>
          <w:lang w:eastAsia="en-GB"/>
        </w:rPr>
      </w:pPr>
      <w:r w:rsidRPr="00132928">
        <w:rPr>
          <w:rFonts w:eastAsia="Times New Roman" w:cs="Arial"/>
          <w:b/>
          <w:szCs w:val="24"/>
          <w:u w:val="single"/>
          <w:lang w:eastAsia="en-GB"/>
        </w:rPr>
        <w:t xml:space="preserve">Anonymity </w:t>
      </w:r>
    </w:p>
    <w:p w:rsidR="00D977F0" w:rsidRDefault="00D977F0" w:rsidP="00D977F0">
      <w:pPr>
        <w:pStyle w:val="ListParagraph"/>
        <w:rPr>
          <w:rFonts w:eastAsia="Times New Roman" w:cs="Arial"/>
          <w:b/>
          <w:szCs w:val="24"/>
          <w:u w:val="single"/>
          <w:lang w:eastAsia="en-GB"/>
        </w:rPr>
      </w:pPr>
    </w:p>
    <w:p w:rsidR="00D977F0" w:rsidRPr="00132928" w:rsidRDefault="00D977F0" w:rsidP="00D977F0">
      <w:pPr>
        <w:numPr>
          <w:ilvl w:val="0"/>
          <w:numId w:val="1"/>
        </w:numPr>
        <w:tabs>
          <w:tab w:val="left" w:pos="567"/>
        </w:tabs>
        <w:spacing w:after="0" w:line="240" w:lineRule="auto"/>
        <w:contextualSpacing/>
        <w:jc w:val="both"/>
        <w:rPr>
          <w:rFonts w:eastAsia="Times New Roman" w:cs="Arial"/>
          <w:b/>
          <w:szCs w:val="24"/>
          <w:u w:val="single"/>
          <w:lang w:eastAsia="en-GB"/>
        </w:rPr>
      </w:pPr>
      <w:r>
        <w:rPr>
          <w:rFonts w:eastAsia="Times New Roman" w:cs="Arial"/>
          <w:szCs w:val="24"/>
          <w:lang w:eastAsia="en-GB"/>
        </w:rPr>
        <w:t xml:space="preserve">I was not asked to make an anonymity order and there is no reason to make one. </w:t>
      </w:r>
    </w:p>
    <w:p w:rsidR="00D977F0" w:rsidRPr="00B07E0B" w:rsidRDefault="00D977F0" w:rsidP="00D977F0">
      <w:pPr>
        <w:spacing w:after="0" w:line="240" w:lineRule="auto"/>
        <w:ind w:left="540" w:hanging="540"/>
        <w:jc w:val="both"/>
        <w:rPr>
          <w:rFonts w:eastAsia="Times New Roman" w:cs="Arial"/>
          <w:szCs w:val="24"/>
          <w:lang w:eastAsia="en-GB"/>
        </w:rPr>
      </w:pPr>
    </w:p>
    <w:p w:rsidR="00D977F0" w:rsidRPr="00B07E0B" w:rsidRDefault="00D977F0" w:rsidP="00D977F0">
      <w:pPr>
        <w:spacing w:after="0" w:line="240" w:lineRule="auto"/>
        <w:ind w:left="540"/>
        <w:jc w:val="both"/>
        <w:rPr>
          <w:rFonts w:eastAsia="Times New Roman" w:cs="Arial"/>
          <w:szCs w:val="24"/>
          <w:lang w:eastAsia="en-GB"/>
        </w:rPr>
      </w:pPr>
      <w:r w:rsidRPr="00B07E0B">
        <w:rPr>
          <w:rFonts w:eastAsia="Times New Roman" w:cs="Arial"/>
          <w:szCs w:val="24"/>
          <w:lang w:eastAsia="en-GB"/>
        </w:rPr>
        <w:t>Signed</w:t>
      </w:r>
    </w:p>
    <w:p w:rsidR="00D977F0" w:rsidRPr="00B07E0B" w:rsidRDefault="00D977F0" w:rsidP="00D977F0">
      <w:pPr>
        <w:spacing w:after="0" w:line="240" w:lineRule="auto"/>
        <w:ind w:left="4508" w:hanging="539"/>
        <w:rPr>
          <w:rFonts w:eastAsia="Times New Roman" w:cs="Arial"/>
          <w:szCs w:val="24"/>
          <w:lang w:eastAsia="en-GB"/>
        </w:rPr>
      </w:pPr>
      <w:r w:rsidRPr="00B07E0B">
        <w:rPr>
          <w:rFonts w:ascii="Times New Roman" w:eastAsia="Times New Roman" w:hAnsi="Times New Roman"/>
          <w:noProof/>
          <w:color w:val="000000"/>
          <w:szCs w:val="24"/>
          <w:lang w:eastAsia="en-GB"/>
        </w:rPr>
        <w:drawing>
          <wp:anchor distT="0" distB="0" distL="114300" distR="114300" simplePos="0" relativeHeight="251659264" behindDoc="0" locked="0" layoutInCell="1" allowOverlap="1" wp14:anchorId="490AE241" wp14:editId="4196C05D">
            <wp:simplePos x="0" y="0"/>
            <wp:positionH relativeFrom="column">
              <wp:posOffset>426720</wp:posOffset>
            </wp:positionH>
            <wp:positionV relativeFrom="paragraph">
              <wp:posOffset>105064</wp:posOffset>
            </wp:positionV>
            <wp:extent cx="2514600" cy="660400"/>
            <wp:effectExtent l="0" t="0" r="0" b="6350"/>
            <wp:wrapSquare wrapText="r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14600" cy="660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07E0B">
        <w:rPr>
          <w:rFonts w:eastAsia="Times New Roman" w:cs="Arial"/>
          <w:szCs w:val="24"/>
          <w:lang w:eastAsia="en-GB"/>
        </w:rPr>
        <w:tab/>
      </w:r>
      <w:r w:rsidRPr="00B07E0B">
        <w:rPr>
          <w:rFonts w:eastAsia="Times New Roman" w:cs="Arial"/>
          <w:szCs w:val="24"/>
          <w:lang w:eastAsia="en-GB"/>
        </w:rPr>
        <w:tab/>
      </w:r>
      <w:r w:rsidRPr="00B07E0B">
        <w:rPr>
          <w:rFonts w:eastAsia="Times New Roman" w:cs="Arial"/>
          <w:szCs w:val="24"/>
          <w:lang w:eastAsia="en-GB"/>
        </w:rPr>
        <w:tab/>
      </w:r>
      <w:r w:rsidRPr="00B07E0B">
        <w:rPr>
          <w:rFonts w:eastAsia="Times New Roman" w:cs="Arial"/>
          <w:szCs w:val="24"/>
          <w:lang w:eastAsia="en-GB"/>
        </w:rPr>
        <w:tab/>
      </w:r>
      <w:r w:rsidRPr="00B07E0B">
        <w:rPr>
          <w:rFonts w:eastAsia="Times New Roman" w:cs="Arial"/>
          <w:szCs w:val="24"/>
          <w:lang w:eastAsia="en-GB"/>
        </w:rPr>
        <w:tab/>
      </w:r>
      <w:r w:rsidRPr="00B07E0B">
        <w:rPr>
          <w:rFonts w:eastAsia="Times New Roman" w:cs="Arial"/>
          <w:szCs w:val="24"/>
          <w:lang w:eastAsia="en-GB"/>
        </w:rPr>
        <w:tab/>
      </w:r>
      <w:r w:rsidRPr="00B07E0B">
        <w:rPr>
          <w:rFonts w:eastAsia="Times New Roman" w:cs="Arial"/>
          <w:szCs w:val="24"/>
          <w:lang w:eastAsia="en-GB"/>
        </w:rPr>
        <w:tab/>
      </w:r>
      <w:r w:rsidRPr="00B07E0B">
        <w:rPr>
          <w:rFonts w:eastAsia="Times New Roman" w:cs="Arial"/>
          <w:szCs w:val="24"/>
          <w:lang w:eastAsia="en-GB"/>
        </w:rPr>
        <w:tab/>
      </w:r>
    </w:p>
    <w:p w:rsidR="00D977F0" w:rsidRPr="00B07E0B" w:rsidRDefault="00D977F0" w:rsidP="00D977F0">
      <w:pPr>
        <w:tabs>
          <w:tab w:val="left" w:pos="2520"/>
        </w:tabs>
        <w:spacing w:after="0" w:line="240" w:lineRule="auto"/>
        <w:rPr>
          <w:rFonts w:eastAsia="Times New Roman" w:cs="Arial"/>
          <w:color w:val="000000"/>
          <w:szCs w:val="24"/>
          <w:lang w:eastAsia="en-GB"/>
        </w:rPr>
      </w:pPr>
    </w:p>
    <w:p w:rsidR="00D977F0" w:rsidRPr="00B07E0B" w:rsidRDefault="00D977F0" w:rsidP="00D977F0">
      <w:pPr>
        <w:tabs>
          <w:tab w:val="left" w:pos="2520"/>
        </w:tabs>
        <w:spacing w:after="0" w:line="240" w:lineRule="auto"/>
        <w:rPr>
          <w:rFonts w:eastAsia="Times New Roman" w:cs="Arial"/>
          <w:color w:val="000000"/>
          <w:szCs w:val="24"/>
          <w:lang w:eastAsia="en-GB"/>
        </w:rPr>
      </w:pPr>
    </w:p>
    <w:p w:rsidR="00D977F0" w:rsidRPr="00B07E0B" w:rsidRDefault="00D977F0" w:rsidP="00D977F0">
      <w:pPr>
        <w:tabs>
          <w:tab w:val="left" w:pos="2520"/>
        </w:tabs>
        <w:spacing w:after="0" w:line="240" w:lineRule="auto"/>
        <w:rPr>
          <w:rFonts w:eastAsia="Times New Roman" w:cs="Arial"/>
          <w:color w:val="000000"/>
          <w:szCs w:val="24"/>
          <w:lang w:eastAsia="en-GB"/>
        </w:rPr>
      </w:pPr>
    </w:p>
    <w:p w:rsidR="00D977F0" w:rsidRDefault="00D977F0" w:rsidP="00D977F0">
      <w:pPr>
        <w:tabs>
          <w:tab w:val="left" w:pos="2520"/>
        </w:tabs>
        <w:spacing w:after="0" w:line="240" w:lineRule="auto"/>
        <w:rPr>
          <w:rFonts w:ascii="Times New Roman" w:eastAsia="Times New Roman" w:hAnsi="Times New Roman"/>
          <w:szCs w:val="24"/>
          <w:lang w:eastAsia="en-GB"/>
        </w:rPr>
      </w:pPr>
      <w:r w:rsidRPr="00B07E0B">
        <w:rPr>
          <w:rFonts w:eastAsia="Times New Roman" w:cs="Arial"/>
          <w:color w:val="000000"/>
          <w:szCs w:val="24"/>
          <w:lang w:eastAsia="en-GB"/>
        </w:rPr>
        <w:t xml:space="preserve">       </w:t>
      </w:r>
      <w:r>
        <w:rPr>
          <w:rFonts w:eastAsia="Times New Roman" w:cs="Arial"/>
          <w:color w:val="000000"/>
          <w:szCs w:val="24"/>
          <w:u w:val="single"/>
          <w:lang w:eastAsia="en-GB"/>
        </w:rPr>
        <w:t xml:space="preserve">Upper Tribunal </w:t>
      </w:r>
      <w:r w:rsidRPr="008B2830">
        <w:rPr>
          <w:rFonts w:eastAsia="Times New Roman" w:cs="Arial"/>
          <w:color w:val="000000"/>
          <w:szCs w:val="24"/>
          <w:u w:val="single"/>
          <w:lang w:eastAsia="en-GB"/>
        </w:rPr>
        <w:t>Judge</w:t>
      </w:r>
      <w:r>
        <w:rPr>
          <w:rFonts w:eastAsia="Times New Roman" w:cs="Arial"/>
          <w:color w:val="000000"/>
          <w:szCs w:val="24"/>
          <w:lang w:eastAsia="en-GB"/>
        </w:rPr>
        <w:t xml:space="preserve"> </w:t>
      </w:r>
      <w:r>
        <w:rPr>
          <w:rFonts w:eastAsia="Times New Roman" w:cs="Arial"/>
          <w:color w:val="000000"/>
          <w:szCs w:val="24"/>
          <w:lang w:eastAsia="en-GB"/>
        </w:rPr>
        <w:tab/>
      </w:r>
      <w:r>
        <w:rPr>
          <w:rFonts w:eastAsia="Times New Roman" w:cs="Arial"/>
          <w:color w:val="000000"/>
          <w:szCs w:val="24"/>
          <w:lang w:eastAsia="en-GB"/>
        </w:rPr>
        <w:tab/>
      </w:r>
      <w:r>
        <w:rPr>
          <w:rFonts w:eastAsia="Times New Roman" w:cs="Arial"/>
          <w:color w:val="000000"/>
          <w:szCs w:val="24"/>
          <w:lang w:eastAsia="en-GB"/>
        </w:rPr>
        <w:tab/>
      </w:r>
    </w:p>
    <w:p w:rsidR="007B1745" w:rsidRDefault="00D977F0" w:rsidP="00A74149">
      <w:pPr>
        <w:tabs>
          <w:tab w:val="left" w:pos="2520"/>
        </w:tabs>
        <w:spacing w:after="0" w:line="240" w:lineRule="auto"/>
      </w:pPr>
      <w:r w:rsidRPr="00DF3536">
        <w:rPr>
          <w:rFonts w:eastAsia="Times New Roman"/>
          <w:szCs w:val="24"/>
          <w:lang w:eastAsia="en-GB"/>
        </w:rPr>
        <w:t xml:space="preserve">       Date: </w:t>
      </w:r>
      <w:r>
        <w:rPr>
          <w:rFonts w:eastAsia="Times New Roman"/>
          <w:szCs w:val="24"/>
          <w:lang w:eastAsia="en-GB"/>
        </w:rPr>
        <w:t>2</w:t>
      </w:r>
      <w:r w:rsidR="00A74149">
        <w:rPr>
          <w:rFonts w:eastAsia="Times New Roman"/>
          <w:szCs w:val="24"/>
          <w:lang w:eastAsia="en-GB"/>
        </w:rPr>
        <w:t>4</w:t>
      </w:r>
      <w:r>
        <w:rPr>
          <w:rFonts w:eastAsia="Times New Roman"/>
          <w:szCs w:val="24"/>
          <w:lang w:eastAsia="en-GB"/>
        </w:rPr>
        <w:t xml:space="preserve"> July</w:t>
      </w:r>
      <w:r w:rsidRPr="00DF3536">
        <w:rPr>
          <w:rFonts w:eastAsia="Times New Roman"/>
          <w:szCs w:val="24"/>
          <w:lang w:eastAsia="en-GB"/>
        </w:rPr>
        <w:t xml:space="preserve"> 2018</w:t>
      </w:r>
    </w:p>
    <w:sectPr w:rsidR="007B1745" w:rsidSect="0024181B">
      <w:headerReference w:type="default" r:id="rId9"/>
      <w:footerReference w:type="default" r:id="rId10"/>
      <w:footerReference w:type="first" r:id="rId11"/>
      <w:pgSz w:w="11906" w:h="16838"/>
      <w:pgMar w:top="709"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A725F" w:rsidRDefault="007A725F" w:rsidP="00D977F0">
      <w:pPr>
        <w:spacing w:after="0" w:line="240" w:lineRule="auto"/>
      </w:pPr>
      <w:r>
        <w:separator/>
      </w:r>
    </w:p>
  </w:endnote>
  <w:endnote w:type="continuationSeparator" w:id="0">
    <w:p w:rsidR="007A725F" w:rsidRDefault="007A725F" w:rsidP="00D977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748A" w:rsidRPr="00805924" w:rsidRDefault="007A725F" w:rsidP="002A748A">
    <w:pPr>
      <w:pStyle w:val="Footer"/>
      <w:jc w:val="center"/>
      <w:rPr>
        <w:rFonts w:cs="Arial"/>
        <w:szCs w:val="24"/>
      </w:rPr>
    </w:pPr>
    <w:r w:rsidRPr="00805924">
      <w:rPr>
        <w:rStyle w:val="PageNumber"/>
        <w:rFonts w:cs="Arial"/>
        <w:szCs w:val="24"/>
      </w:rPr>
      <w:fldChar w:fldCharType="begin"/>
    </w:r>
    <w:r w:rsidRPr="00805924">
      <w:rPr>
        <w:rStyle w:val="PageNumber"/>
        <w:rFonts w:cs="Arial"/>
        <w:szCs w:val="24"/>
      </w:rPr>
      <w:instrText xml:space="preserve"> PAGE </w:instrText>
    </w:r>
    <w:r w:rsidRPr="00805924">
      <w:rPr>
        <w:rStyle w:val="PageNumber"/>
        <w:rFonts w:cs="Arial"/>
        <w:szCs w:val="24"/>
      </w:rPr>
      <w:fldChar w:fldCharType="separate"/>
    </w:r>
    <w:r w:rsidR="00DF6400">
      <w:rPr>
        <w:rStyle w:val="PageNumber"/>
        <w:rFonts w:cs="Arial"/>
        <w:noProof/>
        <w:szCs w:val="24"/>
      </w:rPr>
      <w:t>4</w:t>
    </w:r>
    <w:r w:rsidRPr="00805924">
      <w:rPr>
        <w:rStyle w:val="PageNumber"/>
        <w:rFonts w:cs="Arial"/>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748A" w:rsidRPr="00805924" w:rsidRDefault="007A725F" w:rsidP="002A748A">
    <w:pPr>
      <w:jc w:val="center"/>
      <w:rPr>
        <w:rFonts w:cs="Arial"/>
        <w:b/>
      </w:rPr>
    </w:pPr>
    <w:r w:rsidRPr="00805924">
      <w:rPr>
        <w:rFonts w:cs="Arial"/>
        <w:b/>
        <w:spacing w:val="-6"/>
      </w:rPr>
      <w:t>©</w:t>
    </w:r>
    <w:r w:rsidRPr="00805924">
      <w:rPr>
        <w:rFonts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A725F" w:rsidRDefault="007A725F" w:rsidP="00D977F0">
      <w:pPr>
        <w:spacing w:after="0" w:line="240" w:lineRule="auto"/>
      </w:pPr>
      <w:r>
        <w:separator/>
      </w:r>
    </w:p>
  </w:footnote>
  <w:footnote w:type="continuationSeparator" w:id="0">
    <w:p w:rsidR="007A725F" w:rsidRDefault="007A725F" w:rsidP="00D977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748A" w:rsidRDefault="00D977F0" w:rsidP="002A748A">
    <w:pPr>
      <w:pStyle w:val="Header"/>
      <w:jc w:val="right"/>
      <w:rPr>
        <w:rFonts w:cs="Arial"/>
        <w:sz w:val="16"/>
        <w:szCs w:val="16"/>
      </w:rPr>
    </w:pPr>
    <w:r w:rsidRPr="00805924">
      <w:rPr>
        <w:rFonts w:cs="Arial"/>
        <w:sz w:val="16"/>
        <w:szCs w:val="16"/>
      </w:rPr>
      <w:t>Appeal Number: D</w:t>
    </w:r>
    <w:r w:rsidR="007A725F" w:rsidRPr="00805924">
      <w:rPr>
        <w:rFonts w:cs="Arial"/>
        <w:sz w:val="16"/>
        <w:szCs w:val="16"/>
      </w:rPr>
      <w:t>A/</w:t>
    </w:r>
    <w:r w:rsidRPr="00805924">
      <w:rPr>
        <w:rFonts w:cs="Arial"/>
        <w:sz w:val="16"/>
        <w:szCs w:val="16"/>
      </w:rPr>
      <w:t>00295</w:t>
    </w:r>
    <w:r w:rsidR="007A725F" w:rsidRPr="00805924">
      <w:rPr>
        <w:rFonts w:cs="Arial"/>
        <w:sz w:val="16"/>
        <w:szCs w:val="16"/>
      </w:rPr>
      <w:t>/201</w:t>
    </w:r>
    <w:r w:rsidR="00805924">
      <w:rPr>
        <w:rFonts w:cs="Arial"/>
        <w:sz w:val="16"/>
        <w:szCs w:val="16"/>
      </w:rPr>
      <w:t>7</w:t>
    </w:r>
  </w:p>
  <w:p w:rsidR="00805924" w:rsidRPr="00805924" w:rsidRDefault="00805924" w:rsidP="002A748A">
    <w:pPr>
      <w:pStyle w:val="Header"/>
      <w:jc w:val="right"/>
      <w:rPr>
        <w:rFonts w:cs="Arial"/>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F35193"/>
    <w:multiLevelType w:val="hybridMultilevel"/>
    <w:tmpl w:val="D7C2E458"/>
    <w:lvl w:ilvl="0" w:tplc="99AE425E">
      <w:start w:val="1"/>
      <w:numFmt w:val="decimal"/>
      <w:lvlText w:val="%1."/>
      <w:lvlJc w:val="left"/>
      <w:pPr>
        <w:ind w:left="1137" w:hanging="57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7F0"/>
    <w:rsid w:val="000376F6"/>
    <w:rsid w:val="0005760C"/>
    <w:rsid w:val="000E49E7"/>
    <w:rsid w:val="0024181B"/>
    <w:rsid w:val="002E60D0"/>
    <w:rsid w:val="00356F00"/>
    <w:rsid w:val="003B4DDB"/>
    <w:rsid w:val="004B0E1D"/>
    <w:rsid w:val="004E4E09"/>
    <w:rsid w:val="004F2698"/>
    <w:rsid w:val="00631139"/>
    <w:rsid w:val="006506A4"/>
    <w:rsid w:val="00746BB7"/>
    <w:rsid w:val="00777A1A"/>
    <w:rsid w:val="007A725F"/>
    <w:rsid w:val="007B1745"/>
    <w:rsid w:val="00805924"/>
    <w:rsid w:val="008578FD"/>
    <w:rsid w:val="008777BA"/>
    <w:rsid w:val="00A74149"/>
    <w:rsid w:val="00BB2E52"/>
    <w:rsid w:val="00C34AA3"/>
    <w:rsid w:val="00D437A6"/>
    <w:rsid w:val="00D977F0"/>
    <w:rsid w:val="00DF6400"/>
    <w:rsid w:val="00FA108F"/>
    <w:rsid w:val="00FA65DF"/>
    <w:rsid w:val="00FC66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B6FC9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Book Antiqua" w:eastAsiaTheme="minorHAnsi" w:hAnsi="Book Antiqua" w:cs="Times New Roman"/>
        <w:sz w:val="24"/>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977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77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77F0"/>
  </w:style>
  <w:style w:type="paragraph" w:styleId="Footer">
    <w:name w:val="footer"/>
    <w:basedOn w:val="Normal"/>
    <w:link w:val="FooterChar"/>
    <w:uiPriority w:val="99"/>
    <w:unhideWhenUsed/>
    <w:rsid w:val="00D977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77F0"/>
  </w:style>
  <w:style w:type="character" w:styleId="PageNumber">
    <w:name w:val="page number"/>
    <w:basedOn w:val="DefaultParagraphFont"/>
    <w:rsid w:val="00D977F0"/>
  </w:style>
  <w:style w:type="table" w:styleId="TableGrid">
    <w:name w:val="Table Grid"/>
    <w:basedOn w:val="TableNormal"/>
    <w:rsid w:val="00D977F0"/>
    <w:pPr>
      <w:spacing w:after="0" w:line="240" w:lineRule="auto"/>
    </w:pPr>
    <w:rPr>
      <w:rFonts w:ascii="Times New Roman" w:eastAsia="Times New Roman" w:hAnsi="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977F0"/>
    <w:pPr>
      <w:ind w:left="720"/>
      <w:contextualSpacing/>
    </w:pPr>
  </w:style>
  <w:style w:type="paragraph" w:styleId="BalloonText">
    <w:name w:val="Balloon Text"/>
    <w:basedOn w:val="Normal"/>
    <w:link w:val="BalloonTextChar"/>
    <w:uiPriority w:val="99"/>
    <w:semiHidden/>
    <w:unhideWhenUsed/>
    <w:rsid w:val="00BB2E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2E5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1201</Words>
  <Characters>6852</Characters>
  <Application>Microsoft Office Word</Application>
  <DocSecurity>0</DocSecurity>
  <Lines>57</Lines>
  <Paragraphs>16</Paragraphs>
  <ScaleCrop>false</ScaleCrop>
  <Company/>
  <LinksUpToDate>false</LinksUpToDate>
  <CharactersWithSpaces>8037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2018-08-10T15:09:00Z</dcterms:created>
  <dcterms:modified xsi:type="dcterms:W3CDTF">2018-08-10T15:09:00Z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