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975458" w:rsidRDefault="00BD0AA3" w:rsidP="00933B65">
      <w:pPr>
        <w:jc w:val="center"/>
        <w:rPr>
          <w:rFonts w:ascii="Book Antiqua" w:hAnsi="Book Antiqua" w:cs="Arial"/>
          <w:color w:val="000000"/>
        </w:rPr>
      </w:pPr>
      <w:bookmarkStart w:id="0" w:name="_GoBack"/>
      <w:bookmarkEnd w:id="0"/>
      <w:r w:rsidRPr="00975458">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975458" w:rsidRDefault="00933B65" w:rsidP="00933B65">
      <w:pPr>
        <w:tabs>
          <w:tab w:val="right" w:pos="9720"/>
        </w:tabs>
        <w:ind w:right="-82"/>
        <w:rPr>
          <w:rFonts w:ascii="Arial" w:hAnsi="Arial" w:cs="Arial"/>
          <w:b/>
          <w:color w:val="000000"/>
        </w:rPr>
      </w:pPr>
      <w:r w:rsidRPr="00975458">
        <w:rPr>
          <w:rFonts w:ascii="Arial" w:hAnsi="Arial" w:cs="Arial"/>
          <w:b/>
          <w:color w:val="000000"/>
        </w:rPr>
        <w:t xml:space="preserve">Upper Tribunal </w:t>
      </w:r>
    </w:p>
    <w:p w:rsidR="00933B65" w:rsidRPr="00975458" w:rsidRDefault="00933B65" w:rsidP="00933B65">
      <w:pPr>
        <w:tabs>
          <w:tab w:val="right" w:pos="9720"/>
        </w:tabs>
        <w:ind w:right="-82"/>
        <w:rPr>
          <w:rFonts w:ascii="Arial" w:hAnsi="Arial" w:cs="Arial"/>
          <w:color w:val="000000"/>
        </w:rPr>
      </w:pPr>
      <w:r w:rsidRPr="00975458">
        <w:rPr>
          <w:rFonts w:ascii="Arial" w:hAnsi="Arial" w:cs="Arial"/>
          <w:b/>
          <w:color w:val="000000"/>
        </w:rPr>
        <w:t>(Immigration and Asylum Chamber)</w:t>
      </w:r>
      <w:r w:rsidRPr="00975458">
        <w:rPr>
          <w:rFonts w:ascii="Arial" w:hAnsi="Arial" w:cs="Arial"/>
          <w:b/>
          <w:color w:val="000000"/>
        </w:rPr>
        <w:tab/>
      </w:r>
      <w:r w:rsidRPr="00975458">
        <w:rPr>
          <w:rFonts w:ascii="Arial" w:hAnsi="Arial" w:cs="Arial"/>
          <w:color w:val="000000"/>
        </w:rPr>
        <w:t xml:space="preserve">Appeal Number: </w:t>
      </w:r>
      <w:r w:rsidR="004E46E3">
        <w:rPr>
          <w:rFonts w:ascii="Arial" w:hAnsi="Arial" w:cs="Arial"/>
          <w:color w:val="000000"/>
        </w:rPr>
        <w:t>DA/00328/2016</w:t>
      </w:r>
    </w:p>
    <w:p w:rsidR="00933B65" w:rsidRPr="00975458" w:rsidRDefault="00933B65" w:rsidP="00933B65">
      <w:pPr>
        <w:jc w:val="center"/>
        <w:rPr>
          <w:rFonts w:ascii="Arial" w:hAnsi="Arial" w:cs="Arial"/>
          <w:color w:val="000000"/>
        </w:rPr>
      </w:pPr>
    </w:p>
    <w:p w:rsidR="00933B65" w:rsidRPr="00975458" w:rsidRDefault="00933B65" w:rsidP="00933B65">
      <w:pPr>
        <w:jc w:val="center"/>
        <w:rPr>
          <w:rFonts w:ascii="Arial" w:hAnsi="Arial" w:cs="Arial"/>
          <w:b/>
          <w:color w:val="000000"/>
          <w:u w:val="single"/>
        </w:rPr>
      </w:pPr>
      <w:r w:rsidRPr="00975458">
        <w:rPr>
          <w:rFonts w:ascii="Arial" w:hAnsi="Arial" w:cs="Arial"/>
          <w:b/>
          <w:color w:val="000000"/>
          <w:u w:val="single"/>
        </w:rPr>
        <w:t>THE IMMIGRATION ACTS</w:t>
      </w:r>
    </w:p>
    <w:p w:rsidR="00933B65" w:rsidRPr="00975458" w:rsidRDefault="00933B65" w:rsidP="00933B65">
      <w:pPr>
        <w:jc w:val="center"/>
        <w:rPr>
          <w:rFonts w:ascii="Arial" w:hAnsi="Arial" w:cs="Arial"/>
          <w:b/>
          <w:u w:val="single"/>
        </w:rPr>
      </w:pPr>
    </w:p>
    <w:tbl>
      <w:tblPr>
        <w:tblW w:w="10740" w:type="dxa"/>
        <w:tblLook w:val="01E0" w:firstRow="1" w:lastRow="1" w:firstColumn="1" w:lastColumn="1" w:noHBand="0" w:noVBand="0"/>
      </w:tblPr>
      <w:tblGrid>
        <w:gridCol w:w="6609"/>
        <w:gridCol w:w="4131"/>
      </w:tblGrid>
      <w:tr w:rsidR="00933B65" w:rsidRPr="006A2772" w:rsidTr="00E75C91">
        <w:trPr>
          <w:trHeight w:val="465"/>
        </w:trPr>
        <w:tc>
          <w:tcPr>
            <w:tcW w:w="6609" w:type="dxa"/>
            <w:shd w:val="clear" w:color="auto" w:fill="auto"/>
          </w:tcPr>
          <w:p w:rsidR="00933B65" w:rsidRPr="006A2772" w:rsidRDefault="00933B65" w:rsidP="006A2772">
            <w:pPr>
              <w:jc w:val="both"/>
              <w:rPr>
                <w:rFonts w:ascii="Arial" w:hAnsi="Arial" w:cs="Arial"/>
                <w:b/>
              </w:rPr>
            </w:pPr>
            <w:r w:rsidRPr="006A2772">
              <w:rPr>
                <w:rFonts w:ascii="Arial" w:hAnsi="Arial" w:cs="Arial"/>
                <w:b/>
              </w:rPr>
              <w:t>Heard at Field House</w:t>
            </w:r>
          </w:p>
        </w:tc>
        <w:tc>
          <w:tcPr>
            <w:tcW w:w="4131" w:type="dxa"/>
            <w:shd w:val="clear" w:color="auto" w:fill="auto"/>
          </w:tcPr>
          <w:p w:rsidR="00933B65" w:rsidRPr="006A2772" w:rsidRDefault="00D45231" w:rsidP="006A2772">
            <w:pPr>
              <w:jc w:val="both"/>
              <w:rPr>
                <w:rFonts w:ascii="Arial" w:hAnsi="Arial" w:cs="Arial"/>
                <w:b/>
                <w:color w:val="000000"/>
              </w:rPr>
            </w:pPr>
            <w:r w:rsidRPr="006A2772">
              <w:rPr>
                <w:rFonts w:ascii="Arial" w:hAnsi="Arial" w:cs="Arial"/>
                <w:b/>
                <w:color w:val="000000"/>
              </w:rPr>
              <w:t>Decision</w:t>
            </w:r>
            <w:r w:rsidR="00E75C91">
              <w:rPr>
                <w:rFonts w:ascii="Arial" w:hAnsi="Arial" w:cs="Arial"/>
                <w:b/>
                <w:color w:val="000000"/>
              </w:rPr>
              <w:t xml:space="preserve"> &amp; Reasons </w:t>
            </w:r>
            <w:r w:rsidR="00933B65" w:rsidRPr="006A2772">
              <w:rPr>
                <w:rFonts w:ascii="Arial" w:hAnsi="Arial" w:cs="Arial"/>
                <w:b/>
                <w:color w:val="000000"/>
              </w:rPr>
              <w:t>Promulgated</w:t>
            </w:r>
          </w:p>
        </w:tc>
      </w:tr>
      <w:tr w:rsidR="00933B65" w:rsidRPr="006A2772" w:rsidTr="00E75C91">
        <w:trPr>
          <w:trHeight w:val="465"/>
        </w:trPr>
        <w:tc>
          <w:tcPr>
            <w:tcW w:w="6609" w:type="dxa"/>
            <w:shd w:val="clear" w:color="auto" w:fill="auto"/>
          </w:tcPr>
          <w:p w:rsidR="00933B65" w:rsidRPr="006A2772" w:rsidRDefault="00933B65" w:rsidP="006A2772">
            <w:pPr>
              <w:jc w:val="both"/>
              <w:rPr>
                <w:rFonts w:ascii="Arial" w:hAnsi="Arial" w:cs="Arial"/>
                <w:b/>
              </w:rPr>
            </w:pPr>
            <w:r w:rsidRPr="006A2772">
              <w:rPr>
                <w:rFonts w:ascii="Arial" w:hAnsi="Arial" w:cs="Arial"/>
                <w:b/>
              </w:rPr>
              <w:t xml:space="preserve">On </w:t>
            </w:r>
            <w:r w:rsidR="004E46E3" w:rsidRPr="006A2772">
              <w:rPr>
                <w:rFonts w:ascii="Arial" w:hAnsi="Arial" w:cs="Arial"/>
                <w:b/>
              </w:rPr>
              <w:t>14 May 2018</w:t>
            </w:r>
          </w:p>
        </w:tc>
        <w:tc>
          <w:tcPr>
            <w:tcW w:w="4131" w:type="dxa"/>
            <w:shd w:val="clear" w:color="auto" w:fill="auto"/>
          </w:tcPr>
          <w:p w:rsidR="00933B65" w:rsidRPr="006A2772" w:rsidRDefault="00E75C91" w:rsidP="006A2772">
            <w:pPr>
              <w:jc w:val="both"/>
              <w:rPr>
                <w:rFonts w:ascii="Arial" w:hAnsi="Arial" w:cs="Arial"/>
                <w:b/>
              </w:rPr>
            </w:pPr>
            <w:r>
              <w:rPr>
                <w:rFonts w:ascii="Arial" w:hAnsi="Arial" w:cs="Arial"/>
                <w:b/>
              </w:rPr>
              <w:t>On 24 May 2018</w:t>
            </w:r>
          </w:p>
        </w:tc>
      </w:tr>
    </w:tbl>
    <w:p w:rsidR="00B8571D" w:rsidRPr="00975458" w:rsidRDefault="00B8571D" w:rsidP="00B8571D">
      <w:pPr>
        <w:jc w:val="center"/>
        <w:rPr>
          <w:rFonts w:ascii="Arial" w:hAnsi="Arial" w:cs="Arial"/>
        </w:rPr>
      </w:pPr>
    </w:p>
    <w:p w:rsidR="00B8571D" w:rsidRPr="00975458" w:rsidRDefault="00B8571D" w:rsidP="00B8571D">
      <w:pPr>
        <w:jc w:val="center"/>
        <w:rPr>
          <w:rFonts w:ascii="Arial" w:hAnsi="Arial" w:cs="Arial"/>
        </w:rPr>
      </w:pPr>
      <w:r w:rsidRPr="00975458">
        <w:rPr>
          <w:rFonts w:ascii="Arial" w:hAnsi="Arial" w:cs="Arial"/>
        </w:rPr>
        <w:t>Before:</w:t>
      </w:r>
    </w:p>
    <w:p w:rsidR="00B8571D" w:rsidRPr="00975458" w:rsidRDefault="00B8571D" w:rsidP="00B8571D">
      <w:pPr>
        <w:jc w:val="center"/>
        <w:rPr>
          <w:rFonts w:ascii="Arial" w:hAnsi="Arial" w:cs="Arial"/>
          <w:color w:val="000000"/>
        </w:rPr>
      </w:pPr>
      <w:r w:rsidRPr="00975458">
        <w:rPr>
          <w:rFonts w:ascii="Arial" w:hAnsi="Arial" w:cs="Arial"/>
          <w:color w:val="000000"/>
        </w:rPr>
        <w:t xml:space="preserve">UPPER TRIBUNAL JUDGE GILL </w:t>
      </w:r>
    </w:p>
    <w:p w:rsidR="00B8571D" w:rsidRPr="00975458" w:rsidRDefault="00B8571D" w:rsidP="00B8571D">
      <w:pPr>
        <w:jc w:val="center"/>
        <w:rPr>
          <w:rFonts w:ascii="Arial" w:hAnsi="Arial" w:cs="Arial"/>
        </w:rPr>
      </w:pPr>
    </w:p>
    <w:p w:rsidR="00B8571D" w:rsidRPr="00975458" w:rsidRDefault="00B8571D" w:rsidP="00B8571D">
      <w:pPr>
        <w:jc w:val="center"/>
        <w:rPr>
          <w:rFonts w:ascii="Arial" w:hAnsi="Arial" w:cs="Arial"/>
        </w:rPr>
      </w:pPr>
      <w:r w:rsidRPr="00975458">
        <w:rPr>
          <w:rFonts w:ascii="Arial" w:hAnsi="Arial" w:cs="Arial"/>
        </w:rPr>
        <w:t>Between</w:t>
      </w:r>
    </w:p>
    <w:p w:rsidR="00B8571D" w:rsidRPr="00975458" w:rsidRDefault="00B8571D" w:rsidP="00B8571D">
      <w:pPr>
        <w:jc w:val="center"/>
        <w:rPr>
          <w:rFonts w:ascii="Arial" w:hAnsi="Arial" w:cs="Arial"/>
        </w:rPr>
      </w:pPr>
    </w:p>
    <w:tbl>
      <w:tblPr>
        <w:tblW w:w="9813" w:type="dxa"/>
        <w:tblInd w:w="135" w:type="dxa"/>
        <w:tblLayout w:type="fixed"/>
        <w:tblLook w:val="0000" w:firstRow="0" w:lastRow="0" w:firstColumn="0" w:lastColumn="0" w:noHBand="0" w:noVBand="0"/>
      </w:tblPr>
      <w:tblGrid>
        <w:gridCol w:w="1559"/>
        <w:gridCol w:w="6514"/>
        <w:gridCol w:w="1740"/>
      </w:tblGrid>
      <w:tr w:rsidR="00B8571D" w:rsidRPr="00975458">
        <w:trPr>
          <w:cantSplit/>
        </w:trPr>
        <w:tc>
          <w:tcPr>
            <w:tcW w:w="1559" w:type="dxa"/>
          </w:tcPr>
          <w:p w:rsidR="00B8571D" w:rsidRPr="00975458" w:rsidRDefault="00B8571D" w:rsidP="00CE518D">
            <w:pPr>
              <w:jc w:val="both"/>
              <w:rPr>
                <w:rFonts w:ascii="Arial" w:hAnsi="Arial"/>
              </w:rPr>
            </w:pPr>
          </w:p>
        </w:tc>
        <w:tc>
          <w:tcPr>
            <w:tcW w:w="6514" w:type="dxa"/>
          </w:tcPr>
          <w:p w:rsidR="00B8571D" w:rsidRPr="00975458" w:rsidRDefault="00F57157" w:rsidP="00CE518D">
            <w:pPr>
              <w:jc w:val="center"/>
              <w:rPr>
                <w:rFonts w:ascii="Arial" w:hAnsi="Arial"/>
              </w:rPr>
            </w:pPr>
            <w:r>
              <w:rPr>
                <w:rFonts w:ascii="Arial" w:hAnsi="Arial"/>
              </w:rPr>
              <w:t xml:space="preserve">The Secretary of State for the Home Department </w:t>
            </w:r>
          </w:p>
        </w:tc>
        <w:tc>
          <w:tcPr>
            <w:tcW w:w="1740" w:type="dxa"/>
          </w:tcPr>
          <w:p w:rsidR="00B8571D" w:rsidRPr="00975458" w:rsidRDefault="00B8571D" w:rsidP="00CE518D">
            <w:pPr>
              <w:pStyle w:val="Heading4"/>
              <w:spacing w:before="0" w:after="0"/>
              <w:jc w:val="both"/>
              <w:rPr>
                <w:rFonts w:ascii="Arial" w:hAnsi="Arial"/>
                <w:b w:val="0"/>
                <w:sz w:val="24"/>
              </w:rPr>
            </w:pPr>
            <w:r w:rsidRPr="00975458">
              <w:rPr>
                <w:rFonts w:ascii="Arial" w:hAnsi="Arial"/>
                <w:b w:val="0"/>
                <w:sz w:val="24"/>
              </w:rPr>
              <w:t>Appellant</w:t>
            </w:r>
          </w:p>
        </w:tc>
      </w:tr>
      <w:tr w:rsidR="00B8571D" w:rsidRPr="00975458">
        <w:trPr>
          <w:cantSplit/>
        </w:trPr>
        <w:tc>
          <w:tcPr>
            <w:tcW w:w="9813" w:type="dxa"/>
            <w:gridSpan w:val="3"/>
          </w:tcPr>
          <w:p w:rsidR="00B8571D" w:rsidRPr="00975458" w:rsidRDefault="00B8571D" w:rsidP="00CE518D">
            <w:pPr>
              <w:rPr>
                <w:rFonts w:ascii="Arial" w:hAnsi="Arial"/>
              </w:rPr>
            </w:pPr>
          </w:p>
        </w:tc>
      </w:tr>
      <w:tr w:rsidR="00B8571D" w:rsidRPr="00975458">
        <w:trPr>
          <w:cantSplit/>
        </w:trPr>
        <w:tc>
          <w:tcPr>
            <w:tcW w:w="9813" w:type="dxa"/>
            <w:gridSpan w:val="3"/>
          </w:tcPr>
          <w:p w:rsidR="00B8571D" w:rsidRPr="00975458" w:rsidRDefault="00B8571D" w:rsidP="00CE518D">
            <w:pPr>
              <w:jc w:val="center"/>
              <w:rPr>
                <w:rFonts w:ascii="Arial" w:hAnsi="Arial"/>
              </w:rPr>
            </w:pPr>
            <w:r w:rsidRPr="00975458">
              <w:rPr>
                <w:rFonts w:ascii="Arial" w:hAnsi="Arial"/>
              </w:rPr>
              <w:t>And</w:t>
            </w:r>
          </w:p>
          <w:p w:rsidR="00B8571D" w:rsidRPr="00975458" w:rsidRDefault="00B8571D" w:rsidP="00CE518D">
            <w:pPr>
              <w:jc w:val="center"/>
              <w:rPr>
                <w:rFonts w:ascii="Arial" w:hAnsi="Arial"/>
              </w:rPr>
            </w:pPr>
          </w:p>
        </w:tc>
      </w:tr>
      <w:tr w:rsidR="00B8571D" w:rsidRPr="00975458">
        <w:trPr>
          <w:cantSplit/>
        </w:trPr>
        <w:tc>
          <w:tcPr>
            <w:tcW w:w="1559" w:type="dxa"/>
          </w:tcPr>
          <w:p w:rsidR="00B8571D" w:rsidRPr="00975458" w:rsidRDefault="00B8571D" w:rsidP="00CE518D">
            <w:pPr>
              <w:jc w:val="center"/>
              <w:rPr>
                <w:rFonts w:ascii="Arial" w:hAnsi="Arial"/>
              </w:rPr>
            </w:pPr>
          </w:p>
        </w:tc>
        <w:tc>
          <w:tcPr>
            <w:tcW w:w="6514" w:type="dxa"/>
          </w:tcPr>
          <w:p w:rsidR="00F57157" w:rsidRPr="00F57157" w:rsidRDefault="00AA2F32" w:rsidP="00F57157">
            <w:pPr>
              <w:jc w:val="center"/>
              <w:rPr>
                <w:rFonts w:ascii="Arial" w:hAnsi="Arial"/>
              </w:rPr>
            </w:pPr>
            <w:r>
              <w:rPr>
                <w:rFonts w:ascii="Arial" w:hAnsi="Arial"/>
              </w:rPr>
              <w:t xml:space="preserve">M K </w:t>
            </w:r>
          </w:p>
          <w:p w:rsidR="00B8571D" w:rsidRPr="00975458" w:rsidRDefault="00F57157" w:rsidP="00F57157">
            <w:pPr>
              <w:jc w:val="center"/>
              <w:rPr>
                <w:rFonts w:ascii="Arial" w:hAnsi="Arial"/>
              </w:rPr>
            </w:pPr>
            <w:r w:rsidRPr="00975458">
              <w:rPr>
                <w:rFonts w:ascii="Arial" w:hAnsi="Arial"/>
                <w:b/>
              </w:rPr>
              <w:t xml:space="preserve"> (ANONYMITY ORDER MADE)</w:t>
            </w:r>
          </w:p>
        </w:tc>
        <w:tc>
          <w:tcPr>
            <w:tcW w:w="1740" w:type="dxa"/>
          </w:tcPr>
          <w:p w:rsidR="00B8571D" w:rsidRPr="00975458" w:rsidRDefault="00B8571D" w:rsidP="00CE518D">
            <w:pPr>
              <w:pStyle w:val="Heading4"/>
              <w:spacing w:before="0" w:after="0"/>
              <w:rPr>
                <w:rFonts w:ascii="Arial" w:hAnsi="Arial"/>
                <w:b w:val="0"/>
                <w:sz w:val="24"/>
              </w:rPr>
            </w:pPr>
            <w:r w:rsidRPr="00975458">
              <w:rPr>
                <w:rFonts w:ascii="Arial" w:hAnsi="Arial"/>
                <w:b w:val="0"/>
                <w:sz w:val="24"/>
              </w:rPr>
              <w:t xml:space="preserve">Respondent </w:t>
            </w:r>
          </w:p>
        </w:tc>
      </w:tr>
    </w:tbl>
    <w:p w:rsidR="009567B0" w:rsidRPr="00975458" w:rsidRDefault="009567B0" w:rsidP="009567B0">
      <w:pPr>
        <w:jc w:val="center"/>
        <w:rPr>
          <w:rFonts w:ascii="Arial" w:hAnsi="Arial" w:cs="Arial"/>
        </w:rPr>
      </w:pPr>
    </w:p>
    <w:p w:rsidR="009567B0" w:rsidRPr="00F57157" w:rsidRDefault="009567B0" w:rsidP="009567B0">
      <w:pPr>
        <w:tabs>
          <w:tab w:val="left" w:pos="567"/>
        </w:tabs>
        <w:jc w:val="center"/>
        <w:rPr>
          <w:rFonts w:ascii="Arial" w:hAnsi="Arial" w:cs="Arial"/>
          <w:b/>
          <w:color w:val="000000"/>
          <w:u w:val="single"/>
        </w:rPr>
      </w:pPr>
      <w:r w:rsidRPr="00F57157">
        <w:rPr>
          <w:rFonts w:ascii="Arial" w:hAnsi="Arial" w:cs="Arial"/>
          <w:b/>
          <w:color w:val="000000"/>
          <w:u w:val="single"/>
        </w:rPr>
        <w:t>Anonymity</w:t>
      </w:r>
    </w:p>
    <w:p w:rsidR="009567B0" w:rsidRPr="00F57157" w:rsidRDefault="009567B0" w:rsidP="009567B0">
      <w:pPr>
        <w:ind w:left="540"/>
        <w:jc w:val="both"/>
        <w:rPr>
          <w:rFonts w:ascii="Arial" w:hAnsi="Arial"/>
          <w:b/>
          <w:bCs/>
          <w:color w:val="000000"/>
          <w:szCs w:val="28"/>
        </w:rPr>
      </w:pPr>
    </w:p>
    <w:p w:rsidR="00D763A4" w:rsidRPr="00F57157" w:rsidRDefault="00D763A4" w:rsidP="00D763A4">
      <w:pPr>
        <w:jc w:val="both"/>
        <w:rPr>
          <w:rFonts w:ascii="Arial" w:hAnsi="Arial" w:cs="Arial"/>
          <w:b/>
          <w:color w:val="000000"/>
        </w:rPr>
      </w:pPr>
      <w:r w:rsidRPr="00F57157">
        <w:rPr>
          <w:rFonts w:ascii="Arial" w:hAnsi="Arial" w:cs="Arial"/>
          <w:b/>
          <w:color w:val="000000"/>
        </w:rPr>
        <w:t>I make an order under r.14(1) of the Tribunal Procedure (Upper Tribunal) Rules 2008 prohibiting the disclosure or publication of any matter likely to lead members of the public to identify the original appellant.</w:t>
      </w:r>
      <w:r w:rsidR="00351645">
        <w:rPr>
          <w:rFonts w:ascii="Arial" w:hAnsi="Arial" w:cs="Arial"/>
          <w:b/>
          <w:color w:val="000000"/>
        </w:rPr>
        <w:t xml:space="preserve"> I make this order due to his medical condition. </w:t>
      </w:r>
      <w:r w:rsidRPr="00F57157">
        <w:rPr>
          <w:rFonts w:ascii="Arial" w:hAnsi="Arial" w:cs="Arial"/>
          <w:b/>
          <w:color w:val="000000"/>
        </w:rPr>
        <w:t>No report of these proceedings shall directly or indirectly identify him.  This direction applies to both the appellant and to the respondent and all other persons. Failure to comply with this direction could lead to contempt of court proceedings.</w:t>
      </w:r>
    </w:p>
    <w:p w:rsidR="002E10E4" w:rsidRPr="00F57157" w:rsidRDefault="002E10E4" w:rsidP="002E10E4">
      <w:pPr>
        <w:jc w:val="both"/>
        <w:rPr>
          <w:rFonts w:ascii="Arial" w:hAnsi="Arial" w:cs="Arial"/>
          <w:b/>
          <w:color w:val="000000"/>
        </w:rPr>
      </w:pPr>
      <w:r w:rsidRPr="00F57157">
        <w:rPr>
          <w:rFonts w:ascii="Arial" w:hAnsi="Arial" w:cs="Arial"/>
          <w:b/>
          <w:color w:val="000000"/>
        </w:rPr>
        <w:t xml:space="preserve">The parties at liberty to apply to discharge this order, with reasons. </w:t>
      </w:r>
    </w:p>
    <w:p w:rsidR="00B8571D" w:rsidRPr="00975458" w:rsidRDefault="00B8571D" w:rsidP="00B8571D">
      <w:pPr>
        <w:rPr>
          <w:rFonts w:ascii="Arial" w:hAnsi="Arial" w:cs="Arial"/>
          <w:u w:val="single"/>
        </w:rPr>
      </w:pPr>
    </w:p>
    <w:p w:rsidR="00B8571D" w:rsidRPr="00975458" w:rsidRDefault="00B8571D" w:rsidP="00B8571D">
      <w:pPr>
        <w:rPr>
          <w:rFonts w:ascii="Arial" w:hAnsi="Arial" w:cs="Arial"/>
        </w:rPr>
      </w:pPr>
      <w:r w:rsidRPr="00975458">
        <w:rPr>
          <w:rFonts w:ascii="Arial" w:hAnsi="Arial" w:cs="Arial"/>
          <w:u w:val="single"/>
        </w:rPr>
        <w:t>Representation</w:t>
      </w:r>
      <w:r w:rsidRPr="00975458">
        <w:rPr>
          <w:rFonts w:ascii="Arial" w:hAnsi="Arial" w:cs="Arial"/>
        </w:rPr>
        <w:t>:</w:t>
      </w:r>
    </w:p>
    <w:p w:rsidR="00B8571D" w:rsidRPr="00975458" w:rsidRDefault="00B8571D" w:rsidP="00B8571D">
      <w:pPr>
        <w:rPr>
          <w:rFonts w:ascii="Arial" w:hAnsi="Arial" w:cs="Arial"/>
        </w:rPr>
      </w:pPr>
    </w:p>
    <w:p w:rsidR="00B8571D" w:rsidRPr="00975458" w:rsidRDefault="00B8571D" w:rsidP="00B8571D">
      <w:pPr>
        <w:tabs>
          <w:tab w:val="left" w:pos="2520"/>
        </w:tabs>
        <w:rPr>
          <w:rFonts w:ascii="Arial" w:hAnsi="Arial" w:cs="Arial"/>
        </w:rPr>
      </w:pPr>
      <w:r w:rsidRPr="00975458">
        <w:rPr>
          <w:rFonts w:ascii="Arial" w:hAnsi="Arial" w:cs="Arial"/>
        </w:rPr>
        <w:t>For the Appellant:</w:t>
      </w:r>
      <w:r w:rsidRPr="00975458">
        <w:rPr>
          <w:rFonts w:ascii="Arial" w:hAnsi="Arial" w:cs="Arial"/>
        </w:rPr>
        <w:tab/>
      </w:r>
      <w:r w:rsidR="00F57157">
        <w:rPr>
          <w:rFonts w:ascii="Arial" w:hAnsi="Arial" w:cs="Arial"/>
        </w:rPr>
        <w:t xml:space="preserve">Mr S </w:t>
      </w:r>
      <w:proofErr w:type="spellStart"/>
      <w:r w:rsidR="00F57157">
        <w:rPr>
          <w:rFonts w:ascii="Arial" w:hAnsi="Arial" w:cs="Arial"/>
        </w:rPr>
        <w:t>Kotas</w:t>
      </w:r>
      <w:proofErr w:type="spellEnd"/>
      <w:r w:rsidR="00F57157">
        <w:rPr>
          <w:rFonts w:ascii="Arial" w:hAnsi="Arial" w:cs="Arial"/>
        </w:rPr>
        <w:t xml:space="preserve">, Senior Presenting Officer. </w:t>
      </w:r>
    </w:p>
    <w:p w:rsidR="00B8571D" w:rsidRPr="00975458" w:rsidRDefault="00B8571D" w:rsidP="00B8571D">
      <w:pPr>
        <w:tabs>
          <w:tab w:val="left" w:pos="2520"/>
        </w:tabs>
        <w:rPr>
          <w:rFonts w:ascii="Arial" w:hAnsi="Arial" w:cs="Arial"/>
        </w:rPr>
      </w:pPr>
      <w:r w:rsidRPr="00975458">
        <w:rPr>
          <w:rFonts w:ascii="Arial" w:hAnsi="Arial" w:cs="Arial"/>
        </w:rPr>
        <w:t>For the Respondent:</w:t>
      </w:r>
      <w:r w:rsidRPr="00975458">
        <w:rPr>
          <w:rFonts w:ascii="Arial" w:hAnsi="Arial" w:cs="Arial"/>
        </w:rPr>
        <w:tab/>
      </w:r>
      <w:r w:rsidR="00F57157">
        <w:rPr>
          <w:rFonts w:ascii="Arial" w:hAnsi="Arial" w:cs="Arial"/>
        </w:rPr>
        <w:t xml:space="preserve">Mr B Malik, of Counsel. </w:t>
      </w:r>
    </w:p>
    <w:p w:rsidR="00B8571D" w:rsidRPr="00975458" w:rsidRDefault="00B8571D" w:rsidP="00B8571D">
      <w:pPr>
        <w:tabs>
          <w:tab w:val="left" w:pos="2520"/>
        </w:tabs>
        <w:jc w:val="center"/>
        <w:rPr>
          <w:rFonts w:ascii="Arial" w:hAnsi="Arial" w:cs="Arial"/>
        </w:rPr>
      </w:pPr>
    </w:p>
    <w:p w:rsidR="00092A37" w:rsidRPr="00975458" w:rsidRDefault="00092A37" w:rsidP="00092A37">
      <w:pPr>
        <w:tabs>
          <w:tab w:val="left" w:pos="2520"/>
        </w:tabs>
        <w:jc w:val="center"/>
        <w:rPr>
          <w:rFonts w:ascii="Arial" w:hAnsi="Arial" w:cs="Arial"/>
        </w:rPr>
      </w:pPr>
      <w:r w:rsidRPr="00975458">
        <w:rPr>
          <w:rFonts w:ascii="Arial" w:hAnsi="Arial" w:cs="Arial"/>
          <w:b/>
          <w:u w:val="single"/>
        </w:rPr>
        <w:t>DECISION AND REASONS</w:t>
      </w:r>
    </w:p>
    <w:p w:rsidR="00107968" w:rsidRPr="00975458" w:rsidRDefault="00107968" w:rsidP="00107968">
      <w:pPr>
        <w:tabs>
          <w:tab w:val="left" w:pos="540"/>
          <w:tab w:val="left" w:pos="1080"/>
          <w:tab w:val="left" w:pos="1620"/>
        </w:tabs>
        <w:spacing w:before="120" w:after="120"/>
        <w:ind w:left="539" w:hanging="539"/>
        <w:jc w:val="both"/>
        <w:rPr>
          <w:rFonts w:ascii="Arial" w:hAnsi="Arial"/>
          <w:u w:val="single"/>
        </w:rPr>
      </w:pPr>
      <w:r w:rsidRPr="00975458">
        <w:rPr>
          <w:rFonts w:ascii="Arial" w:hAnsi="Arial"/>
          <w:u w:val="single"/>
        </w:rPr>
        <w:t>Introduction and background facts:</w:t>
      </w:r>
    </w:p>
    <w:p w:rsidR="00AA2F32" w:rsidRDefault="00AA2F32"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MK </w:t>
      </w:r>
      <w:r w:rsidR="00554893">
        <w:rPr>
          <w:rFonts w:ascii="Arial" w:hAnsi="Arial"/>
        </w:rPr>
        <w:t xml:space="preserve">(hereafter the “claimant”) </w:t>
      </w:r>
      <w:r>
        <w:rPr>
          <w:rFonts w:ascii="Arial" w:hAnsi="Arial"/>
        </w:rPr>
        <w:t xml:space="preserve">is from </w:t>
      </w:r>
      <w:smartTag w:uri="urn:schemas-microsoft-com:office:smarttags" w:element="country-region">
        <w:smartTag w:uri="urn:schemas-microsoft-com:office:smarttags" w:element="place">
          <w:r>
            <w:rPr>
              <w:rFonts w:ascii="Arial" w:hAnsi="Arial"/>
            </w:rPr>
            <w:t>Cyprus</w:t>
          </w:r>
        </w:smartTag>
      </w:smartTag>
      <w:r>
        <w:rPr>
          <w:rFonts w:ascii="Arial" w:hAnsi="Arial"/>
        </w:rPr>
        <w:t>, born on 27 February 1948. He was convicted on 17 October 2003 o</w:t>
      </w:r>
      <w:r w:rsidR="00351645">
        <w:rPr>
          <w:rFonts w:ascii="Arial" w:hAnsi="Arial"/>
        </w:rPr>
        <w:t>f</w:t>
      </w:r>
      <w:r>
        <w:rPr>
          <w:rFonts w:ascii="Arial" w:hAnsi="Arial"/>
        </w:rPr>
        <w:t xml:space="preserve"> two counts of possessing Class A </w:t>
      </w:r>
      <w:r w:rsidR="00351645">
        <w:rPr>
          <w:rFonts w:ascii="Arial" w:hAnsi="Arial"/>
        </w:rPr>
        <w:t xml:space="preserve">drugs </w:t>
      </w:r>
      <w:r>
        <w:rPr>
          <w:rFonts w:ascii="Arial" w:hAnsi="Arial"/>
        </w:rPr>
        <w:t>with intent to supply</w:t>
      </w:r>
      <w:r w:rsidR="002E0143">
        <w:rPr>
          <w:rFonts w:ascii="Arial" w:hAnsi="Arial"/>
        </w:rPr>
        <w:t>. He received a sentence of 24 years’ imprisonment, reduced on appeal to 18 years. He was released from prison on 6 February 2012</w:t>
      </w:r>
      <w:r w:rsidR="003428A4">
        <w:rPr>
          <w:rFonts w:ascii="Arial" w:hAnsi="Arial"/>
        </w:rPr>
        <w:t xml:space="preserve">. He will be on licence until 6 February 2021. He has never exercised Treaty rights in the </w:t>
      </w:r>
      <w:smartTag w:uri="urn:schemas-microsoft-com:office:smarttags" w:element="country-region">
        <w:smartTag w:uri="urn:schemas-microsoft-com:office:smarttags" w:element="place">
          <w:r w:rsidR="003428A4">
            <w:rPr>
              <w:rFonts w:ascii="Arial" w:hAnsi="Arial"/>
            </w:rPr>
            <w:t>United Kingdom</w:t>
          </w:r>
        </w:smartTag>
      </w:smartTag>
      <w:r w:rsidR="003428A4">
        <w:rPr>
          <w:rFonts w:ascii="Arial" w:hAnsi="Arial"/>
        </w:rPr>
        <w:t>.</w:t>
      </w:r>
      <w:r w:rsidR="002E0143">
        <w:rPr>
          <w:rFonts w:ascii="Arial" w:hAnsi="Arial"/>
        </w:rPr>
        <w:t xml:space="preserve"> </w:t>
      </w:r>
      <w:r w:rsidR="003428A4">
        <w:rPr>
          <w:rFonts w:ascii="Arial" w:hAnsi="Arial"/>
        </w:rPr>
        <w:t xml:space="preserve">At the </w:t>
      </w:r>
      <w:r w:rsidR="003428A4">
        <w:rPr>
          <w:rFonts w:ascii="Arial" w:hAnsi="Arial"/>
        </w:rPr>
        <w:lastRenderedPageBreak/>
        <w:t xml:space="preserve">date of the hearing before Judge of the First-tier Tribunal A M Black </w:t>
      </w:r>
      <w:r w:rsidR="00554893">
        <w:rPr>
          <w:rFonts w:ascii="Arial" w:hAnsi="Arial"/>
        </w:rPr>
        <w:t xml:space="preserve">(hereafter the “judge”) </w:t>
      </w:r>
      <w:r w:rsidR="003428A4">
        <w:rPr>
          <w:rFonts w:ascii="Arial" w:hAnsi="Arial"/>
        </w:rPr>
        <w:t xml:space="preserve">on 9 May 2017, he was 69 years old and in poor health. </w:t>
      </w:r>
    </w:p>
    <w:p w:rsidR="008D5BC9" w:rsidRDefault="00554893"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judge allowed the claimant’s appeal against a decision of the Secretary of State of 5 July 2016 </w:t>
      </w:r>
      <w:r w:rsidR="003F1D27">
        <w:rPr>
          <w:rFonts w:ascii="Arial" w:hAnsi="Arial"/>
        </w:rPr>
        <w:t xml:space="preserve">to make a deportation order under </w:t>
      </w:r>
      <w:proofErr w:type="spellStart"/>
      <w:r w:rsidR="00056911">
        <w:rPr>
          <w:rFonts w:ascii="Arial" w:hAnsi="Arial"/>
        </w:rPr>
        <w:t>regn</w:t>
      </w:r>
      <w:proofErr w:type="spellEnd"/>
      <w:r w:rsidR="00056911">
        <w:rPr>
          <w:rFonts w:ascii="Arial" w:hAnsi="Arial"/>
        </w:rPr>
        <w:t xml:space="preserve"> </w:t>
      </w:r>
      <w:r w:rsidR="003F1D27">
        <w:rPr>
          <w:rFonts w:ascii="Arial" w:hAnsi="Arial"/>
        </w:rPr>
        <w:t xml:space="preserve">19(3)(b) of the Immigration (European Economic Area) </w:t>
      </w:r>
      <w:r w:rsidR="00A41A08">
        <w:rPr>
          <w:rFonts w:ascii="Arial" w:hAnsi="Arial"/>
        </w:rPr>
        <w:t>R</w:t>
      </w:r>
      <w:r w:rsidR="003F1D27">
        <w:rPr>
          <w:rFonts w:ascii="Arial" w:hAnsi="Arial"/>
        </w:rPr>
        <w:t xml:space="preserve">egulations 2006 </w:t>
      </w:r>
      <w:r w:rsidR="00A41A08">
        <w:rPr>
          <w:rFonts w:ascii="Arial" w:hAnsi="Arial"/>
        </w:rPr>
        <w:t xml:space="preserve">(the “2006 Regulations”) </w:t>
      </w:r>
      <w:r w:rsidR="003F1D27">
        <w:rPr>
          <w:rFonts w:ascii="Arial" w:hAnsi="Arial"/>
        </w:rPr>
        <w:t xml:space="preserve">by reference to </w:t>
      </w:r>
      <w:proofErr w:type="spellStart"/>
      <w:r w:rsidR="00056911">
        <w:rPr>
          <w:rFonts w:ascii="Arial" w:hAnsi="Arial"/>
        </w:rPr>
        <w:t>regn</w:t>
      </w:r>
      <w:proofErr w:type="spellEnd"/>
      <w:r w:rsidR="003F1D27">
        <w:rPr>
          <w:rFonts w:ascii="Arial" w:hAnsi="Arial"/>
        </w:rPr>
        <w:t xml:space="preserve"> 21. The judge </w:t>
      </w:r>
      <w:r w:rsidR="004A3A46">
        <w:rPr>
          <w:rFonts w:ascii="Arial" w:hAnsi="Arial"/>
        </w:rPr>
        <w:t xml:space="preserve">agreed with the Secretary of State that the claimant had not acquired a permanent right of residence. She did not agree with the Secretary of State that the claimant had a </w:t>
      </w:r>
      <w:r w:rsidR="00964035">
        <w:rPr>
          <w:rFonts w:ascii="Arial" w:hAnsi="Arial"/>
        </w:rPr>
        <w:t xml:space="preserve">propensity to re-offend. She said that she was satisfied that the claimant’s personal conduct did not represent </w:t>
      </w:r>
      <w:r w:rsidR="008D5BC9">
        <w:rPr>
          <w:rFonts w:ascii="Arial" w:hAnsi="Arial"/>
        </w:rPr>
        <w:t>“</w:t>
      </w:r>
      <w:r w:rsidR="00964035" w:rsidRPr="008D5BC9">
        <w:rPr>
          <w:rFonts w:ascii="Arial" w:hAnsi="Arial"/>
          <w:i/>
        </w:rPr>
        <w:t xml:space="preserve">a genuine, present and </w:t>
      </w:r>
      <w:r w:rsidR="008D5BC9" w:rsidRPr="008D5BC9">
        <w:rPr>
          <w:rFonts w:ascii="Arial" w:hAnsi="Arial"/>
          <w:i/>
        </w:rPr>
        <w:t xml:space="preserve">indeed any threat </w:t>
      </w:r>
      <w:r w:rsidR="00964035" w:rsidRPr="008D5BC9">
        <w:rPr>
          <w:rFonts w:ascii="Arial" w:hAnsi="Arial"/>
          <w:i/>
        </w:rPr>
        <w:t>affecting one of the fundamental interests of society</w:t>
      </w:r>
      <w:r w:rsidR="008D5BC9">
        <w:rPr>
          <w:rFonts w:ascii="Arial" w:hAnsi="Arial"/>
        </w:rPr>
        <w:t>”</w:t>
      </w:r>
      <w:r w:rsidR="00351645">
        <w:rPr>
          <w:rFonts w:ascii="Arial" w:hAnsi="Arial"/>
        </w:rPr>
        <w:t xml:space="preserve"> (para 43)</w:t>
      </w:r>
      <w:r w:rsidR="008D5BC9">
        <w:rPr>
          <w:rFonts w:ascii="Arial" w:hAnsi="Arial"/>
        </w:rPr>
        <w:t>. Her reasons were, in summary, as follows:</w:t>
      </w:r>
    </w:p>
    <w:p w:rsidR="00554893" w:rsidRDefault="008D5BC9" w:rsidP="008D5BC9">
      <w:pPr>
        <w:tabs>
          <w:tab w:val="left" w:pos="540"/>
          <w:tab w:val="left" w:pos="1080"/>
          <w:tab w:val="left" w:pos="1620"/>
          <w:tab w:val="left" w:pos="2160"/>
        </w:tabs>
        <w:spacing w:before="240"/>
        <w:ind w:left="1080" w:hanging="541"/>
        <w:jc w:val="both"/>
        <w:rPr>
          <w:rFonts w:ascii="Arial" w:hAnsi="Arial"/>
        </w:rPr>
      </w:pPr>
      <w:r>
        <w:rPr>
          <w:rFonts w:ascii="Arial" w:hAnsi="Arial"/>
        </w:rPr>
        <w:t>(</w:t>
      </w:r>
      <w:proofErr w:type="spellStart"/>
      <w:r>
        <w:rPr>
          <w:rFonts w:ascii="Arial" w:hAnsi="Arial"/>
        </w:rPr>
        <w:t>i</w:t>
      </w:r>
      <w:proofErr w:type="spellEnd"/>
      <w:r>
        <w:rPr>
          <w:rFonts w:ascii="Arial" w:hAnsi="Arial"/>
        </w:rPr>
        <w:t>)</w:t>
      </w:r>
      <w:r>
        <w:rPr>
          <w:rFonts w:ascii="Arial" w:hAnsi="Arial"/>
        </w:rPr>
        <w:tab/>
        <w:t xml:space="preserve">She was satisfied that the claimant was now insightful about his criminal behaviour and that he </w:t>
      </w:r>
      <w:r w:rsidR="00351645">
        <w:rPr>
          <w:rFonts w:ascii="Arial" w:hAnsi="Arial"/>
        </w:rPr>
        <w:t xml:space="preserve">was </w:t>
      </w:r>
      <w:r>
        <w:rPr>
          <w:rFonts w:ascii="Arial" w:hAnsi="Arial"/>
        </w:rPr>
        <w:t xml:space="preserve">contrite, regretful and </w:t>
      </w:r>
      <w:r w:rsidR="00351645">
        <w:rPr>
          <w:rFonts w:ascii="Arial" w:hAnsi="Arial"/>
        </w:rPr>
        <w:t>a</w:t>
      </w:r>
      <w:r>
        <w:rPr>
          <w:rFonts w:ascii="Arial" w:hAnsi="Arial"/>
        </w:rPr>
        <w:t>shame</w:t>
      </w:r>
      <w:r w:rsidR="00351645">
        <w:rPr>
          <w:rFonts w:ascii="Arial" w:hAnsi="Arial"/>
        </w:rPr>
        <w:t>d</w:t>
      </w:r>
      <w:r w:rsidR="005B0D34">
        <w:rPr>
          <w:rFonts w:ascii="Arial" w:hAnsi="Arial"/>
        </w:rPr>
        <w:t xml:space="preserve"> (para 40). </w:t>
      </w:r>
    </w:p>
    <w:p w:rsidR="008D5BC9" w:rsidRDefault="008D5BC9" w:rsidP="008D5BC9">
      <w:pPr>
        <w:tabs>
          <w:tab w:val="left" w:pos="540"/>
          <w:tab w:val="left" w:pos="1080"/>
          <w:tab w:val="left" w:pos="1620"/>
          <w:tab w:val="left" w:pos="2160"/>
        </w:tabs>
        <w:spacing w:before="240"/>
        <w:ind w:left="1080" w:hanging="541"/>
        <w:jc w:val="both"/>
        <w:rPr>
          <w:rFonts w:ascii="Arial" w:hAnsi="Arial"/>
        </w:rPr>
      </w:pPr>
      <w:r>
        <w:rPr>
          <w:rFonts w:ascii="Arial" w:hAnsi="Arial"/>
        </w:rPr>
        <w:t>(ii)</w:t>
      </w:r>
      <w:r>
        <w:rPr>
          <w:rFonts w:ascii="Arial" w:hAnsi="Arial"/>
        </w:rPr>
        <w:tab/>
        <w:t>His health problems were such that he had poor mobility and was largely confined to his home</w:t>
      </w:r>
      <w:r w:rsidR="0064511F">
        <w:rPr>
          <w:rFonts w:ascii="Arial" w:hAnsi="Arial"/>
        </w:rPr>
        <w:t xml:space="preserve">. </w:t>
      </w:r>
      <w:r w:rsidR="00F120A1">
        <w:rPr>
          <w:rFonts w:ascii="Arial" w:hAnsi="Arial"/>
        </w:rPr>
        <w:t>He had a chronic heart problem, diabetes, severe vascular problems, four toes had been amputated on one foot and he was a</w:t>
      </w:r>
      <w:r w:rsidR="00351645">
        <w:rPr>
          <w:rFonts w:ascii="Arial" w:hAnsi="Arial"/>
        </w:rPr>
        <w:t>t</w:t>
      </w:r>
      <w:r w:rsidR="00F120A1">
        <w:rPr>
          <w:rFonts w:ascii="Arial" w:hAnsi="Arial"/>
        </w:rPr>
        <w:t xml:space="preserve"> risk of further amputation. </w:t>
      </w:r>
      <w:r w:rsidR="0064511F">
        <w:rPr>
          <w:rFonts w:ascii="Arial" w:hAnsi="Arial"/>
        </w:rPr>
        <w:t xml:space="preserve">He was awaiting investigations with a view to further limb surgery. He </w:t>
      </w:r>
      <w:r w:rsidR="00351645">
        <w:rPr>
          <w:rFonts w:ascii="Arial" w:hAnsi="Arial"/>
        </w:rPr>
        <w:t xml:space="preserve">did </w:t>
      </w:r>
      <w:r w:rsidR="0064511F">
        <w:rPr>
          <w:rFonts w:ascii="Arial" w:hAnsi="Arial"/>
        </w:rPr>
        <w:t>not live an active life</w:t>
      </w:r>
      <w:r w:rsidR="005B0D34">
        <w:rPr>
          <w:rFonts w:ascii="Arial" w:hAnsi="Arial"/>
        </w:rPr>
        <w:t xml:space="preserve"> (para 41)</w:t>
      </w:r>
      <w:r w:rsidR="0064511F">
        <w:rPr>
          <w:rFonts w:ascii="Arial" w:hAnsi="Arial"/>
        </w:rPr>
        <w:t xml:space="preserve">. </w:t>
      </w:r>
    </w:p>
    <w:p w:rsidR="0064511F" w:rsidRDefault="0064511F" w:rsidP="008D5BC9">
      <w:pPr>
        <w:tabs>
          <w:tab w:val="left" w:pos="540"/>
          <w:tab w:val="left" w:pos="1080"/>
          <w:tab w:val="left" w:pos="1620"/>
          <w:tab w:val="left" w:pos="2160"/>
        </w:tabs>
        <w:spacing w:before="240"/>
        <w:ind w:left="1080" w:hanging="541"/>
        <w:jc w:val="both"/>
        <w:rPr>
          <w:rFonts w:ascii="Arial" w:hAnsi="Arial"/>
        </w:rPr>
      </w:pPr>
      <w:r>
        <w:rPr>
          <w:rFonts w:ascii="Arial" w:hAnsi="Arial"/>
        </w:rPr>
        <w:t>(iii)</w:t>
      </w:r>
      <w:r>
        <w:rPr>
          <w:rFonts w:ascii="Arial" w:hAnsi="Arial"/>
        </w:rPr>
        <w:tab/>
        <w:t>The judge accepted that the drive</w:t>
      </w:r>
      <w:r w:rsidR="005B0D34">
        <w:rPr>
          <w:rFonts w:ascii="Arial" w:hAnsi="Arial"/>
        </w:rPr>
        <w:t>r</w:t>
      </w:r>
      <w:r>
        <w:rPr>
          <w:rFonts w:ascii="Arial" w:hAnsi="Arial"/>
        </w:rPr>
        <w:t xml:space="preserve"> for </w:t>
      </w:r>
      <w:r w:rsidR="00351645">
        <w:rPr>
          <w:rFonts w:ascii="Arial" w:hAnsi="Arial"/>
        </w:rPr>
        <w:t xml:space="preserve">the claimant's </w:t>
      </w:r>
      <w:r>
        <w:rPr>
          <w:rFonts w:ascii="Arial" w:hAnsi="Arial"/>
        </w:rPr>
        <w:t xml:space="preserve">involvement in the possession and supply of drugs was a financial one, a driver which she </w:t>
      </w:r>
      <w:r w:rsidR="006D3540">
        <w:rPr>
          <w:rFonts w:ascii="Arial" w:hAnsi="Arial"/>
        </w:rPr>
        <w:t xml:space="preserve">found </w:t>
      </w:r>
      <w:r>
        <w:rPr>
          <w:rFonts w:ascii="Arial" w:hAnsi="Arial"/>
        </w:rPr>
        <w:t xml:space="preserve">no longer existed because </w:t>
      </w:r>
      <w:r w:rsidR="006D3540">
        <w:rPr>
          <w:rFonts w:ascii="Arial" w:hAnsi="Arial"/>
        </w:rPr>
        <w:t>h</w:t>
      </w:r>
      <w:r>
        <w:rPr>
          <w:rFonts w:ascii="Arial" w:hAnsi="Arial"/>
        </w:rPr>
        <w:t>is needs were modest and largely related to his health</w:t>
      </w:r>
      <w:r w:rsidR="00351645">
        <w:rPr>
          <w:rFonts w:ascii="Arial" w:hAnsi="Arial"/>
        </w:rPr>
        <w:t xml:space="preserve">. He </w:t>
      </w:r>
      <w:r w:rsidR="006D3540">
        <w:rPr>
          <w:rFonts w:ascii="Arial" w:hAnsi="Arial"/>
        </w:rPr>
        <w:t xml:space="preserve">lives on public funds </w:t>
      </w:r>
      <w:r>
        <w:rPr>
          <w:rFonts w:ascii="Arial" w:hAnsi="Arial"/>
        </w:rPr>
        <w:t>and</w:t>
      </w:r>
      <w:r w:rsidR="00351645">
        <w:rPr>
          <w:rFonts w:ascii="Arial" w:hAnsi="Arial"/>
        </w:rPr>
        <w:t xml:space="preserve"> has access to free medical care. She said that, in any event, she accepted his evidence that he would not become involved in the possession and supply of controlled drugs </w:t>
      </w:r>
      <w:r w:rsidR="005B0D34">
        <w:rPr>
          <w:rFonts w:ascii="Arial" w:hAnsi="Arial"/>
        </w:rPr>
        <w:t>(para 42)</w:t>
      </w:r>
      <w:r>
        <w:rPr>
          <w:rFonts w:ascii="Arial" w:hAnsi="Arial"/>
        </w:rPr>
        <w:t xml:space="preserve">. </w:t>
      </w:r>
    </w:p>
    <w:p w:rsidR="002832F1" w:rsidRDefault="002832F1" w:rsidP="008D5BC9">
      <w:pPr>
        <w:tabs>
          <w:tab w:val="left" w:pos="540"/>
          <w:tab w:val="left" w:pos="1080"/>
          <w:tab w:val="left" w:pos="1620"/>
          <w:tab w:val="left" w:pos="2160"/>
        </w:tabs>
        <w:spacing w:before="240"/>
        <w:ind w:left="1080" w:hanging="541"/>
        <w:jc w:val="both"/>
        <w:rPr>
          <w:rFonts w:ascii="Arial" w:hAnsi="Arial"/>
        </w:rPr>
      </w:pPr>
      <w:r>
        <w:rPr>
          <w:rFonts w:ascii="Arial" w:hAnsi="Arial"/>
        </w:rPr>
        <w:t>(iv)</w:t>
      </w:r>
      <w:r>
        <w:rPr>
          <w:rFonts w:ascii="Arial" w:hAnsi="Arial"/>
        </w:rPr>
        <w:tab/>
        <w:t xml:space="preserve">There was no evidence that the claimant had engaged in any form of criminal behaviour during the period of </w:t>
      </w:r>
      <w:r w:rsidR="00351645">
        <w:rPr>
          <w:rFonts w:ascii="Arial" w:hAnsi="Arial"/>
        </w:rPr>
        <w:t xml:space="preserve">five </w:t>
      </w:r>
      <w:r>
        <w:rPr>
          <w:rFonts w:ascii="Arial" w:hAnsi="Arial"/>
        </w:rPr>
        <w:t>years since his release from immigration detention in April 2012 (para 38).</w:t>
      </w:r>
    </w:p>
    <w:p w:rsidR="006D3540" w:rsidRDefault="006D3540" w:rsidP="008D5BC9">
      <w:pPr>
        <w:tabs>
          <w:tab w:val="left" w:pos="540"/>
          <w:tab w:val="left" w:pos="1080"/>
          <w:tab w:val="left" w:pos="1620"/>
          <w:tab w:val="left" w:pos="2160"/>
        </w:tabs>
        <w:spacing w:before="240"/>
        <w:ind w:left="1080" w:hanging="541"/>
        <w:jc w:val="both"/>
        <w:rPr>
          <w:rFonts w:ascii="Arial" w:hAnsi="Arial"/>
        </w:rPr>
      </w:pPr>
      <w:r>
        <w:rPr>
          <w:rFonts w:ascii="Arial" w:hAnsi="Arial"/>
        </w:rPr>
        <w:t>(iv)</w:t>
      </w:r>
      <w:r>
        <w:rPr>
          <w:rFonts w:ascii="Arial" w:hAnsi="Arial"/>
        </w:rPr>
        <w:tab/>
        <w:t xml:space="preserve">She concluded that there was no </w:t>
      </w:r>
      <w:proofErr w:type="spellStart"/>
      <w:r>
        <w:rPr>
          <w:rFonts w:ascii="Arial" w:hAnsi="Arial"/>
        </w:rPr>
        <w:t>discernable</w:t>
      </w:r>
      <w:proofErr w:type="spellEnd"/>
      <w:r>
        <w:rPr>
          <w:rFonts w:ascii="Arial" w:hAnsi="Arial"/>
        </w:rPr>
        <w:t xml:space="preserve"> risk of re-offending</w:t>
      </w:r>
      <w:r w:rsidR="005B0D34">
        <w:rPr>
          <w:rFonts w:ascii="Arial" w:hAnsi="Arial"/>
        </w:rPr>
        <w:t xml:space="preserve"> (para 43). </w:t>
      </w:r>
    </w:p>
    <w:p w:rsidR="006D3540" w:rsidRDefault="006D3540" w:rsidP="006D3540">
      <w:pPr>
        <w:tabs>
          <w:tab w:val="left" w:pos="540"/>
          <w:tab w:val="left" w:pos="1080"/>
          <w:tab w:val="left" w:pos="1620"/>
          <w:tab w:val="left" w:pos="2160"/>
        </w:tabs>
        <w:spacing w:before="240"/>
        <w:ind w:left="540" w:hanging="1"/>
        <w:jc w:val="both"/>
        <w:rPr>
          <w:rFonts w:ascii="Arial" w:hAnsi="Arial"/>
        </w:rPr>
      </w:pPr>
      <w:r>
        <w:rPr>
          <w:rFonts w:ascii="Arial" w:hAnsi="Arial"/>
        </w:rPr>
        <w:t>Having found that the claimant did not pose a genuine, present and sufficiently serious threat</w:t>
      </w:r>
      <w:r w:rsidR="00E20ECF">
        <w:rPr>
          <w:rFonts w:ascii="Arial" w:hAnsi="Arial"/>
        </w:rPr>
        <w:t xml:space="preserve">, the judge said that there was no need for her to make a proportionality assessment (para 51). </w:t>
      </w:r>
    </w:p>
    <w:p w:rsidR="00E20ECF" w:rsidRDefault="00E20ECF"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At para 50, the judge said: </w:t>
      </w:r>
    </w:p>
    <w:p w:rsidR="00E20ECF" w:rsidRDefault="00E20ECF" w:rsidP="00E20ECF">
      <w:pPr>
        <w:widowControl w:val="0"/>
        <w:tabs>
          <w:tab w:val="left" w:pos="1080"/>
          <w:tab w:val="left" w:pos="1620"/>
        </w:tabs>
        <w:autoSpaceDE w:val="0"/>
        <w:autoSpaceDN w:val="0"/>
        <w:ind w:left="1622" w:right="62" w:hanging="1622"/>
        <w:jc w:val="both"/>
        <w:rPr>
          <w:rFonts w:ascii="Arial" w:hAnsi="Arial"/>
          <w:sz w:val="20"/>
        </w:rPr>
      </w:pPr>
    </w:p>
    <w:p w:rsidR="00E20ECF" w:rsidRPr="00E20ECF" w:rsidRDefault="00E20ECF" w:rsidP="00E20ECF">
      <w:pPr>
        <w:widowControl w:val="0"/>
        <w:tabs>
          <w:tab w:val="left" w:pos="1080"/>
          <w:tab w:val="left" w:pos="1620"/>
        </w:tabs>
        <w:autoSpaceDE w:val="0"/>
        <w:autoSpaceDN w:val="0"/>
        <w:ind w:left="1622" w:right="62" w:hanging="1622"/>
        <w:jc w:val="both"/>
        <w:rPr>
          <w:rFonts w:ascii="Arial" w:hAnsi="Arial" w:cs="Garamond"/>
          <w:sz w:val="20"/>
        </w:rPr>
      </w:pPr>
      <w:r w:rsidRPr="00E20ECF">
        <w:rPr>
          <w:rFonts w:ascii="Arial" w:hAnsi="Arial"/>
          <w:sz w:val="20"/>
        </w:rPr>
        <w:tab/>
      </w:r>
      <w:r>
        <w:rPr>
          <w:rFonts w:ascii="Arial" w:hAnsi="Arial"/>
          <w:sz w:val="20"/>
        </w:rPr>
        <w:t>“</w:t>
      </w:r>
      <w:r w:rsidRPr="00E20ECF">
        <w:rPr>
          <w:rFonts w:ascii="Arial" w:hAnsi="Arial"/>
          <w:sz w:val="20"/>
        </w:rPr>
        <w:t>50.</w:t>
      </w:r>
      <w:r w:rsidRPr="00E20ECF">
        <w:rPr>
          <w:rFonts w:ascii="Arial" w:hAnsi="Arial"/>
          <w:sz w:val="20"/>
        </w:rPr>
        <w:tab/>
        <w:t xml:space="preserve"> </w:t>
      </w:r>
      <w:r w:rsidRPr="00E20ECF">
        <w:rPr>
          <w:rFonts w:ascii="Arial" w:hAnsi="Arial" w:cs="Garamond"/>
          <w:sz w:val="20"/>
        </w:rPr>
        <w:t>However, it is not the respondent's case that the appellant's convictions, serious as they are, are sufficient, without more, to constitute a threat to one of the fundamental interests of society. She puts her case on the basis that there is a continuing risk of reoffending: in paragraph 37 of the reasons letter she refers to the appellant's crime being "sufficiently serious to warrant his deportation" but she goes on to refer to a "likelihood to re-offend for monetary gain". In the absence of a submission for the respondent that the appellant's offending was so serious, without more, as to justify deportation, I see no reason to deal with such a proposition.</w:t>
      </w:r>
      <w:r>
        <w:rPr>
          <w:rFonts w:ascii="Arial" w:hAnsi="Arial" w:cs="Garamond"/>
          <w:sz w:val="20"/>
        </w:rPr>
        <w:t>”</w:t>
      </w:r>
    </w:p>
    <w:p w:rsidR="00C306DD" w:rsidRDefault="00C306DD"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At an earlier hearing on 16 November 2017</w:t>
      </w:r>
      <w:r w:rsidR="00351645">
        <w:rPr>
          <w:rFonts w:ascii="Arial" w:hAnsi="Arial"/>
        </w:rPr>
        <w:t xml:space="preserve"> in the Upper Tribunal</w:t>
      </w:r>
      <w:r>
        <w:rPr>
          <w:rFonts w:ascii="Arial" w:hAnsi="Arial"/>
        </w:rPr>
        <w:t xml:space="preserve">, when the claimant was represented by Mr </w:t>
      </w:r>
      <w:r w:rsidR="00351645">
        <w:rPr>
          <w:rFonts w:ascii="Arial" w:hAnsi="Arial"/>
        </w:rPr>
        <w:t xml:space="preserve">J </w:t>
      </w:r>
      <w:r>
        <w:rPr>
          <w:rFonts w:ascii="Arial" w:hAnsi="Arial"/>
        </w:rPr>
        <w:t xml:space="preserve">Collins, of Counsel, instructed by </w:t>
      </w:r>
      <w:proofErr w:type="spellStart"/>
      <w:r>
        <w:rPr>
          <w:rFonts w:ascii="Arial" w:hAnsi="Arial"/>
        </w:rPr>
        <w:t>Kilic</w:t>
      </w:r>
      <w:proofErr w:type="spellEnd"/>
      <w:r>
        <w:rPr>
          <w:rFonts w:ascii="Arial" w:hAnsi="Arial"/>
        </w:rPr>
        <w:t xml:space="preserve"> &amp; </w:t>
      </w:r>
      <w:proofErr w:type="spellStart"/>
      <w:r>
        <w:rPr>
          <w:rFonts w:ascii="Arial" w:hAnsi="Arial"/>
        </w:rPr>
        <w:t>Kilic</w:t>
      </w:r>
      <w:proofErr w:type="spellEnd"/>
      <w:r>
        <w:rPr>
          <w:rFonts w:ascii="Arial" w:hAnsi="Arial"/>
        </w:rPr>
        <w:t xml:space="preserve"> Solicitors (the claimant's then representatives), I raised the issue whether, given that it appears that the claimant had never exercised Treaty rights, the decision to make a deportation order should have been made under </w:t>
      </w:r>
      <w:proofErr w:type="spellStart"/>
      <w:r>
        <w:rPr>
          <w:rFonts w:ascii="Arial" w:hAnsi="Arial"/>
        </w:rPr>
        <w:t>regn</w:t>
      </w:r>
      <w:proofErr w:type="spellEnd"/>
      <w:r>
        <w:rPr>
          <w:rFonts w:ascii="Arial" w:hAnsi="Arial"/>
        </w:rPr>
        <w:t xml:space="preserve"> 19(3)(a) of the 2006 Regulations. </w:t>
      </w:r>
    </w:p>
    <w:p w:rsidR="00C306DD" w:rsidRDefault="00C306DD" w:rsidP="00C306D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 xml:space="preserve">I record that the skeleton argument filed by Mr </w:t>
      </w:r>
      <w:proofErr w:type="spellStart"/>
      <w:r>
        <w:rPr>
          <w:rFonts w:ascii="Arial" w:hAnsi="Arial"/>
        </w:rPr>
        <w:t>Kotas</w:t>
      </w:r>
      <w:proofErr w:type="spellEnd"/>
      <w:r>
        <w:rPr>
          <w:rFonts w:ascii="Arial" w:hAnsi="Arial"/>
        </w:rPr>
        <w:t xml:space="preserve"> dated 11 April 2018 states that the Secretary of State's position is that </w:t>
      </w:r>
      <w:proofErr w:type="spellStart"/>
      <w:r>
        <w:rPr>
          <w:rFonts w:ascii="Arial" w:hAnsi="Arial"/>
        </w:rPr>
        <w:t>regn</w:t>
      </w:r>
      <w:proofErr w:type="spellEnd"/>
      <w:r>
        <w:rPr>
          <w:rFonts w:ascii="Arial" w:hAnsi="Arial"/>
        </w:rPr>
        <w:t xml:space="preserve"> 19(3) </w:t>
      </w:r>
      <w:r w:rsidR="00125598">
        <w:rPr>
          <w:rFonts w:ascii="Arial" w:hAnsi="Arial"/>
        </w:rPr>
        <w:t xml:space="preserve">provides </w:t>
      </w:r>
      <w:r>
        <w:rPr>
          <w:rFonts w:ascii="Arial" w:hAnsi="Arial"/>
        </w:rPr>
        <w:t xml:space="preserve">three different and possible routes </w:t>
      </w:r>
      <w:r w:rsidR="00351645">
        <w:rPr>
          <w:rFonts w:ascii="Arial" w:hAnsi="Arial"/>
        </w:rPr>
        <w:t xml:space="preserve">for </w:t>
      </w:r>
      <w:r>
        <w:rPr>
          <w:rFonts w:ascii="Arial" w:hAnsi="Arial"/>
        </w:rPr>
        <w:t>removing an EEA national providing the conditions under each sub-</w:t>
      </w:r>
      <w:r w:rsidR="00351645">
        <w:rPr>
          <w:rFonts w:ascii="Arial" w:hAnsi="Arial"/>
        </w:rPr>
        <w:t xml:space="preserve">regulation </w:t>
      </w:r>
      <w:r>
        <w:rPr>
          <w:rFonts w:ascii="Arial" w:hAnsi="Arial"/>
        </w:rPr>
        <w:t>are satisfied</w:t>
      </w:r>
      <w:r w:rsidR="00351645">
        <w:rPr>
          <w:rFonts w:ascii="Arial" w:hAnsi="Arial"/>
        </w:rPr>
        <w:t xml:space="preserve">. In the skeleton argument, Mr </w:t>
      </w:r>
      <w:proofErr w:type="spellStart"/>
      <w:r w:rsidR="00351645">
        <w:rPr>
          <w:rFonts w:ascii="Arial" w:hAnsi="Arial"/>
        </w:rPr>
        <w:t>Kotas</w:t>
      </w:r>
      <w:proofErr w:type="spellEnd"/>
      <w:r w:rsidR="00351645">
        <w:rPr>
          <w:rFonts w:ascii="Arial" w:hAnsi="Arial"/>
        </w:rPr>
        <w:t xml:space="preserve"> submitted that </w:t>
      </w:r>
      <w:r>
        <w:rPr>
          <w:rFonts w:ascii="Arial" w:hAnsi="Arial"/>
        </w:rPr>
        <w:t xml:space="preserve">there is </w:t>
      </w:r>
      <w:r w:rsidR="00125598">
        <w:rPr>
          <w:rFonts w:ascii="Arial" w:hAnsi="Arial"/>
        </w:rPr>
        <w:t xml:space="preserve">nothing </w:t>
      </w:r>
      <w:r>
        <w:rPr>
          <w:rFonts w:ascii="Arial" w:hAnsi="Arial"/>
        </w:rPr>
        <w:t xml:space="preserve">in </w:t>
      </w:r>
      <w:r w:rsidR="00125598">
        <w:rPr>
          <w:rFonts w:ascii="Arial" w:hAnsi="Arial"/>
        </w:rPr>
        <w:t xml:space="preserve">the </w:t>
      </w:r>
      <w:r>
        <w:rPr>
          <w:rFonts w:ascii="Arial" w:hAnsi="Arial"/>
        </w:rPr>
        <w:t xml:space="preserve">drafting of </w:t>
      </w:r>
      <w:proofErr w:type="spellStart"/>
      <w:r w:rsidR="00125598">
        <w:rPr>
          <w:rFonts w:ascii="Arial" w:hAnsi="Arial"/>
        </w:rPr>
        <w:t>regn</w:t>
      </w:r>
      <w:proofErr w:type="spellEnd"/>
      <w:r w:rsidR="00125598">
        <w:rPr>
          <w:rFonts w:ascii="Arial" w:hAnsi="Arial"/>
        </w:rPr>
        <w:t xml:space="preserve"> </w:t>
      </w:r>
      <w:r>
        <w:rPr>
          <w:rFonts w:ascii="Arial" w:hAnsi="Arial"/>
        </w:rPr>
        <w:t>19 that requi</w:t>
      </w:r>
      <w:r w:rsidR="00351645">
        <w:rPr>
          <w:rFonts w:ascii="Arial" w:hAnsi="Arial"/>
        </w:rPr>
        <w:t>r</w:t>
      </w:r>
      <w:r>
        <w:rPr>
          <w:rFonts w:ascii="Arial" w:hAnsi="Arial"/>
        </w:rPr>
        <w:t>es</w:t>
      </w:r>
      <w:r w:rsidR="00125598">
        <w:rPr>
          <w:rFonts w:ascii="Arial" w:hAnsi="Arial"/>
        </w:rPr>
        <w:t xml:space="preserve"> the Secretary of State </w:t>
      </w:r>
      <w:r>
        <w:rPr>
          <w:rFonts w:ascii="Arial" w:hAnsi="Arial"/>
        </w:rPr>
        <w:t xml:space="preserve">to take a decision under </w:t>
      </w:r>
      <w:proofErr w:type="spellStart"/>
      <w:r>
        <w:rPr>
          <w:rFonts w:ascii="Arial" w:hAnsi="Arial"/>
        </w:rPr>
        <w:t>regn</w:t>
      </w:r>
      <w:proofErr w:type="spellEnd"/>
      <w:r>
        <w:rPr>
          <w:rFonts w:ascii="Arial" w:hAnsi="Arial"/>
        </w:rPr>
        <w:t xml:space="preserve"> 19(3)(a) before deciding to take a decision under 19(3((b), and vice versa. If an </w:t>
      </w:r>
      <w:r w:rsidR="00125598">
        <w:rPr>
          <w:rFonts w:ascii="Arial" w:hAnsi="Arial"/>
        </w:rPr>
        <w:t xml:space="preserve">appellant </w:t>
      </w:r>
      <w:r>
        <w:rPr>
          <w:rFonts w:ascii="Arial" w:hAnsi="Arial"/>
        </w:rPr>
        <w:t>satisfie</w:t>
      </w:r>
      <w:r w:rsidR="00125598">
        <w:rPr>
          <w:rFonts w:ascii="Arial" w:hAnsi="Arial"/>
        </w:rPr>
        <w:t>s</w:t>
      </w:r>
      <w:r>
        <w:rPr>
          <w:rFonts w:ascii="Arial" w:hAnsi="Arial"/>
        </w:rPr>
        <w:t xml:space="preserve"> the criteria for a deportation order under </w:t>
      </w:r>
      <w:proofErr w:type="spellStart"/>
      <w:r>
        <w:rPr>
          <w:rFonts w:ascii="Arial" w:hAnsi="Arial"/>
        </w:rPr>
        <w:t>regn</w:t>
      </w:r>
      <w:proofErr w:type="spellEnd"/>
      <w:r>
        <w:rPr>
          <w:rFonts w:ascii="Arial" w:hAnsi="Arial"/>
        </w:rPr>
        <w:t xml:space="preserve"> 19(3)(b), the Secretary of State is enti</w:t>
      </w:r>
      <w:r w:rsidR="00125598">
        <w:rPr>
          <w:rFonts w:ascii="Arial" w:hAnsi="Arial"/>
        </w:rPr>
        <w:t xml:space="preserve">tled to proceed on that </w:t>
      </w:r>
      <w:r>
        <w:rPr>
          <w:rFonts w:ascii="Arial" w:hAnsi="Arial"/>
        </w:rPr>
        <w:t>basis</w:t>
      </w:r>
      <w:r w:rsidR="00125598">
        <w:rPr>
          <w:rFonts w:ascii="Arial" w:hAnsi="Arial"/>
        </w:rPr>
        <w:t xml:space="preserve">. Furthermore, there is a fundamental public policy </w:t>
      </w:r>
      <w:r w:rsidR="00351645">
        <w:rPr>
          <w:rFonts w:ascii="Arial" w:hAnsi="Arial"/>
        </w:rPr>
        <w:t xml:space="preserve">reason </w:t>
      </w:r>
      <w:r w:rsidR="00125598">
        <w:rPr>
          <w:rFonts w:ascii="Arial" w:hAnsi="Arial"/>
        </w:rPr>
        <w:t xml:space="preserve">for the Secretary of State </w:t>
      </w:r>
      <w:r w:rsidR="00351645">
        <w:rPr>
          <w:rFonts w:ascii="Arial" w:hAnsi="Arial"/>
        </w:rPr>
        <w:t xml:space="preserve">to proceed under </w:t>
      </w:r>
      <w:proofErr w:type="spellStart"/>
      <w:r w:rsidR="00351645">
        <w:rPr>
          <w:rFonts w:ascii="Arial" w:hAnsi="Arial"/>
        </w:rPr>
        <w:t>regn</w:t>
      </w:r>
      <w:proofErr w:type="spellEnd"/>
      <w:r w:rsidR="00351645">
        <w:rPr>
          <w:rFonts w:ascii="Arial" w:hAnsi="Arial"/>
        </w:rPr>
        <w:t xml:space="preserve"> 19(3)(b) where this is possible </w:t>
      </w:r>
      <w:r w:rsidR="00125598">
        <w:rPr>
          <w:rFonts w:ascii="Arial" w:hAnsi="Arial"/>
        </w:rPr>
        <w:t>because it entitles him to make a deportation order and exclude the person in question from re-entry for as long as the order remains in force</w:t>
      </w:r>
      <w:r w:rsidR="00351645">
        <w:rPr>
          <w:rFonts w:ascii="Arial" w:hAnsi="Arial"/>
        </w:rPr>
        <w:t xml:space="preserve"> pursuant to regulation 24A(1) which is not the case if removal takes place pursuant to </w:t>
      </w:r>
      <w:proofErr w:type="spellStart"/>
      <w:r w:rsidR="00351645">
        <w:rPr>
          <w:rFonts w:ascii="Arial" w:hAnsi="Arial"/>
        </w:rPr>
        <w:t>regn</w:t>
      </w:r>
      <w:proofErr w:type="spellEnd"/>
      <w:r w:rsidR="00351645">
        <w:rPr>
          <w:rFonts w:ascii="Arial" w:hAnsi="Arial"/>
        </w:rPr>
        <w:t xml:space="preserve"> 19(3)(a). </w:t>
      </w:r>
    </w:p>
    <w:p w:rsidR="00125598" w:rsidRDefault="00125598" w:rsidP="00C306D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As a result</w:t>
      </w:r>
      <w:r w:rsidR="00351645">
        <w:rPr>
          <w:rFonts w:ascii="Arial" w:hAnsi="Arial"/>
        </w:rPr>
        <w:t xml:space="preserve"> of this explanation</w:t>
      </w:r>
      <w:r w:rsidR="00171420">
        <w:rPr>
          <w:rFonts w:ascii="Arial" w:hAnsi="Arial"/>
        </w:rPr>
        <w:t xml:space="preserve">, I decided that there was no longer an issue as to whether the Secretary of State should have proceeded under </w:t>
      </w:r>
      <w:proofErr w:type="spellStart"/>
      <w:r w:rsidR="00171420">
        <w:rPr>
          <w:rFonts w:ascii="Arial" w:hAnsi="Arial"/>
        </w:rPr>
        <w:t>regn</w:t>
      </w:r>
      <w:proofErr w:type="spellEnd"/>
      <w:r w:rsidR="00171420">
        <w:rPr>
          <w:rFonts w:ascii="Arial" w:hAnsi="Arial"/>
        </w:rPr>
        <w:t xml:space="preserve"> 19(3)(a) in view of which </w:t>
      </w:r>
      <w:r>
        <w:rPr>
          <w:rFonts w:ascii="Arial" w:hAnsi="Arial"/>
        </w:rPr>
        <w:t xml:space="preserve">Mr Malik </w:t>
      </w:r>
      <w:r w:rsidR="00171420">
        <w:rPr>
          <w:rFonts w:ascii="Arial" w:hAnsi="Arial"/>
        </w:rPr>
        <w:t xml:space="preserve">said that he </w:t>
      </w:r>
      <w:r>
        <w:rPr>
          <w:rFonts w:ascii="Arial" w:hAnsi="Arial"/>
        </w:rPr>
        <w:t xml:space="preserve">did not </w:t>
      </w:r>
      <w:r w:rsidR="00171420">
        <w:rPr>
          <w:rFonts w:ascii="Arial" w:hAnsi="Arial"/>
        </w:rPr>
        <w:t xml:space="preserve">wish to address me on the point. </w:t>
      </w:r>
    </w:p>
    <w:p w:rsidR="00351645" w:rsidRPr="00351645" w:rsidRDefault="00351645" w:rsidP="00351645">
      <w:pPr>
        <w:tabs>
          <w:tab w:val="left" w:pos="540"/>
          <w:tab w:val="left" w:pos="1620"/>
          <w:tab w:val="left" w:pos="2160"/>
        </w:tabs>
        <w:spacing w:before="240"/>
        <w:jc w:val="both"/>
        <w:rPr>
          <w:rFonts w:ascii="Arial" w:hAnsi="Arial"/>
          <w:u w:val="single"/>
        </w:rPr>
      </w:pPr>
      <w:r w:rsidRPr="00351645">
        <w:rPr>
          <w:rFonts w:ascii="Arial" w:hAnsi="Arial"/>
          <w:u w:val="single"/>
        </w:rPr>
        <w:t xml:space="preserve">The grounds </w:t>
      </w:r>
    </w:p>
    <w:p w:rsidR="0011144A" w:rsidRDefault="0011144A"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w:t>
      </w:r>
      <w:r w:rsidR="00C306DD">
        <w:rPr>
          <w:rFonts w:ascii="Arial" w:hAnsi="Arial"/>
        </w:rPr>
        <w:t xml:space="preserve">Secretary of State's </w:t>
      </w:r>
      <w:r w:rsidR="00BC3758">
        <w:rPr>
          <w:rFonts w:ascii="Arial" w:hAnsi="Arial"/>
        </w:rPr>
        <w:t xml:space="preserve">grounds raise the following </w:t>
      </w:r>
      <w:r>
        <w:rPr>
          <w:rFonts w:ascii="Arial" w:hAnsi="Arial"/>
        </w:rPr>
        <w:t>issues:</w:t>
      </w:r>
    </w:p>
    <w:p w:rsidR="00220D7B" w:rsidRDefault="0011144A" w:rsidP="0011144A">
      <w:pPr>
        <w:tabs>
          <w:tab w:val="left" w:pos="540"/>
          <w:tab w:val="left" w:pos="1080"/>
          <w:tab w:val="left" w:pos="1620"/>
          <w:tab w:val="left" w:pos="2160"/>
        </w:tabs>
        <w:spacing w:before="240"/>
        <w:ind w:left="1080" w:hanging="541"/>
        <w:jc w:val="both"/>
        <w:rPr>
          <w:rFonts w:ascii="Arial" w:hAnsi="Arial"/>
        </w:rPr>
      </w:pPr>
      <w:r>
        <w:rPr>
          <w:rFonts w:ascii="Arial" w:hAnsi="Arial"/>
        </w:rPr>
        <w:t>(</w:t>
      </w:r>
      <w:proofErr w:type="spellStart"/>
      <w:r>
        <w:rPr>
          <w:rFonts w:ascii="Arial" w:hAnsi="Arial"/>
        </w:rPr>
        <w:t>i</w:t>
      </w:r>
      <w:proofErr w:type="spellEnd"/>
      <w:r>
        <w:rPr>
          <w:rFonts w:ascii="Arial" w:hAnsi="Arial"/>
        </w:rPr>
        <w:t>)</w:t>
      </w:r>
      <w:r>
        <w:rPr>
          <w:rFonts w:ascii="Arial" w:hAnsi="Arial"/>
        </w:rPr>
        <w:tab/>
      </w:r>
      <w:r w:rsidR="00EB2635">
        <w:rPr>
          <w:rFonts w:ascii="Arial" w:hAnsi="Arial"/>
        </w:rPr>
        <w:t xml:space="preserve">(ground 1) </w:t>
      </w:r>
      <w:r>
        <w:rPr>
          <w:rFonts w:ascii="Arial" w:hAnsi="Arial"/>
        </w:rPr>
        <w:t xml:space="preserve">whether </w:t>
      </w:r>
      <w:r w:rsidR="00220D7B">
        <w:rPr>
          <w:rFonts w:ascii="Arial" w:hAnsi="Arial"/>
        </w:rPr>
        <w:t xml:space="preserve">the judge </w:t>
      </w:r>
      <w:r>
        <w:rPr>
          <w:rFonts w:ascii="Arial" w:hAnsi="Arial"/>
        </w:rPr>
        <w:t xml:space="preserve">materially erred in law in </w:t>
      </w:r>
      <w:r w:rsidR="00F57157">
        <w:rPr>
          <w:rFonts w:ascii="Arial" w:hAnsi="Arial"/>
        </w:rPr>
        <w:t xml:space="preserve">failing to consider and apply the principle in </w:t>
      </w:r>
      <w:r w:rsidR="00F57157" w:rsidRPr="00220D7B">
        <w:rPr>
          <w:rFonts w:ascii="Arial" w:hAnsi="Arial"/>
          <w:u w:val="single"/>
        </w:rPr>
        <w:t xml:space="preserve">R v </w:t>
      </w:r>
      <w:proofErr w:type="spellStart"/>
      <w:r w:rsidR="00F57157" w:rsidRPr="00220D7B">
        <w:rPr>
          <w:rFonts w:ascii="Arial" w:hAnsi="Arial"/>
          <w:u w:val="single"/>
        </w:rPr>
        <w:t>Bouchereau</w:t>
      </w:r>
      <w:proofErr w:type="spellEnd"/>
      <w:r w:rsidR="00F57157">
        <w:rPr>
          <w:rFonts w:ascii="Arial" w:hAnsi="Arial"/>
        </w:rPr>
        <w:t xml:space="preserve"> [1978] </w:t>
      </w:r>
      <w:r w:rsidR="00351645">
        <w:rPr>
          <w:rFonts w:ascii="Arial" w:hAnsi="Arial"/>
        </w:rPr>
        <w:t xml:space="preserve">1 Q.B. </w:t>
      </w:r>
      <w:r w:rsidR="00F57157">
        <w:rPr>
          <w:rFonts w:ascii="Arial" w:hAnsi="Arial"/>
        </w:rPr>
        <w:t>732</w:t>
      </w:r>
      <w:r w:rsidR="003E16A7">
        <w:rPr>
          <w:rFonts w:ascii="Arial" w:hAnsi="Arial"/>
        </w:rPr>
        <w:t>, Case 30/77</w:t>
      </w:r>
      <w:r w:rsidR="00AA2F32">
        <w:rPr>
          <w:rFonts w:ascii="Arial" w:hAnsi="Arial"/>
        </w:rPr>
        <w:t xml:space="preserve">, recently affirmed in </w:t>
      </w:r>
      <w:r w:rsidR="00AA2F32" w:rsidRPr="00220D7B">
        <w:rPr>
          <w:rFonts w:ascii="Arial" w:hAnsi="Arial"/>
          <w:u w:val="single"/>
        </w:rPr>
        <w:t>SSHD v Robinson (Jamaica)</w:t>
      </w:r>
      <w:r w:rsidR="00AA2F32">
        <w:rPr>
          <w:rFonts w:ascii="Arial" w:hAnsi="Arial"/>
        </w:rPr>
        <w:t xml:space="preserve"> [2018] EWCA </w:t>
      </w:r>
      <w:proofErr w:type="spellStart"/>
      <w:r w:rsidR="00AA2F32">
        <w:rPr>
          <w:rFonts w:ascii="Arial" w:hAnsi="Arial"/>
        </w:rPr>
        <w:t>Civ</w:t>
      </w:r>
      <w:proofErr w:type="spellEnd"/>
      <w:r w:rsidR="00AA2F32">
        <w:rPr>
          <w:rFonts w:ascii="Arial" w:hAnsi="Arial"/>
        </w:rPr>
        <w:t xml:space="preserve"> 85</w:t>
      </w:r>
      <w:r w:rsidR="00220D7B">
        <w:rPr>
          <w:rFonts w:ascii="Arial" w:hAnsi="Arial"/>
        </w:rPr>
        <w:t>.</w:t>
      </w:r>
      <w:r w:rsidR="00A67F1E">
        <w:rPr>
          <w:rFonts w:ascii="Arial" w:hAnsi="Arial"/>
        </w:rPr>
        <w:t xml:space="preserve"> At para 71 of </w:t>
      </w:r>
      <w:r w:rsidR="00A67F1E" w:rsidRPr="00A67F1E">
        <w:rPr>
          <w:rFonts w:ascii="Arial" w:hAnsi="Arial"/>
          <w:u w:val="single"/>
        </w:rPr>
        <w:t>Robinson (</w:t>
      </w:r>
      <w:smartTag w:uri="urn:schemas-microsoft-com:office:smarttags" w:element="country-region">
        <w:smartTag w:uri="urn:schemas-microsoft-com:office:smarttags" w:element="place">
          <w:r w:rsidR="00A67F1E" w:rsidRPr="00A67F1E">
            <w:rPr>
              <w:rFonts w:ascii="Arial" w:hAnsi="Arial"/>
              <w:u w:val="single"/>
            </w:rPr>
            <w:t>Jamaica</w:t>
          </w:r>
        </w:smartTag>
      </w:smartTag>
      <w:r w:rsidR="00A67F1E" w:rsidRPr="00A67F1E">
        <w:rPr>
          <w:rFonts w:ascii="Arial" w:hAnsi="Arial"/>
          <w:u w:val="single"/>
        </w:rPr>
        <w:t>)</w:t>
      </w:r>
      <w:r w:rsidR="00A67F1E">
        <w:rPr>
          <w:rFonts w:ascii="Arial" w:hAnsi="Arial"/>
          <w:u w:val="single"/>
        </w:rPr>
        <w:t>,</w:t>
      </w:r>
      <w:r w:rsidR="00A67F1E">
        <w:rPr>
          <w:rFonts w:ascii="Arial" w:hAnsi="Arial"/>
        </w:rPr>
        <w:t xml:space="preserve"> the Court of Appeal explained the principle as follows:</w:t>
      </w:r>
    </w:p>
    <w:p w:rsidR="00A67F1E" w:rsidRDefault="00A67F1E" w:rsidP="00A67F1E">
      <w:pPr>
        <w:tabs>
          <w:tab w:val="left" w:pos="540"/>
          <w:tab w:val="left" w:pos="1080"/>
          <w:tab w:val="left" w:pos="1620"/>
          <w:tab w:val="left" w:pos="2160"/>
        </w:tabs>
        <w:ind w:left="2161" w:hanging="1622"/>
        <w:jc w:val="both"/>
        <w:rPr>
          <w:rFonts w:ascii="Arial" w:hAnsi="Arial"/>
          <w:sz w:val="20"/>
        </w:rPr>
      </w:pPr>
      <w:r w:rsidRPr="00A67F1E">
        <w:rPr>
          <w:rFonts w:ascii="Arial" w:hAnsi="Arial"/>
          <w:sz w:val="20"/>
        </w:rPr>
        <w:tab/>
      </w:r>
    </w:p>
    <w:p w:rsidR="00A67F1E" w:rsidRDefault="00A67F1E" w:rsidP="00A67F1E">
      <w:pPr>
        <w:tabs>
          <w:tab w:val="left" w:pos="540"/>
          <w:tab w:val="left" w:pos="1080"/>
          <w:tab w:val="left" w:pos="1620"/>
          <w:tab w:val="left" w:pos="2160"/>
        </w:tabs>
        <w:ind w:left="2161" w:hanging="1622"/>
        <w:jc w:val="both"/>
        <w:rPr>
          <w:rFonts w:ascii="Arial" w:hAnsi="Arial" w:cs="Arial"/>
          <w:sz w:val="20"/>
          <w:szCs w:val="20"/>
        </w:rPr>
      </w:pPr>
      <w:r>
        <w:rPr>
          <w:rFonts w:ascii="Arial" w:hAnsi="Arial"/>
          <w:sz w:val="20"/>
        </w:rPr>
        <w:tab/>
      </w:r>
      <w:r w:rsidRPr="00A67F1E">
        <w:rPr>
          <w:rFonts w:ascii="Arial" w:hAnsi="Arial"/>
          <w:sz w:val="20"/>
        </w:rPr>
        <w:tab/>
      </w:r>
      <w:r w:rsidRPr="00A67F1E">
        <w:rPr>
          <w:rFonts w:ascii="Arial" w:hAnsi="Arial"/>
          <w:sz w:val="20"/>
        </w:rPr>
        <w:tab/>
      </w:r>
      <w:bookmarkStart w:id="1" w:name="para71"/>
      <w:r w:rsidRPr="00A67F1E">
        <w:rPr>
          <w:rFonts w:ascii="Arial" w:hAnsi="Arial"/>
          <w:sz w:val="20"/>
        </w:rPr>
        <w:t>“71.</w:t>
      </w:r>
      <w:r w:rsidRPr="00A67F1E">
        <w:rPr>
          <w:rFonts w:ascii="Arial" w:hAnsi="Arial"/>
          <w:sz w:val="20"/>
        </w:rPr>
        <w:tab/>
      </w:r>
      <w:r w:rsidRPr="00A67F1E">
        <w:rPr>
          <w:rFonts w:ascii="Arial" w:hAnsi="Arial" w:cs="Arial"/>
          <w:sz w:val="20"/>
          <w:szCs w:val="20"/>
        </w:rPr>
        <w:t xml:space="preserve">It is important to recognise that what the ECJ </w:t>
      </w:r>
      <w:r>
        <w:rPr>
          <w:rFonts w:ascii="Arial" w:hAnsi="Arial" w:cs="Arial"/>
          <w:sz w:val="20"/>
          <w:szCs w:val="20"/>
        </w:rPr>
        <w:t xml:space="preserve">[in </w:t>
      </w:r>
      <w:proofErr w:type="spellStart"/>
      <w:r>
        <w:rPr>
          <w:rFonts w:ascii="Arial" w:hAnsi="Arial" w:cs="Arial"/>
          <w:sz w:val="20"/>
          <w:szCs w:val="20"/>
        </w:rPr>
        <w:t>Bouchereau</w:t>
      </w:r>
      <w:proofErr w:type="spellEnd"/>
      <w:r>
        <w:rPr>
          <w:rFonts w:ascii="Arial" w:hAnsi="Arial" w:cs="Arial"/>
          <w:sz w:val="20"/>
          <w:szCs w:val="20"/>
        </w:rPr>
        <w:t xml:space="preserve">] </w:t>
      </w:r>
      <w:r w:rsidRPr="00A67F1E">
        <w:rPr>
          <w:rFonts w:ascii="Arial" w:hAnsi="Arial" w:cs="Arial"/>
          <w:sz w:val="20"/>
          <w:szCs w:val="20"/>
        </w:rPr>
        <w:t xml:space="preserve">was there talking about was not a threat to "the public" but a threat to "the requirements of public policy". The latter is a broader concept. At para. 28 the ECJ said that past conduct can only be taken into account in so far as it provides evidence of personal conduct constituting a "present threat to the requirements of public policy." As the ECJ said at para. 29, "in general" that will imply that the person concerned has a "propensity to act in the same way in the future" but that need not be so in every case. It is possible that the past conduct "alone" may constitute a threat to the requirements of public policy. In order to understand in what circumstances that might be so, I consider that it is helpful and appropriate to have regard to the opinion of the Advocate-General in </w:t>
      </w:r>
      <w:proofErr w:type="spellStart"/>
      <w:r w:rsidRPr="00A67F1E">
        <w:rPr>
          <w:rFonts w:ascii="Arial" w:hAnsi="Arial" w:cs="Arial"/>
          <w:i/>
          <w:iCs/>
          <w:sz w:val="20"/>
          <w:szCs w:val="20"/>
        </w:rPr>
        <w:t>Bouchereau</w:t>
      </w:r>
      <w:proofErr w:type="spellEnd"/>
      <w:r w:rsidRPr="00A67F1E">
        <w:rPr>
          <w:rFonts w:ascii="Arial" w:hAnsi="Arial" w:cs="Arial"/>
          <w:sz w:val="20"/>
          <w:szCs w:val="20"/>
        </w:rPr>
        <w:t>, when he referred to "deep public revulsion". That is the kind of extreme case in which past conduct alone may suffice as constituting a present threat to the requirements of public policy.</w:t>
      </w:r>
      <w:bookmarkEnd w:id="1"/>
      <w:r>
        <w:rPr>
          <w:rFonts w:ascii="Arial" w:hAnsi="Arial" w:cs="Arial"/>
          <w:sz w:val="20"/>
          <w:szCs w:val="20"/>
        </w:rPr>
        <w:t>”</w:t>
      </w:r>
    </w:p>
    <w:p w:rsidR="00811243" w:rsidRDefault="00811243" w:rsidP="00A67F1E">
      <w:pPr>
        <w:tabs>
          <w:tab w:val="left" w:pos="540"/>
          <w:tab w:val="left" w:pos="1080"/>
          <w:tab w:val="left" w:pos="1620"/>
          <w:tab w:val="left" w:pos="2160"/>
        </w:tabs>
        <w:ind w:left="2161" w:hanging="1622"/>
        <w:jc w:val="both"/>
        <w:rPr>
          <w:rFonts w:ascii="Arial" w:hAnsi="Arial" w:cs="Arial"/>
          <w:sz w:val="20"/>
          <w:szCs w:val="20"/>
        </w:rPr>
      </w:pPr>
    </w:p>
    <w:p w:rsidR="00811243" w:rsidRPr="00811243" w:rsidRDefault="00811243" w:rsidP="00811243">
      <w:pPr>
        <w:tabs>
          <w:tab w:val="left" w:pos="540"/>
          <w:tab w:val="left" w:pos="1080"/>
          <w:tab w:val="left" w:pos="1620"/>
          <w:tab w:val="left" w:pos="2160"/>
        </w:tabs>
        <w:ind w:left="1080" w:hanging="541"/>
        <w:jc w:val="both"/>
        <w:rPr>
          <w:rFonts w:ascii="Arial" w:hAnsi="Arial"/>
        </w:rPr>
      </w:pPr>
      <w:r w:rsidRPr="00811243">
        <w:rPr>
          <w:rFonts w:ascii="Arial" w:hAnsi="Arial" w:cs="Arial"/>
          <w:szCs w:val="20"/>
        </w:rPr>
        <w:tab/>
      </w:r>
      <w:r w:rsidRPr="00811243">
        <w:rPr>
          <w:rFonts w:ascii="Arial" w:hAnsi="Arial" w:cs="Arial"/>
          <w:szCs w:val="20"/>
        </w:rPr>
        <w:tab/>
        <w:t xml:space="preserve">I shall refer to </w:t>
      </w:r>
      <w:r>
        <w:rPr>
          <w:rFonts w:ascii="Arial" w:hAnsi="Arial" w:cs="Arial"/>
          <w:szCs w:val="20"/>
        </w:rPr>
        <w:t xml:space="preserve">this hereafter as the </w:t>
      </w:r>
      <w:r w:rsidR="00351645">
        <w:rPr>
          <w:rFonts w:ascii="Arial" w:hAnsi="Arial" w:cs="Arial"/>
          <w:szCs w:val="20"/>
        </w:rPr>
        <w:t>"</w:t>
      </w:r>
      <w:proofErr w:type="spellStart"/>
      <w:r w:rsidRPr="00811243">
        <w:rPr>
          <w:rFonts w:ascii="Arial" w:hAnsi="Arial" w:cs="Arial"/>
          <w:szCs w:val="20"/>
          <w:u w:val="single"/>
        </w:rPr>
        <w:t>Bouchereau</w:t>
      </w:r>
      <w:proofErr w:type="spellEnd"/>
      <w:r>
        <w:rPr>
          <w:rFonts w:ascii="Arial" w:hAnsi="Arial" w:cs="Arial"/>
          <w:szCs w:val="20"/>
        </w:rPr>
        <w:t xml:space="preserve"> exception</w:t>
      </w:r>
      <w:r w:rsidR="00351645">
        <w:rPr>
          <w:rFonts w:ascii="Arial" w:hAnsi="Arial" w:cs="Arial"/>
          <w:szCs w:val="20"/>
        </w:rPr>
        <w:t>"</w:t>
      </w:r>
      <w:r>
        <w:rPr>
          <w:rFonts w:ascii="Arial" w:hAnsi="Arial" w:cs="Arial"/>
          <w:szCs w:val="20"/>
        </w:rPr>
        <w:t>, the word “</w:t>
      </w:r>
      <w:r w:rsidRPr="005044AD">
        <w:rPr>
          <w:rFonts w:ascii="Arial" w:hAnsi="Arial" w:cs="Arial"/>
          <w:i/>
          <w:szCs w:val="20"/>
        </w:rPr>
        <w:t>exception</w:t>
      </w:r>
      <w:r>
        <w:rPr>
          <w:rFonts w:ascii="Arial" w:hAnsi="Arial" w:cs="Arial"/>
          <w:szCs w:val="20"/>
        </w:rPr>
        <w:t>” being a reference to the fact that, in cases in which it is applicable, it is not necessary to find that the</w:t>
      </w:r>
      <w:r w:rsidR="008238E4">
        <w:rPr>
          <w:rFonts w:ascii="Arial" w:hAnsi="Arial" w:cs="Arial"/>
          <w:szCs w:val="20"/>
        </w:rPr>
        <w:t xml:space="preserve"> individual </w:t>
      </w:r>
      <w:r>
        <w:rPr>
          <w:rFonts w:ascii="Arial" w:hAnsi="Arial" w:cs="Arial"/>
          <w:szCs w:val="20"/>
        </w:rPr>
        <w:t xml:space="preserve">presents a </w:t>
      </w:r>
      <w:r w:rsidR="005044AD">
        <w:rPr>
          <w:rFonts w:ascii="Arial" w:hAnsi="Arial" w:cs="Arial"/>
          <w:szCs w:val="20"/>
        </w:rPr>
        <w:t xml:space="preserve">continuing risk of re-offending. </w:t>
      </w:r>
      <w:r>
        <w:rPr>
          <w:rFonts w:ascii="Arial" w:hAnsi="Arial" w:cs="Arial"/>
          <w:szCs w:val="20"/>
        </w:rPr>
        <w:t xml:space="preserve"> </w:t>
      </w:r>
    </w:p>
    <w:p w:rsidR="00EB2635" w:rsidRDefault="0011144A" w:rsidP="0011144A">
      <w:pPr>
        <w:tabs>
          <w:tab w:val="left" w:pos="540"/>
          <w:tab w:val="left" w:pos="1080"/>
          <w:tab w:val="left" w:pos="1620"/>
          <w:tab w:val="left" w:pos="2160"/>
        </w:tabs>
        <w:spacing w:before="240"/>
        <w:ind w:left="1080" w:hanging="541"/>
        <w:jc w:val="both"/>
        <w:rPr>
          <w:rFonts w:ascii="Arial" w:hAnsi="Arial"/>
        </w:rPr>
      </w:pPr>
      <w:r>
        <w:rPr>
          <w:rFonts w:ascii="Arial" w:hAnsi="Arial"/>
        </w:rPr>
        <w:t>(ii)</w:t>
      </w:r>
      <w:r>
        <w:rPr>
          <w:rFonts w:ascii="Arial" w:hAnsi="Arial"/>
        </w:rPr>
        <w:tab/>
      </w:r>
      <w:r w:rsidR="00EB2635">
        <w:rPr>
          <w:rFonts w:ascii="Arial" w:hAnsi="Arial"/>
        </w:rPr>
        <w:t xml:space="preserve">(ground 2) </w:t>
      </w:r>
      <w:r w:rsidR="00220D7B">
        <w:rPr>
          <w:rFonts w:ascii="Arial" w:hAnsi="Arial"/>
        </w:rPr>
        <w:t>whether the judge</w:t>
      </w:r>
      <w:r w:rsidR="00A143D1">
        <w:rPr>
          <w:rFonts w:ascii="Arial" w:hAnsi="Arial"/>
        </w:rPr>
        <w:t xml:space="preserve"> had materially erred in law in reaching her finding that the claimant did not pose a genuine, present and sufficiently serious threat. </w:t>
      </w:r>
      <w:r w:rsidR="00857A90">
        <w:rPr>
          <w:rFonts w:ascii="Arial" w:hAnsi="Arial"/>
        </w:rPr>
        <w:t xml:space="preserve">Ground 2 contends as follows: </w:t>
      </w:r>
    </w:p>
    <w:p w:rsidR="00857A90" w:rsidRDefault="00857A90" w:rsidP="00857A90">
      <w:pPr>
        <w:tabs>
          <w:tab w:val="left" w:pos="540"/>
          <w:tab w:val="left" w:pos="1080"/>
          <w:tab w:val="left" w:pos="1620"/>
          <w:tab w:val="left" w:pos="2160"/>
        </w:tabs>
        <w:spacing w:before="240"/>
        <w:ind w:left="1620" w:hanging="540"/>
        <w:jc w:val="both"/>
        <w:rPr>
          <w:rFonts w:ascii="Arial" w:hAnsi="Arial"/>
        </w:rPr>
      </w:pPr>
      <w:r>
        <w:rPr>
          <w:rFonts w:ascii="Arial" w:hAnsi="Arial"/>
        </w:rPr>
        <w:t>a)</w:t>
      </w:r>
      <w:r>
        <w:rPr>
          <w:rFonts w:ascii="Arial" w:hAnsi="Arial"/>
        </w:rPr>
        <w:tab/>
      </w:r>
      <w:r w:rsidR="00351645">
        <w:rPr>
          <w:rFonts w:ascii="Arial" w:hAnsi="Arial"/>
        </w:rPr>
        <w:t>T</w:t>
      </w:r>
      <w:r>
        <w:rPr>
          <w:rFonts w:ascii="Arial" w:hAnsi="Arial"/>
        </w:rPr>
        <w:t>he judge’s finding that the claimant had rehabilitated was inconsistent with her finding at para 38, that there was no understanding by the claimant that he understood the impact of hi</w:t>
      </w:r>
      <w:r w:rsidR="00351645">
        <w:rPr>
          <w:rFonts w:ascii="Arial" w:hAnsi="Arial"/>
        </w:rPr>
        <w:t>s offending on the wider public.</w:t>
      </w:r>
    </w:p>
    <w:p w:rsidR="00857A90" w:rsidRDefault="00857A90" w:rsidP="00857A90">
      <w:pPr>
        <w:tabs>
          <w:tab w:val="left" w:pos="540"/>
          <w:tab w:val="left" w:pos="1080"/>
          <w:tab w:val="left" w:pos="1620"/>
          <w:tab w:val="left" w:pos="2160"/>
        </w:tabs>
        <w:spacing w:before="240"/>
        <w:ind w:left="1620" w:hanging="540"/>
        <w:jc w:val="both"/>
        <w:rPr>
          <w:rFonts w:ascii="Arial" w:hAnsi="Arial"/>
        </w:rPr>
      </w:pPr>
      <w:r>
        <w:rPr>
          <w:rFonts w:ascii="Arial" w:hAnsi="Arial"/>
        </w:rPr>
        <w:t>b)</w:t>
      </w:r>
      <w:r>
        <w:rPr>
          <w:rFonts w:ascii="Arial" w:hAnsi="Arial"/>
        </w:rPr>
        <w:tab/>
      </w:r>
      <w:r w:rsidR="00351645">
        <w:rPr>
          <w:rFonts w:ascii="Arial" w:hAnsi="Arial"/>
        </w:rPr>
        <w:t>T</w:t>
      </w:r>
      <w:r>
        <w:rPr>
          <w:rFonts w:ascii="Arial" w:hAnsi="Arial"/>
        </w:rPr>
        <w:t xml:space="preserve">he judge had not adequately reasoned her finding in view of the claimant's total lack of insight and that he continued to downplay his crime. </w:t>
      </w:r>
    </w:p>
    <w:p w:rsidR="00857A90" w:rsidRDefault="00857A90" w:rsidP="00857A90">
      <w:pPr>
        <w:tabs>
          <w:tab w:val="left" w:pos="540"/>
          <w:tab w:val="left" w:pos="1080"/>
          <w:tab w:val="left" w:pos="1620"/>
          <w:tab w:val="left" w:pos="2160"/>
        </w:tabs>
        <w:spacing w:before="240"/>
        <w:ind w:left="1620" w:hanging="540"/>
        <w:jc w:val="both"/>
        <w:rPr>
          <w:rFonts w:ascii="Arial" w:hAnsi="Arial"/>
        </w:rPr>
      </w:pPr>
      <w:r>
        <w:rPr>
          <w:rFonts w:ascii="Arial" w:hAnsi="Arial"/>
        </w:rPr>
        <w:lastRenderedPageBreak/>
        <w:t>c)</w:t>
      </w:r>
      <w:r>
        <w:rPr>
          <w:rFonts w:ascii="Arial" w:hAnsi="Arial"/>
        </w:rPr>
        <w:tab/>
      </w:r>
      <w:r w:rsidR="00351645">
        <w:rPr>
          <w:rFonts w:ascii="Arial" w:hAnsi="Arial"/>
        </w:rPr>
        <w:t>T</w:t>
      </w:r>
      <w:r>
        <w:rPr>
          <w:rFonts w:ascii="Arial" w:hAnsi="Arial"/>
        </w:rPr>
        <w:t>he judge had relied upon the claimant's health problems without acknowledging that his health was poor before he committed his crimes. The grounds contend that not only did the claimant's medical problems not prevent him from offending, they acted as the trigger. There was no evidence that his medical care was anything but free prior to his offending</w:t>
      </w:r>
      <w:r w:rsidR="00351645">
        <w:rPr>
          <w:rFonts w:ascii="Arial" w:hAnsi="Arial"/>
        </w:rPr>
        <w:t>.</w:t>
      </w:r>
    </w:p>
    <w:p w:rsidR="00857A90" w:rsidRDefault="00857A90" w:rsidP="00857A90">
      <w:pPr>
        <w:tabs>
          <w:tab w:val="left" w:pos="540"/>
          <w:tab w:val="left" w:pos="1080"/>
          <w:tab w:val="left" w:pos="1620"/>
          <w:tab w:val="left" w:pos="2160"/>
        </w:tabs>
        <w:spacing w:before="240"/>
        <w:ind w:left="1620" w:hanging="540"/>
        <w:jc w:val="both"/>
        <w:rPr>
          <w:rFonts w:ascii="Arial" w:hAnsi="Arial"/>
        </w:rPr>
      </w:pPr>
      <w:r>
        <w:rPr>
          <w:rFonts w:ascii="Arial" w:hAnsi="Arial"/>
        </w:rPr>
        <w:t>d)</w:t>
      </w:r>
      <w:r>
        <w:rPr>
          <w:rFonts w:ascii="Arial" w:hAnsi="Arial"/>
        </w:rPr>
        <w:tab/>
      </w:r>
      <w:r w:rsidR="00351645">
        <w:rPr>
          <w:rFonts w:ascii="Arial" w:hAnsi="Arial"/>
        </w:rPr>
        <w:t>T</w:t>
      </w:r>
      <w:r>
        <w:rPr>
          <w:rFonts w:ascii="Arial" w:hAnsi="Arial"/>
        </w:rPr>
        <w:t>he judge had erred in giving no weight to his central role in</w:t>
      </w:r>
      <w:r w:rsidR="00351645">
        <w:rPr>
          <w:rFonts w:ascii="Arial" w:hAnsi="Arial"/>
        </w:rPr>
        <w:t xml:space="preserve"> the drug trafficking offences. </w:t>
      </w:r>
    </w:p>
    <w:p w:rsidR="00857A90" w:rsidRDefault="00857A90" w:rsidP="00857A90">
      <w:pPr>
        <w:tabs>
          <w:tab w:val="left" w:pos="540"/>
          <w:tab w:val="left" w:pos="1080"/>
          <w:tab w:val="left" w:pos="1620"/>
          <w:tab w:val="left" w:pos="2160"/>
        </w:tabs>
        <w:spacing w:before="240"/>
        <w:ind w:left="1620" w:hanging="540"/>
        <w:jc w:val="both"/>
        <w:rPr>
          <w:rFonts w:ascii="Arial" w:hAnsi="Arial"/>
        </w:rPr>
      </w:pPr>
      <w:r>
        <w:rPr>
          <w:rFonts w:ascii="Arial" w:hAnsi="Arial"/>
        </w:rPr>
        <w:t>e)</w:t>
      </w:r>
      <w:r>
        <w:rPr>
          <w:rFonts w:ascii="Arial" w:hAnsi="Arial"/>
        </w:rPr>
        <w:tab/>
      </w:r>
      <w:r w:rsidR="00351645">
        <w:rPr>
          <w:rFonts w:ascii="Arial" w:hAnsi="Arial"/>
        </w:rPr>
        <w:t>T</w:t>
      </w:r>
      <w:r>
        <w:rPr>
          <w:rFonts w:ascii="Arial" w:hAnsi="Arial"/>
        </w:rPr>
        <w:t xml:space="preserve">he judge had erred in considering rehabilitation because the claimant was not integrated into society in the </w:t>
      </w:r>
      <w:smartTag w:uri="urn:schemas-microsoft-com:office:smarttags" w:element="place">
        <w:smartTag w:uri="urn:schemas-microsoft-com:office:smarttags" w:element="country-region">
          <w:r>
            <w:rPr>
              <w:rFonts w:ascii="Arial" w:hAnsi="Arial"/>
            </w:rPr>
            <w:t>United Kingdom</w:t>
          </w:r>
        </w:smartTag>
      </w:smartTag>
      <w:r>
        <w:rPr>
          <w:rFonts w:ascii="Arial" w:hAnsi="Arial"/>
        </w:rPr>
        <w:t xml:space="preserve">, as it appears he does not speak English, does not work and is not self-sufficient and has spent the majority of the last two decades in prison. </w:t>
      </w:r>
    </w:p>
    <w:p w:rsidR="009056F2" w:rsidRPr="00A41A08" w:rsidRDefault="00A41A08" w:rsidP="00A41A08">
      <w:pPr>
        <w:tabs>
          <w:tab w:val="left" w:pos="540"/>
          <w:tab w:val="left" w:pos="1620"/>
          <w:tab w:val="left" w:pos="2160"/>
        </w:tabs>
        <w:spacing w:before="240"/>
        <w:jc w:val="both"/>
        <w:rPr>
          <w:rFonts w:ascii="Arial" w:hAnsi="Arial"/>
          <w:u w:val="single"/>
        </w:rPr>
      </w:pPr>
      <w:r w:rsidRPr="00A41A08">
        <w:rPr>
          <w:rFonts w:ascii="Arial" w:hAnsi="Arial"/>
          <w:u w:val="single"/>
        </w:rPr>
        <w:t xml:space="preserve">Procedural background </w:t>
      </w:r>
    </w:p>
    <w:p w:rsidR="009056F2" w:rsidRDefault="0065798C"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Permission to appeal was refused by the First-tier Tribunal</w:t>
      </w:r>
      <w:r w:rsidR="00E54675">
        <w:rPr>
          <w:rFonts w:ascii="Arial" w:hAnsi="Arial"/>
        </w:rPr>
        <w:t xml:space="preserve"> (“</w:t>
      </w:r>
      <w:proofErr w:type="spellStart"/>
      <w:r w:rsidR="00E54675">
        <w:rPr>
          <w:rFonts w:ascii="Arial" w:hAnsi="Arial"/>
        </w:rPr>
        <w:t>FtT</w:t>
      </w:r>
      <w:proofErr w:type="spellEnd"/>
      <w:r w:rsidR="00E54675">
        <w:rPr>
          <w:rFonts w:ascii="Arial" w:hAnsi="Arial"/>
        </w:rPr>
        <w:t>”)</w:t>
      </w:r>
      <w:r>
        <w:rPr>
          <w:rFonts w:ascii="Arial" w:hAnsi="Arial"/>
        </w:rPr>
        <w:t xml:space="preserve">. </w:t>
      </w:r>
      <w:r w:rsidR="00351645">
        <w:rPr>
          <w:rFonts w:ascii="Arial" w:hAnsi="Arial"/>
        </w:rPr>
        <w:t>P</w:t>
      </w:r>
      <w:r>
        <w:rPr>
          <w:rFonts w:ascii="Arial" w:hAnsi="Arial"/>
        </w:rPr>
        <w:t xml:space="preserve">ermission was granted by Upper Tribunal Judge </w:t>
      </w:r>
      <w:proofErr w:type="spellStart"/>
      <w:r>
        <w:rPr>
          <w:rFonts w:ascii="Arial" w:hAnsi="Arial"/>
        </w:rPr>
        <w:t>Kekić</w:t>
      </w:r>
      <w:proofErr w:type="spellEnd"/>
      <w:r>
        <w:rPr>
          <w:rFonts w:ascii="Arial" w:hAnsi="Arial"/>
        </w:rPr>
        <w:t xml:space="preserve"> in a decision signed on 14 September 2017. </w:t>
      </w:r>
    </w:p>
    <w:p w:rsidR="00FA48A5" w:rsidRDefault="0065798C"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appeal before the Upper Tribunal was first listed for hearing on 14 November 2017 when, as stated above, the applicant was represented by Mr Collins. The Secretary of State was represented by Ms Z Ahmad. I heard submissions from both. At that hearing and as stated above, I raised the question of whether the claimant had ever exercised Treaty rights </w:t>
      </w:r>
      <w:r w:rsidR="00E54675">
        <w:rPr>
          <w:rFonts w:ascii="Arial" w:hAnsi="Arial"/>
        </w:rPr>
        <w:t xml:space="preserve">since 1 May 2004 </w:t>
      </w:r>
      <w:r>
        <w:rPr>
          <w:rFonts w:ascii="Arial" w:hAnsi="Arial"/>
        </w:rPr>
        <w:t xml:space="preserve">and whether, if he had not, the deportation order should have made under </w:t>
      </w:r>
      <w:proofErr w:type="spellStart"/>
      <w:r w:rsidR="00056911">
        <w:rPr>
          <w:rFonts w:ascii="Arial" w:hAnsi="Arial"/>
        </w:rPr>
        <w:t>regn</w:t>
      </w:r>
      <w:proofErr w:type="spellEnd"/>
      <w:r>
        <w:rPr>
          <w:rFonts w:ascii="Arial" w:hAnsi="Arial"/>
        </w:rPr>
        <w:t xml:space="preserve"> 19(3)(a). Mr Collins informed me that he would wish to research the point. I therefore adjourned the hearing part-heard</w:t>
      </w:r>
      <w:r w:rsidR="00FA48A5">
        <w:rPr>
          <w:rFonts w:ascii="Arial" w:hAnsi="Arial"/>
        </w:rPr>
        <w:t xml:space="preserve"> and issued certain directions </w:t>
      </w:r>
      <w:r w:rsidR="00351645">
        <w:rPr>
          <w:rFonts w:ascii="Arial" w:hAnsi="Arial"/>
        </w:rPr>
        <w:t>concerned with the issue explained at paras 4 and 5 above. E</w:t>
      </w:r>
      <w:r w:rsidR="00FA48A5">
        <w:rPr>
          <w:rFonts w:ascii="Arial" w:hAnsi="Arial"/>
        </w:rPr>
        <w:t xml:space="preserve">ventually, by letter dated 31 January 2018, </w:t>
      </w:r>
      <w:proofErr w:type="spellStart"/>
      <w:r w:rsidR="00FA48A5">
        <w:rPr>
          <w:rFonts w:ascii="Arial" w:hAnsi="Arial"/>
        </w:rPr>
        <w:t>Kilic</w:t>
      </w:r>
      <w:proofErr w:type="spellEnd"/>
      <w:r w:rsidR="00FA48A5">
        <w:rPr>
          <w:rFonts w:ascii="Arial" w:hAnsi="Arial"/>
        </w:rPr>
        <w:t xml:space="preserve"> &amp; </w:t>
      </w:r>
      <w:proofErr w:type="spellStart"/>
      <w:r w:rsidR="00FA48A5">
        <w:rPr>
          <w:rFonts w:ascii="Arial" w:hAnsi="Arial"/>
        </w:rPr>
        <w:t>Kilic</w:t>
      </w:r>
      <w:proofErr w:type="spellEnd"/>
      <w:r w:rsidR="00FA48A5">
        <w:rPr>
          <w:rFonts w:ascii="Arial" w:hAnsi="Arial"/>
        </w:rPr>
        <w:t xml:space="preserve"> Solicitors, informed the Upper Tribunal that the claimant had not submitted any documents to the </w:t>
      </w:r>
      <w:proofErr w:type="spellStart"/>
      <w:r w:rsidR="00FA48A5">
        <w:rPr>
          <w:rFonts w:ascii="Arial" w:hAnsi="Arial"/>
        </w:rPr>
        <w:t>FtT</w:t>
      </w:r>
      <w:proofErr w:type="spellEnd"/>
      <w:r w:rsidR="00FA48A5">
        <w:rPr>
          <w:rFonts w:ascii="Arial" w:hAnsi="Arial"/>
        </w:rPr>
        <w:t xml:space="preserve"> or the Upper Tribunal claiming that he </w:t>
      </w:r>
      <w:r w:rsidR="00351645">
        <w:rPr>
          <w:rFonts w:ascii="Arial" w:hAnsi="Arial"/>
        </w:rPr>
        <w:t xml:space="preserve">had </w:t>
      </w:r>
      <w:r w:rsidR="00FA48A5">
        <w:rPr>
          <w:rFonts w:ascii="Arial" w:hAnsi="Arial"/>
        </w:rPr>
        <w:t xml:space="preserve">exercised Treaty rights since May 2004. </w:t>
      </w:r>
    </w:p>
    <w:p w:rsidR="00107968" w:rsidRDefault="00FA48A5"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response to my direction as to whether the Secretary of State should have made the deportation order under </w:t>
      </w:r>
      <w:proofErr w:type="spellStart"/>
      <w:r w:rsidR="00056911">
        <w:rPr>
          <w:rFonts w:ascii="Arial" w:hAnsi="Arial"/>
        </w:rPr>
        <w:t>regn</w:t>
      </w:r>
      <w:proofErr w:type="spellEnd"/>
      <w:r w:rsidR="00056911">
        <w:rPr>
          <w:rFonts w:ascii="Arial" w:hAnsi="Arial"/>
        </w:rPr>
        <w:t xml:space="preserve"> </w:t>
      </w:r>
      <w:r>
        <w:rPr>
          <w:rFonts w:ascii="Arial" w:hAnsi="Arial"/>
        </w:rPr>
        <w:t xml:space="preserve">19(3)(a) as opposed to </w:t>
      </w:r>
      <w:proofErr w:type="spellStart"/>
      <w:r w:rsidR="00056911">
        <w:rPr>
          <w:rFonts w:ascii="Arial" w:hAnsi="Arial"/>
        </w:rPr>
        <w:t>regn</w:t>
      </w:r>
      <w:proofErr w:type="spellEnd"/>
      <w:r w:rsidR="00056911">
        <w:rPr>
          <w:rFonts w:ascii="Arial" w:hAnsi="Arial"/>
        </w:rPr>
        <w:t xml:space="preserve"> </w:t>
      </w:r>
      <w:r>
        <w:rPr>
          <w:rFonts w:ascii="Arial" w:hAnsi="Arial"/>
        </w:rPr>
        <w:t>19</w:t>
      </w:r>
      <w:r w:rsidR="00056911">
        <w:rPr>
          <w:rFonts w:ascii="Arial" w:hAnsi="Arial"/>
        </w:rPr>
        <w:t>(</w:t>
      </w:r>
      <w:r>
        <w:rPr>
          <w:rFonts w:ascii="Arial" w:hAnsi="Arial"/>
        </w:rPr>
        <w:t xml:space="preserve">3)(b), </w:t>
      </w:r>
      <w:r w:rsidR="00056911">
        <w:rPr>
          <w:rFonts w:ascii="Arial" w:hAnsi="Arial"/>
        </w:rPr>
        <w:t xml:space="preserve">the Upper Tribunal received a skeleton argument from the Secretary of State signed by Ms </w:t>
      </w:r>
      <w:r w:rsidR="00351645">
        <w:rPr>
          <w:rFonts w:ascii="Arial" w:hAnsi="Arial"/>
        </w:rPr>
        <w:t xml:space="preserve">Ahmad dated 4 January 2018 and (as stated above) a </w:t>
      </w:r>
      <w:r w:rsidR="00056911">
        <w:rPr>
          <w:rFonts w:ascii="Arial" w:hAnsi="Arial"/>
        </w:rPr>
        <w:t xml:space="preserve">skeleton argument signed by Mr </w:t>
      </w:r>
      <w:proofErr w:type="spellStart"/>
      <w:r w:rsidR="00056911">
        <w:rPr>
          <w:rFonts w:ascii="Arial" w:hAnsi="Arial"/>
        </w:rPr>
        <w:t>Kotas</w:t>
      </w:r>
      <w:proofErr w:type="spellEnd"/>
      <w:r w:rsidR="00056911">
        <w:rPr>
          <w:rFonts w:ascii="Arial" w:hAnsi="Arial"/>
        </w:rPr>
        <w:t xml:space="preserve"> dated 11 April</w:t>
      </w:r>
      <w:r w:rsidR="00EC3F6E">
        <w:rPr>
          <w:rFonts w:ascii="Arial" w:hAnsi="Arial"/>
        </w:rPr>
        <w:t xml:space="preserve"> 2018.</w:t>
      </w:r>
    </w:p>
    <w:p w:rsidR="00EC3F6E" w:rsidRDefault="00EC3F6E"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By a letter dated 23 February 2018, </w:t>
      </w:r>
      <w:proofErr w:type="spellStart"/>
      <w:r>
        <w:rPr>
          <w:rFonts w:ascii="Arial" w:hAnsi="Arial"/>
        </w:rPr>
        <w:t>Kilic</w:t>
      </w:r>
      <w:proofErr w:type="spellEnd"/>
      <w:r>
        <w:rPr>
          <w:rFonts w:ascii="Arial" w:hAnsi="Arial"/>
        </w:rPr>
        <w:t xml:space="preserve"> &amp; </w:t>
      </w:r>
      <w:proofErr w:type="spellStart"/>
      <w:r>
        <w:rPr>
          <w:rFonts w:ascii="Arial" w:hAnsi="Arial"/>
        </w:rPr>
        <w:t>Kilic</w:t>
      </w:r>
      <w:proofErr w:type="spellEnd"/>
      <w:r>
        <w:rPr>
          <w:rFonts w:ascii="Arial" w:hAnsi="Arial"/>
        </w:rPr>
        <w:t xml:space="preserve"> Solicitors informed the Upper Tribunal that they had withdrawn from acting. </w:t>
      </w:r>
    </w:p>
    <w:p w:rsidR="00220D7B" w:rsidRDefault="00EC3F6E"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w:t>
      </w:r>
      <w:proofErr w:type="spellStart"/>
      <w:r>
        <w:rPr>
          <w:rFonts w:ascii="Arial" w:hAnsi="Arial"/>
        </w:rPr>
        <w:t>Kotas</w:t>
      </w:r>
      <w:proofErr w:type="spellEnd"/>
      <w:r>
        <w:rPr>
          <w:rFonts w:ascii="Arial" w:hAnsi="Arial"/>
        </w:rPr>
        <w:t xml:space="preserve"> first appeared before me on behalf of the Secretary of State at a hearing on 12 April 2018. The claimant did not attend and was not represented. </w:t>
      </w:r>
      <w:r w:rsidR="00351645">
        <w:rPr>
          <w:rFonts w:ascii="Arial" w:hAnsi="Arial"/>
        </w:rPr>
        <w:t xml:space="preserve">Mr </w:t>
      </w:r>
      <w:proofErr w:type="spellStart"/>
      <w:r w:rsidR="00351645">
        <w:rPr>
          <w:rFonts w:ascii="Arial" w:hAnsi="Arial"/>
        </w:rPr>
        <w:t>Kotas</w:t>
      </w:r>
      <w:proofErr w:type="spellEnd"/>
      <w:r w:rsidR="00351645">
        <w:rPr>
          <w:rFonts w:ascii="Arial" w:hAnsi="Arial"/>
        </w:rPr>
        <w:t xml:space="preserve"> informed me that, a</w:t>
      </w:r>
      <w:r>
        <w:rPr>
          <w:rFonts w:ascii="Arial" w:hAnsi="Arial"/>
        </w:rPr>
        <w:t xml:space="preserve">ccording to his file, the claimant's address, as from 27 </w:t>
      </w:r>
      <w:r w:rsidR="00253424">
        <w:rPr>
          <w:rFonts w:ascii="Arial" w:hAnsi="Arial"/>
        </w:rPr>
        <w:t xml:space="preserve">June 2017, </w:t>
      </w:r>
      <w:r>
        <w:rPr>
          <w:rFonts w:ascii="Arial" w:hAnsi="Arial"/>
        </w:rPr>
        <w:t xml:space="preserve">was Flat 26, </w:t>
      </w:r>
      <w:proofErr w:type="spellStart"/>
      <w:r>
        <w:rPr>
          <w:rFonts w:ascii="Arial" w:hAnsi="Arial"/>
        </w:rPr>
        <w:t>Rush</w:t>
      </w:r>
      <w:r w:rsidR="005759DE">
        <w:rPr>
          <w:rFonts w:ascii="Arial" w:hAnsi="Arial"/>
        </w:rPr>
        <w:t>l</w:t>
      </w:r>
      <w:r>
        <w:rPr>
          <w:rFonts w:ascii="Arial" w:hAnsi="Arial"/>
        </w:rPr>
        <w:t>eigh</w:t>
      </w:r>
      <w:proofErr w:type="spellEnd"/>
      <w:r>
        <w:rPr>
          <w:rFonts w:ascii="Arial" w:hAnsi="Arial"/>
        </w:rPr>
        <w:t xml:space="preserve"> House, 11 </w:t>
      </w:r>
      <w:proofErr w:type="spellStart"/>
      <w:r>
        <w:rPr>
          <w:rFonts w:ascii="Arial" w:hAnsi="Arial"/>
        </w:rPr>
        <w:t>Benjafield</w:t>
      </w:r>
      <w:proofErr w:type="spellEnd"/>
      <w:r>
        <w:rPr>
          <w:rFonts w:ascii="Arial" w:hAnsi="Arial"/>
        </w:rPr>
        <w:t xml:space="preserve"> Close, London N18 2YW, whereas the Tribunal's records </w:t>
      </w:r>
      <w:r w:rsidR="00253424">
        <w:rPr>
          <w:rFonts w:ascii="Arial" w:hAnsi="Arial"/>
        </w:rPr>
        <w:t>we</w:t>
      </w:r>
      <w:r w:rsidR="00C97B22">
        <w:rPr>
          <w:rFonts w:ascii="Arial" w:hAnsi="Arial"/>
        </w:rPr>
        <w:t>re that his flat number was 11 at the same building.</w:t>
      </w:r>
    </w:p>
    <w:p w:rsidR="00220D7B" w:rsidRDefault="00253424"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w:t>
      </w:r>
      <w:proofErr w:type="spellStart"/>
      <w:r>
        <w:rPr>
          <w:rFonts w:ascii="Arial" w:hAnsi="Arial"/>
        </w:rPr>
        <w:t>Kotas</w:t>
      </w:r>
      <w:proofErr w:type="spellEnd"/>
      <w:r>
        <w:rPr>
          <w:rFonts w:ascii="Arial" w:hAnsi="Arial"/>
        </w:rPr>
        <w:t xml:space="preserve"> was unaware that the Tribunal had already heard submissions on all issues and that the only outstanding matter was whether the Secretary of State should have proceeded under </w:t>
      </w:r>
      <w:proofErr w:type="spellStart"/>
      <w:r>
        <w:rPr>
          <w:rFonts w:ascii="Arial" w:hAnsi="Arial"/>
        </w:rPr>
        <w:t>regn</w:t>
      </w:r>
      <w:proofErr w:type="spellEnd"/>
      <w:r>
        <w:rPr>
          <w:rFonts w:ascii="Arial" w:hAnsi="Arial"/>
        </w:rPr>
        <w:t xml:space="preserve"> 19(3)(a). Given the recent judgment of the Court of Appeal in </w:t>
      </w:r>
      <w:r w:rsidRPr="00675B03">
        <w:rPr>
          <w:rFonts w:ascii="Arial" w:hAnsi="Arial"/>
          <w:u w:val="single"/>
        </w:rPr>
        <w:t>Robinson (</w:t>
      </w:r>
      <w:smartTag w:uri="urn:schemas-microsoft-com:office:smarttags" w:element="country-region">
        <w:smartTag w:uri="urn:schemas-microsoft-com:office:smarttags" w:element="place">
          <w:r w:rsidRPr="00675B03">
            <w:rPr>
              <w:rFonts w:ascii="Arial" w:hAnsi="Arial"/>
              <w:u w:val="single"/>
            </w:rPr>
            <w:t>Jamaica</w:t>
          </w:r>
        </w:smartTag>
      </w:smartTag>
      <w:r w:rsidRPr="00675B03">
        <w:rPr>
          <w:rFonts w:ascii="Arial" w:hAnsi="Arial"/>
          <w:u w:val="single"/>
        </w:rPr>
        <w:t>)</w:t>
      </w:r>
      <w:r>
        <w:rPr>
          <w:rFonts w:ascii="Arial" w:hAnsi="Arial"/>
        </w:rPr>
        <w:t xml:space="preserve"> which decided that </w:t>
      </w:r>
      <w:proofErr w:type="spellStart"/>
      <w:r w:rsidRPr="00253424">
        <w:rPr>
          <w:rFonts w:ascii="Arial" w:hAnsi="Arial"/>
          <w:u w:val="single"/>
        </w:rPr>
        <w:t>Bouchereau</w:t>
      </w:r>
      <w:proofErr w:type="spellEnd"/>
      <w:r>
        <w:rPr>
          <w:rFonts w:ascii="Arial" w:hAnsi="Arial"/>
        </w:rPr>
        <w:t xml:space="preserve"> continues to apply, Mr </w:t>
      </w:r>
      <w:proofErr w:type="spellStart"/>
      <w:r>
        <w:rPr>
          <w:rFonts w:ascii="Arial" w:hAnsi="Arial"/>
        </w:rPr>
        <w:t>Kotas</w:t>
      </w:r>
      <w:proofErr w:type="spellEnd"/>
      <w:r>
        <w:rPr>
          <w:rFonts w:ascii="Arial" w:hAnsi="Arial"/>
        </w:rPr>
        <w:t xml:space="preserve"> applied to re-open the hearing. </w:t>
      </w:r>
    </w:p>
    <w:p w:rsidR="00220D7B" w:rsidRDefault="00675B0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view of the recent judgment in </w:t>
      </w:r>
      <w:r w:rsidR="00402CA6" w:rsidRPr="00402CA6">
        <w:rPr>
          <w:rFonts w:ascii="Arial" w:hAnsi="Arial"/>
          <w:u w:val="single"/>
        </w:rPr>
        <w:t>Robinson (Jamaica)</w:t>
      </w:r>
      <w:r w:rsidR="00402CA6">
        <w:rPr>
          <w:rFonts w:ascii="Arial" w:hAnsi="Arial"/>
        </w:rPr>
        <w:t xml:space="preserve"> and the fact that Mr Collins had relied upon </w:t>
      </w:r>
      <w:proofErr w:type="spellStart"/>
      <w:r w:rsidR="00402CA6" w:rsidRPr="00E34CFB">
        <w:rPr>
          <w:rFonts w:ascii="Arial" w:hAnsi="Arial"/>
          <w:u w:val="single"/>
        </w:rPr>
        <w:t>Arranz</w:t>
      </w:r>
      <w:proofErr w:type="spellEnd"/>
      <w:r w:rsidR="00402CA6">
        <w:rPr>
          <w:rFonts w:ascii="Arial" w:hAnsi="Arial"/>
        </w:rPr>
        <w:t xml:space="preserve"> (EEA Regulations – deportation – test) [2017] UKUT 00294 (IAC) </w:t>
      </w:r>
      <w:r w:rsidR="00402CA6">
        <w:rPr>
          <w:rFonts w:ascii="Arial" w:hAnsi="Arial"/>
        </w:rPr>
        <w:lastRenderedPageBreak/>
        <w:t xml:space="preserve">in which the Upper Tribunal decided, inter alia, that the </w:t>
      </w:r>
      <w:proofErr w:type="spellStart"/>
      <w:r w:rsidR="005044AD" w:rsidRPr="00C97B22">
        <w:rPr>
          <w:rFonts w:ascii="Arial" w:hAnsi="Arial"/>
          <w:u w:val="single"/>
        </w:rPr>
        <w:t>B</w:t>
      </w:r>
      <w:r w:rsidR="00402CA6" w:rsidRPr="00C97B22">
        <w:rPr>
          <w:rFonts w:ascii="Arial" w:hAnsi="Arial"/>
          <w:u w:val="single"/>
        </w:rPr>
        <w:t>ouchereau</w:t>
      </w:r>
      <w:proofErr w:type="spellEnd"/>
      <w:r w:rsidR="00402CA6">
        <w:rPr>
          <w:rFonts w:ascii="Arial" w:hAnsi="Arial"/>
        </w:rPr>
        <w:t xml:space="preserve"> exception </w:t>
      </w:r>
      <w:r w:rsidR="00E34CFB">
        <w:rPr>
          <w:rFonts w:ascii="Arial" w:hAnsi="Arial"/>
        </w:rPr>
        <w:t xml:space="preserve">was </w:t>
      </w:r>
      <w:r w:rsidR="00402CA6">
        <w:rPr>
          <w:rFonts w:ascii="Arial" w:hAnsi="Arial"/>
        </w:rPr>
        <w:t xml:space="preserve">no longer </w:t>
      </w:r>
      <w:r w:rsidR="00E34CFB">
        <w:rPr>
          <w:rFonts w:ascii="Arial" w:hAnsi="Arial"/>
        </w:rPr>
        <w:t xml:space="preserve">good law, I decided that there was no option but to adjourn the hearing on 12 April 2018 </w:t>
      </w:r>
      <w:r w:rsidR="00C97B22">
        <w:rPr>
          <w:rFonts w:ascii="Arial" w:hAnsi="Arial"/>
        </w:rPr>
        <w:t xml:space="preserve">to give </w:t>
      </w:r>
      <w:r w:rsidR="00E34CFB">
        <w:rPr>
          <w:rFonts w:ascii="Arial" w:hAnsi="Arial"/>
        </w:rPr>
        <w:t xml:space="preserve">the claimant an opportunity to address the Upper Tribunal on </w:t>
      </w:r>
      <w:r w:rsidR="00E34CFB" w:rsidRPr="00E34CFB">
        <w:rPr>
          <w:rFonts w:ascii="Arial" w:hAnsi="Arial"/>
          <w:u w:val="single"/>
        </w:rPr>
        <w:t>Robinson (Jamaica)</w:t>
      </w:r>
      <w:r w:rsidR="00E34CFB">
        <w:rPr>
          <w:rFonts w:ascii="Arial" w:hAnsi="Arial"/>
        </w:rPr>
        <w:t xml:space="preserve">, albeit that this would will result in yet further delay. </w:t>
      </w:r>
    </w:p>
    <w:p w:rsidR="00220D7B" w:rsidRDefault="00E34CF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This adjournment led to the appeal being re-listed for hearing on 14 May</w:t>
      </w:r>
      <w:r w:rsidR="005759DE">
        <w:rPr>
          <w:rFonts w:ascii="Arial" w:hAnsi="Arial"/>
        </w:rPr>
        <w:t xml:space="preserve"> 2018 when the Secretary of State was represented by Mr </w:t>
      </w:r>
      <w:proofErr w:type="spellStart"/>
      <w:r w:rsidR="005759DE">
        <w:rPr>
          <w:rFonts w:ascii="Arial" w:hAnsi="Arial"/>
        </w:rPr>
        <w:t>Kotas</w:t>
      </w:r>
      <w:proofErr w:type="spellEnd"/>
      <w:r w:rsidR="005759DE">
        <w:rPr>
          <w:rFonts w:ascii="Arial" w:hAnsi="Arial"/>
        </w:rPr>
        <w:t xml:space="preserve"> and the claimant by Mr Malik. Since neither Mr </w:t>
      </w:r>
      <w:proofErr w:type="spellStart"/>
      <w:r w:rsidR="005759DE">
        <w:rPr>
          <w:rFonts w:ascii="Arial" w:hAnsi="Arial"/>
        </w:rPr>
        <w:t>Kotas</w:t>
      </w:r>
      <w:proofErr w:type="spellEnd"/>
      <w:r w:rsidR="005759DE">
        <w:rPr>
          <w:rFonts w:ascii="Arial" w:hAnsi="Arial"/>
        </w:rPr>
        <w:t xml:space="preserve"> nor Mr Malik had been present at the hearing when I heard submissions</w:t>
      </w:r>
      <w:r w:rsidR="00C97B22">
        <w:rPr>
          <w:rFonts w:ascii="Arial" w:hAnsi="Arial"/>
        </w:rPr>
        <w:t xml:space="preserve"> from Mr Collins on behalf of the claimant and Ms Ahmad on behalf of the Secretary of State</w:t>
      </w:r>
      <w:r w:rsidR="005759DE">
        <w:rPr>
          <w:rFonts w:ascii="Arial" w:hAnsi="Arial"/>
        </w:rPr>
        <w:t xml:space="preserve">, I decided to hear submissions </w:t>
      </w:r>
      <w:r w:rsidR="00C97B22">
        <w:rPr>
          <w:rFonts w:ascii="Arial" w:hAnsi="Arial"/>
        </w:rPr>
        <w:t xml:space="preserve">afresh </w:t>
      </w:r>
      <w:r w:rsidR="005759DE">
        <w:rPr>
          <w:rFonts w:ascii="Arial" w:hAnsi="Arial"/>
        </w:rPr>
        <w:t xml:space="preserve">from </w:t>
      </w:r>
      <w:r w:rsidR="00C97B22">
        <w:rPr>
          <w:rFonts w:ascii="Arial" w:hAnsi="Arial"/>
        </w:rPr>
        <w:t xml:space="preserve">Mr Malik and Mr </w:t>
      </w:r>
      <w:proofErr w:type="spellStart"/>
      <w:r w:rsidR="00C97B22">
        <w:rPr>
          <w:rFonts w:ascii="Arial" w:hAnsi="Arial"/>
        </w:rPr>
        <w:t>Kotas</w:t>
      </w:r>
      <w:proofErr w:type="spellEnd"/>
      <w:r w:rsidR="00C97B22">
        <w:rPr>
          <w:rFonts w:ascii="Arial" w:hAnsi="Arial"/>
        </w:rPr>
        <w:t xml:space="preserve"> </w:t>
      </w:r>
      <w:r w:rsidR="005759DE">
        <w:rPr>
          <w:rFonts w:ascii="Arial" w:hAnsi="Arial"/>
        </w:rPr>
        <w:t xml:space="preserve">on all issues. As far as I could see, this was the only fair way of proceedings. Neither party objected. </w:t>
      </w:r>
    </w:p>
    <w:p w:rsidR="00C97B22" w:rsidRPr="00C97B22" w:rsidRDefault="00C97B22" w:rsidP="00171420">
      <w:pPr>
        <w:tabs>
          <w:tab w:val="left" w:pos="540"/>
          <w:tab w:val="left" w:pos="1620"/>
          <w:tab w:val="left" w:pos="2160"/>
        </w:tabs>
        <w:spacing w:before="240"/>
        <w:jc w:val="both"/>
        <w:rPr>
          <w:rFonts w:ascii="Arial" w:hAnsi="Arial"/>
          <w:b/>
          <w:u w:val="single"/>
        </w:rPr>
      </w:pPr>
      <w:r w:rsidRPr="00C97B22">
        <w:rPr>
          <w:rFonts w:ascii="Arial" w:hAnsi="Arial"/>
          <w:b/>
          <w:u w:val="single"/>
        </w:rPr>
        <w:t>Assessment</w:t>
      </w:r>
    </w:p>
    <w:p w:rsidR="00220D7B" w:rsidRPr="00171420" w:rsidRDefault="00171420" w:rsidP="00171420">
      <w:pPr>
        <w:tabs>
          <w:tab w:val="left" w:pos="540"/>
          <w:tab w:val="left" w:pos="1620"/>
          <w:tab w:val="left" w:pos="2160"/>
        </w:tabs>
        <w:spacing w:before="240"/>
        <w:jc w:val="both"/>
        <w:rPr>
          <w:rFonts w:ascii="Arial" w:hAnsi="Arial"/>
          <w:u w:val="single"/>
        </w:rPr>
      </w:pPr>
      <w:r w:rsidRPr="00171420">
        <w:rPr>
          <w:rFonts w:ascii="Arial" w:hAnsi="Arial"/>
          <w:u w:val="single"/>
        </w:rPr>
        <w:t xml:space="preserve">Ground 1 </w:t>
      </w:r>
    </w:p>
    <w:p w:rsidR="005759DE" w:rsidRDefault="00171420"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Ground </w:t>
      </w:r>
      <w:r w:rsidR="00DA5165">
        <w:rPr>
          <w:rFonts w:ascii="Arial" w:hAnsi="Arial"/>
        </w:rPr>
        <w:t xml:space="preserve">1 </w:t>
      </w:r>
      <w:r>
        <w:rPr>
          <w:rFonts w:ascii="Arial" w:hAnsi="Arial"/>
        </w:rPr>
        <w:t>distils into the following issues:</w:t>
      </w:r>
    </w:p>
    <w:p w:rsidR="00171420" w:rsidRDefault="00C97B22" w:rsidP="005044AD">
      <w:pPr>
        <w:tabs>
          <w:tab w:val="left" w:pos="540"/>
          <w:tab w:val="left" w:pos="1080"/>
          <w:tab w:val="left" w:pos="1620"/>
          <w:tab w:val="left" w:pos="2160"/>
        </w:tabs>
        <w:spacing w:before="240"/>
        <w:ind w:left="1080" w:hanging="541"/>
        <w:jc w:val="both"/>
        <w:rPr>
          <w:rFonts w:ascii="Arial" w:hAnsi="Arial"/>
        </w:rPr>
      </w:pPr>
      <w:r>
        <w:rPr>
          <w:rFonts w:ascii="Arial" w:hAnsi="Arial"/>
        </w:rPr>
        <w:t>(</w:t>
      </w:r>
      <w:proofErr w:type="spellStart"/>
      <w:r>
        <w:rPr>
          <w:rFonts w:ascii="Arial" w:hAnsi="Arial"/>
        </w:rPr>
        <w:t>i</w:t>
      </w:r>
      <w:proofErr w:type="spellEnd"/>
      <w:r>
        <w:rPr>
          <w:rFonts w:ascii="Arial" w:hAnsi="Arial"/>
        </w:rPr>
        <w:t>)</w:t>
      </w:r>
      <w:r>
        <w:rPr>
          <w:rFonts w:ascii="Arial" w:hAnsi="Arial"/>
        </w:rPr>
        <w:tab/>
        <w:t>W</w:t>
      </w:r>
      <w:r w:rsidR="00171420">
        <w:rPr>
          <w:rFonts w:ascii="Arial" w:hAnsi="Arial"/>
        </w:rPr>
        <w:t xml:space="preserve">hether the </w:t>
      </w:r>
      <w:r w:rsidR="00811243">
        <w:rPr>
          <w:rFonts w:ascii="Arial" w:hAnsi="Arial"/>
        </w:rPr>
        <w:t xml:space="preserve">Secretary of State had relied upon the </w:t>
      </w:r>
      <w:proofErr w:type="spellStart"/>
      <w:r w:rsidR="005044AD" w:rsidRPr="005044AD">
        <w:rPr>
          <w:rFonts w:ascii="Arial" w:hAnsi="Arial" w:cs="Arial"/>
          <w:szCs w:val="20"/>
          <w:u w:val="single"/>
        </w:rPr>
        <w:t>Bouchereau</w:t>
      </w:r>
      <w:proofErr w:type="spellEnd"/>
      <w:r w:rsidR="005044AD" w:rsidRPr="005044AD">
        <w:rPr>
          <w:rFonts w:ascii="Arial" w:hAnsi="Arial" w:cs="Arial"/>
          <w:szCs w:val="20"/>
        </w:rPr>
        <w:t xml:space="preserve"> exception</w:t>
      </w:r>
      <w:r w:rsidR="005044AD">
        <w:rPr>
          <w:rFonts w:ascii="Arial" w:hAnsi="Arial"/>
        </w:rPr>
        <w:t xml:space="preserve"> in the appeal before the judge and, even if not, whether the judge erred in </w:t>
      </w:r>
      <w:r>
        <w:rPr>
          <w:rFonts w:ascii="Arial" w:hAnsi="Arial"/>
        </w:rPr>
        <w:t xml:space="preserve">law in failing to deal with it. </w:t>
      </w:r>
    </w:p>
    <w:p w:rsidR="009A5861" w:rsidRDefault="005044AD" w:rsidP="005044AD">
      <w:pPr>
        <w:tabs>
          <w:tab w:val="left" w:pos="540"/>
          <w:tab w:val="left" w:pos="1080"/>
          <w:tab w:val="left" w:pos="1620"/>
          <w:tab w:val="left" w:pos="2160"/>
        </w:tabs>
        <w:spacing w:before="240"/>
        <w:ind w:left="1080" w:hanging="541"/>
        <w:jc w:val="both"/>
        <w:rPr>
          <w:rFonts w:ascii="Arial" w:hAnsi="Arial" w:cs="Arial"/>
          <w:szCs w:val="20"/>
        </w:rPr>
      </w:pPr>
      <w:r>
        <w:rPr>
          <w:rFonts w:ascii="Arial" w:hAnsi="Arial"/>
        </w:rPr>
        <w:t>(ii)</w:t>
      </w:r>
      <w:r>
        <w:rPr>
          <w:rFonts w:ascii="Arial" w:hAnsi="Arial"/>
        </w:rPr>
        <w:tab/>
      </w:r>
      <w:r w:rsidR="000B77DC">
        <w:rPr>
          <w:rFonts w:ascii="Arial" w:hAnsi="Arial"/>
        </w:rPr>
        <w:t xml:space="preserve">Even if </w:t>
      </w:r>
      <w:r>
        <w:rPr>
          <w:rFonts w:ascii="Arial" w:hAnsi="Arial"/>
        </w:rPr>
        <w:t xml:space="preserve">the </w:t>
      </w:r>
      <w:r w:rsidR="000B77DC">
        <w:rPr>
          <w:rFonts w:ascii="Arial" w:hAnsi="Arial"/>
        </w:rPr>
        <w:t xml:space="preserve">judge should have considered the </w:t>
      </w:r>
      <w:proofErr w:type="spellStart"/>
      <w:r w:rsidRPr="005044AD">
        <w:rPr>
          <w:rFonts w:ascii="Arial" w:hAnsi="Arial" w:cs="Arial"/>
          <w:szCs w:val="20"/>
          <w:u w:val="single"/>
        </w:rPr>
        <w:t>Bouchereau</w:t>
      </w:r>
      <w:proofErr w:type="spellEnd"/>
      <w:r w:rsidRPr="005044AD">
        <w:rPr>
          <w:rFonts w:ascii="Arial" w:hAnsi="Arial" w:cs="Arial"/>
          <w:szCs w:val="20"/>
        </w:rPr>
        <w:t xml:space="preserve"> exception</w:t>
      </w:r>
      <w:r w:rsidR="000B77DC">
        <w:rPr>
          <w:rFonts w:ascii="Arial" w:hAnsi="Arial" w:cs="Arial"/>
          <w:szCs w:val="20"/>
        </w:rPr>
        <w:t>, Mr Malik submitted that, whilst this meant that a great deal of weight could be attached to t</w:t>
      </w:r>
      <w:r w:rsidR="009A5861">
        <w:rPr>
          <w:rFonts w:ascii="Arial" w:hAnsi="Arial" w:cs="Arial"/>
          <w:szCs w:val="20"/>
        </w:rPr>
        <w:t>he claimant's past offending, it is still necessary to consider all of the other  evidence, such as age, health</w:t>
      </w:r>
      <w:r w:rsidR="00C97B22">
        <w:rPr>
          <w:rFonts w:ascii="Arial" w:hAnsi="Arial" w:cs="Arial"/>
          <w:szCs w:val="20"/>
        </w:rPr>
        <w:t xml:space="preserve"> and the </w:t>
      </w:r>
      <w:r w:rsidR="009A5861">
        <w:rPr>
          <w:rFonts w:ascii="Arial" w:hAnsi="Arial" w:cs="Arial"/>
          <w:szCs w:val="20"/>
        </w:rPr>
        <w:t>risk of re-offending, to the extent that the judge's findings on these issues were no vitiated by material error of law</w:t>
      </w:r>
      <w:r w:rsidR="00C97B22">
        <w:rPr>
          <w:rFonts w:ascii="Arial" w:hAnsi="Arial" w:cs="Arial"/>
          <w:szCs w:val="20"/>
        </w:rPr>
        <w:t xml:space="preserve">. He submitted that, if </w:t>
      </w:r>
      <w:r w:rsidR="009A5861">
        <w:rPr>
          <w:rFonts w:ascii="Arial" w:hAnsi="Arial" w:cs="Arial"/>
          <w:szCs w:val="20"/>
        </w:rPr>
        <w:t>I accept</w:t>
      </w:r>
      <w:r w:rsidR="00C97B22">
        <w:rPr>
          <w:rFonts w:ascii="Arial" w:hAnsi="Arial" w:cs="Arial"/>
          <w:szCs w:val="20"/>
        </w:rPr>
        <w:t xml:space="preserve"> </w:t>
      </w:r>
      <w:r w:rsidR="009A5861">
        <w:rPr>
          <w:rFonts w:ascii="Arial" w:hAnsi="Arial" w:cs="Arial"/>
          <w:szCs w:val="20"/>
        </w:rPr>
        <w:t>his submission on this issue, it would be necess</w:t>
      </w:r>
      <w:r w:rsidR="00C97B22">
        <w:rPr>
          <w:rFonts w:ascii="Arial" w:hAnsi="Arial" w:cs="Arial"/>
          <w:szCs w:val="20"/>
        </w:rPr>
        <w:t xml:space="preserve">ary for me to decide ground 2 irrespective of the outcome of my decision on ground 1. </w:t>
      </w:r>
    </w:p>
    <w:p w:rsidR="00723886" w:rsidRDefault="00723886" w:rsidP="005044AD">
      <w:pPr>
        <w:tabs>
          <w:tab w:val="left" w:pos="540"/>
          <w:tab w:val="left" w:pos="1080"/>
          <w:tab w:val="left" w:pos="1620"/>
          <w:tab w:val="left" w:pos="2160"/>
        </w:tabs>
        <w:spacing w:before="240"/>
        <w:ind w:left="1080" w:hanging="541"/>
        <w:jc w:val="both"/>
        <w:rPr>
          <w:rFonts w:ascii="Arial" w:hAnsi="Arial" w:cs="Arial"/>
          <w:szCs w:val="20"/>
        </w:rPr>
      </w:pPr>
      <w:r>
        <w:rPr>
          <w:rFonts w:ascii="Arial" w:hAnsi="Arial" w:cs="Arial"/>
          <w:szCs w:val="20"/>
        </w:rPr>
        <w:t>(iii)</w:t>
      </w:r>
      <w:r>
        <w:rPr>
          <w:rFonts w:ascii="Arial" w:hAnsi="Arial" w:cs="Arial"/>
          <w:szCs w:val="20"/>
        </w:rPr>
        <w:tab/>
        <w:t xml:space="preserve">If the </w:t>
      </w:r>
      <w:proofErr w:type="spellStart"/>
      <w:r w:rsidRPr="00723886">
        <w:rPr>
          <w:rFonts w:ascii="Arial" w:hAnsi="Arial" w:cs="Arial"/>
          <w:szCs w:val="20"/>
          <w:u w:val="single"/>
        </w:rPr>
        <w:t>Bouchereau</w:t>
      </w:r>
      <w:proofErr w:type="spellEnd"/>
      <w:r w:rsidRPr="00723886">
        <w:rPr>
          <w:rFonts w:ascii="Arial" w:hAnsi="Arial" w:cs="Arial"/>
          <w:szCs w:val="20"/>
        </w:rPr>
        <w:t xml:space="preserve"> exception</w:t>
      </w:r>
      <w:r>
        <w:rPr>
          <w:rFonts w:ascii="Arial" w:hAnsi="Arial" w:cs="Arial"/>
          <w:szCs w:val="20"/>
        </w:rPr>
        <w:t xml:space="preserve"> applies and I am against Mr Malik on his submission as summarised at (ii) above, then whether this is one of the extreme cases in which that </w:t>
      </w:r>
      <w:r w:rsidRPr="00723886">
        <w:rPr>
          <w:rFonts w:ascii="Arial" w:hAnsi="Arial" w:cs="Arial"/>
          <w:szCs w:val="20"/>
        </w:rPr>
        <w:t>exception</w:t>
      </w:r>
      <w:r>
        <w:rPr>
          <w:rFonts w:ascii="Arial" w:hAnsi="Arial" w:cs="Arial"/>
          <w:szCs w:val="20"/>
        </w:rPr>
        <w:t xml:space="preserve"> applies.   </w:t>
      </w:r>
    </w:p>
    <w:p w:rsidR="00ED4C89" w:rsidRDefault="0072388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shall deal with (ii) first. </w:t>
      </w:r>
      <w:r w:rsidR="00ED4C89">
        <w:rPr>
          <w:rFonts w:ascii="Arial" w:hAnsi="Arial"/>
        </w:rPr>
        <w:t xml:space="preserve">Mr Malik submitted that the only basis put forward for the application of the </w:t>
      </w:r>
      <w:proofErr w:type="spellStart"/>
      <w:r w:rsidR="00ED4C89" w:rsidRPr="0092373B">
        <w:rPr>
          <w:rFonts w:ascii="Arial" w:hAnsi="Arial" w:cs="Arial"/>
          <w:szCs w:val="20"/>
          <w:u w:val="single"/>
        </w:rPr>
        <w:t>Bouchereau</w:t>
      </w:r>
      <w:proofErr w:type="spellEnd"/>
      <w:r w:rsidR="00ED4C89" w:rsidRPr="0092373B">
        <w:rPr>
          <w:rFonts w:ascii="Arial" w:hAnsi="Arial"/>
        </w:rPr>
        <w:t xml:space="preserve"> exception</w:t>
      </w:r>
      <w:r w:rsidR="00ED4C89">
        <w:rPr>
          <w:rFonts w:ascii="Arial" w:hAnsi="Arial"/>
        </w:rPr>
        <w:t xml:space="preserve"> is that the claimant's offences were so serious that the sentencing judge imposed a lengthy sentence. However, in Mr Malik's submission, the sentencing judge imposed a lengthy sentence for concerns which include deterrence which was a prominent consideration. Mr Malik submitted that the length of the sentence itself was not sufficient to lead to a finding that it was necessary to express public revulsion. In drugs-related offences, the </w:t>
      </w:r>
      <w:proofErr w:type="spellStart"/>
      <w:r w:rsidR="00ED4C89" w:rsidRPr="0092373B">
        <w:rPr>
          <w:rFonts w:ascii="Arial" w:hAnsi="Arial" w:cs="Arial"/>
          <w:szCs w:val="20"/>
          <w:u w:val="single"/>
        </w:rPr>
        <w:t>Bouchereau</w:t>
      </w:r>
      <w:proofErr w:type="spellEnd"/>
      <w:r w:rsidR="00ED4C89" w:rsidRPr="0092373B">
        <w:rPr>
          <w:rFonts w:ascii="Arial" w:hAnsi="Arial"/>
        </w:rPr>
        <w:t xml:space="preserve"> exception</w:t>
      </w:r>
      <w:r w:rsidR="00ED4C89">
        <w:rPr>
          <w:rFonts w:ascii="Arial" w:hAnsi="Arial"/>
        </w:rPr>
        <w:t xml:space="preserve"> is in principle engaged but it does not apply just because of the length of the sentence that is imposed. In his submission, it is still necessary to consider other factors such as age, health and the risk of re-offending.</w:t>
      </w:r>
    </w:p>
    <w:p w:rsidR="00C97B22" w:rsidRDefault="00C97B22"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reject Mr Malik's submission that, even in cases in which the </w:t>
      </w:r>
      <w:proofErr w:type="spellStart"/>
      <w:r w:rsidRPr="00C97B22">
        <w:rPr>
          <w:rFonts w:ascii="Arial" w:hAnsi="Arial" w:cs="Arial"/>
          <w:szCs w:val="20"/>
          <w:u w:val="single"/>
        </w:rPr>
        <w:t>Bouchereau</w:t>
      </w:r>
      <w:proofErr w:type="spellEnd"/>
      <w:r>
        <w:rPr>
          <w:rFonts w:ascii="Arial" w:hAnsi="Arial"/>
        </w:rPr>
        <w:t xml:space="preserve"> exception, it is still necessary to consider </w:t>
      </w:r>
      <w:r>
        <w:rPr>
          <w:rFonts w:ascii="Arial" w:hAnsi="Arial" w:cs="Arial"/>
          <w:szCs w:val="20"/>
        </w:rPr>
        <w:t xml:space="preserve">all of the other evidence, such as age, health and the risk of re-offending. The whole point of the </w:t>
      </w:r>
      <w:proofErr w:type="spellStart"/>
      <w:r w:rsidRPr="00C97B22">
        <w:rPr>
          <w:rFonts w:ascii="Arial" w:hAnsi="Arial" w:cs="Arial"/>
          <w:szCs w:val="20"/>
          <w:u w:val="single"/>
        </w:rPr>
        <w:t>Bouchereau</w:t>
      </w:r>
      <w:proofErr w:type="spellEnd"/>
      <w:r w:rsidRPr="00C97B22">
        <w:rPr>
          <w:rFonts w:ascii="Arial" w:hAnsi="Arial" w:cs="Arial"/>
          <w:szCs w:val="20"/>
        </w:rPr>
        <w:t xml:space="preserve"> exception</w:t>
      </w:r>
      <w:r>
        <w:rPr>
          <w:rFonts w:ascii="Arial" w:hAnsi="Arial" w:cs="Arial"/>
          <w:szCs w:val="20"/>
        </w:rPr>
        <w:t xml:space="preserve"> is that it applies, in extreme cases, on the basis that past conduct alone </w:t>
      </w:r>
      <w:r w:rsidR="00DA5165">
        <w:rPr>
          <w:rFonts w:ascii="Arial" w:hAnsi="Arial" w:cs="Arial"/>
          <w:szCs w:val="20"/>
        </w:rPr>
        <w:t xml:space="preserve">is </w:t>
      </w:r>
      <w:r>
        <w:rPr>
          <w:rFonts w:ascii="Arial" w:hAnsi="Arial" w:cs="Arial"/>
          <w:szCs w:val="20"/>
        </w:rPr>
        <w:t>sufficient to show that the individual present</w:t>
      </w:r>
      <w:r w:rsidR="00DA5165">
        <w:rPr>
          <w:rFonts w:ascii="Arial" w:hAnsi="Arial" w:cs="Arial"/>
          <w:szCs w:val="20"/>
        </w:rPr>
        <w:t xml:space="preserve"> </w:t>
      </w:r>
      <w:r>
        <w:rPr>
          <w:rFonts w:ascii="Arial" w:hAnsi="Arial" w:cs="Arial"/>
          <w:szCs w:val="20"/>
        </w:rPr>
        <w:t xml:space="preserve">a </w:t>
      </w:r>
      <w:r w:rsidR="00DA5165">
        <w:rPr>
          <w:rFonts w:ascii="Arial" w:hAnsi="Arial" w:cs="Arial"/>
          <w:szCs w:val="20"/>
        </w:rPr>
        <w:t xml:space="preserve">genuine, present and sufficiently serious threat </w:t>
      </w:r>
      <w:r>
        <w:rPr>
          <w:rFonts w:ascii="Arial" w:hAnsi="Arial" w:cs="Arial"/>
          <w:szCs w:val="20"/>
        </w:rPr>
        <w:t xml:space="preserve">to public policy. If it </w:t>
      </w:r>
      <w:r w:rsidR="00DA5165">
        <w:rPr>
          <w:rFonts w:ascii="Arial" w:hAnsi="Arial" w:cs="Arial"/>
          <w:szCs w:val="20"/>
        </w:rPr>
        <w:t xml:space="preserve">is </w:t>
      </w:r>
      <w:r>
        <w:rPr>
          <w:rFonts w:ascii="Arial" w:hAnsi="Arial" w:cs="Arial"/>
          <w:szCs w:val="20"/>
        </w:rPr>
        <w:t xml:space="preserve">still necessary to consider these other factors, there would be no difference in this regard </w:t>
      </w:r>
      <w:r w:rsidR="0008081A">
        <w:rPr>
          <w:rFonts w:ascii="Arial" w:hAnsi="Arial" w:cs="Arial"/>
          <w:szCs w:val="20"/>
        </w:rPr>
        <w:t xml:space="preserve">between cases in which the </w:t>
      </w:r>
      <w:proofErr w:type="spellStart"/>
      <w:r w:rsidR="0008081A" w:rsidRPr="0008081A">
        <w:rPr>
          <w:rFonts w:ascii="Arial" w:hAnsi="Arial" w:cs="Arial"/>
          <w:szCs w:val="20"/>
          <w:u w:val="single"/>
        </w:rPr>
        <w:t>Bouchereau</w:t>
      </w:r>
      <w:proofErr w:type="spellEnd"/>
      <w:r w:rsidR="0008081A" w:rsidRPr="0008081A">
        <w:rPr>
          <w:rFonts w:ascii="Arial" w:hAnsi="Arial" w:cs="Arial"/>
          <w:szCs w:val="20"/>
        </w:rPr>
        <w:t xml:space="preserve"> exception</w:t>
      </w:r>
      <w:r w:rsidR="0008081A">
        <w:rPr>
          <w:rFonts w:ascii="Arial" w:hAnsi="Arial" w:cs="Arial"/>
          <w:szCs w:val="20"/>
        </w:rPr>
        <w:t xml:space="preserve"> applies and </w:t>
      </w:r>
      <w:r>
        <w:rPr>
          <w:rFonts w:ascii="Arial" w:hAnsi="Arial" w:cs="Arial"/>
          <w:szCs w:val="20"/>
        </w:rPr>
        <w:t xml:space="preserve">cases in which </w:t>
      </w:r>
      <w:r w:rsidR="0008081A">
        <w:rPr>
          <w:rFonts w:ascii="Arial" w:hAnsi="Arial" w:cs="Arial"/>
          <w:szCs w:val="20"/>
        </w:rPr>
        <w:lastRenderedPageBreak/>
        <w:t xml:space="preserve">it </w:t>
      </w:r>
      <w:r w:rsidR="00DA5165">
        <w:rPr>
          <w:rFonts w:ascii="Arial" w:hAnsi="Arial" w:cs="Arial"/>
          <w:szCs w:val="20"/>
        </w:rPr>
        <w:t xml:space="preserve">does </w:t>
      </w:r>
      <w:r w:rsidR="0008081A">
        <w:rPr>
          <w:rFonts w:ascii="Arial" w:hAnsi="Arial" w:cs="Arial"/>
          <w:szCs w:val="20"/>
        </w:rPr>
        <w:t xml:space="preserve">not </w:t>
      </w:r>
      <w:r w:rsidR="00DA5165">
        <w:rPr>
          <w:rFonts w:ascii="Arial" w:hAnsi="Arial" w:cs="Arial"/>
          <w:szCs w:val="20"/>
        </w:rPr>
        <w:t xml:space="preserve">apply </w:t>
      </w:r>
      <w:r w:rsidR="0008081A">
        <w:rPr>
          <w:rFonts w:ascii="Arial" w:hAnsi="Arial" w:cs="Arial"/>
          <w:szCs w:val="20"/>
        </w:rPr>
        <w:t xml:space="preserve">and therefore no need for an exception.  In my judgment, Mr Malik's submission is misconceived. </w:t>
      </w:r>
    </w:p>
    <w:p w:rsidR="005759DE" w:rsidRDefault="0072388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my judgment, if the facts of a case are extreme, such that the </w:t>
      </w:r>
      <w:proofErr w:type="spellStart"/>
      <w:r w:rsidRPr="00723886">
        <w:rPr>
          <w:rFonts w:ascii="Arial" w:hAnsi="Arial" w:cs="Arial"/>
          <w:szCs w:val="20"/>
          <w:u w:val="single"/>
        </w:rPr>
        <w:t>Bouchereau</w:t>
      </w:r>
      <w:proofErr w:type="spellEnd"/>
      <w:r w:rsidRPr="00723886">
        <w:rPr>
          <w:rFonts w:ascii="Arial" w:hAnsi="Arial" w:cs="Arial"/>
          <w:szCs w:val="20"/>
        </w:rPr>
        <w:t xml:space="preserve"> exception</w:t>
      </w:r>
      <w:r>
        <w:rPr>
          <w:rFonts w:ascii="Arial" w:hAnsi="Arial"/>
        </w:rPr>
        <w:t xml:space="preserve"> applies, the individual's </w:t>
      </w:r>
      <w:r w:rsidR="009524EC">
        <w:rPr>
          <w:rFonts w:ascii="Arial" w:hAnsi="Arial"/>
        </w:rPr>
        <w:t xml:space="preserve">past conduct alone constitutes a present threat to the requirement of public policy. That much is clear from, for example, para 17 of </w:t>
      </w:r>
      <w:r w:rsidR="009524EC" w:rsidRPr="009524EC">
        <w:rPr>
          <w:rFonts w:ascii="Arial" w:hAnsi="Arial"/>
          <w:u w:val="single"/>
        </w:rPr>
        <w:t>Robinson (</w:t>
      </w:r>
      <w:smartTag w:uri="urn:schemas-microsoft-com:office:smarttags" w:element="place">
        <w:smartTag w:uri="urn:schemas-microsoft-com:office:smarttags" w:element="country-region">
          <w:r w:rsidR="009524EC" w:rsidRPr="009524EC">
            <w:rPr>
              <w:rFonts w:ascii="Arial" w:hAnsi="Arial"/>
              <w:u w:val="single"/>
            </w:rPr>
            <w:t>Jamaica</w:t>
          </w:r>
        </w:smartTag>
      </w:smartTag>
      <w:r w:rsidR="009524EC" w:rsidRPr="009524EC">
        <w:rPr>
          <w:rFonts w:ascii="Arial" w:hAnsi="Arial"/>
          <w:u w:val="single"/>
        </w:rPr>
        <w:t>)</w:t>
      </w:r>
      <w:r w:rsidR="009524EC">
        <w:rPr>
          <w:rFonts w:ascii="Arial" w:hAnsi="Arial"/>
        </w:rPr>
        <w:t xml:space="preserve">. </w:t>
      </w:r>
    </w:p>
    <w:p w:rsidR="005759DE" w:rsidRDefault="009524EC"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w:t>
      </w:r>
      <w:r w:rsidR="001E18C4">
        <w:rPr>
          <w:rFonts w:ascii="Arial" w:hAnsi="Arial"/>
        </w:rPr>
        <w:t>turn to consider (</w:t>
      </w:r>
      <w:proofErr w:type="spellStart"/>
      <w:r w:rsidR="001E18C4">
        <w:rPr>
          <w:rFonts w:ascii="Arial" w:hAnsi="Arial"/>
        </w:rPr>
        <w:t>i</w:t>
      </w:r>
      <w:proofErr w:type="spellEnd"/>
      <w:r w:rsidR="001E18C4">
        <w:rPr>
          <w:rFonts w:ascii="Arial" w:hAnsi="Arial"/>
        </w:rPr>
        <w:t>)</w:t>
      </w:r>
      <w:r>
        <w:rPr>
          <w:rFonts w:ascii="Arial" w:hAnsi="Arial"/>
        </w:rPr>
        <w:t xml:space="preserve">.  </w:t>
      </w:r>
    </w:p>
    <w:p w:rsidR="007C6F45" w:rsidRDefault="007C6F45"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consulted the judge's </w:t>
      </w:r>
      <w:proofErr w:type="spellStart"/>
      <w:r>
        <w:rPr>
          <w:rFonts w:ascii="Arial" w:hAnsi="Arial"/>
        </w:rPr>
        <w:t>RoP</w:t>
      </w:r>
      <w:proofErr w:type="spellEnd"/>
      <w:r>
        <w:rPr>
          <w:rFonts w:ascii="Arial" w:hAnsi="Arial"/>
        </w:rPr>
        <w:t xml:space="preserve"> at the hearing on 14 May 2018 and informed Mr Malik and Mr </w:t>
      </w:r>
      <w:proofErr w:type="spellStart"/>
      <w:r>
        <w:rPr>
          <w:rFonts w:ascii="Arial" w:hAnsi="Arial"/>
        </w:rPr>
        <w:t>Kotas</w:t>
      </w:r>
      <w:proofErr w:type="spellEnd"/>
      <w:r>
        <w:rPr>
          <w:rFonts w:ascii="Arial" w:hAnsi="Arial"/>
        </w:rPr>
        <w:t xml:space="preserve"> that there was no mention of the </w:t>
      </w:r>
      <w:proofErr w:type="spellStart"/>
      <w:r w:rsidRPr="0003334E">
        <w:rPr>
          <w:rFonts w:ascii="Arial" w:hAnsi="Arial" w:cs="Arial"/>
          <w:szCs w:val="20"/>
          <w:u w:val="single"/>
        </w:rPr>
        <w:t>Bouchereau</w:t>
      </w:r>
      <w:proofErr w:type="spellEnd"/>
      <w:r w:rsidRPr="0003334E">
        <w:rPr>
          <w:rFonts w:ascii="Arial" w:hAnsi="Arial" w:cs="Arial"/>
          <w:szCs w:val="20"/>
        </w:rPr>
        <w:t xml:space="preserve"> exception</w:t>
      </w:r>
      <w:r>
        <w:rPr>
          <w:rFonts w:ascii="Arial" w:hAnsi="Arial"/>
        </w:rPr>
        <w:t xml:space="preserve"> in the submissions of  the Presenting Officer who represented the Secretary of State before the judge. The Presenting Officer did, however, rely upon the decision letter. </w:t>
      </w:r>
    </w:p>
    <w:p w:rsidR="005759DE" w:rsidRDefault="007C6F45"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w:t>
      </w:r>
      <w:proofErr w:type="spellStart"/>
      <w:r>
        <w:rPr>
          <w:rFonts w:ascii="Arial" w:hAnsi="Arial"/>
        </w:rPr>
        <w:t>Kotas</w:t>
      </w:r>
      <w:proofErr w:type="spellEnd"/>
      <w:r>
        <w:rPr>
          <w:rFonts w:ascii="Arial" w:hAnsi="Arial"/>
        </w:rPr>
        <w:t xml:space="preserve"> relied upon paras 40, 41 and 79 of the decision letter. They read as follows</w:t>
      </w:r>
      <w:r w:rsidR="004D0532">
        <w:rPr>
          <w:rFonts w:ascii="Arial" w:hAnsi="Arial"/>
        </w:rPr>
        <w:t xml:space="preserve">: </w:t>
      </w:r>
    </w:p>
    <w:p w:rsidR="004D0532" w:rsidRDefault="004D0532" w:rsidP="004D0532">
      <w:pPr>
        <w:tabs>
          <w:tab w:val="left" w:pos="540"/>
          <w:tab w:val="left" w:pos="1080"/>
          <w:tab w:val="left" w:pos="1620"/>
          <w:tab w:val="left" w:pos="2160"/>
        </w:tabs>
        <w:ind w:left="539"/>
        <w:jc w:val="both"/>
        <w:rPr>
          <w:rFonts w:ascii="Arial" w:hAnsi="Arial"/>
        </w:rPr>
      </w:pPr>
    </w:p>
    <w:p w:rsidR="007C6F45" w:rsidRDefault="004D0532" w:rsidP="0008081A">
      <w:pPr>
        <w:tabs>
          <w:tab w:val="left" w:pos="540"/>
          <w:tab w:val="left" w:pos="1080"/>
          <w:tab w:val="left" w:pos="1620"/>
          <w:tab w:val="left" w:pos="2160"/>
        </w:tabs>
        <w:ind w:left="2161" w:hanging="1622"/>
        <w:jc w:val="both"/>
        <w:rPr>
          <w:rFonts w:ascii="Arial" w:hAnsi="Arial"/>
          <w:sz w:val="20"/>
        </w:rPr>
      </w:pPr>
      <w:r w:rsidRPr="0008081A">
        <w:rPr>
          <w:rFonts w:ascii="Arial" w:hAnsi="Arial"/>
          <w:sz w:val="20"/>
        </w:rPr>
        <w:tab/>
      </w:r>
      <w:r w:rsidR="0008081A" w:rsidRPr="0008081A">
        <w:rPr>
          <w:rFonts w:ascii="Arial" w:hAnsi="Arial"/>
          <w:sz w:val="20"/>
        </w:rPr>
        <w:tab/>
      </w:r>
      <w:r w:rsidR="0008081A" w:rsidRPr="0008081A">
        <w:rPr>
          <w:rFonts w:ascii="Arial" w:hAnsi="Arial"/>
          <w:sz w:val="20"/>
        </w:rPr>
        <w:tab/>
        <w:t>"</w:t>
      </w:r>
      <w:r w:rsidR="007C6F45">
        <w:rPr>
          <w:rFonts w:ascii="Arial" w:hAnsi="Arial"/>
          <w:sz w:val="20"/>
        </w:rPr>
        <w:t>40.</w:t>
      </w:r>
      <w:r w:rsidR="007C6F45">
        <w:rPr>
          <w:rFonts w:ascii="Arial" w:hAnsi="Arial"/>
          <w:sz w:val="20"/>
        </w:rPr>
        <w:tab/>
      </w:r>
      <w:r w:rsidR="009A284F">
        <w:rPr>
          <w:rFonts w:ascii="Arial" w:hAnsi="Arial"/>
          <w:sz w:val="20"/>
        </w:rPr>
        <w:t xml:space="preserve">The [Crown Court] has determined that [the claimant's] crime is of such severity that he will always continue to be a threat to the community such that his release on licence means that he could be subject to recall to prison at any time for any breach of his conditions. </w:t>
      </w:r>
    </w:p>
    <w:p w:rsidR="007C6F45" w:rsidRDefault="007C6F45" w:rsidP="0008081A">
      <w:pPr>
        <w:tabs>
          <w:tab w:val="left" w:pos="540"/>
          <w:tab w:val="left" w:pos="1080"/>
          <w:tab w:val="left" w:pos="1620"/>
          <w:tab w:val="left" w:pos="2160"/>
        </w:tabs>
        <w:ind w:left="2161" w:hanging="1622"/>
        <w:jc w:val="both"/>
        <w:rPr>
          <w:rFonts w:ascii="Arial" w:hAnsi="Arial"/>
          <w:sz w:val="20"/>
        </w:rPr>
      </w:pPr>
    </w:p>
    <w:p w:rsidR="00715112" w:rsidRDefault="007C6F45" w:rsidP="0008081A">
      <w:pPr>
        <w:tabs>
          <w:tab w:val="left" w:pos="540"/>
          <w:tab w:val="left" w:pos="1080"/>
          <w:tab w:val="left" w:pos="1620"/>
          <w:tab w:val="left" w:pos="2160"/>
        </w:tabs>
        <w:ind w:left="2161" w:hanging="1622"/>
        <w:jc w:val="both"/>
        <w:rPr>
          <w:rFonts w:ascii="Arial" w:hAnsi="Arial"/>
          <w:sz w:val="20"/>
        </w:rPr>
      </w:pPr>
      <w:r>
        <w:rPr>
          <w:rFonts w:ascii="Arial" w:hAnsi="Arial"/>
          <w:sz w:val="20"/>
        </w:rPr>
        <w:tab/>
      </w:r>
      <w:r>
        <w:rPr>
          <w:rFonts w:ascii="Arial" w:hAnsi="Arial"/>
          <w:sz w:val="20"/>
        </w:rPr>
        <w:tab/>
      </w:r>
      <w:r>
        <w:rPr>
          <w:rFonts w:ascii="Arial" w:hAnsi="Arial"/>
          <w:sz w:val="20"/>
        </w:rPr>
        <w:tab/>
      </w:r>
      <w:r w:rsidR="0008081A" w:rsidRPr="0008081A">
        <w:rPr>
          <w:rFonts w:ascii="Arial" w:hAnsi="Arial"/>
          <w:sz w:val="20"/>
        </w:rPr>
        <w:t>41.</w:t>
      </w:r>
      <w:r w:rsidR="0008081A" w:rsidRPr="0008081A">
        <w:rPr>
          <w:rFonts w:ascii="Arial" w:hAnsi="Arial"/>
          <w:sz w:val="20"/>
        </w:rPr>
        <w:tab/>
        <w:t>All the available evidence indicates that [the claimant] has a propensity to re-offend and that he presents a genuine, present and sufficiently serious threat to the public  to justify his deportation on grounds of public policy.</w:t>
      </w:r>
    </w:p>
    <w:p w:rsidR="00715112" w:rsidRPr="00715112" w:rsidRDefault="00715112" w:rsidP="0008081A">
      <w:pPr>
        <w:tabs>
          <w:tab w:val="left" w:pos="540"/>
          <w:tab w:val="left" w:pos="1080"/>
          <w:tab w:val="left" w:pos="1620"/>
          <w:tab w:val="left" w:pos="2160"/>
        </w:tabs>
        <w:ind w:left="2161" w:hanging="1622"/>
        <w:jc w:val="both"/>
        <w:rPr>
          <w:rFonts w:ascii="Arial" w:hAnsi="Arial"/>
          <w:sz w:val="20"/>
        </w:rPr>
      </w:pPr>
    </w:p>
    <w:p w:rsidR="004D0532" w:rsidRPr="00715112" w:rsidRDefault="00715112" w:rsidP="0008081A">
      <w:pPr>
        <w:tabs>
          <w:tab w:val="left" w:pos="540"/>
          <w:tab w:val="left" w:pos="1080"/>
          <w:tab w:val="left" w:pos="1620"/>
          <w:tab w:val="left" w:pos="2160"/>
        </w:tabs>
        <w:ind w:left="2161" w:hanging="1622"/>
        <w:jc w:val="both"/>
        <w:rPr>
          <w:rFonts w:ascii="Arial" w:hAnsi="Arial"/>
          <w:sz w:val="20"/>
        </w:rPr>
      </w:pPr>
      <w:r w:rsidRPr="00715112">
        <w:rPr>
          <w:rFonts w:ascii="Arial" w:hAnsi="Arial"/>
          <w:sz w:val="20"/>
        </w:rPr>
        <w:tab/>
      </w:r>
      <w:r w:rsidRPr="00715112">
        <w:rPr>
          <w:rFonts w:ascii="Arial" w:hAnsi="Arial"/>
          <w:sz w:val="20"/>
        </w:rPr>
        <w:tab/>
      </w:r>
      <w:r w:rsidRPr="00715112">
        <w:rPr>
          <w:rFonts w:ascii="Arial" w:hAnsi="Arial"/>
          <w:sz w:val="20"/>
        </w:rPr>
        <w:tab/>
        <w:t>79.</w:t>
      </w:r>
      <w:r>
        <w:rPr>
          <w:rFonts w:ascii="Arial" w:hAnsi="Arial"/>
          <w:sz w:val="20"/>
        </w:rPr>
        <w:tab/>
        <w:t xml:space="preserve">It is also appropriate to note [the claimant's] failure to demonstrate that he has made </w:t>
      </w:r>
      <w:r w:rsidR="007C6F45">
        <w:rPr>
          <w:rFonts w:ascii="Arial" w:hAnsi="Arial"/>
          <w:sz w:val="20"/>
        </w:rPr>
        <w:t>a</w:t>
      </w:r>
      <w:r>
        <w:rPr>
          <w:rFonts w:ascii="Arial" w:hAnsi="Arial"/>
          <w:sz w:val="20"/>
        </w:rPr>
        <w:t>ny efforts to reh</w:t>
      </w:r>
      <w:r w:rsidR="007C6F45">
        <w:rPr>
          <w:rFonts w:ascii="Arial" w:hAnsi="Arial"/>
          <w:sz w:val="20"/>
        </w:rPr>
        <w:t xml:space="preserve">abilitate </w:t>
      </w:r>
      <w:r>
        <w:rPr>
          <w:rFonts w:ascii="Arial" w:hAnsi="Arial"/>
          <w:sz w:val="20"/>
        </w:rPr>
        <w:t xml:space="preserve">or address his offending behaviour. As such the Secretary of State is satisfied that the </w:t>
      </w:r>
      <w:r w:rsidR="007C6F45">
        <w:rPr>
          <w:rFonts w:ascii="Arial" w:hAnsi="Arial"/>
          <w:sz w:val="20"/>
        </w:rPr>
        <w:t>n</w:t>
      </w:r>
      <w:r>
        <w:rPr>
          <w:rFonts w:ascii="Arial" w:hAnsi="Arial"/>
          <w:sz w:val="20"/>
        </w:rPr>
        <w:t>at</w:t>
      </w:r>
      <w:r w:rsidR="007C6F45">
        <w:rPr>
          <w:rFonts w:ascii="Arial" w:hAnsi="Arial"/>
          <w:sz w:val="20"/>
        </w:rPr>
        <w:t>u</w:t>
      </w:r>
      <w:r>
        <w:rPr>
          <w:rFonts w:ascii="Arial" w:hAnsi="Arial"/>
          <w:sz w:val="20"/>
        </w:rPr>
        <w:t>re and severity of [the claimant's] offence are factors which fully engage the public interest in sec</w:t>
      </w:r>
      <w:r w:rsidR="007C6F45">
        <w:rPr>
          <w:rFonts w:ascii="Arial" w:hAnsi="Arial"/>
          <w:sz w:val="20"/>
        </w:rPr>
        <w:t xml:space="preserve">uring </w:t>
      </w:r>
      <w:r>
        <w:rPr>
          <w:rFonts w:ascii="Arial" w:hAnsi="Arial"/>
          <w:sz w:val="20"/>
        </w:rPr>
        <w:t xml:space="preserve">his </w:t>
      </w:r>
      <w:r w:rsidR="007C6F45">
        <w:rPr>
          <w:rFonts w:ascii="Arial" w:hAnsi="Arial"/>
          <w:sz w:val="20"/>
        </w:rPr>
        <w:t xml:space="preserve">removal </w:t>
      </w:r>
      <w:r>
        <w:rPr>
          <w:rFonts w:ascii="Arial" w:hAnsi="Arial"/>
          <w:sz w:val="20"/>
        </w:rPr>
        <w:t xml:space="preserve">from the United Kingdom, both in the interests of preventing further offending of this nature on [the claimant's] part, </w:t>
      </w:r>
      <w:r w:rsidR="007C6F45">
        <w:rPr>
          <w:rFonts w:ascii="Arial" w:hAnsi="Arial"/>
          <w:sz w:val="20"/>
        </w:rPr>
        <w:t xml:space="preserve">establishing </w:t>
      </w:r>
      <w:r>
        <w:rPr>
          <w:rFonts w:ascii="Arial" w:hAnsi="Arial"/>
          <w:sz w:val="20"/>
        </w:rPr>
        <w:t>a deterrent to o</w:t>
      </w:r>
      <w:r w:rsidR="007C6F45">
        <w:rPr>
          <w:rFonts w:ascii="Arial" w:hAnsi="Arial"/>
          <w:sz w:val="20"/>
        </w:rPr>
        <w:t>th</w:t>
      </w:r>
      <w:r>
        <w:rPr>
          <w:rFonts w:ascii="Arial" w:hAnsi="Arial"/>
          <w:sz w:val="20"/>
        </w:rPr>
        <w:t xml:space="preserve">ers, expressing society's revulsion </w:t>
      </w:r>
      <w:r w:rsidR="007C6F45">
        <w:rPr>
          <w:rFonts w:ascii="Arial" w:hAnsi="Arial"/>
          <w:sz w:val="20"/>
        </w:rPr>
        <w:t xml:space="preserve">about serious drugs-related criminality and building and maintaining public confidence in the consistent treatment of foreign criminals." </w:t>
      </w:r>
    </w:p>
    <w:p w:rsidR="005759DE" w:rsidRDefault="004D0532"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w:t>
      </w:r>
      <w:proofErr w:type="spellStart"/>
      <w:r>
        <w:rPr>
          <w:rFonts w:ascii="Arial" w:hAnsi="Arial"/>
        </w:rPr>
        <w:t>Kotas</w:t>
      </w:r>
      <w:proofErr w:type="spellEnd"/>
      <w:r>
        <w:rPr>
          <w:rFonts w:ascii="Arial" w:hAnsi="Arial"/>
        </w:rPr>
        <w:t xml:space="preserve"> </w:t>
      </w:r>
      <w:r w:rsidR="009A284F">
        <w:rPr>
          <w:rFonts w:ascii="Arial" w:hAnsi="Arial"/>
        </w:rPr>
        <w:t xml:space="preserve">asked me to bear in that, in the judgment </w:t>
      </w:r>
      <w:r>
        <w:rPr>
          <w:rFonts w:ascii="Arial" w:hAnsi="Arial"/>
        </w:rPr>
        <w:t xml:space="preserve">of the Court of Appeal in </w:t>
      </w:r>
      <w:r w:rsidRPr="0003334E">
        <w:rPr>
          <w:rFonts w:ascii="Arial" w:hAnsi="Arial"/>
          <w:u w:val="single"/>
        </w:rPr>
        <w:t xml:space="preserve">SSHD v </w:t>
      </w:r>
      <w:proofErr w:type="spellStart"/>
      <w:r w:rsidRPr="0003334E">
        <w:rPr>
          <w:rFonts w:ascii="Arial" w:hAnsi="Arial"/>
          <w:u w:val="single"/>
        </w:rPr>
        <w:t>Str</w:t>
      </w:r>
      <w:r w:rsidR="0003334E" w:rsidRPr="0003334E">
        <w:rPr>
          <w:rFonts w:ascii="Arial" w:hAnsi="Arial"/>
          <w:u w:val="single"/>
        </w:rPr>
        <w:t>a</w:t>
      </w:r>
      <w:r w:rsidRPr="0003334E">
        <w:rPr>
          <w:rFonts w:ascii="Arial" w:hAnsi="Arial"/>
          <w:u w:val="single"/>
        </w:rPr>
        <w:t>s</w:t>
      </w:r>
      <w:r w:rsidR="0003334E" w:rsidRPr="0003334E">
        <w:rPr>
          <w:rFonts w:ascii="Arial" w:hAnsi="Arial"/>
          <w:u w:val="single"/>
        </w:rPr>
        <w:t>z</w:t>
      </w:r>
      <w:r w:rsidRPr="0003334E">
        <w:rPr>
          <w:rFonts w:ascii="Arial" w:hAnsi="Arial"/>
          <w:u w:val="single"/>
        </w:rPr>
        <w:t>ewski</w:t>
      </w:r>
      <w:proofErr w:type="spellEnd"/>
      <w:r>
        <w:rPr>
          <w:rFonts w:ascii="Arial" w:hAnsi="Arial"/>
        </w:rPr>
        <w:t xml:space="preserve"> [2015] EWCA </w:t>
      </w:r>
      <w:proofErr w:type="spellStart"/>
      <w:r>
        <w:rPr>
          <w:rFonts w:ascii="Arial" w:hAnsi="Arial"/>
        </w:rPr>
        <w:t>Civ</w:t>
      </w:r>
      <w:proofErr w:type="spellEnd"/>
      <w:r>
        <w:rPr>
          <w:rFonts w:ascii="Arial" w:hAnsi="Arial"/>
        </w:rPr>
        <w:t xml:space="preserve"> 1245, Moore-Bick LJ </w:t>
      </w:r>
      <w:r w:rsidR="0003334E">
        <w:rPr>
          <w:rFonts w:ascii="Arial" w:hAnsi="Arial"/>
        </w:rPr>
        <w:t>said he could “</w:t>
      </w:r>
      <w:r w:rsidR="0003334E" w:rsidRPr="0008081A">
        <w:rPr>
          <w:rFonts w:ascii="Arial" w:hAnsi="Arial"/>
          <w:i/>
        </w:rPr>
        <w:t>see some force</w:t>
      </w:r>
      <w:r w:rsidR="0003334E">
        <w:rPr>
          <w:rFonts w:ascii="Arial" w:hAnsi="Arial"/>
        </w:rPr>
        <w:t xml:space="preserve">” in the submission on behalf of the claimant </w:t>
      </w:r>
      <w:r w:rsidR="009A284F">
        <w:rPr>
          <w:rFonts w:ascii="Arial" w:hAnsi="Arial"/>
        </w:rPr>
        <w:t xml:space="preserve">in that case </w:t>
      </w:r>
      <w:r w:rsidR="0003334E">
        <w:rPr>
          <w:rFonts w:ascii="Arial" w:hAnsi="Arial"/>
        </w:rPr>
        <w:t xml:space="preserve">that the decision in </w:t>
      </w:r>
      <w:r w:rsidR="0008081A" w:rsidRPr="0008081A">
        <w:rPr>
          <w:rFonts w:ascii="Arial" w:hAnsi="Arial"/>
          <w:u w:val="single"/>
        </w:rPr>
        <w:t xml:space="preserve">R v SSHD ex </w:t>
      </w:r>
      <w:proofErr w:type="spellStart"/>
      <w:r w:rsidR="0008081A" w:rsidRPr="0008081A">
        <w:rPr>
          <w:rFonts w:ascii="Arial" w:hAnsi="Arial"/>
          <w:u w:val="single"/>
        </w:rPr>
        <w:t>parte</w:t>
      </w:r>
      <w:proofErr w:type="spellEnd"/>
      <w:r w:rsidR="0008081A" w:rsidRPr="0008081A">
        <w:rPr>
          <w:rFonts w:ascii="Arial" w:hAnsi="Arial"/>
          <w:u w:val="single"/>
        </w:rPr>
        <w:t xml:space="preserve"> </w:t>
      </w:r>
      <w:proofErr w:type="spellStart"/>
      <w:r w:rsidR="0003334E" w:rsidRPr="0008081A">
        <w:rPr>
          <w:rFonts w:ascii="Arial" w:hAnsi="Arial"/>
          <w:u w:val="single"/>
        </w:rPr>
        <w:t>Marchon</w:t>
      </w:r>
      <w:proofErr w:type="spellEnd"/>
      <w:r w:rsidR="0003334E">
        <w:rPr>
          <w:rFonts w:ascii="Arial" w:hAnsi="Arial"/>
        </w:rPr>
        <w:t xml:space="preserve"> </w:t>
      </w:r>
      <w:r w:rsidR="0008081A">
        <w:rPr>
          <w:rFonts w:ascii="Arial" w:hAnsi="Arial"/>
        </w:rPr>
        <w:t xml:space="preserve">[1993] 2 C.M.L.R. 132 </w:t>
      </w:r>
      <w:r w:rsidR="0003334E">
        <w:rPr>
          <w:rFonts w:ascii="Arial" w:hAnsi="Arial"/>
        </w:rPr>
        <w:t>could no longer be regarded as representing Community law</w:t>
      </w:r>
      <w:r w:rsidR="009A284F">
        <w:rPr>
          <w:rFonts w:ascii="Arial" w:hAnsi="Arial"/>
        </w:rPr>
        <w:t xml:space="preserve">. </w:t>
      </w:r>
      <w:r w:rsidR="00622116">
        <w:rPr>
          <w:rFonts w:ascii="Arial" w:hAnsi="Arial"/>
        </w:rPr>
        <w:t>As at the date of the decision letter, t</w:t>
      </w:r>
      <w:r w:rsidR="009A284F">
        <w:rPr>
          <w:rFonts w:ascii="Arial" w:hAnsi="Arial"/>
        </w:rPr>
        <w:t xml:space="preserve">here was therefore some lack of clarity as to whether the </w:t>
      </w:r>
      <w:proofErr w:type="spellStart"/>
      <w:r w:rsidR="009A284F" w:rsidRPr="009A284F">
        <w:rPr>
          <w:rFonts w:ascii="Arial" w:hAnsi="Arial" w:cs="Arial"/>
          <w:szCs w:val="20"/>
          <w:u w:val="single"/>
        </w:rPr>
        <w:t>Bouchereau</w:t>
      </w:r>
      <w:proofErr w:type="spellEnd"/>
      <w:r w:rsidR="009A284F" w:rsidRPr="009A284F">
        <w:rPr>
          <w:rFonts w:ascii="Arial" w:hAnsi="Arial"/>
        </w:rPr>
        <w:t xml:space="preserve"> exception</w:t>
      </w:r>
      <w:r w:rsidR="009A284F">
        <w:rPr>
          <w:rFonts w:ascii="Arial" w:hAnsi="Arial"/>
        </w:rPr>
        <w:t xml:space="preserve"> continued to apply. The decision letter was issued in the period </w:t>
      </w:r>
      <w:r w:rsidR="000342EC">
        <w:rPr>
          <w:rFonts w:ascii="Arial" w:hAnsi="Arial"/>
        </w:rPr>
        <w:t xml:space="preserve">between </w:t>
      </w:r>
      <w:r w:rsidR="009A284F">
        <w:rPr>
          <w:rFonts w:ascii="Arial" w:hAnsi="Arial"/>
        </w:rPr>
        <w:t xml:space="preserve">the judgment in </w:t>
      </w:r>
      <w:proofErr w:type="spellStart"/>
      <w:r w:rsidR="009A284F" w:rsidRPr="009A284F">
        <w:rPr>
          <w:rFonts w:ascii="Arial" w:hAnsi="Arial"/>
          <w:u w:val="single"/>
        </w:rPr>
        <w:t>Straszewski</w:t>
      </w:r>
      <w:proofErr w:type="spellEnd"/>
      <w:r w:rsidR="009A284F">
        <w:rPr>
          <w:rFonts w:ascii="Arial" w:hAnsi="Arial"/>
        </w:rPr>
        <w:t xml:space="preserve"> and the judgment in </w:t>
      </w:r>
      <w:r w:rsidR="009A284F" w:rsidRPr="009A284F">
        <w:rPr>
          <w:rFonts w:ascii="Arial" w:hAnsi="Arial"/>
          <w:u w:val="single"/>
        </w:rPr>
        <w:t>Robinson (Jamaica)</w:t>
      </w:r>
      <w:r w:rsidR="009A284F">
        <w:rPr>
          <w:rFonts w:ascii="Arial" w:hAnsi="Arial"/>
        </w:rPr>
        <w:t xml:space="preserve">. Bearing this in mind, Mr </w:t>
      </w:r>
      <w:proofErr w:type="spellStart"/>
      <w:r w:rsidR="009A284F">
        <w:rPr>
          <w:rFonts w:ascii="Arial" w:hAnsi="Arial"/>
        </w:rPr>
        <w:t>Kotas</w:t>
      </w:r>
      <w:proofErr w:type="spellEnd"/>
      <w:r w:rsidR="009A284F">
        <w:rPr>
          <w:rFonts w:ascii="Arial" w:hAnsi="Arial"/>
        </w:rPr>
        <w:t xml:space="preserve"> submitted that paras 41 and 79 show that the Secretary of State was saying that the claimant's offences were so serious that broader considerations of public policy were engaged. </w:t>
      </w:r>
    </w:p>
    <w:p w:rsidR="00107968" w:rsidRDefault="00C5014C"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Malik submitted that a distinction needs to be drawn between the bare fact of conviction and the underlying conduct. He submitted that </w:t>
      </w:r>
      <w:r w:rsidR="00ED4C89">
        <w:rPr>
          <w:rFonts w:ascii="Arial" w:hAnsi="Arial"/>
        </w:rPr>
        <w:t xml:space="preserve">para </w:t>
      </w:r>
      <w:r>
        <w:rPr>
          <w:rFonts w:ascii="Arial" w:hAnsi="Arial"/>
        </w:rPr>
        <w:t>4</w:t>
      </w:r>
      <w:r w:rsidR="00ED4C89">
        <w:rPr>
          <w:rFonts w:ascii="Arial" w:hAnsi="Arial"/>
        </w:rPr>
        <w:t>0</w:t>
      </w:r>
      <w:r w:rsidR="0009505B">
        <w:rPr>
          <w:rFonts w:ascii="Arial" w:hAnsi="Arial"/>
        </w:rPr>
        <w:t xml:space="preserve"> of the decision letter</w:t>
      </w:r>
      <w:r w:rsidR="00ED4C89">
        <w:rPr>
          <w:rFonts w:ascii="Arial" w:hAnsi="Arial"/>
        </w:rPr>
        <w:t xml:space="preserve">, which simply says that the fact that the claimant was released on licence means that he was a threat to the community, </w:t>
      </w:r>
      <w:r>
        <w:rPr>
          <w:rFonts w:ascii="Arial" w:hAnsi="Arial"/>
        </w:rPr>
        <w:t xml:space="preserve">concerns the bare fact of the claimant's convictions. In his submission, </w:t>
      </w:r>
      <w:r w:rsidR="0009505B">
        <w:rPr>
          <w:rFonts w:ascii="Arial" w:hAnsi="Arial"/>
        </w:rPr>
        <w:t xml:space="preserve">para </w:t>
      </w:r>
      <w:r>
        <w:rPr>
          <w:rFonts w:ascii="Arial" w:hAnsi="Arial"/>
        </w:rPr>
        <w:t xml:space="preserve">40 was not sufficient to show that the Secretary of State had relied upon the </w:t>
      </w:r>
      <w:proofErr w:type="spellStart"/>
      <w:r w:rsidRPr="00C5014C">
        <w:rPr>
          <w:rFonts w:ascii="Arial" w:hAnsi="Arial" w:cs="Arial"/>
          <w:szCs w:val="20"/>
          <w:u w:val="single"/>
        </w:rPr>
        <w:t>Bouchereau</w:t>
      </w:r>
      <w:proofErr w:type="spellEnd"/>
      <w:r w:rsidRPr="00C5014C">
        <w:rPr>
          <w:rFonts w:ascii="Arial" w:hAnsi="Arial"/>
        </w:rPr>
        <w:t xml:space="preserve"> exception</w:t>
      </w:r>
      <w:r>
        <w:rPr>
          <w:rFonts w:ascii="Arial" w:hAnsi="Arial"/>
        </w:rPr>
        <w:t xml:space="preserve">. </w:t>
      </w:r>
      <w:r w:rsidR="0092373B">
        <w:rPr>
          <w:rFonts w:ascii="Arial" w:hAnsi="Arial"/>
        </w:rPr>
        <w:t>What was required was a fact-sensit</w:t>
      </w:r>
      <w:r w:rsidR="00ED4C89">
        <w:rPr>
          <w:rFonts w:ascii="Arial" w:hAnsi="Arial"/>
        </w:rPr>
        <w:t xml:space="preserve">ive </w:t>
      </w:r>
      <w:r w:rsidR="0092373B">
        <w:rPr>
          <w:rFonts w:ascii="Arial" w:hAnsi="Arial"/>
        </w:rPr>
        <w:t xml:space="preserve">assessment of the circumstances of the offence. </w:t>
      </w:r>
    </w:p>
    <w:p w:rsidR="0092373B" w:rsidRDefault="0092373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Malik submitted that the decision letter did not raise the </w:t>
      </w:r>
      <w:proofErr w:type="spellStart"/>
      <w:r w:rsidRPr="0092373B">
        <w:rPr>
          <w:rFonts w:ascii="Arial" w:hAnsi="Arial" w:cs="Arial"/>
          <w:szCs w:val="20"/>
          <w:u w:val="single"/>
        </w:rPr>
        <w:t>Bouchereau</w:t>
      </w:r>
      <w:proofErr w:type="spellEnd"/>
      <w:r w:rsidRPr="0092373B">
        <w:rPr>
          <w:rFonts w:ascii="Arial" w:hAnsi="Arial"/>
        </w:rPr>
        <w:t xml:space="preserve"> exception</w:t>
      </w:r>
      <w:r>
        <w:rPr>
          <w:rFonts w:ascii="Arial" w:hAnsi="Arial"/>
        </w:rPr>
        <w:t xml:space="preserve"> but that, even if it did, the Secretary of State's consideration of its application was wrong. </w:t>
      </w:r>
      <w:r>
        <w:rPr>
          <w:rFonts w:ascii="Arial" w:hAnsi="Arial"/>
        </w:rPr>
        <w:lastRenderedPageBreak/>
        <w:t xml:space="preserve">It was therefore unfair to criticise the judge for not having dealt with the </w:t>
      </w:r>
      <w:proofErr w:type="spellStart"/>
      <w:r w:rsidRPr="0092373B">
        <w:rPr>
          <w:rFonts w:ascii="Arial" w:hAnsi="Arial" w:cs="Arial"/>
          <w:szCs w:val="20"/>
          <w:u w:val="single"/>
        </w:rPr>
        <w:t>Bouchereau</w:t>
      </w:r>
      <w:proofErr w:type="spellEnd"/>
      <w:r w:rsidRPr="0092373B">
        <w:rPr>
          <w:rFonts w:ascii="Arial" w:hAnsi="Arial"/>
        </w:rPr>
        <w:t xml:space="preserve"> exception</w:t>
      </w:r>
      <w:r>
        <w:rPr>
          <w:rFonts w:ascii="Arial" w:hAnsi="Arial"/>
        </w:rPr>
        <w:t xml:space="preserve">. </w:t>
      </w:r>
    </w:p>
    <w:p w:rsidR="0003334E" w:rsidRDefault="0092373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Malik submitted that, if the decision letter did not rely upon the </w:t>
      </w:r>
      <w:proofErr w:type="spellStart"/>
      <w:r w:rsidRPr="0092373B">
        <w:rPr>
          <w:rFonts w:ascii="Arial" w:hAnsi="Arial" w:cs="Arial"/>
          <w:szCs w:val="20"/>
          <w:u w:val="single"/>
        </w:rPr>
        <w:t>Bouchereau</w:t>
      </w:r>
      <w:proofErr w:type="spellEnd"/>
      <w:r w:rsidRPr="0092373B">
        <w:rPr>
          <w:rFonts w:ascii="Arial" w:hAnsi="Arial"/>
        </w:rPr>
        <w:t xml:space="preserve"> exception</w:t>
      </w:r>
      <w:r>
        <w:rPr>
          <w:rFonts w:ascii="Arial" w:hAnsi="Arial"/>
        </w:rPr>
        <w:t xml:space="preserve">, then the judge was not obliged to deal with it. </w:t>
      </w:r>
    </w:p>
    <w:p w:rsidR="0092373B" w:rsidRDefault="0092373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Malik informed me that, in the event that I decided that the </w:t>
      </w:r>
      <w:proofErr w:type="spellStart"/>
      <w:r w:rsidRPr="0092373B">
        <w:rPr>
          <w:rFonts w:ascii="Arial" w:hAnsi="Arial" w:cs="Arial"/>
          <w:szCs w:val="20"/>
          <w:u w:val="single"/>
        </w:rPr>
        <w:t>Bouchereau</w:t>
      </w:r>
      <w:proofErr w:type="spellEnd"/>
      <w:r w:rsidRPr="0092373B">
        <w:rPr>
          <w:rFonts w:ascii="Arial" w:hAnsi="Arial"/>
        </w:rPr>
        <w:t xml:space="preserve"> exception</w:t>
      </w:r>
      <w:r>
        <w:rPr>
          <w:rFonts w:ascii="Arial" w:hAnsi="Arial"/>
        </w:rPr>
        <w:t xml:space="preserve"> was raised in the decision letter or that the judge should have dealt with it, he did not seek to argue that the judge did not materially err in law. </w:t>
      </w:r>
    </w:p>
    <w:p w:rsidR="0092373B" w:rsidRDefault="0005796A"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agree with Mr </w:t>
      </w:r>
      <w:proofErr w:type="spellStart"/>
      <w:r>
        <w:rPr>
          <w:rFonts w:ascii="Arial" w:hAnsi="Arial"/>
        </w:rPr>
        <w:t>Kotas</w:t>
      </w:r>
      <w:proofErr w:type="spellEnd"/>
      <w:r>
        <w:rPr>
          <w:rFonts w:ascii="Arial" w:hAnsi="Arial"/>
        </w:rPr>
        <w:t xml:space="preserve"> that it is relevant to take into account the fact that the decision letter was written in the period when there was some lack of clarity as to whether the </w:t>
      </w:r>
      <w:proofErr w:type="spellStart"/>
      <w:r w:rsidRPr="0005796A">
        <w:rPr>
          <w:rFonts w:ascii="Arial" w:hAnsi="Arial" w:cs="Arial"/>
          <w:szCs w:val="20"/>
          <w:u w:val="single"/>
        </w:rPr>
        <w:t>Bouchereau</w:t>
      </w:r>
      <w:proofErr w:type="spellEnd"/>
      <w:r w:rsidRPr="0005796A">
        <w:rPr>
          <w:rFonts w:ascii="Arial" w:hAnsi="Arial"/>
        </w:rPr>
        <w:t xml:space="preserve"> exception</w:t>
      </w:r>
      <w:r>
        <w:rPr>
          <w:rFonts w:ascii="Arial" w:hAnsi="Arial"/>
        </w:rPr>
        <w:t xml:space="preserve"> applied as a result of the comments of Moore-Bick LJ in </w:t>
      </w:r>
      <w:proofErr w:type="spellStart"/>
      <w:r w:rsidRPr="0005796A">
        <w:rPr>
          <w:rFonts w:ascii="Arial" w:hAnsi="Arial"/>
          <w:u w:val="single"/>
        </w:rPr>
        <w:t>Straszewski</w:t>
      </w:r>
      <w:proofErr w:type="spellEnd"/>
      <w:r w:rsidRPr="0009505B">
        <w:rPr>
          <w:rFonts w:ascii="Arial" w:hAnsi="Arial"/>
        </w:rPr>
        <w:t>. In</w:t>
      </w:r>
      <w:r>
        <w:rPr>
          <w:rFonts w:ascii="Arial" w:hAnsi="Arial"/>
        </w:rPr>
        <w:t xml:space="preserve"> my judgement, it is clear from paras 41 and 79 </w:t>
      </w:r>
      <w:r w:rsidR="0009505B">
        <w:rPr>
          <w:rFonts w:ascii="Arial" w:hAnsi="Arial"/>
        </w:rPr>
        <w:t xml:space="preserve">of the decision letter </w:t>
      </w:r>
      <w:r>
        <w:rPr>
          <w:rFonts w:ascii="Arial" w:hAnsi="Arial"/>
        </w:rPr>
        <w:t xml:space="preserve">that the Secretary of State was essentially saying that there were wider considerations of </w:t>
      </w:r>
      <w:r w:rsidR="00DE1BAA">
        <w:rPr>
          <w:rFonts w:ascii="Arial" w:hAnsi="Arial"/>
        </w:rPr>
        <w:t xml:space="preserve">public </w:t>
      </w:r>
      <w:r>
        <w:rPr>
          <w:rFonts w:ascii="Arial" w:hAnsi="Arial"/>
        </w:rPr>
        <w:t xml:space="preserve">policy which justified deporting him. This was sufficient, in my view, to show that the </w:t>
      </w:r>
      <w:proofErr w:type="spellStart"/>
      <w:r w:rsidRPr="0005796A">
        <w:rPr>
          <w:rFonts w:ascii="Arial" w:hAnsi="Arial" w:cs="Arial"/>
          <w:szCs w:val="20"/>
          <w:u w:val="single"/>
        </w:rPr>
        <w:t>Bouchereau</w:t>
      </w:r>
      <w:proofErr w:type="spellEnd"/>
      <w:r w:rsidRPr="0005796A">
        <w:rPr>
          <w:rFonts w:ascii="Arial" w:hAnsi="Arial"/>
        </w:rPr>
        <w:t xml:space="preserve"> exception</w:t>
      </w:r>
      <w:r>
        <w:rPr>
          <w:rFonts w:ascii="Arial" w:hAnsi="Arial"/>
        </w:rPr>
        <w:t xml:space="preserve"> was relied upon. </w:t>
      </w:r>
    </w:p>
    <w:p w:rsidR="0092373B" w:rsidRDefault="0005796A"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Malik also relied upon the fact that the decision letter did not engage with the specific circumstances of the instant case in order to assess whether the </w:t>
      </w:r>
      <w:proofErr w:type="spellStart"/>
      <w:r w:rsidRPr="0005796A">
        <w:rPr>
          <w:rFonts w:ascii="Arial" w:hAnsi="Arial" w:cs="Arial"/>
          <w:szCs w:val="20"/>
          <w:u w:val="single"/>
        </w:rPr>
        <w:t>Bouchereau</w:t>
      </w:r>
      <w:proofErr w:type="spellEnd"/>
      <w:r w:rsidRPr="0005796A">
        <w:rPr>
          <w:rFonts w:ascii="Arial" w:hAnsi="Arial"/>
        </w:rPr>
        <w:t xml:space="preserve"> exception</w:t>
      </w:r>
      <w:r>
        <w:rPr>
          <w:rFonts w:ascii="Arial" w:hAnsi="Arial"/>
        </w:rPr>
        <w:t xml:space="preserve"> applied</w:t>
      </w:r>
      <w:r w:rsidR="0009505B">
        <w:rPr>
          <w:rFonts w:ascii="Arial" w:hAnsi="Arial"/>
        </w:rPr>
        <w:t xml:space="preserve"> in support of his submission that the decision letter did not raise the </w:t>
      </w:r>
      <w:proofErr w:type="spellStart"/>
      <w:r w:rsidR="0009505B" w:rsidRPr="0009505B">
        <w:rPr>
          <w:rFonts w:ascii="Arial" w:hAnsi="Arial" w:cs="Arial"/>
          <w:szCs w:val="20"/>
          <w:u w:val="single"/>
        </w:rPr>
        <w:t>Bouchereau</w:t>
      </w:r>
      <w:proofErr w:type="spellEnd"/>
      <w:r w:rsidR="0009505B" w:rsidRPr="0009505B">
        <w:rPr>
          <w:rFonts w:ascii="Arial" w:hAnsi="Arial"/>
        </w:rPr>
        <w:t xml:space="preserve"> exception</w:t>
      </w:r>
      <w:r>
        <w:rPr>
          <w:rFonts w:ascii="Arial" w:hAnsi="Arial"/>
        </w:rPr>
        <w:t xml:space="preserve">. However, one </w:t>
      </w:r>
      <w:r w:rsidR="0009505B">
        <w:rPr>
          <w:rFonts w:ascii="Arial" w:hAnsi="Arial"/>
        </w:rPr>
        <w:t xml:space="preserve">can </w:t>
      </w:r>
      <w:r>
        <w:rPr>
          <w:rFonts w:ascii="Arial" w:hAnsi="Arial"/>
        </w:rPr>
        <w:t xml:space="preserve">draw </w:t>
      </w:r>
      <w:proofErr w:type="spellStart"/>
      <w:r>
        <w:rPr>
          <w:rFonts w:ascii="Arial" w:hAnsi="Arial"/>
        </w:rPr>
        <w:t>a</w:t>
      </w:r>
      <w:proofErr w:type="spellEnd"/>
      <w:r>
        <w:rPr>
          <w:rFonts w:ascii="Arial" w:hAnsi="Arial"/>
        </w:rPr>
        <w:t xml:space="preserve"> analogy with, for example, an asylum claim in which the Secretary of State raises internal relocation </w:t>
      </w:r>
      <w:r w:rsidR="0009505B">
        <w:rPr>
          <w:rFonts w:ascii="Arial" w:hAnsi="Arial"/>
        </w:rPr>
        <w:t xml:space="preserve">as an issue </w:t>
      </w:r>
      <w:r>
        <w:rPr>
          <w:rFonts w:ascii="Arial" w:hAnsi="Arial"/>
        </w:rPr>
        <w:t xml:space="preserve">but does not engage with the specific facts to </w:t>
      </w:r>
      <w:r w:rsidR="0009505B">
        <w:rPr>
          <w:rFonts w:ascii="Arial" w:hAnsi="Arial"/>
        </w:rPr>
        <w:t xml:space="preserve">explain why it is considered that </w:t>
      </w:r>
      <w:r>
        <w:rPr>
          <w:rFonts w:ascii="Arial" w:hAnsi="Arial"/>
        </w:rPr>
        <w:t>internal flight alternative was a safe and reasonable option</w:t>
      </w:r>
      <w:r w:rsidR="0009505B">
        <w:rPr>
          <w:rFonts w:ascii="Arial" w:hAnsi="Arial"/>
        </w:rPr>
        <w:t xml:space="preserve">. The </w:t>
      </w:r>
      <w:r>
        <w:rPr>
          <w:rFonts w:ascii="Arial" w:hAnsi="Arial"/>
        </w:rPr>
        <w:t xml:space="preserve">fact that internal relocation had been raised in principle would be sufficient to oblige the judge to consider the issue. By the same reasoning, </w:t>
      </w:r>
      <w:r w:rsidR="0009505B">
        <w:rPr>
          <w:rFonts w:ascii="Arial" w:hAnsi="Arial"/>
        </w:rPr>
        <w:t xml:space="preserve">the fact that </w:t>
      </w:r>
      <w:r>
        <w:rPr>
          <w:rFonts w:ascii="Arial" w:hAnsi="Arial"/>
        </w:rPr>
        <w:t xml:space="preserve">the decision letter </w:t>
      </w:r>
      <w:r w:rsidR="0009505B">
        <w:rPr>
          <w:rFonts w:ascii="Arial" w:hAnsi="Arial"/>
        </w:rPr>
        <w:t xml:space="preserve">in the instant case </w:t>
      </w:r>
      <w:r>
        <w:rPr>
          <w:rFonts w:ascii="Arial" w:hAnsi="Arial"/>
        </w:rPr>
        <w:t xml:space="preserve">raised the </w:t>
      </w:r>
      <w:proofErr w:type="spellStart"/>
      <w:r w:rsidRPr="0005796A">
        <w:rPr>
          <w:rFonts w:ascii="Arial" w:hAnsi="Arial" w:cs="Arial"/>
          <w:szCs w:val="20"/>
          <w:u w:val="single"/>
        </w:rPr>
        <w:t>Bouchereau</w:t>
      </w:r>
      <w:proofErr w:type="spellEnd"/>
      <w:r w:rsidRPr="0005796A">
        <w:rPr>
          <w:rFonts w:ascii="Arial" w:hAnsi="Arial"/>
        </w:rPr>
        <w:t xml:space="preserve"> exception</w:t>
      </w:r>
      <w:r>
        <w:rPr>
          <w:rFonts w:ascii="Arial" w:hAnsi="Arial"/>
        </w:rPr>
        <w:t xml:space="preserve"> in principle</w:t>
      </w:r>
      <w:r w:rsidR="0009505B">
        <w:rPr>
          <w:rFonts w:ascii="Arial" w:hAnsi="Arial"/>
        </w:rPr>
        <w:t xml:space="preserve"> was sufficient to oblige the judge to deal with the exception and decide whether it applied on the facts notwithstanding the Secretary of State's failure to engage with the specific facts and explain why it applied.</w:t>
      </w:r>
    </w:p>
    <w:p w:rsidR="0092373B" w:rsidRDefault="00DE1BAA"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have therefore concluded that the decision letter did raise the </w:t>
      </w:r>
      <w:proofErr w:type="spellStart"/>
      <w:r w:rsidRPr="00DE1BAA">
        <w:rPr>
          <w:rFonts w:ascii="Arial" w:hAnsi="Arial" w:cs="Arial"/>
          <w:szCs w:val="20"/>
          <w:u w:val="single"/>
        </w:rPr>
        <w:t>Bouchereau</w:t>
      </w:r>
      <w:proofErr w:type="spellEnd"/>
      <w:r w:rsidRPr="00DE1BAA">
        <w:rPr>
          <w:rFonts w:ascii="Arial" w:hAnsi="Arial"/>
        </w:rPr>
        <w:t xml:space="preserve"> exception</w:t>
      </w:r>
      <w:r>
        <w:rPr>
          <w:rFonts w:ascii="Arial" w:hAnsi="Arial"/>
        </w:rPr>
        <w:t xml:space="preserve">. The fact that it did not do so </w:t>
      </w:r>
      <w:r w:rsidR="0009505B">
        <w:rPr>
          <w:rFonts w:ascii="Arial" w:hAnsi="Arial"/>
        </w:rPr>
        <w:t xml:space="preserve">with the clarity that can now be expected in view of the fact that </w:t>
      </w:r>
      <w:r>
        <w:rPr>
          <w:rFonts w:ascii="Arial" w:hAnsi="Arial"/>
        </w:rPr>
        <w:t xml:space="preserve">we </w:t>
      </w:r>
      <w:r w:rsidR="0009505B">
        <w:rPr>
          <w:rFonts w:ascii="Arial" w:hAnsi="Arial"/>
        </w:rPr>
        <w:t xml:space="preserve">now </w:t>
      </w:r>
      <w:r>
        <w:rPr>
          <w:rFonts w:ascii="Arial" w:hAnsi="Arial"/>
        </w:rPr>
        <w:t xml:space="preserve">have the benefit of the judgment in </w:t>
      </w:r>
      <w:r w:rsidRPr="0009505B">
        <w:rPr>
          <w:rFonts w:ascii="Arial" w:hAnsi="Arial"/>
          <w:u w:val="single"/>
        </w:rPr>
        <w:t>Robinson</w:t>
      </w:r>
      <w:r>
        <w:rPr>
          <w:rFonts w:ascii="Arial" w:hAnsi="Arial"/>
        </w:rPr>
        <w:t xml:space="preserve"> does not detract from the fact that the issue was raised in principle in the decision letter. </w:t>
      </w:r>
    </w:p>
    <w:p w:rsidR="0003334E" w:rsidRPr="000342EC" w:rsidRDefault="0003334E"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However, even if I am wrong about that, the fact is that the judge was herself plainly aware of the </w:t>
      </w:r>
      <w:proofErr w:type="spellStart"/>
      <w:r w:rsidR="00C840B5" w:rsidRPr="00C840B5">
        <w:rPr>
          <w:rFonts w:ascii="Arial" w:hAnsi="Arial" w:cs="Arial"/>
          <w:szCs w:val="20"/>
          <w:u w:val="single"/>
        </w:rPr>
        <w:t>Bouchereau</w:t>
      </w:r>
      <w:proofErr w:type="spellEnd"/>
      <w:r w:rsidR="00C840B5" w:rsidRPr="00C840B5">
        <w:rPr>
          <w:rFonts w:ascii="Arial" w:hAnsi="Arial"/>
        </w:rPr>
        <w:t xml:space="preserve"> exception</w:t>
      </w:r>
      <w:r>
        <w:rPr>
          <w:rFonts w:ascii="Arial" w:hAnsi="Arial"/>
        </w:rPr>
        <w:t xml:space="preserve">, as she alluded to it at para 50 of her decision. </w:t>
      </w:r>
      <w:r w:rsidR="008238E4">
        <w:rPr>
          <w:rFonts w:ascii="Arial" w:hAnsi="Arial"/>
        </w:rPr>
        <w:t xml:space="preserve">Given that the </w:t>
      </w:r>
      <w:proofErr w:type="spellStart"/>
      <w:r w:rsidR="008238E4" w:rsidRPr="008238E4">
        <w:rPr>
          <w:rFonts w:ascii="Arial" w:hAnsi="Arial" w:cs="Arial"/>
          <w:szCs w:val="20"/>
          <w:u w:val="single"/>
        </w:rPr>
        <w:t>Bouchereau</w:t>
      </w:r>
      <w:proofErr w:type="spellEnd"/>
      <w:r w:rsidR="008238E4" w:rsidRPr="008238E4">
        <w:rPr>
          <w:rFonts w:ascii="Arial" w:hAnsi="Arial" w:cs="Arial"/>
          <w:szCs w:val="20"/>
        </w:rPr>
        <w:t xml:space="preserve"> exception</w:t>
      </w:r>
      <w:r w:rsidR="008238E4">
        <w:rPr>
          <w:rFonts w:ascii="Arial" w:hAnsi="Arial"/>
        </w:rPr>
        <w:t xml:space="preserve"> relates to extreme cases </w:t>
      </w:r>
      <w:r w:rsidR="008238E4" w:rsidRPr="008238E4">
        <w:rPr>
          <w:rFonts w:ascii="Arial" w:hAnsi="Arial"/>
        </w:rPr>
        <w:t xml:space="preserve">in </w:t>
      </w:r>
      <w:r w:rsidR="008238E4">
        <w:rPr>
          <w:rFonts w:ascii="Arial" w:hAnsi="Arial"/>
        </w:rPr>
        <w:t xml:space="preserve">which the individual's past conduct alone is sufficient to </w:t>
      </w:r>
      <w:r w:rsidR="008238E4" w:rsidRPr="008238E4">
        <w:rPr>
          <w:rFonts w:ascii="Arial" w:hAnsi="Arial" w:cs="Arial"/>
          <w:szCs w:val="20"/>
        </w:rPr>
        <w:t>constitut</w:t>
      </w:r>
      <w:r w:rsidR="008238E4">
        <w:rPr>
          <w:rFonts w:ascii="Arial" w:hAnsi="Arial" w:cs="Arial"/>
          <w:szCs w:val="20"/>
        </w:rPr>
        <w:t xml:space="preserve">e </w:t>
      </w:r>
      <w:r w:rsidR="008238E4" w:rsidRPr="008238E4">
        <w:rPr>
          <w:rFonts w:ascii="Arial" w:hAnsi="Arial" w:cs="Arial"/>
          <w:szCs w:val="20"/>
        </w:rPr>
        <w:t xml:space="preserve">a </w:t>
      </w:r>
      <w:r w:rsidR="00C840B5">
        <w:rPr>
          <w:rFonts w:ascii="Arial" w:hAnsi="Arial" w:cs="Arial"/>
          <w:szCs w:val="20"/>
        </w:rPr>
        <w:t xml:space="preserve">genuine </w:t>
      </w:r>
      <w:r w:rsidR="008238E4" w:rsidRPr="008238E4">
        <w:rPr>
          <w:rFonts w:ascii="Arial" w:hAnsi="Arial" w:cs="Arial"/>
          <w:szCs w:val="20"/>
        </w:rPr>
        <w:t xml:space="preserve">present </w:t>
      </w:r>
      <w:r w:rsidR="00C840B5">
        <w:rPr>
          <w:rFonts w:ascii="Arial" w:hAnsi="Arial" w:cs="Arial"/>
          <w:szCs w:val="20"/>
        </w:rPr>
        <w:t xml:space="preserve">and sufficiently serious </w:t>
      </w:r>
      <w:r w:rsidR="008238E4" w:rsidRPr="008238E4">
        <w:rPr>
          <w:rFonts w:ascii="Arial" w:hAnsi="Arial" w:cs="Arial"/>
          <w:szCs w:val="20"/>
        </w:rPr>
        <w:t>threat to the</w:t>
      </w:r>
      <w:r w:rsidR="008238E4">
        <w:rPr>
          <w:rFonts w:ascii="Arial" w:hAnsi="Arial" w:cs="Arial"/>
          <w:szCs w:val="20"/>
        </w:rPr>
        <w:t xml:space="preserve"> requirements of public policy, it was not open to the judge to decline to deal with it simply because the Secretary of State had not raised the issue. </w:t>
      </w:r>
      <w:r w:rsidR="00C840B5">
        <w:rPr>
          <w:rFonts w:ascii="Arial" w:hAnsi="Arial" w:cs="Arial"/>
          <w:szCs w:val="20"/>
        </w:rPr>
        <w:t>T</w:t>
      </w:r>
      <w:r w:rsidR="00F2041D">
        <w:rPr>
          <w:rFonts w:ascii="Arial" w:hAnsi="Arial" w:cs="Arial"/>
          <w:szCs w:val="20"/>
        </w:rPr>
        <w:t xml:space="preserve">his would be equivalent to a judge, for example, failing to consider the best interests of a child facing removal just because the representative had not mentioned it. The principle which is embodied by the </w:t>
      </w:r>
      <w:proofErr w:type="spellStart"/>
      <w:r w:rsidR="00F2041D" w:rsidRPr="00F2041D">
        <w:rPr>
          <w:rFonts w:ascii="Arial" w:hAnsi="Arial" w:cs="Arial"/>
          <w:szCs w:val="20"/>
          <w:u w:val="single"/>
        </w:rPr>
        <w:t>Bouchereau</w:t>
      </w:r>
      <w:proofErr w:type="spellEnd"/>
      <w:r w:rsidR="00F2041D" w:rsidRPr="00F2041D">
        <w:rPr>
          <w:rFonts w:ascii="Arial" w:hAnsi="Arial" w:cs="Arial"/>
          <w:szCs w:val="20"/>
        </w:rPr>
        <w:t xml:space="preserve"> exception</w:t>
      </w:r>
      <w:r w:rsidR="00F2041D">
        <w:rPr>
          <w:rFonts w:ascii="Arial" w:hAnsi="Arial" w:cs="Arial"/>
          <w:szCs w:val="20"/>
        </w:rPr>
        <w:t xml:space="preserve"> is one of sufficient importance to public policy</w:t>
      </w:r>
      <w:r w:rsidR="00C840B5">
        <w:rPr>
          <w:rFonts w:ascii="Arial" w:hAnsi="Arial" w:cs="Arial"/>
          <w:szCs w:val="20"/>
        </w:rPr>
        <w:t xml:space="preserve"> </w:t>
      </w:r>
      <w:r w:rsidR="00F2041D">
        <w:rPr>
          <w:rFonts w:ascii="Arial" w:hAnsi="Arial" w:cs="Arial"/>
          <w:szCs w:val="20"/>
        </w:rPr>
        <w:t xml:space="preserve">as to </w:t>
      </w:r>
      <w:r w:rsidR="00C840B5">
        <w:rPr>
          <w:rFonts w:ascii="Arial" w:hAnsi="Arial" w:cs="Arial"/>
          <w:szCs w:val="20"/>
        </w:rPr>
        <w:t xml:space="preserve">have given rise to an </w:t>
      </w:r>
      <w:r w:rsidR="00F2041D">
        <w:rPr>
          <w:rFonts w:ascii="Arial" w:hAnsi="Arial" w:cs="Arial"/>
          <w:szCs w:val="20"/>
        </w:rPr>
        <w:t xml:space="preserve">obligation on </w:t>
      </w:r>
      <w:r w:rsidR="00C840B5">
        <w:rPr>
          <w:rFonts w:ascii="Arial" w:hAnsi="Arial" w:cs="Arial"/>
          <w:szCs w:val="20"/>
        </w:rPr>
        <w:t xml:space="preserve">the part of the </w:t>
      </w:r>
      <w:r w:rsidR="00F2041D">
        <w:rPr>
          <w:rFonts w:ascii="Arial" w:hAnsi="Arial" w:cs="Arial"/>
          <w:szCs w:val="20"/>
        </w:rPr>
        <w:t>judge to deal with it whether or not it had been raised on behalf of the Secretary of State</w:t>
      </w:r>
      <w:r w:rsidR="0009505B">
        <w:rPr>
          <w:rFonts w:ascii="Arial" w:hAnsi="Arial" w:cs="Arial"/>
          <w:szCs w:val="20"/>
        </w:rPr>
        <w:t>.</w:t>
      </w:r>
      <w:r w:rsidR="00F2041D">
        <w:rPr>
          <w:rFonts w:ascii="Arial" w:hAnsi="Arial" w:cs="Arial"/>
          <w:szCs w:val="20"/>
        </w:rPr>
        <w:t xml:space="preserve"> </w:t>
      </w:r>
    </w:p>
    <w:p w:rsidR="000342EC" w:rsidRPr="008238E4" w:rsidRDefault="000342EC"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cs="Arial"/>
          <w:szCs w:val="20"/>
        </w:rPr>
        <w:t xml:space="preserve">Accordingly, I concluded that the judge erred in law by failing to consider whether the </w:t>
      </w:r>
      <w:proofErr w:type="spellStart"/>
      <w:r w:rsidRPr="000342EC">
        <w:rPr>
          <w:rFonts w:ascii="Arial" w:hAnsi="Arial" w:cs="Arial"/>
          <w:szCs w:val="20"/>
          <w:u w:val="single"/>
        </w:rPr>
        <w:t>Bouchereau</w:t>
      </w:r>
      <w:proofErr w:type="spellEnd"/>
      <w:r w:rsidRPr="000342EC">
        <w:rPr>
          <w:rFonts w:ascii="Arial" w:hAnsi="Arial" w:cs="Arial"/>
          <w:szCs w:val="20"/>
        </w:rPr>
        <w:t xml:space="preserve"> exception</w:t>
      </w:r>
      <w:r>
        <w:rPr>
          <w:rFonts w:ascii="Arial" w:hAnsi="Arial" w:cs="Arial"/>
          <w:szCs w:val="20"/>
        </w:rPr>
        <w:t xml:space="preserve"> applied in the instant case because the decision letter raised the issue; in the alternative, because she was obliged to do so in any event.  </w:t>
      </w:r>
    </w:p>
    <w:p w:rsidR="0003334E" w:rsidRDefault="001E18C4"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 xml:space="preserve">I turn to consider (iii),  i.e. whether the facts of the present case are extreme such as to come within the </w:t>
      </w:r>
      <w:proofErr w:type="spellStart"/>
      <w:r w:rsidRPr="001E18C4">
        <w:rPr>
          <w:rFonts w:ascii="Arial" w:hAnsi="Arial" w:cs="Arial"/>
          <w:szCs w:val="20"/>
          <w:u w:val="single"/>
        </w:rPr>
        <w:t>Bouchereau</w:t>
      </w:r>
      <w:proofErr w:type="spellEnd"/>
      <w:r w:rsidRPr="001E18C4">
        <w:rPr>
          <w:rFonts w:ascii="Arial" w:hAnsi="Arial" w:cs="Arial"/>
          <w:szCs w:val="20"/>
        </w:rPr>
        <w:t xml:space="preserve"> exception</w:t>
      </w:r>
      <w:r>
        <w:rPr>
          <w:rFonts w:ascii="Arial" w:hAnsi="Arial"/>
        </w:rPr>
        <w:t xml:space="preserve">. It is clear that, for the </w:t>
      </w:r>
      <w:proofErr w:type="spellStart"/>
      <w:r w:rsidRPr="001E18C4">
        <w:rPr>
          <w:rFonts w:ascii="Arial" w:hAnsi="Arial" w:cs="Arial"/>
          <w:szCs w:val="20"/>
          <w:u w:val="single"/>
        </w:rPr>
        <w:t>Bouchereau</w:t>
      </w:r>
      <w:proofErr w:type="spellEnd"/>
      <w:r w:rsidRPr="001E18C4">
        <w:rPr>
          <w:rFonts w:ascii="Arial" w:hAnsi="Arial" w:cs="Arial"/>
          <w:szCs w:val="20"/>
        </w:rPr>
        <w:t xml:space="preserve"> exception</w:t>
      </w:r>
      <w:r>
        <w:rPr>
          <w:rFonts w:ascii="Arial" w:hAnsi="Arial"/>
        </w:rPr>
        <w:t xml:space="preserve"> to apply, the facts must be “</w:t>
      </w:r>
      <w:r w:rsidRPr="001E18C4">
        <w:rPr>
          <w:rFonts w:ascii="Arial" w:hAnsi="Arial"/>
          <w:i/>
        </w:rPr>
        <w:t>very extreme</w:t>
      </w:r>
      <w:r>
        <w:rPr>
          <w:rFonts w:ascii="Arial" w:hAnsi="Arial"/>
        </w:rPr>
        <w:t xml:space="preserve">” (para 85 of </w:t>
      </w:r>
      <w:r w:rsidRPr="001E18C4">
        <w:rPr>
          <w:rFonts w:ascii="Arial" w:hAnsi="Arial"/>
          <w:u w:val="single"/>
        </w:rPr>
        <w:t>Robinson (</w:t>
      </w:r>
      <w:smartTag w:uri="urn:schemas-microsoft-com:office:smarttags" w:element="place">
        <w:smartTag w:uri="urn:schemas-microsoft-com:office:smarttags" w:element="country-region">
          <w:r w:rsidRPr="001E18C4">
            <w:rPr>
              <w:rFonts w:ascii="Arial" w:hAnsi="Arial"/>
              <w:u w:val="single"/>
            </w:rPr>
            <w:t>Jamaica</w:t>
          </w:r>
        </w:smartTag>
      </w:smartTag>
      <w:r w:rsidRPr="001E18C4">
        <w:rPr>
          <w:rFonts w:ascii="Arial" w:hAnsi="Arial"/>
          <w:u w:val="single"/>
        </w:rPr>
        <w:t>)</w:t>
      </w:r>
      <w:r>
        <w:rPr>
          <w:rFonts w:ascii="Arial" w:hAnsi="Arial"/>
        </w:rPr>
        <w:t xml:space="preserve">). In </w:t>
      </w:r>
      <w:proofErr w:type="spellStart"/>
      <w:r w:rsidRPr="00C840B5">
        <w:rPr>
          <w:rFonts w:ascii="Arial" w:hAnsi="Arial"/>
          <w:u w:val="single"/>
        </w:rPr>
        <w:t>Straszewski</w:t>
      </w:r>
      <w:proofErr w:type="spellEnd"/>
      <w:r>
        <w:rPr>
          <w:rFonts w:ascii="Arial" w:hAnsi="Arial"/>
        </w:rPr>
        <w:t>, Moore-Bick LJ referred at para 17 to “</w:t>
      </w:r>
      <w:r w:rsidRPr="001E18C4">
        <w:rPr>
          <w:rFonts w:ascii="Arial" w:hAnsi="Arial"/>
          <w:i/>
        </w:rPr>
        <w:t>the most heinous of crimes</w:t>
      </w:r>
      <w:r>
        <w:rPr>
          <w:rFonts w:ascii="Arial" w:hAnsi="Arial"/>
        </w:rPr>
        <w:t xml:space="preserve">”. </w:t>
      </w:r>
    </w:p>
    <w:p w:rsidR="00B63A6A" w:rsidRDefault="00B63A6A" w:rsidP="001E18C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Malik relied upon the fact that, in its judgment in </w:t>
      </w:r>
      <w:r w:rsidRPr="00B63A6A">
        <w:rPr>
          <w:rFonts w:ascii="Arial" w:hAnsi="Arial"/>
          <w:u w:val="single"/>
        </w:rPr>
        <w:t>Robinson (</w:t>
      </w:r>
      <w:smartTag w:uri="urn:schemas-microsoft-com:office:smarttags" w:element="country-region">
        <w:smartTag w:uri="urn:schemas-microsoft-com:office:smarttags" w:element="place">
          <w:r w:rsidRPr="00B63A6A">
            <w:rPr>
              <w:rFonts w:ascii="Arial" w:hAnsi="Arial"/>
              <w:u w:val="single"/>
            </w:rPr>
            <w:t>Jamaica</w:t>
          </w:r>
        </w:smartTag>
      </w:smartTag>
      <w:r w:rsidRPr="00B63A6A">
        <w:rPr>
          <w:rFonts w:ascii="Arial" w:hAnsi="Arial"/>
          <w:u w:val="single"/>
        </w:rPr>
        <w:t>)</w:t>
      </w:r>
      <w:r>
        <w:rPr>
          <w:rFonts w:ascii="Arial" w:hAnsi="Arial"/>
        </w:rPr>
        <w:t xml:space="preserve">, the Court of Appeal mentioned offences such as offences against </w:t>
      </w:r>
      <w:r w:rsidR="00F120A1">
        <w:rPr>
          <w:rFonts w:ascii="Arial" w:hAnsi="Arial"/>
        </w:rPr>
        <w:t>children</w:t>
      </w:r>
      <w:r>
        <w:rPr>
          <w:rFonts w:ascii="Arial" w:hAnsi="Arial"/>
        </w:rPr>
        <w:t xml:space="preserve"> and grave offences of sexual abuse or violence against children as examples of cases in which the </w:t>
      </w:r>
      <w:proofErr w:type="spellStart"/>
      <w:r w:rsidRPr="00B63A6A">
        <w:rPr>
          <w:rFonts w:ascii="Arial" w:hAnsi="Arial" w:cs="Arial"/>
          <w:szCs w:val="20"/>
          <w:u w:val="single"/>
        </w:rPr>
        <w:t>Bouchereau</w:t>
      </w:r>
      <w:proofErr w:type="spellEnd"/>
      <w:r w:rsidRPr="00B63A6A">
        <w:rPr>
          <w:rFonts w:ascii="Arial" w:hAnsi="Arial" w:cs="Arial"/>
          <w:szCs w:val="20"/>
        </w:rPr>
        <w:t xml:space="preserve"> exception</w:t>
      </w:r>
      <w:r>
        <w:rPr>
          <w:rFonts w:ascii="Arial" w:hAnsi="Arial"/>
        </w:rPr>
        <w:t xml:space="preserve"> may apply. However, these are examples. The Court of Appeal was not limiting the application </w:t>
      </w:r>
      <w:r w:rsidR="00C840B5">
        <w:rPr>
          <w:rFonts w:ascii="Arial" w:hAnsi="Arial"/>
        </w:rPr>
        <w:t xml:space="preserve">of </w:t>
      </w:r>
      <w:r>
        <w:rPr>
          <w:rFonts w:ascii="Arial" w:hAnsi="Arial"/>
        </w:rPr>
        <w:t xml:space="preserve">the exception to these types of cases. </w:t>
      </w:r>
    </w:p>
    <w:p w:rsidR="00D907AA" w:rsidRDefault="00B63A6A" w:rsidP="001E18C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Comparison with </w:t>
      </w:r>
      <w:r w:rsidR="00D907AA">
        <w:rPr>
          <w:rFonts w:ascii="Arial" w:hAnsi="Arial"/>
        </w:rPr>
        <w:t xml:space="preserve">other </w:t>
      </w:r>
      <w:r>
        <w:rPr>
          <w:rFonts w:ascii="Arial" w:hAnsi="Arial"/>
        </w:rPr>
        <w:t>cases may or may not be helpful</w:t>
      </w:r>
      <w:r w:rsidR="00C840B5">
        <w:rPr>
          <w:rFonts w:ascii="Arial" w:hAnsi="Arial"/>
        </w:rPr>
        <w:t xml:space="preserve">. In the end, </w:t>
      </w:r>
      <w:r>
        <w:rPr>
          <w:rFonts w:ascii="Arial" w:hAnsi="Arial"/>
        </w:rPr>
        <w:t xml:space="preserve">one has to reach a judgment based on the facts of the individual case. </w:t>
      </w:r>
      <w:r w:rsidR="00D907AA">
        <w:rPr>
          <w:rFonts w:ascii="Arial" w:hAnsi="Arial"/>
        </w:rPr>
        <w:t xml:space="preserve">Insofar as any comparison with other cases may be helpful, the facts in </w:t>
      </w:r>
      <w:proofErr w:type="spellStart"/>
      <w:r w:rsidR="00F120A1" w:rsidRPr="00786E5C">
        <w:rPr>
          <w:rFonts w:ascii="Arial" w:hAnsi="Arial"/>
          <w:u w:val="single"/>
        </w:rPr>
        <w:t>Marc</w:t>
      </w:r>
      <w:r w:rsidR="00211710">
        <w:rPr>
          <w:rFonts w:ascii="Arial" w:hAnsi="Arial"/>
          <w:u w:val="single"/>
        </w:rPr>
        <w:t>h</w:t>
      </w:r>
      <w:r w:rsidR="00F120A1" w:rsidRPr="00786E5C">
        <w:rPr>
          <w:rFonts w:ascii="Arial" w:hAnsi="Arial"/>
          <w:u w:val="single"/>
        </w:rPr>
        <w:t>on</w:t>
      </w:r>
      <w:proofErr w:type="spellEnd"/>
      <w:r w:rsidR="00D907AA">
        <w:rPr>
          <w:rFonts w:ascii="Arial" w:hAnsi="Arial"/>
        </w:rPr>
        <w:t xml:space="preserve"> were summarised by the Court of Appeal in </w:t>
      </w:r>
      <w:r w:rsidR="00D907AA" w:rsidRPr="00D907AA">
        <w:rPr>
          <w:rFonts w:ascii="Arial" w:hAnsi="Arial"/>
          <w:u w:val="single"/>
        </w:rPr>
        <w:t>Robinson (</w:t>
      </w:r>
      <w:smartTag w:uri="urn:schemas-microsoft-com:office:smarttags" w:element="country-region">
        <w:smartTag w:uri="urn:schemas-microsoft-com:office:smarttags" w:element="place">
          <w:r w:rsidR="00D907AA" w:rsidRPr="00D907AA">
            <w:rPr>
              <w:rFonts w:ascii="Arial" w:hAnsi="Arial"/>
              <w:u w:val="single"/>
            </w:rPr>
            <w:t>Jamaica</w:t>
          </w:r>
        </w:smartTag>
      </w:smartTag>
      <w:r w:rsidR="00D907AA" w:rsidRPr="00D907AA">
        <w:rPr>
          <w:rFonts w:ascii="Arial" w:hAnsi="Arial"/>
          <w:u w:val="single"/>
        </w:rPr>
        <w:t>)</w:t>
      </w:r>
      <w:r w:rsidR="00D907AA">
        <w:rPr>
          <w:rFonts w:ascii="Arial" w:hAnsi="Arial"/>
        </w:rPr>
        <w:t xml:space="preserve"> at para 86, as follows:</w:t>
      </w:r>
    </w:p>
    <w:p w:rsidR="00D907AA" w:rsidRDefault="00D907AA" w:rsidP="00D907AA">
      <w:pPr>
        <w:tabs>
          <w:tab w:val="left" w:pos="540"/>
          <w:tab w:val="left" w:pos="1620"/>
          <w:tab w:val="left" w:pos="2160"/>
        </w:tabs>
        <w:ind w:left="2160" w:hanging="2160"/>
        <w:jc w:val="both"/>
        <w:rPr>
          <w:rFonts w:ascii="Arial" w:hAnsi="Arial"/>
          <w:sz w:val="20"/>
        </w:rPr>
      </w:pPr>
    </w:p>
    <w:p w:rsidR="00D907AA" w:rsidRPr="00D907AA" w:rsidRDefault="00D907AA" w:rsidP="00D907AA">
      <w:pPr>
        <w:tabs>
          <w:tab w:val="left" w:pos="540"/>
          <w:tab w:val="left" w:pos="1620"/>
          <w:tab w:val="left" w:pos="2160"/>
        </w:tabs>
        <w:ind w:left="2160" w:hanging="2160"/>
        <w:jc w:val="both"/>
        <w:rPr>
          <w:rFonts w:ascii="Arial" w:hAnsi="Arial"/>
          <w:sz w:val="20"/>
        </w:rPr>
      </w:pPr>
      <w:r w:rsidRPr="00D907AA">
        <w:rPr>
          <w:rFonts w:ascii="Arial" w:hAnsi="Arial"/>
          <w:sz w:val="20"/>
        </w:rPr>
        <w:tab/>
      </w:r>
      <w:r w:rsidRPr="00D907AA">
        <w:rPr>
          <w:rFonts w:ascii="Arial" w:hAnsi="Arial"/>
          <w:sz w:val="20"/>
        </w:rPr>
        <w:tab/>
        <w:t>“86.</w:t>
      </w:r>
      <w:r w:rsidRPr="00D907AA">
        <w:rPr>
          <w:rFonts w:ascii="Arial" w:hAnsi="Arial"/>
          <w:sz w:val="20"/>
        </w:rPr>
        <w:tab/>
        <w:t xml:space="preserve">… </w:t>
      </w:r>
      <w:r w:rsidRPr="00D907AA">
        <w:rPr>
          <w:rFonts w:ascii="Arial" w:hAnsi="Arial" w:cs="Arial"/>
          <w:sz w:val="20"/>
          <w:szCs w:val="20"/>
        </w:rPr>
        <w:t xml:space="preserve">in </w:t>
      </w:r>
      <w:r w:rsidRPr="00D907AA">
        <w:rPr>
          <w:rFonts w:ascii="Arial" w:hAnsi="Arial" w:cs="Arial"/>
          <w:i/>
          <w:iCs/>
          <w:sz w:val="20"/>
          <w:szCs w:val="20"/>
        </w:rPr>
        <w:t xml:space="preserve">ex p. </w:t>
      </w:r>
      <w:proofErr w:type="spellStart"/>
      <w:r w:rsidRPr="00D907AA">
        <w:rPr>
          <w:rFonts w:ascii="Arial" w:hAnsi="Arial" w:cs="Arial"/>
          <w:i/>
          <w:iCs/>
          <w:sz w:val="20"/>
          <w:szCs w:val="20"/>
        </w:rPr>
        <w:t>Marchon</w:t>
      </w:r>
      <w:proofErr w:type="spellEnd"/>
      <w:r w:rsidRPr="00D907AA">
        <w:rPr>
          <w:rFonts w:ascii="Arial" w:hAnsi="Arial" w:cs="Arial"/>
          <w:sz w:val="20"/>
          <w:szCs w:val="20"/>
        </w:rPr>
        <w:t xml:space="preserve">, the defendant was convicted of an offence of conspiracy to import 4½ kg of a Class A drug (heroin); he was a doctor; and he was sentenced to 11 years' imprisonment. As Moore-Bick LJ observed in commenting on that case in </w:t>
      </w:r>
      <w:proofErr w:type="spellStart"/>
      <w:r w:rsidRPr="00D907AA">
        <w:rPr>
          <w:rFonts w:ascii="Arial" w:hAnsi="Arial" w:cs="Arial"/>
          <w:i/>
          <w:iCs/>
          <w:sz w:val="20"/>
          <w:szCs w:val="20"/>
        </w:rPr>
        <w:t>Straszewski</w:t>
      </w:r>
      <w:proofErr w:type="spellEnd"/>
      <w:r w:rsidRPr="00D907AA">
        <w:rPr>
          <w:rFonts w:ascii="Arial" w:hAnsi="Arial" w:cs="Arial"/>
          <w:sz w:val="20"/>
          <w:szCs w:val="20"/>
        </w:rPr>
        <w:t xml:space="preserve">, at para. 18, the offence had been described by this Court in </w:t>
      </w:r>
      <w:r w:rsidRPr="00D907AA">
        <w:rPr>
          <w:rFonts w:ascii="Arial" w:hAnsi="Arial" w:cs="Arial"/>
          <w:i/>
          <w:iCs/>
          <w:sz w:val="20"/>
          <w:szCs w:val="20"/>
        </w:rPr>
        <w:t xml:space="preserve">ex p. </w:t>
      </w:r>
      <w:proofErr w:type="spellStart"/>
      <w:r w:rsidRPr="00D907AA">
        <w:rPr>
          <w:rFonts w:ascii="Arial" w:hAnsi="Arial" w:cs="Arial"/>
          <w:i/>
          <w:iCs/>
          <w:sz w:val="20"/>
          <w:szCs w:val="20"/>
        </w:rPr>
        <w:t>Marchon</w:t>
      </w:r>
      <w:proofErr w:type="spellEnd"/>
      <w:r w:rsidRPr="00D907AA">
        <w:rPr>
          <w:rFonts w:ascii="Arial" w:hAnsi="Arial" w:cs="Arial"/>
          <w:i/>
          <w:iCs/>
          <w:sz w:val="20"/>
          <w:szCs w:val="20"/>
        </w:rPr>
        <w:t xml:space="preserve"> </w:t>
      </w:r>
      <w:r w:rsidRPr="00D907AA">
        <w:rPr>
          <w:rFonts w:ascii="Arial" w:hAnsi="Arial" w:cs="Arial"/>
          <w:sz w:val="20"/>
          <w:szCs w:val="20"/>
        </w:rPr>
        <w:t>as being "especially horrifying" and "repugnant to the public" because it had been committed by a doctor.</w:t>
      </w:r>
      <w:r>
        <w:rPr>
          <w:rFonts w:ascii="Arial" w:hAnsi="Arial" w:cs="Arial"/>
          <w:sz w:val="20"/>
          <w:szCs w:val="20"/>
        </w:rPr>
        <w:t>”</w:t>
      </w:r>
    </w:p>
    <w:p w:rsidR="00B63A6A" w:rsidRDefault="004F7E40" w:rsidP="001E18C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w:t>
      </w:r>
      <w:r w:rsidR="00D907AA">
        <w:rPr>
          <w:rFonts w:ascii="Arial" w:hAnsi="Arial"/>
        </w:rPr>
        <w:t xml:space="preserve">n the instant case, the </w:t>
      </w:r>
      <w:r>
        <w:rPr>
          <w:rFonts w:ascii="Arial" w:hAnsi="Arial"/>
        </w:rPr>
        <w:t>sentencing remarks of the sentencing judge show that the claimant was convicted of two offences, as follows: one count of conspiracy to supply 28.87 kilos of heroin and one count of “</w:t>
      </w:r>
      <w:r w:rsidRPr="00786E5C">
        <w:rPr>
          <w:rFonts w:ascii="Arial" w:hAnsi="Arial"/>
          <w:i/>
        </w:rPr>
        <w:t>being concerned with 19.7 kilos of heroin, … intending to supply it</w:t>
      </w:r>
      <w:r>
        <w:rPr>
          <w:rFonts w:ascii="Arial" w:hAnsi="Arial"/>
        </w:rPr>
        <w:t xml:space="preserve">”. The </w:t>
      </w:r>
      <w:r w:rsidR="0009505B">
        <w:rPr>
          <w:rFonts w:ascii="Arial" w:hAnsi="Arial"/>
        </w:rPr>
        <w:t xml:space="preserve">sentencing judge </w:t>
      </w:r>
      <w:r>
        <w:rPr>
          <w:rFonts w:ascii="Arial" w:hAnsi="Arial"/>
        </w:rPr>
        <w:t xml:space="preserve">said that this </w:t>
      </w:r>
      <w:r w:rsidR="00C840B5">
        <w:rPr>
          <w:rFonts w:ascii="Arial" w:hAnsi="Arial"/>
        </w:rPr>
        <w:t>w</w:t>
      </w:r>
      <w:r>
        <w:rPr>
          <w:rFonts w:ascii="Arial" w:hAnsi="Arial"/>
        </w:rPr>
        <w:t>as all equivalent to something like 24.5 kilos at 100 per cent purity, which he described as “</w:t>
      </w:r>
      <w:r w:rsidRPr="00786E5C">
        <w:rPr>
          <w:rFonts w:ascii="Arial" w:hAnsi="Arial"/>
          <w:i/>
        </w:rPr>
        <w:t>an enormous amount of heroin</w:t>
      </w:r>
      <w:r>
        <w:rPr>
          <w:rFonts w:ascii="Arial" w:hAnsi="Arial"/>
        </w:rPr>
        <w:t xml:space="preserve">”. </w:t>
      </w:r>
    </w:p>
    <w:p w:rsidR="00B63A6A" w:rsidRDefault="004F7E40" w:rsidP="001E18C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sentencing judge then said:</w:t>
      </w:r>
    </w:p>
    <w:p w:rsidR="004F7E40" w:rsidRPr="004F7E40" w:rsidRDefault="004F7E40" w:rsidP="004F7E40">
      <w:pPr>
        <w:tabs>
          <w:tab w:val="left" w:pos="540"/>
          <w:tab w:val="left" w:pos="1080"/>
          <w:tab w:val="left" w:pos="1620"/>
          <w:tab w:val="left" w:pos="2160"/>
        </w:tabs>
        <w:spacing w:before="240"/>
        <w:ind w:left="1080" w:hanging="1080"/>
        <w:jc w:val="both"/>
        <w:rPr>
          <w:rFonts w:ascii="Arial" w:hAnsi="Arial"/>
          <w:sz w:val="20"/>
        </w:rPr>
      </w:pPr>
      <w:r w:rsidRPr="004F7E40">
        <w:rPr>
          <w:rFonts w:ascii="Arial" w:hAnsi="Arial"/>
          <w:sz w:val="20"/>
        </w:rPr>
        <w:tab/>
      </w:r>
      <w:r w:rsidRPr="004F7E40">
        <w:rPr>
          <w:rFonts w:ascii="Arial" w:hAnsi="Arial"/>
          <w:sz w:val="20"/>
        </w:rPr>
        <w:tab/>
        <w:t xml:space="preserve">“You were at the centre of the supply of these drugs. You were in contact with the supplier in </w:t>
      </w:r>
      <w:smartTag w:uri="urn:schemas-microsoft-com:office:smarttags" w:element="country-region">
        <w:smartTag w:uri="urn:schemas-microsoft-com:office:smarttags" w:element="place">
          <w:r w:rsidRPr="004F7E40">
            <w:rPr>
              <w:rFonts w:ascii="Arial" w:hAnsi="Arial"/>
              <w:sz w:val="20"/>
            </w:rPr>
            <w:t>Turkey</w:t>
          </w:r>
        </w:smartTag>
      </w:smartTag>
      <w:r w:rsidRPr="004F7E40">
        <w:rPr>
          <w:rFonts w:ascii="Arial" w:hAnsi="Arial"/>
          <w:sz w:val="20"/>
        </w:rPr>
        <w:t xml:space="preserve">. Not only did </w:t>
      </w:r>
      <w:r w:rsidR="00786E5C">
        <w:rPr>
          <w:rFonts w:ascii="Arial" w:hAnsi="Arial"/>
          <w:sz w:val="20"/>
        </w:rPr>
        <w:t xml:space="preserve">you </w:t>
      </w:r>
      <w:r w:rsidRPr="004F7E40">
        <w:rPr>
          <w:rFonts w:ascii="Arial" w:hAnsi="Arial"/>
          <w:sz w:val="20"/>
        </w:rPr>
        <w:t xml:space="preserve">pick it up from Huddersfield, but you brought it down to London and then you kept it in an empty house to which you had access and </w:t>
      </w:r>
      <w:r w:rsidR="00C840B5">
        <w:rPr>
          <w:rFonts w:ascii="Arial" w:hAnsi="Arial"/>
          <w:sz w:val="20"/>
        </w:rPr>
        <w:t xml:space="preserve">it </w:t>
      </w:r>
      <w:r w:rsidRPr="004F7E40">
        <w:rPr>
          <w:rFonts w:ascii="Arial" w:hAnsi="Arial"/>
          <w:sz w:val="20"/>
        </w:rPr>
        <w:t xml:space="preserve">was you who divided it up to be supplied to different people.” </w:t>
      </w:r>
    </w:p>
    <w:p w:rsidR="009A284F" w:rsidRPr="009A284F" w:rsidRDefault="00C840B5" w:rsidP="001E18C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have noted that </w:t>
      </w:r>
      <w:r w:rsidR="00786E5C" w:rsidRPr="00786E5C">
        <w:rPr>
          <w:rFonts w:ascii="Arial" w:hAnsi="Arial"/>
        </w:rPr>
        <w:t xml:space="preserve">the Court in </w:t>
      </w:r>
      <w:proofErr w:type="spellStart"/>
      <w:r w:rsidR="00786E5C" w:rsidRPr="00C840B5">
        <w:rPr>
          <w:rFonts w:ascii="Arial" w:hAnsi="Arial"/>
          <w:u w:val="single"/>
        </w:rPr>
        <w:t>Marchon</w:t>
      </w:r>
      <w:proofErr w:type="spellEnd"/>
      <w:r w:rsidR="00786E5C" w:rsidRPr="00786E5C">
        <w:rPr>
          <w:rFonts w:ascii="Arial" w:hAnsi="Arial"/>
        </w:rPr>
        <w:t xml:space="preserve"> described the offence </w:t>
      </w:r>
      <w:r>
        <w:rPr>
          <w:rFonts w:ascii="Arial" w:hAnsi="Arial"/>
        </w:rPr>
        <w:t>i</w:t>
      </w:r>
      <w:r w:rsidR="00786E5C" w:rsidRPr="00786E5C">
        <w:rPr>
          <w:rFonts w:ascii="Arial" w:hAnsi="Arial"/>
        </w:rPr>
        <w:t xml:space="preserve">n that case </w:t>
      </w:r>
      <w:r w:rsidR="0009505B">
        <w:rPr>
          <w:rFonts w:ascii="Arial" w:hAnsi="Arial"/>
        </w:rPr>
        <w:t xml:space="preserve">as </w:t>
      </w:r>
      <w:r w:rsidR="00786E5C" w:rsidRPr="00786E5C">
        <w:rPr>
          <w:rFonts w:ascii="Arial" w:hAnsi="Arial" w:cs="Arial"/>
          <w:szCs w:val="20"/>
        </w:rPr>
        <w:t>"</w:t>
      </w:r>
      <w:r w:rsidR="00786E5C" w:rsidRPr="00C840B5">
        <w:rPr>
          <w:rFonts w:ascii="Arial" w:hAnsi="Arial" w:cs="Arial"/>
          <w:i/>
          <w:szCs w:val="20"/>
        </w:rPr>
        <w:t>especially horrifying</w:t>
      </w:r>
      <w:r w:rsidR="00786E5C" w:rsidRPr="00786E5C">
        <w:rPr>
          <w:rFonts w:ascii="Arial" w:hAnsi="Arial" w:cs="Arial"/>
          <w:szCs w:val="20"/>
        </w:rPr>
        <w:t>" and "</w:t>
      </w:r>
      <w:r w:rsidR="00786E5C" w:rsidRPr="00C840B5">
        <w:rPr>
          <w:rFonts w:ascii="Arial" w:hAnsi="Arial" w:cs="Arial"/>
          <w:i/>
          <w:szCs w:val="20"/>
        </w:rPr>
        <w:t>repugnant to the public</w:t>
      </w:r>
      <w:r w:rsidR="00786E5C" w:rsidRPr="00786E5C">
        <w:rPr>
          <w:rFonts w:ascii="Arial" w:hAnsi="Arial" w:cs="Arial"/>
          <w:szCs w:val="20"/>
        </w:rPr>
        <w:t>" because it had been committed by a doctor</w:t>
      </w:r>
      <w:r>
        <w:rPr>
          <w:rFonts w:ascii="Arial" w:hAnsi="Arial" w:cs="Arial"/>
          <w:szCs w:val="20"/>
        </w:rPr>
        <w:t xml:space="preserve">. Nonetheless, </w:t>
      </w:r>
      <w:r w:rsidR="00715112">
        <w:rPr>
          <w:rFonts w:ascii="Arial" w:hAnsi="Arial" w:cs="Arial"/>
          <w:szCs w:val="20"/>
        </w:rPr>
        <w:t xml:space="preserve">such is the scale of the offences committed by the claimant </w:t>
      </w:r>
      <w:r w:rsidR="0009505B">
        <w:rPr>
          <w:rFonts w:ascii="Arial" w:hAnsi="Arial" w:cs="Arial"/>
          <w:szCs w:val="20"/>
        </w:rPr>
        <w:t xml:space="preserve">in the instant case </w:t>
      </w:r>
      <w:r w:rsidR="00715112">
        <w:rPr>
          <w:rFonts w:ascii="Arial" w:hAnsi="Arial" w:cs="Arial"/>
          <w:szCs w:val="20"/>
        </w:rPr>
        <w:t xml:space="preserve">and the harm caused to society by addiction to heroin, </w:t>
      </w:r>
      <w:r w:rsidR="000342EC">
        <w:rPr>
          <w:rFonts w:ascii="Arial" w:hAnsi="Arial" w:cs="Arial"/>
          <w:szCs w:val="20"/>
        </w:rPr>
        <w:t xml:space="preserve">that </w:t>
      </w:r>
      <w:r w:rsidR="00715112">
        <w:rPr>
          <w:rFonts w:ascii="Arial" w:hAnsi="Arial" w:cs="Arial"/>
          <w:szCs w:val="20"/>
        </w:rPr>
        <w:t xml:space="preserve">I have concluded that </w:t>
      </w:r>
      <w:r w:rsidR="00786E5C">
        <w:rPr>
          <w:rFonts w:ascii="Arial" w:hAnsi="Arial" w:cs="Arial"/>
          <w:szCs w:val="20"/>
        </w:rPr>
        <w:t xml:space="preserve">the offences committed by the claimant </w:t>
      </w:r>
      <w:r>
        <w:rPr>
          <w:rFonts w:ascii="Arial" w:hAnsi="Arial" w:cs="Arial"/>
          <w:szCs w:val="20"/>
        </w:rPr>
        <w:t xml:space="preserve">in the instant case </w:t>
      </w:r>
      <w:r w:rsidR="00786E5C">
        <w:rPr>
          <w:rFonts w:ascii="Arial" w:hAnsi="Arial" w:cs="Arial"/>
          <w:szCs w:val="20"/>
        </w:rPr>
        <w:t>are just as horrifying and repugnant to the public</w:t>
      </w:r>
      <w:r w:rsidR="00715112">
        <w:rPr>
          <w:rFonts w:ascii="Arial" w:hAnsi="Arial" w:cs="Arial"/>
          <w:szCs w:val="20"/>
        </w:rPr>
        <w:t xml:space="preserve">. </w:t>
      </w:r>
      <w:r w:rsidR="000342EC">
        <w:rPr>
          <w:rFonts w:ascii="Arial" w:hAnsi="Arial" w:cs="Arial"/>
          <w:szCs w:val="20"/>
        </w:rPr>
        <w:t>T</w:t>
      </w:r>
      <w:r w:rsidR="009A284F">
        <w:rPr>
          <w:rFonts w:ascii="Arial" w:hAnsi="Arial" w:cs="Arial"/>
          <w:szCs w:val="20"/>
        </w:rPr>
        <w:t>he total quantity of drugs was huge, being equivalent t</w:t>
      </w:r>
      <w:r w:rsidR="000342EC">
        <w:rPr>
          <w:rFonts w:ascii="Arial" w:hAnsi="Arial" w:cs="Arial"/>
          <w:szCs w:val="20"/>
        </w:rPr>
        <w:t xml:space="preserve">o </w:t>
      </w:r>
      <w:r w:rsidR="009A284F">
        <w:rPr>
          <w:rFonts w:ascii="Arial" w:hAnsi="Arial" w:cs="Arial"/>
          <w:szCs w:val="20"/>
        </w:rPr>
        <w:t xml:space="preserve">something like 24.5 </w:t>
      </w:r>
      <w:r w:rsidR="0009505B">
        <w:rPr>
          <w:rFonts w:ascii="Arial" w:hAnsi="Arial" w:cs="Arial"/>
          <w:szCs w:val="20"/>
        </w:rPr>
        <w:t xml:space="preserve">kilos </w:t>
      </w:r>
      <w:r w:rsidR="009A284F">
        <w:rPr>
          <w:rFonts w:ascii="Arial" w:hAnsi="Arial" w:cs="Arial"/>
          <w:szCs w:val="20"/>
        </w:rPr>
        <w:t>of heroin at 100 per cent purity. The sentencing judge described it as "</w:t>
      </w:r>
      <w:r w:rsidR="009A284F" w:rsidRPr="009A284F">
        <w:rPr>
          <w:rFonts w:ascii="Arial" w:hAnsi="Arial" w:cs="Arial"/>
          <w:i/>
          <w:szCs w:val="20"/>
        </w:rPr>
        <w:t>an enormous amount of heroin</w:t>
      </w:r>
      <w:r w:rsidR="009A284F">
        <w:rPr>
          <w:rFonts w:ascii="Arial" w:hAnsi="Arial" w:cs="Arial"/>
          <w:szCs w:val="20"/>
        </w:rPr>
        <w:t>"</w:t>
      </w:r>
      <w:r w:rsidR="00C5014C">
        <w:rPr>
          <w:rFonts w:ascii="Arial" w:hAnsi="Arial" w:cs="Arial"/>
          <w:szCs w:val="20"/>
        </w:rPr>
        <w:t>. The public policy element is reflected by the need, as the sentencing judge said, to deter people from supplying heroin which he said was "</w:t>
      </w:r>
      <w:r w:rsidR="00C5014C" w:rsidRPr="000342EC">
        <w:rPr>
          <w:rFonts w:ascii="Arial" w:hAnsi="Arial" w:cs="Arial"/>
          <w:i/>
          <w:szCs w:val="20"/>
        </w:rPr>
        <w:t xml:space="preserve">so dangerous </w:t>
      </w:r>
      <w:r w:rsidR="000342EC" w:rsidRPr="000342EC">
        <w:rPr>
          <w:rFonts w:ascii="Arial" w:hAnsi="Arial" w:cs="Arial"/>
          <w:i/>
          <w:szCs w:val="20"/>
        </w:rPr>
        <w:t>t</w:t>
      </w:r>
      <w:r w:rsidR="00C5014C" w:rsidRPr="000342EC">
        <w:rPr>
          <w:rFonts w:ascii="Arial" w:hAnsi="Arial" w:cs="Arial"/>
          <w:i/>
          <w:szCs w:val="20"/>
        </w:rPr>
        <w:t>o those who use it and so corrosive to society in our country</w:t>
      </w:r>
      <w:r w:rsidR="00C5014C">
        <w:rPr>
          <w:rFonts w:ascii="Arial" w:hAnsi="Arial" w:cs="Arial"/>
          <w:szCs w:val="20"/>
        </w:rPr>
        <w:t xml:space="preserve">". These considerations are relevant </w:t>
      </w:r>
      <w:r w:rsidR="000342EC">
        <w:rPr>
          <w:rFonts w:ascii="Arial" w:hAnsi="Arial" w:cs="Arial"/>
          <w:szCs w:val="20"/>
        </w:rPr>
        <w:t xml:space="preserve">in </w:t>
      </w:r>
      <w:r w:rsidR="00C5014C">
        <w:rPr>
          <w:rFonts w:ascii="Arial" w:hAnsi="Arial" w:cs="Arial"/>
          <w:szCs w:val="20"/>
        </w:rPr>
        <w:t xml:space="preserve">deciding whether the </w:t>
      </w:r>
      <w:proofErr w:type="spellStart"/>
      <w:r w:rsidR="00C5014C" w:rsidRPr="00C5014C">
        <w:rPr>
          <w:rFonts w:ascii="Arial" w:hAnsi="Arial" w:cs="Arial"/>
          <w:szCs w:val="20"/>
          <w:u w:val="single"/>
        </w:rPr>
        <w:t>Bouchereau</w:t>
      </w:r>
      <w:proofErr w:type="spellEnd"/>
      <w:r w:rsidR="00C5014C" w:rsidRPr="00C5014C">
        <w:rPr>
          <w:rFonts w:ascii="Arial" w:hAnsi="Arial" w:cs="Arial"/>
          <w:szCs w:val="20"/>
        </w:rPr>
        <w:t xml:space="preserve"> exception</w:t>
      </w:r>
      <w:r w:rsidR="00C5014C">
        <w:rPr>
          <w:rFonts w:ascii="Arial" w:hAnsi="Arial" w:cs="Arial"/>
          <w:szCs w:val="20"/>
        </w:rPr>
        <w:t xml:space="preserve"> applies. Also relevant is the length of the final sentence that was imposed. </w:t>
      </w:r>
      <w:r w:rsidR="000342EC">
        <w:rPr>
          <w:rFonts w:ascii="Arial" w:hAnsi="Arial" w:cs="Arial"/>
          <w:szCs w:val="20"/>
        </w:rPr>
        <w:t xml:space="preserve">The claimant </w:t>
      </w:r>
      <w:r w:rsidR="00C5014C">
        <w:rPr>
          <w:rFonts w:ascii="Arial" w:hAnsi="Arial" w:cs="Arial"/>
          <w:szCs w:val="20"/>
        </w:rPr>
        <w:t xml:space="preserve">was given a sentence of 24 years by the sentencing judge but this was reduced to 18 years. </w:t>
      </w:r>
    </w:p>
    <w:p w:rsidR="00C5014C" w:rsidRPr="00C5014C" w:rsidRDefault="00C5014C" w:rsidP="001E18C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Also relevant was the fact that the claimant played a leading role in the supply of the drugs. As the sentencing judge said, he was in contact with the supplier in Turkey</w:t>
      </w:r>
      <w:r w:rsidR="0009505B">
        <w:rPr>
          <w:rFonts w:ascii="Arial" w:hAnsi="Arial"/>
        </w:rPr>
        <w:t>;</w:t>
      </w:r>
      <w:r>
        <w:rPr>
          <w:rFonts w:ascii="Arial" w:hAnsi="Arial"/>
        </w:rPr>
        <w:t xml:space="preserve"> he picked the drugs </w:t>
      </w:r>
      <w:r w:rsidR="000342EC">
        <w:rPr>
          <w:rFonts w:ascii="Arial" w:hAnsi="Arial"/>
        </w:rPr>
        <w:t>u</w:t>
      </w:r>
      <w:r>
        <w:rPr>
          <w:rFonts w:ascii="Arial" w:hAnsi="Arial"/>
        </w:rPr>
        <w:t>p from Hudder</w:t>
      </w:r>
      <w:r w:rsidR="009A33A8">
        <w:rPr>
          <w:rFonts w:ascii="Arial" w:hAnsi="Arial"/>
        </w:rPr>
        <w:t>sfield</w:t>
      </w:r>
      <w:r>
        <w:rPr>
          <w:rFonts w:ascii="Arial" w:hAnsi="Arial"/>
        </w:rPr>
        <w:t xml:space="preserve">, brought the drugs down to London and kept </w:t>
      </w:r>
      <w:r>
        <w:rPr>
          <w:rFonts w:ascii="Arial" w:hAnsi="Arial"/>
        </w:rPr>
        <w:lastRenderedPageBreak/>
        <w:t xml:space="preserve">them in an empty property to which he had access and it was he who divided it up to be supplied to different people. </w:t>
      </w:r>
    </w:p>
    <w:p w:rsidR="00B63A6A" w:rsidRPr="000342EC" w:rsidRDefault="00C5014C" w:rsidP="001E18C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cs="Arial"/>
          <w:szCs w:val="20"/>
        </w:rPr>
        <w:t xml:space="preserve">Given these circumstances, </w:t>
      </w:r>
      <w:r w:rsidR="00715112">
        <w:rPr>
          <w:rFonts w:ascii="Arial" w:hAnsi="Arial" w:cs="Arial"/>
          <w:szCs w:val="20"/>
        </w:rPr>
        <w:t xml:space="preserve">I have concluded that this </w:t>
      </w:r>
      <w:r w:rsidR="00715112" w:rsidRPr="00715112">
        <w:rPr>
          <w:rFonts w:ascii="Arial" w:hAnsi="Arial" w:cs="Arial"/>
          <w:i/>
          <w:szCs w:val="20"/>
        </w:rPr>
        <w:t>is</w:t>
      </w:r>
      <w:r w:rsidR="00715112">
        <w:rPr>
          <w:rFonts w:ascii="Arial" w:hAnsi="Arial" w:cs="Arial"/>
          <w:szCs w:val="20"/>
        </w:rPr>
        <w:t xml:space="preserve"> one of those very extreme cases in which the </w:t>
      </w:r>
      <w:proofErr w:type="spellStart"/>
      <w:r w:rsidR="00715112" w:rsidRPr="00715112">
        <w:rPr>
          <w:rFonts w:ascii="Arial" w:hAnsi="Arial" w:cs="Arial"/>
          <w:szCs w:val="20"/>
          <w:u w:val="single"/>
        </w:rPr>
        <w:t>Bouchereau</w:t>
      </w:r>
      <w:proofErr w:type="spellEnd"/>
      <w:r w:rsidR="00715112" w:rsidRPr="00715112">
        <w:rPr>
          <w:rFonts w:ascii="Arial" w:hAnsi="Arial" w:cs="Arial"/>
          <w:szCs w:val="20"/>
        </w:rPr>
        <w:t xml:space="preserve"> exception</w:t>
      </w:r>
      <w:r w:rsidR="00715112">
        <w:rPr>
          <w:rFonts w:ascii="Arial" w:hAnsi="Arial" w:cs="Arial"/>
          <w:szCs w:val="20"/>
        </w:rPr>
        <w:t xml:space="preserve"> applies. </w:t>
      </w:r>
      <w:r>
        <w:rPr>
          <w:rFonts w:ascii="Arial" w:hAnsi="Arial" w:cs="Arial"/>
          <w:szCs w:val="20"/>
        </w:rPr>
        <w:t xml:space="preserve">It is necessary to express public revulsion at the offences that the claimant committed. His </w:t>
      </w:r>
      <w:r w:rsidR="00715112">
        <w:rPr>
          <w:rFonts w:ascii="Arial" w:hAnsi="Arial" w:cs="Arial"/>
          <w:szCs w:val="20"/>
        </w:rPr>
        <w:t xml:space="preserve">past conduct alone </w:t>
      </w:r>
      <w:r w:rsidR="00715112" w:rsidRPr="00715112">
        <w:rPr>
          <w:rFonts w:ascii="Arial" w:hAnsi="Arial" w:cs="Arial"/>
          <w:i/>
          <w:szCs w:val="20"/>
        </w:rPr>
        <w:t>does</w:t>
      </w:r>
      <w:r w:rsidR="00715112">
        <w:rPr>
          <w:rFonts w:ascii="Arial" w:hAnsi="Arial" w:cs="Arial"/>
          <w:szCs w:val="20"/>
        </w:rPr>
        <w:t xml:space="preserve"> present a genuine, present and sufficiently serious threat affecting public policy, this being one of the fundamental interests of society. Accordingly, the </w:t>
      </w:r>
      <w:r w:rsidR="00F120A1">
        <w:rPr>
          <w:rFonts w:ascii="Arial" w:hAnsi="Arial" w:cs="Arial"/>
          <w:szCs w:val="20"/>
        </w:rPr>
        <w:t xml:space="preserve">claimant's past offences come within the </w:t>
      </w:r>
      <w:proofErr w:type="spellStart"/>
      <w:r w:rsidR="00F120A1" w:rsidRPr="00F120A1">
        <w:rPr>
          <w:rFonts w:ascii="Arial" w:hAnsi="Arial" w:cs="Arial"/>
          <w:szCs w:val="20"/>
          <w:u w:val="single"/>
        </w:rPr>
        <w:t>Bouchereau</w:t>
      </w:r>
      <w:proofErr w:type="spellEnd"/>
      <w:r w:rsidR="00F120A1" w:rsidRPr="00F120A1">
        <w:rPr>
          <w:rFonts w:ascii="Arial" w:hAnsi="Arial" w:cs="Arial"/>
          <w:szCs w:val="20"/>
        </w:rPr>
        <w:t xml:space="preserve"> exception</w:t>
      </w:r>
      <w:r w:rsidR="00F120A1">
        <w:rPr>
          <w:rFonts w:ascii="Arial" w:hAnsi="Arial" w:cs="Arial"/>
          <w:szCs w:val="20"/>
        </w:rPr>
        <w:t xml:space="preserve">. </w:t>
      </w:r>
    </w:p>
    <w:p w:rsidR="000342EC" w:rsidRDefault="000342EC" w:rsidP="001E18C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cs="Arial"/>
          <w:szCs w:val="20"/>
        </w:rPr>
        <w:t xml:space="preserve">If the judge had considered whether the </w:t>
      </w:r>
      <w:proofErr w:type="spellStart"/>
      <w:r w:rsidRPr="000342EC">
        <w:rPr>
          <w:rFonts w:ascii="Arial" w:hAnsi="Arial" w:cs="Arial"/>
          <w:szCs w:val="20"/>
          <w:u w:val="single"/>
        </w:rPr>
        <w:t>Bouchereau</w:t>
      </w:r>
      <w:proofErr w:type="spellEnd"/>
      <w:r w:rsidRPr="000342EC">
        <w:rPr>
          <w:rFonts w:ascii="Arial" w:hAnsi="Arial" w:cs="Arial"/>
          <w:szCs w:val="20"/>
        </w:rPr>
        <w:t xml:space="preserve"> exception</w:t>
      </w:r>
      <w:r>
        <w:rPr>
          <w:rFonts w:ascii="Arial" w:hAnsi="Arial" w:cs="Arial"/>
          <w:szCs w:val="20"/>
        </w:rPr>
        <w:t xml:space="preserve"> applied, she would inevitably have concluded, on any reasonable view, that it applies in the instant case because the claimant</w:t>
      </w:r>
      <w:r w:rsidR="0005796A">
        <w:rPr>
          <w:rFonts w:ascii="Arial" w:hAnsi="Arial" w:cs="Arial"/>
          <w:szCs w:val="20"/>
        </w:rPr>
        <w:t>'s past conduct criminal convictions take</w:t>
      </w:r>
      <w:r w:rsidR="0009505B">
        <w:rPr>
          <w:rFonts w:ascii="Arial" w:hAnsi="Arial" w:cs="Arial"/>
          <w:szCs w:val="20"/>
        </w:rPr>
        <w:t>n</w:t>
      </w:r>
      <w:r w:rsidR="0005796A">
        <w:rPr>
          <w:rFonts w:ascii="Arial" w:hAnsi="Arial" w:cs="Arial"/>
          <w:szCs w:val="20"/>
        </w:rPr>
        <w:t xml:space="preserve"> on </w:t>
      </w:r>
      <w:r w:rsidR="0009505B">
        <w:rPr>
          <w:rFonts w:ascii="Arial" w:hAnsi="Arial" w:cs="Arial"/>
          <w:szCs w:val="20"/>
        </w:rPr>
        <w:t xml:space="preserve">their </w:t>
      </w:r>
      <w:r w:rsidR="009E3B00">
        <w:rPr>
          <w:rFonts w:ascii="Arial" w:hAnsi="Arial" w:cs="Arial"/>
          <w:szCs w:val="20"/>
        </w:rPr>
        <w:t xml:space="preserve">own </w:t>
      </w:r>
      <w:r w:rsidR="0005796A" w:rsidRPr="0005796A">
        <w:rPr>
          <w:rFonts w:ascii="Arial" w:hAnsi="Arial" w:cs="Arial"/>
          <w:szCs w:val="20"/>
        </w:rPr>
        <w:t>do</w:t>
      </w:r>
      <w:r w:rsidR="0009505B">
        <w:rPr>
          <w:rFonts w:ascii="Arial" w:hAnsi="Arial" w:cs="Arial"/>
          <w:szCs w:val="20"/>
        </w:rPr>
        <w:t xml:space="preserve"> </w:t>
      </w:r>
      <w:r w:rsidR="0005796A">
        <w:rPr>
          <w:rFonts w:ascii="Arial" w:hAnsi="Arial" w:cs="Arial"/>
          <w:szCs w:val="20"/>
        </w:rPr>
        <w:t xml:space="preserve">present a genuine, present and sufficiently serious threat affecting public policy, for the reasons given above. </w:t>
      </w:r>
    </w:p>
    <w:p w:rsidR="00107968" w:rsidRPr="00EB2635" w:rsidRDefault="009056F2" w:rsidP="00EB2635">
      <w:pPr>
        <w:tabs>
          <w:tab w:val="left" w:pos="540"/>
          <w:tab w:val="left" w:pos="1620"/>
          <w:tab w:val="left" w:pos="2160"/>
        </w:tabs>
        <w:spacing w:before="240"/>
        <w:jc w:val="both"/>
        <w:rPr>
          <w:rFonts w:ascii="Arial" w:hAnsi="Arial"/>
          <w:u w:val="single"/>
        </w:rPr>
      </w:pPr>
      <w:r>
        <w:rPr>
          <w:rFonts w:ascii="Arial" w:hAnsi="Arial"/>
          <w:u w:val="single"/>
        </w:rPr>
        <w:t>G</w:t>
      </w:r>
      <w:r w:rsidR="00EB2635" w:rsidRPr="00EB2635">
        <w:rPr>
          <w:rFonts w:ascii="Arial" w:hAnsi="Arial"/>
          <w:u w:val="single"/>
        </w:rPr>
        <w:t xml:space="preserve">round 2 </w:t>
      </w:r>
    </w:p>
    <w:p w:rsidR="00107968" w:rsidRPr="00975458" w:rsidRDefault="00AB5E0D"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view of my conclusion on ground 1, it is not necessary for me to deal with ground 2. </w:t>
      </w:r>
    </w:p>
    <w:p w:rsidR="00107968" w:rsidRPr="00975458" w:rsidRDefault="00F120A1" w:rsidP="00F120A1">
      <w:pPr>
        <w:tabs>
          <w:tab w:val="left" w:pos="540"/>
          <w:tab w:val="left" w:pos="1620"/>
          <w:tab w:val="left" w:pos="2160"/>
        </w:tabs>
        <w:spacing w:before="240"/>
        <w:jc w:val="both"/>
        <w:rPr>
          <w:rFonts w:ascii="Arial" w:hAnsi="Arial"/>
        </w:rPr>
      </w:pPr>
      <w:r w:rsidRPr="00F120A1">
        <w:rPr>
          <w:rFonts w:ascii="Arial" w:hAnsi="Arial"/>
          <w:u w:val="single"/>
        </w:rPr>
        <w:t>Conclusion</w:t>
      </w:r>
      <w:r>
        <w:rPr>
          <w:rFonts w:ascii="Arial" w:hAnsi="Arial"/>
        </w:rPr>
        <w:t xml:space="preserve"> </w:t>
      </w:r>
    </w:p>
    <w:p w:rsidR="00107968" w:rsidRPr="00975458" w:rsidRDefault="00F120A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For the reasons given above, the judge erred in law in failing to consider whether the </w:t>
      </w:r>
      <w:proofErr w:type="spellStart"/>
      <w:r w:rsidRPr="00F120A1">
        <w:rPr>
          <w:rFonts w:ascii="Arial" w:hAnsi="Arial" w:cs="Arial"/>
          <w:szCs w:val="20"/>
          <w:u w:val="single"/>
        </w:rPr>
        <w:t>Bouchereau</w:t>
      </w:r>
      <w:proofErr w:type="spellEnd"/>
      <w:r w:rsidRPr="00F120A1">
        <w:rPr>
          <w:rFonts w:ascii="Arial" w:hAnsi="Arial" w:cs="Arial"/>
          <w:szCs w:val="20"/>
        </w:rPr>
        <w:t xml:space="preserve"> exception</w:t>
      </w:r>
      <w:r>
        <w:rPr>
          <w:rFonts w:ascii="Arial" w:hAnsi="Arial"/>
        </w:rPr>
        <w:t xml:space="preserve"> applied in the instant case. If she had considered it, she would have been bound to conclude that it did apply, on any legitimate view. She would then have been bound the dismiss the claimant’s appeal against the Secretary of State's decision of 5 July 2016, without the need to consider whether he posed a risk of re-offending </w:t>
      </w:r>
      <w:r w:rsidR="0005796A">
        <w:rPr>
          <w:rFonts w:ascii="Arial" w:hAnsi="Arial"/>
        </w:rPr>
        <w:t>such that he presents a genuine, present and sufficiently serious threat on that account</w:t>
      </w:r>
      <w:r>
        <w:rPr>
          <w:rFonts w:ascii="Arial" w:hAnsi="Arial"/>
        </w:rPr>
        <w:t xml:space="preserve">. </w:t>
      </w:r>
    </w:p>
    <w:p w:rsidR="00715112" w:rsidRDefault="00F120A1" w:rsidP="00F120A1">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 therefore set aside the judge's decision</w:t>
      </w:r>
      <w:r w:rsidR="00715112">
        <w:rPr>
          <w:rFonts w:ascii="Arial" w:hAnsi="Arial"/>
        </w:rPr>
        <w:t xml:space="preserve">. Mr Malik and Mr </w:t>
      </w:r>
      <w:proofErr w:type="spellStart"/>
      <w:r w:rsidR="00715112">
        <w:rPr>
          <w:rFonts w:ascii="Arial" w:hAnsi="Arial"/>
        </w:rPr>
        <w:t>Kotas</w:t>
      </w:r>
      <w:proofErr w:type="spellEnd"/>
      <w:r w:rsidR="00715112">
        <w:rPr>
          <w:rFonts w:ascii="Arial" w:hAnsi="Arial"/>
        </w:rPr>
        <w:t xml:space="preserve"> agreed that, if I were to decide that the </w:t>
      </w:r>
      <w:proofErr w:type="spellStart"/>
      <w:r w:rsidR="00715112" w:rsidRPr="00715112">
        <w:rPr>
          <w:rFonts w:ascii="Arial" w:hAnsi="Arial" w:cs="Arial"/>
          <w:szCs w:val="20"/>
          <w:u w:val="single"/>
        </w:rPr>
        <w:t>Bouchereau</w:t>
      </w:r>
      <w:proofErr w:type="spellEnd"/>
      <w:r w:rsidR="00715112" w:rsidRPr="00715112">
        <w:rPr>
          <w:rFonts w:ascii="Arial" w:hAnsi="Arial"/>
        </w:rPr>
        <w:t xml:space="preserve"> exception</w:t>
      </w:r>
      <w:r w:rsidR="00715112">
        <w:rPr>
          <w:rFonts w:ascii="Arial" w:hAnsi="Arial"/>
        </w:rPr>
        <w:t xml:space="preserve"> applies and if I did not accept Mr Malik's submission that even in cases in which the </w:t>
      </w:r>
      <w:proofErr w:type="spellStart"/>
      <w:r w:rsidR="00715112" w:rsidRPr="00715112">
        <w:rPr>
          <w:rFonts w:ascii="Arial" w:hAnsi="Arial" w:cs="Arial"/>
          <w:szCs w:val="20"/>
          <w:u w:val="single"/>
        </w:rPr>
        <w:t>Bouchereau</w:t>
      </w:r>
      <w:proofErr w:type="spellEnd"/>
      <w:r w:rsidR="00715112" w:rsidRPr="00715112">
        <w:rPr>
          <w:rFonts w:ascii="Arial" w:hAnsi="Arial"/>
        </w:rPr>
        <w:t xml:space="preserve"> exception</w:t>
      </w:r>
      <w:r w:rsidR="00715112">
        <w:rPr>
          <w:rFonts w:ascii="Arial" w:hAnsi="Arial"/>
        </w:rPr>
        <w:t xml:space="preserve"> applies it is still necessary to consider the risk of re-offending and factors such as age and health, I could proceed to re-make the decision on the material before me. </w:t>
      </w:r>
    </w:p>
    <w:p w:rsidR="00107968" w:rsidRPr="00975458" w:rsidRDefault="00715112" w:rsidP="00F120A1">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therefore </w:t>
      </w:r>
      <w:r w:rsidR="00F120A1">
        <w:rPr>
          <w:rFonts w:ascii="Arial" w:hAnsi="Arial"/>
        </w:rPr>
        <w:t>proceed to re-make the decision on the claimant’s appeal</w:t>
      </w:r>
      <w:r>
        <w:rPr>
          <w:rFonts w:ascii="Arial" w:hAnsi="Arial"/>
        </w:rPr>
        <w:t xml:space="preserve">. For the reasons given at </w:t>
      </w:r>
      <w:r w:rsidRPr="00DE1BAA">
        <w:rPr>
          <w:rFonts w:ascii="Arial" w:hAnsi="Arial"/>
        </w:rPr>
        <w:t xml:space="preserve">paras </w:t>
      </w:r>
      <w:r w:rsidR="00DE1BAA" w:rsidRPr="00DE1BAA">
        <w:rPr>
          <w:rFonts w:ascii="Arial" w:hAnsi="Arial"/>
        </w:rPr>
        <w:t>33-41</w:t>
      </w:r>
      <w:r w:rsidR="00DE1BAA">
        <w:rPr>
          <w:rFonts w:ascii="Arial" w:hAnsi="Arial"/>
          <w:b/>
          <w:color w:val="FF0000"/>
        </w:rPr>
        <w:t xml:space="preserve"> </w:t>
      </w:r>
      <w:r>
        <w:rPr>
          <w:rFonts w:ascii="Arial" w:hAnsi="Arial"/>
        </w:rPr>
        <w:t xml:space="preserve">above, I dismissing his appeal against the Secretary of State's decision dated 5 July 2016. </w:t>
      </w:r>
    </w:p>
    <w:p w:rsidR="00107968" w:rsidRPr="00975458" w:rsidRDefault="00107968" w:rsidP="00107968">
      <w:pPr>
        <w:tabs>
          <w:tab w:val="left" w:pos="540"/>
          <w:tab w:val="num" w:pos="1080"/>
          <w:tab w:val="left" w:pos="1620"/>
          <w:tab w:val="left" w:pos="2160"/>
        </w:tabs>
        <w:ind w:left="540" w:hanging="540"/>
        <w:rPr>
          <w:rFonts w:ascii="Arial" w:hAnsi="Arial"/>
        </w:rPr>
      </w:pPr>
    </w:p>
    <w:p w:rsidR="00107968" w:rsidRPr="00975458" w:rsidRDefault="00107968" w:rsidP="00107968">
      <w:pPr>
        <w:tabs>
          <w:tab w:val="left" w:pos="540"/>
          <w:tab w:val="left" w:pos="1080"/>
          <w:tab w:val="left" w:pos="1620"/>
        </w:tabs>
        <w:ind w:left="540" w:hanging="540"/>
        <w:jc w:val="both"/>
        <w:rPr>
          <w:rFonts w:ascii="Arial" w:hAnsi="Arial"/>
          <w:b/>
          <w:u w:val="single"/>
        </w:rPr>
      </w:pPr>
      <w:r w:rsidRPr="00975458">
        <w:rPr>
          <w:rFonts w:ascii="Arial" w:hAnsi="Arial"/>
          <w:b/>
        </w:rPr>
        <w:tab/>
      </w:r>
      <w:r w:rsidRPr="00975458">
        <w:rPr>
          <w:rFonts w:ascii="Arial" w:hAnsi="Arial"/>
          <w:b/>
          <w:u w:val="single"/>
        </w:rPr>
        <w:t>Decision</w:t>
      </w:r>
    </w:p>
    <w:p w:rsidR="00107968" w:rsidRPr="00975458" w:rsidRDefault="009E3B00" w:rsidP="00107968">
      <w:pPr>
        <w:tabs>
          <w:tab w:val="left" w:pos="540"/>
          <w:tab w:val="left" w:pos="1080"/>
          <w:tab w:val="left" w:pos="1620"/>
        </w:tabs>
        <w:ind w:left="540" w:hanging="540"/>
        <w:jc w:val="both"/>
        <w:rPr>
          <w:rFonts w:ascii="Arial" w:hAnsi="Arial"/>
        </w:rPr>
      </w:pPr>
      <w:r>
        <w:rPr>
          <w:rFonts w:ascii="Arial" w:hAnsi="Arial"/>
        </w:rPr>
        <w:t xml:space="preserve">  </w:t>
      </w:r>
    </w:p>
    <w:p w:rsidR="00715112" w:rsidRDefault="00107968" w:rsidP="00107968">
      <w:pPr>
        <w:tabs>
          <w:tab w:val="left" w:pos="567"/>
        </w:tabs>
        <w:ind w:left="567"/>
        <w:jc w:val="both"/>
        <w:rPr>
          <w:rFonts w:ascii="Arial" w:hAnsi="Arial" w:cs="Arial"/>
        </w:rPr>
      </w:pPr>
      <w:r w:rsidRPr="00975458">
        <w:rPr>
          <w:rFonts w:ascii="Arial" w:hAnsi="Arial" w:cs="Arial"/>
        </w:rPr>
        <w:t>The making of the decision of the First-tier Tribunal did</w:t>
      </w:r>
      <w:r w:rsidR="00F120A1">
        <w:rPr>
          <w:rFonts w:ascii="Arial" w:hAnsi="Arial" w:cs="Arial"/>
        </w:rPr>
        <w:t xml:space="preserve"> </w:t>
      </w:r>
      <w:r w:rsidRPr="00975458">
        <w:rPr>
          <w:rFonts w:ascii="Arial" w:hAnsi="Arial" w:cs="Arial"/>
        </w:rPr>
        <w:t>involve the makin</w:t>
      </w:r>
      <w:r w:rsidR="00F120A1">
        <w:rPr>
          <w:rFonts w:ascii="Arial" w:hAnsi="Arial" w:cs="Arial"/>
        </w:rPr>
        <w:t xml:space="preserve">g of an error on a point of law such that it fell to be set aside. </w:t>
      </w:r>
    </w:p>
    <w:p w:rsidR="00715112" w:rsidRDefault="00715112" w:rsidP="00107968">
      <w:pPr>
        <w:tabs>
          <w:tab w:val="left" w:pos="567"/>
        </w:tabs>
        <w:ind w:left="567"/>
        <w:jc w:val="both"/>
        <w:rPr>
          <w:rFonts w:ascii="Arial" w:hAnsi="Arial" w:cs="Arial"/>
        </w:rPr>
      </w:pPr>
    </w:p>
    <w:p w:rsidR="00107968" w:rsidRPr="00975458" w:rsidRDefault="00F120A1" w:rsidP="00107968">
      <w:pPr>
        <w:tabs>
          <w:tab w:val="left" w:pos="567"/>
        </w:tabs>
        <w:ind w:left="567"/>
        <w:jc w:val="both"/>
        <w:rPr>
          <w:rFonts w:ascii="Arial" w:hAnsi="Arial" w:cs="Arial"/>
        </w:rPr>
      </w:pPr>
      <w:r>
        <w:rPr>
          <w:rFonts w:ascii="Arial" w:hAnsi="Arial" w:cs="Arial"/>
        </w:rPr>
        <w:t>I set it aside in its entirety. I re-ma</w:t>
      </w:r>
      <w:r w:rsidR="00715112">
        <w:rPr>
          <w:rFonts w:ascii="Arial" w:hAnsi="Arial" w:cs="Arial"/>
        </w:rPr>
        <w:t>d</w:t>
      </w:r>
      <w:r>
        <w:rPr>
          <w:rFonts w:ascii="Arial" w:hAnsi="Arial" w:cs="Arial"/>
        </w:rPr>
        <w:t xml:space="preserve">e the decision by dismissing the claimant's appeal against the Secretary of State's decision to make a deportation order. </w:t>
      </w:r>
    </w:p>
    <w:p w:rsidR="00107968" w:rsidRDefault="00107968" w:rsidP="00107968">
      <w:pPr>
        <w:tabs>
          <w:tab w:val="left" w:pos="540"/>
          <w:tab w:val="left" w:pos="1080"/>
          <w:tab w:val="left" w:pos="1620"/>
        </w:tabs>
        <w:ind w:left="540" w:hanging="540"/>
        <w:jc w:val="both"/>
        <w:rPr>
          <w:rFonts w:ascii="Arial" w:hAnsi="Arial"/>
        </w:rPr>
      </w:pPr>
    </w:p>
    <w:p w:rsidR="00DE1BAA" w:rsidRDefault="00DE1BAA" w:rsidP="00107968">
      <w:pPr>
        <w:tabs>
          <w:tab w:val="left" w:pos="540"/>
          <w:tab w:val="left" w:pos="1080"/>
          <w:tab w:val="left" w:pos="1620"/>
        </w:tabs>
        <w:ind w:left="540" w:hanging="540"/>
        <w:jc w:val="both"/>
        <w:rPr>
          <w:rFonts w:ascii="Arial" w:hAnsi="Arial"/>
        </w:rPr>
      </w:pPr>
    </w:p>
    <w:p w:rsidR="00DE1BAA" w:rsidRDefault="00DE1BAA" w:rsidP="00107968">
      <w:pPr>
        <w:tabs>
          <w:tab w:val="left" w:pos="540"/>
          <w:tab w:val="left" w:pos="1080"/>
          <w:tab w:val="left" w:pos="1620"/>
        </w:tabs>
        <w:ind w:left="540" w:hanging="540"/>
        <w:jc w:val="both"/>
        <w:rPr>
          <w:rFonts w:ascii="Arial" w:hAnsi="Arial"/>
        </w:rPr>
      </w:pPr>
    </w:p>
    <w:p w:rsidR="00107968" w:rsidRPr="00DE1BAA" w:rsidRDefault="00BD0AA3" w:rsidP="00107968">
      <w:pPr>
        <w:ind w:left="540" w:hanging="540"/>
        <w:jc w:val="both"/>
        <w:rPr>
          <w:rFonts w:ascii="Arial" w:hAnsi="Arial"/>
        </w:rPr>
      </w:pPr>
      <w:r w:rsidRPr="00F120A1">
        <w:rPr>
          <w:rFonts w:ascii="Arial" w:hAnsi="Arial"/>
          <w:noProof/>
          <w:sz w:val="22"/>
          <w:szCs w:val="22"/>
        </w:rPr>
        <w:drawing>
          <wp:inline distT="0" distB="0" distL="0" distR="0">
            <wp:extent cx="861060" cy="44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449580"/>
                    </a:xfrm>
                    <a:prstGeom prst="rect">
                      <a:avLst/>
                    </a:prstGeom>
                    <a:noFill/>
                    <a:ln>
                      <a:noFill/>
                    </a:ln>
                  </pic:spPr>
                </pic:pic>
              </a:graphicData>
            </a:graphic>
          </wp:inline>
        </w:drawing>
      </w:r>
      <w:r w:rsidR="00DE1BAA">
        <w:rPr>
          <w:rFonts w:ascii="Arial" w:hAnsi="Arial"/>
        </w:rPr>
        <w:t>Upper Tribunal Judge Gill</w:t>
      </w:r>
      <w:r w:rsidR="00107968" w:rsidRPr="00975458">
        <w:rPr>
          <w:rFonts w:ascii="Arial" w:hAnsi="Arial"/>
        </w:rPr>
        <w:tab/>
      </w:r>
      <w:r w:rsidR="00107968" w:rsidRPr="00975458">
        <w:rPr>
          <w:rFonts w:ascii="Arial" w:hAnsi="Arial"/>
        </w:rPr>
        <w:tab/>
      </w:r>
      <w:r w:rsidR="00107968" w:rsidRPr="00975458">
        <w:rPr>
          <w:rFonts w:ascii="Arial" w:hAnsi="Arial"/>
        </w:rPr>
        <w:tab/>
      </w:r>
      <w:r w:rsidR="00107968" w:rsidRPr="00DE1BAA">
        <w:rPr>
          <w:rFonts w:ascii="Arial" w:hAnsi="Arial"/>
        </w:rPr>
        <w:t xml:space="preserve">Date: </w:t>
      </w:r>
      <w:r w:rsidR="00F120A1" w:rsidRPr="00DE1BAA">
        <w:rPr>
          <w:rFonts w:ascii="Arial" w:hAnsi="Arial"/>
        </w:rPr>
        <w:t xml:space="preserve"> </w:t>
      </w:r>
      <w:r w:rsidR="00DE1BAA" w:rsidRPr="00DE1BAA">
        <w:rPr>
          <w:rFonts w:ascii="Arial" w:hAnsi="Arial"/>
        </w:rPr>
        <w:t>23 May 2018</w:t>
      </w:r>
    </w:p>
    <w:sectPr w:rsidR="00107968" w:rsidRPr="00DE1BAA" w:rsidSect="00F03A97">
      <w:headerReference w:type="default" r:id="rId9"/>
      <w:footerReference w:type="defaul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E6C" w:rsidRDefault="00EC0E6C">
      <w:r>
        <w:separator/>
      </w:r>
    </w:p>
  </w:endnote>
  <w:endnote w:type="continuationSeparator" w:id="0">
    <w:p w:rsidR="00EC0E6C" w:rsidRDefault="00EC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6A" w:rsidRPr="00593795" w:rsidRDefault="0005796A"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B455A">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6A" w:rsidRDefault="0005796A"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E6C" w:rsidRDefault="00EC0E6C">
      <w:r>
        <w:separator/>
      </w:r>
    </w:p>
  </w:footnote>
  <w:footnote w:type="continuationSeparator" w:id="0">
    <w:p w:rsidR="00EC0E6C" w:rsidRDefault="00EC0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6A" w:rsidRPr="003C5CE5" w:rsidRDefault="0005796A" w:rsidP="00614E94">
    <w:pPr>
      <w:pStyle w:val="Header"/>
      <w:jc w:val="right"/>
      <w:rPr>
        <w:rFonts w:ascii="Arial" w:hAnsi="Arial" w:cs="Arial"/>
        <w:sz w:val="16"/>
        <w:szCs w:val="16"/>
      </w:rPr>
    </w:pPr>
    <w:r>
      <w:rPr>
        <w:rFonts w:ascii="Arial" w:hAnsi="Arial" w:cs="Arial"/>
        <w:sz w:val="16"/>
        <w:szCs w:val="16"/>
      </w:rPr>
      <w:t>Appeal Number:  DA/00328/2016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2B4F"/>
    <w:multiLevelType w:val="singleLevel"/>
    <w:tmpl w:val="15C8EE12"/>
    <w:lvl w:ilvl="0">
      <w:start w:val="50"/>
      <w:numFmt w:val="decimal"/>
      <w:lvlText w:val="%1."/>
      <w:lvlJc w:val="left"/>
      <w:pPr>
        <w:tabs>
          <w:tab w:val="num" w:pos="576"/>
        </w:tabs>
        <w:ind w:left="501" w:hanging="501"/>
      </w:pPr>
      <w:rPr>
        <w:rFonts w:ascii="Garamond" w:hAnsi="Garamond" w:cs="Garamond"/>
        <w:snapToGrid/>
        <w:sz w:val="24"/>
        <w:szCs w:val="24"/>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65B409D1"/>
    <w:multiLevelType w:val="hybridMultilevel"/>
    <w:tmpl w:val="11D44AB4"/>
    <w:lvl w:ilvl="0" w:tplc="C2B2A904">
      <w:start w:val="1"/>
      <w:numFmt w:val="decimal"/>
      <w:lvlText w:val="%1."/>
      <w:lvlJc w:val="left"/>
      <w:pPr>
        <w:tabs>
          <w:tab w:val="num" w:pos="720"/>
        </w:tabs>
        <w:ind w:left="72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3334E"/>
    <w:rsid w:val="000342EC"/>
    <w:rsid w:val="00056911"/>
    <w:rsid w:val="0005796A"/>
    <w:rsid w:val="0008081A"/>
    <w:rsid w:val="00092A37"/>
    <w:rsid w:val="0009505B"/>
    <w:rsid w:val="000B77DC"/>
    <w:rsid w:val="00105EB3"/>
    <w:rsid w:val="00107968"/>
    <w:rsid w:val="0011144A"/>
    <w:rsid w:val="00115084"/>
    <w:rsid w:val="00125598"/>
    <w:rsid w:val="00130D66"/>
    <w:rsid w:val="00150DB4"/>
    <w:rsid w:val="00171420"/>
    <w:rsid w:val="0018379F"/>
    <w:rsid w:val="001E18C4"/>
    <w:rsid w:val="00211710"/>
    <w:rsid w:val="00212DC3"/>
    <w:rsid w:val="00220D7B"/>
    <w:rsid w:val="00253424"/>
    <w:rsid w:val="00266FFE"/>
    <w:rsid w:val="002832F1"/>
    <w:rsid w:val="002E0143"/>
    <w:rsid w:val="002E10E4"/>
    <w:rsid w:val="002F7245"/>
    <w:rsid w:val="003428A4"/>
    <w:rsid w:val="00351645"/>
    <w:rsid w:val="003B36DA"/>
    <w:rsid w:val="003C38C7"/>
    <w:rsid w:val="003D7C0D"/>
    <w:rsid w:val="003E16A7"/>
    <w:rsid w:val="003F1D27"/>
    <w:rsid w:val="003F3BB0"/>
    <w:rsid w:val="00402CA6"/>
    <w:rsid w:val="004171D0"/>
    <w:rsid w:val="004A012D"/>
    <w:rsid w:val="004A3A46"/>
    <w:rsid w:val="004D0532"/>
    <w:rsid w:val="004E46E3"/>
    <w:rsid w:val="004F7E40"/>
    <w:rsid w:val="005044AD"/>
    <w:rsid w:val="00515A19"/>
    <w:rsid w:val="00521148"/>
    <w:rsid w:val="00554893"/>
    <w:rsid w:val="0057020B"/>
    <w:rsid w:val="005755C6"/>
    <w:rsid w:val="005759DE"/>
    <w:rsid w:val="005B0D34"/>
    <w:rsid w:val="00614E94"/>
    <w:rsid w:val="00622116"/>
    <w:rsid w:val="00631D30"/>
    <w:rsid w:val="0064511F"/>
    <w:rsid w:val="0065798C"/>
    <w:rsid w:val="00675B03"/>
    <w:rsid w:val="006A2772"/>
    <w:rsid w:val="006D3540"/>
    <w:rsid w:val="00715112"/>
    <w:rsid w:val="00723886"/>
    <w:rsid w:val="00786E5C"/>
    <w:rsid w:val="007C6F45"/>
    <w:rsid w:val="00811243"/>
    <w:rsid w:val="008238E4"/>
    <w:rsid w:val="008354E7"/>
    <w:rsid w:val="00857A90"/>
    <w:rsid w:val="008832E8"/>
    <w:rsid w:val="008861A1"/>
    <w:rsid w:val="008B39B3"/>
    <w:rsid w:val="008D5BC9"/>
    <w:rsid w:val="008D7A9F"/>
    <w:rsid w:val="009056F2"/>
    <w:rsid w:val="0091308A"/>
    <w:rsid w:val="0092373B"/>
    <w:rsid w:val="00933B65"/>
    <w:rsid w:val="009524EC"/>
    <w:rsid w:val="009567B0"/>
    <w:rsid w:val="00964035"/>
    <w:rsid w:val="00967DC2"/>
    <w:rsid w:val="009701EB"/>
    <w:rsid w:val="00975458"/>
    <w:rsid w:val="00982233"/>
    <w:rsid w:val="009A284F"/>
    <w:rsid w:val="009A33A8"/>
    <w:rsid w:val="009A5861"/>
    <w:rsid w:val="009E3B00"/>
    <w:rsid w:val="00A143D1"/>
    <w:rsid w:val="00A215D0"/>
    <w:rsid w:val="00A41A08"/>
    <w:rsid w:val="00A67F1E"/>
    <w:rsid w:val="00A86A8D"/>
    <w:rsid w:val="00AA2F32"/>
    <w:rsid w:val="00AB455A"/>
    <w:rsid w:val="00AB5E0D"/>
    <w:rsid w:val="00AD2339"/>
    <w:rsid w:val="00B57BA2"/>
    <w:rsid w:val="00B63A6A"/>
    <w:rsid w:val="00B8571D"/>
    <w:rsid w:val="00BA259B"/>
    <w:rsid w:val="00BB32D7"/>
    <w:rsid w:val="00BC3758"/>
    <w:rsid w:val="00BD0AA3"/>
    <w:rsid w:val="00BD260B"/>
    <w:rsid w:val="00C306DD"/>
    <w:rsid w:val="00C5014C"/>
    <w:rsid w:val="00C840B5"/>
    <w:rsid w:val="00C97B22"/>
    <w:rsid w:val="00CA2E18"/>
    <w:rsid w:val="00CE518D"/>
    <w:rsid w:val="00D45231"/>
    <w:rsid w:val="00D763A4"/>
    <w:rsid w:val="00D907AA"/>
    <w:rsid w:val="00DA5165"/>
    <w:rsid w:val="00DA71CF"/>
    <w:rsid w:val="00DD0039"/>
    <w:rsid w:val="00DE1BAA"/>
    <w:rsid w:val="00E20ECF"/>
    <w:rsid w:val="00E34CFB"/>
    <w:rsid w:val="00E4028F"/>
    <w:rsid w:val="00E45CF3"/>
    <w:rsid w:val="00E54675"/>
    <w:rsid w:val="00E75C91"/>
    <w:rsid w:val="00EB2635"/>
    <w:rsid w:val="00EC0E6C"/>
    <w:rsid w:val="00EC3F6E"/>
    <w:rsid w:val="00ED4C89"/>
    <w:rsid w:val="00EE545A"/>
    <w:rsid w:val="00EF6270"/>
    <w:rsid w:val="00F03A97"/>
    <w:rsid w:val="00F0733C"/>
    <w:rsid w:val="00F120A1"/>
    <w:rsid w:val="00F2041D"/>
    <w:rsid w:val="00F57157"/>
    <w:rsid w:val="00F648C0"/>
    <w:rsid w:val="00FA0A2E"/>
    <w:rsid w:val="00FA48A5"/>
    <w:rsid w:val="00FB0516"/>
    <w:rsid w:val="00FD15A8"/>
    <w:rsid w:val="00FF3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4">
    <w:name w:val="heading 4"/>
    <w:basedOn w:val="Normal"/>
    <w:next w:val="Normal"/>
    <w:qFormat/>
    <w:rsid w:val="00B8571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F7245"/>
  </w:style>
  <w:style w:type="paragraph" w:styleId="BalloonText">
    <w:name w:val="Balloon Text"/>
    <w:basedOn w:val="Normal"/>
    <w:semiHidden/>
    <w:rsid w:val="00211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6079">
      <w:bodyDiv w:val="1"/>
      <w:marLeft w:val="0"/>
      <w:marRight w:val="0"/>
      <w:marTop w:val="0"/>
      <w:marBottom w:val="0"/>
      <w:divBdr>
        <w:top w:val="none" w:sz="0" w:space="0" w:color="auto"/>
        <w:left w:val="none" w:sz="0" w:space="0" w:color="auto"/>
        <w:bottom w:val="none" w:sz="0" w:space="0" w:color="auto"/>
        <w:right w:val="none" w:sz="0" w:space="0" w:color="auto"/>
      </w:divBdr>
      <w:divsChild>
        <w:div w:id="182276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4236</Words>
  <Characters>24149</Characters>
  <Application>Microsoft Office Word</Application>
  <DocSecurity>2</DocSecurity>
  <Lines>201</Lines>
  <Paragraphs>56</Paragraphs>
  <ScaleCrop>false</ScaleCrop>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2018-06-15T14:38:00Z</dcterms:created>
  <dcterms:modified xsi:type="dcterms:W3CDTF">2018-06-15T14:39:00Z</dcterms:modified>
</cp:coreProperties>
</file>