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282E0" w14:textId="020A2F06" w:rsidR="00A57B3D" w:rsidRPr="006D15A7" w:rsidRDefault="00F56D87" w:rsidP="0010335F">
      <w:pPr>
        <w:jc w:val="center"/>
        <w:rPr>
          <w:rFonts w:ascii="Book Antiqua" w:hAnsi="Book Antiqua" w:cs="Arial"/>
          <w:caps/>
          <w:color w:val="000000"/>
          <w:sz w:val="16"/>
          <w:szCs w:val="16"/>
        </w:rPr>
      </w:pPr>
      <w:r w:rsidRPr="006D15A7">
        <w:rPr>
          <w:noProof/>
          <w:sz w:val="16"/>
          <w:szCs w:val="16"/>
        </w:rPr>
        <w:drawing>
          <wp:inline distT="0" distB="0" distL="0" distR="0" wp14:anchorId="54F4B09E" wp14:editId="26861CC3">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DA38E97" w14:textId="77777777" w:rsidR="00D94AFC" w:rsidRPr="006D15A7" w:rsidRDefault="00D94AFC">
      <w:pPr>
        <w:rPr>
          <w:rFonts w:ascii="Book Antiqua" w:hAnsi="Book Antiqua" w:cs="Arial"/>
          <w:color w:val="000000"/>
          <w:sz w:val="16"/>
          <w:szCs w:val="16"/>
        </w:rPr>
      </w:pPr>
    </w:p>
    <w:p w14:paraId="2C42F514"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1FC0D071"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CD4001">
        <w:rPr>
          <w:rFonts w:ascii="Book Antiqua" w:hAnsi="Book Antiqua" w:cs="Arial"/>
          <w:caps/>
          <w:color w:val="000000"/>
        </w:rPr>
        <w:t>D</w:t>
      </w:r>
      <w:r w:rsidR="00A04CD3">
        <w:rPr>
          <w:rFonts w:ascii="Book Antiqua" w:hAnsi="Book Antiqua" w:cs="Arial"/>
          <w:caps/>
          <w:color w:val="000000"/>
        </w:rPr>
        <w:t>A/</w:t>
      </w:r>
      <w:r w:rsidR="00CD4001">
        <w:rPr>
          <w:rFonts w:ascii="Book Antiqua" w:hAnsi="Book Antiqua" w:cs="Arial"/>
          <w:caps/>
          <w:color w:val="000000"/>
        </w:rPr>
        <w:t>00359</w:t>
      </w:r>
      <w:r w:rsidR="00A04CD3">
        <w:rPr>
          <w:rFonts w:ascii="Book Antiqua" w:hAnsi="Book Antiqua" w:cs="Arial"/>
          <w:caps/>
          <w:color w:val="000000"/>
        </w:rPr>
        <w:t>/2014</w:t>
      </w:r>
      <w:bookmarkEnd w:id="0"/>
    </w:p>
    <w:p w14:paraId="4309402A" w14:textId="77777777" w:rsidR="00C345E1" w:rsidRPr="001C5703" w:rsidRDefault="00C345E1" w:rsidP="00C345E1">
      <w:pPr>
        <w:jc w:val="center"/>
        <w:rPr>
          <w:rFonts w:ascii="Book Antiqua" w:hAnsi="Book Antiqua" w:cs="Arial"/>
          <w:color w:val="000000"/>
        </w:rPr>
      </w:pPr>
    </w:p>
    <w:p w14:paraId="54EF5F2D" w14:textId="77777777" w:rsidR="00C345E1" w:rsidRPr="001C5703" w:rsidRDefault="00C345E1" w:rsidP="00C345E1">
      <w:pPr>
        <w:jc w:val="center"/>
        <w:rPr>
          <w:rFonts w:ascii="Book Antiqua" w:hAnsi="Book Antiqua" w:cs="Arial"/>
          <w:color w:val="000000"/>
        </w:rPr>
      </w:pPr>
    </w:p>
    <w:p w14:paraId="7E232BF8"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265AB524" w14:textId="77777777" w:rsidR="00C345E1" w:rsidRPr="001C5703" w:rsidRDefault="00C345E1" w:rsidP="00C345E1">
      <w:pPr>
        <w:jc w:val="center"/>
        <w:rPr>
          <w:rFonts w:ascii="Book Antiqua" w:hAnsi="Book Antiqua" w:cs="Arial"/>
          <w:b/>
          <w:u w:val="single"/>
        </w:rPr>
      </w:pPr>
    </w:p>
    <w:p w14:paraId="00E3FD39" w14:textId="77777777"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3F7527" w14:paraId="7686975A" w14:textId="77777777" w:rsidTr="003F7527">
        <w:tc>
          <w:tcPr>
            <w:tcW w:w="6048" w:type="dxa"/>
            <w:shd w:val="clear" w:color="auto" w:fill="auto"/>
          </w:tcPr>
          <w:p w14:paraId="457630B3" w14:textId="77777777" w:rsidR="00D22636" w:rsidRPr="003F7527" w:rsidRDefault="00D22636" w:rsidP="003F7527">
            <w:pPr>
              <w:jc w:val="both"/>
              <w:rPr>
                <w:rFonts w:ascii="Book Antiqua" w:hAnsi="Book Antiqua" w:cs="Arial"/>
                <w:b/>
              </w:rPr>
            </w:pPr>
            <w:r w:rsidRPr="003F7527">
              <w:rPr>
                <w:rFonts w:ascii="Book Antiqua" w:hAnsi="Book Antiqua" w:cs="Arial"/>
                <w:b/>
              </w:rPr>
              <w:t xml:space="preserve">Heard at </w:t>
            </w:r>
            <w:r w:rsidR="00E86257">
              <w:rPr>
                <w:rFonts w:ascii="Book Antiqua" w:hAnsi="Book Antiqua" w:cs="Arial"/>
                <w:b/>
              </w:rPr>
              <w:t>Field House</w:t>
            </w:r>
          </w:p>
        </w:tc>
        <w:tc>
          <w:tcPr>
            <w:tcW w:w="3960" w:type="dxa"/>
            <w:shd w:val="clear" w:color="auto" w:fill="auto"/>
          </w:tcPr>
          <w:p w14:paraId="62371752" w14:textId="77777777" w:rsidR="00D22636" w:rsidRPr="003F7527" w:rsidRDefault="00A32B11" w:rsidP="003F7527">
            <w:pPr>
              <w:jc w:val="both"/>
              <w:rPr>
                <w:rFonts w:ascii="Book Antiqua" w:hAnsi="Book Antiqua" w:cs="Arial"/>
                <w:b/>
                <w:color w:val="000000"/>
              </w:rPr>
            </w:pPr>
            <w:r w:rsidRPr="003F7527">
              <w:rPr>
                <w:rFonts w:ascii="Book Antiqua" w:hAnsi="Book Antiqua" w:cs="Arial"/>
                <w:b/>
                <w:color w:val="000000"/>
              </w:rPr>
              <w:t>Decision &amp; Reasons</w:t>
            </w:r>
            <w:r w:rsidR="00283659" w:rsidRPr="003F7527">
              <w:rPr>
                <w:rFonts w:ascii="Book Antiqua" w:hAnsi="Book Antiqua" w:cs="Arial"/>
                <w:b/>
                <w:color w:val="000000"/>
              </w:rPr>
              <w:t xml:space="preserve"> Promulgated</w:t>
            </w:r>
          </w:p>
        </w:tc>
      </w:tr>
      <w:tr w:rsidR="00D22636" w:rsidRPr="003F7527" w14:paraId="64CDDFA8" w14:textId="77777777" w:rsidTr="003F7527">
        <w:tc>
          <w:tcPr>
            <w:tcW w:w="6048" w:type="dxa"/>
            <w:shd w:val="clear" w:color="auto" w:fill="auto"/>
          </w:tcPr>
          <w:p w14:paraId="24694D7C" w14:textId="77777777" w:rsidR="00D22636" w:rsidRPr="003F7527" w:rsidRDefault="00D22636" w:rsidP="003F7527">
            <w:pPr>
              <w:jc w:val="both"/>
              <w:rPr>
                <w:rFonts w:ascii="Book Antiqua" w:hAnsi="Book Antiqua" w:cs="Arial"/>
                <w:b/>
              </w:rPr>
            </w:pPr>
            <w:r w:rsidRPr="003F7527">
              <w:rPr>
                <w:rFonts w:ascii="Book Antiqua" w:hAnsi="Book Antiqua" w:cs="Arial"/>
                <w:b/>
              </w:rPr>
              <w:t xml:space="preserve">On </w:t>
            </w:r>
            <w:r w:rsidR="00E86257">
              <w:rPr>
                <w:rFonts w:ascii="Book Antiqua" w:hAnsi="Book Antiqua" w:cs="Arial"/>
                <w:b/>
              </w:rPr>
              <w:t>11 July</w:t>
            </w:r>
            <w:r w:rsidR="00A04CD3" w:rsidRPr="003F7527">
              <w:rPr>
                <w:rFonts w:ascii="Book Antiqua" w:hAnsi="Book Antiqua" w:cs="Arial"/>
                <w:b/>
              </w:rPr>
              <w:t xml:space="preserve"> 201</w:t>
            </w:r>
            <w:r w:rsidR="00E86257">
              <w:rPr>
                <w:rFonts w:ascii="Book Antiqua" w:hAnsi="Book Antiqua" w:cs="Arial"/>
                <w:b/>
              </w:rPr>
              <w:t>8</w:t>
            </w:r>
          </w:p>
        </w:tc>
        <w:tc>
          <w:tcPr>
            <w:tcW w:w="3960" w:type="dxa"/>
            <w:shd w:val="clear" w:color="auto" w:fill="auto"/>
          </w:tcPr>
          <w:p w14:paraId="76CE5633" w14:textId="77777777" w:rsidR="00D22636" w:rsidRPr="003F7527" w:rsidRDefault="007D37E8" w:rsidP="003F7527">
            <w:pPr>
              <w:jc w:val="both"/>
              <w:rPr>
                <w:rFonts w:ascii="Book Antiqua" w:hAnsi="Book Antiqua" w:cs="Arial"/>
                <w:b/>
              </w:rPr>
            </w:pPr>
            <w:r w:rsidRPr="007D37E8">
              <w:rPr>
                <w:rFonts w:ascii="Book Antiqua" w:hAnsi="Book Antiqua" w:cs="Arial"/>
                <w:b/>
              </w:rPr>
              <w:t>On 27 July 2018</w:t>
            </w:r>
          </w:p>
        </w:tc>
      </w:tr>
      <w:tr w:rsidR="00D22636" w:rsidRPr="003F7527" w14:paraId="20C9BCB9" w14:textId="77777777" w:rsidTr="003F7527">
        <w:tc>
          <w:tcPr>
            <w:tcW w:w="6048" w:type="dxa"/>
            <w:shd w:val="clear" w:color="auto" w:fill="auto"/>
          </w:tcPr>
          <w:p w14:paraId="490A170F" w14:textId="77777777" w:rsidR="00D22636" w:rsidRPr="003F7527" w:rsidRDefault="00D22636" w:rsidP="003F7527">
            <w:pPr>
              <w:jc w:val="both"/>
              <w:rPr>
                <w:rFonts w:ascii="Book Antiqua" w:hAnsi="Book Antiqua" w:cs="Arial"/>
                <w:b/>
              </w:rPr>
            </w:pPr>
          </w:p>
        </w:tc>
        <w:tc>
          <w:tcPr>
            <w:tcW w:w="3960" w:type="dxa"/>
            <w:shd w:val="clear" w:color="auto" w:fill="auto"/>
          </w:tcPr>
          <w:p w14:paraId="23236AED" w14:textId="77777777" w:rsidR="00D22636" w:rsidRPr="003F7527" w:rsidRDefault="00D22636" w:rsidP="003F7527">
            <w:pPr>
              <w:jc w:val="both"/>
              <w:rPr>
                <w:rFonts w:ascii="Book Antiqua" w:hAnsi="Book Antiqua" w:cs="Arial"/>
                <w:b/>
              </w:rPr>
            </w:pPr>
          </w:p>
        </w:tc>
      </w:tr>
    </w:tbl>
    <w:p w14:paraId="7659C8A4" w14:textId="77777777" w:rsidR="00A15234" w:rsidRPr="001C5703" w:rsidRDefault="00A15234" w:rsidP="00A15234">
      <w:pPr>
        <w:jc w:val="center"/>
        <w:rPr>
          <w:rFonts w:ascii="Book Antiqua" w:hAnsi="Book Antiqua" w:cs="Arial"/>
        </w:rPr>
      </w:pPr>
    </w:p>
    <w:p w14:paraId="75C6DC0F" w14:textId="77777777" w:rsidR="00A15234"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68F52A27" w14:textId="77777777" w:rsidR="00E86257" w:rsidRPr="001C5703" w:rsidRDefault="00E86257" w:rsidP="00A15234">
      <w:pPr>
        <w:jc w:val="center"/>
        <w:rPr>
          <w:rFonts w:ascii="Book Antiqua" w:hAnsi="Book Antiqua" w:cs="Arial"/>
          <w:b/>
        </w:rPr>
      </w:pPr>
    </w:p>
    <w:p w14:paraId="205EFA01" w14:textId="77777777" w:rsidR="00E86257" w:rsidRDefault="00E86257" w:rsidP="00E86257">
      <w:pPr>
        <w:jc w:val="center"/>
        <w:rPr>
          <w:rFonts w:ascii="Book Antiqua" w:hAnsi="Book Antiqua" w:cs="Arial"/>
          <w:b/>
          <w:color w:val="000000"/>
        </w:rPr>
      </w:pPr>
      <w:r>
        <w:rPr>
          <w:rFonts w:ascii="Book Antiqua" w:hAnsi="Book Antiqua" w:cs="Arial"/>
          <w:b/>
          <w:color w:val="000000"/>
        </w:rPr>
        <w:t>THE HON</w:t>
      </w:r>
      <w:r w:rsidR="0058061A">
        <w:rPr>
          <w:rFonts w:ascii="Book Antiqua" w:hAnsi="Book Antiqua" w:cs="Arial"/>
          <w:b/>
          <w:color w:val="000000"/>
        </w:rPr>
        <w:t>.</w:t>
      </w:r>
      <w:r>
        <w:rPr>
          <w:rFonts w:ascii="Book Antiqua" w:hAnsi="Book Antiqua" w:cs="Arial"/>
          <w:b/>
          <w:color w:val="000000"/>
        </w:rPr>
        <w:t xml:space="preserve"> MR JUSTICE GOSS</w:t>
      </w:r>
    </w:p>
    <w:p w14:paraId="76A9B80D" w14:textId="77777777" w:rsidR="00A15234" w:rsidRPr="006D15A7" w:rsidRDefault="00E86257" w:rsidP="00E86257">
      <w:pPr>
        <w:jc w:val="center"/>
        <w:rPr>
          <w:rFonts w:ascii="Book Antiqua" w:hAnsi="Book Antiqua" w:cs="Arial"/>
          <w:b/>
          <w:color w:val="000000"/>
          <w:sz w:val="22"/>
        </w:rPr>
      </w:pPr>
      <w:r w:rsidRPr="006D15A7">
        <w:rPr>
          <w:rFonts w:ascii="Book Antiqua" w:hAnsi="Book Antiqua" w:cs="Arial"/>
          <w:b/>
          <w:color w:val="000000"/>
          <w:sz w:val="22"/>
        </w:rPr>
        <w:t>(SITTING AS A JUDGE OF THE UPPER TRIBUNAL)</w:t>
      </w:r>
    </w:p>
    <w:p w14:paraId="6806B3B2"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842E4B">
        <w:rPr>
          <w:rFonts w:ascii="Book Antiqua" w:hAnsi="Book Antiqua" w:cs="Arial"/>
          <w:b/>
          <w:color w:val="000000"/>
        </w:rPr>
        <w:t>KOPIECZEK</w:t>
      </w:r>
    </w:p>
    <w:p w14:paraId="64289FEF" w14:textId="77777777" w:rsidR="00A845DC" w:rsidRPr="001C5703" w:rsidRDefault="00A845DC" w:rsidP="00A15234">
      <w:pPr>
        <w:jc w:val="center"/>
        <w:rPr>
          <w:rFonts w:ascii="Book Antiqua" w:hAnsi="Book Antiqua" w:cs="Arial"/>
          <w:b/>
        </w:rPr>
      </w:pPr>
    </w:p>
    <w:p w14:paraId="7FA22FEA" w14:textId="77777777" w:rsidR="00C360CE" w:rsidRDefault="00C360CE" w:rsidP="00A15234">
      <w:pPr>
        <w:jc w:val="center"/>
        <w:rPr>
          <w:rFonts w:ascii="Book Antiqua" w:hAnsi="Book Antiqua" w:cs="Arial"/>
          <w:b/>
        </w:rPr>
      </w:pPr>
    </w:p>
    <w:p w14:paraId="058C7FBA" w14:textId="2FFFB3D1"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7A0CA542" w14:textId="77777777" w:rsidR="00A845DC" w:rsidRPr="001C5703" w:rsidRDefault="00A845DC" w:rsidP="00A15234">
      <w:pPr>
        <w:jc w:val="center"/>
        <w:rPr>
          <w:rFonts w:ascii="Book Antiqua" w:hAnsi="Book Antiqua" w:cs="Arial"/>
          <w:b/>
        </w:rPr>
      </w:pPr>
    </w:p>
    <w:p w14:paraId="522CD900" w14:textId="608187BB" w:rsidR="00A845DC" w:rsidRDefault="00E86257" w:rsidP="00A15234">
      <w:pPr>
        <w:jc w:val="center"/>
        <w:rPr>
          <w:rFonts w:ascii="Book Antiqua" w:hAnsi="Book Antiqua" w:cs="Arial"/>
          <w:b/>
          <w:caps/>
        </w:rPr>
      </w:pPr>
      <w:r>
        <w:rPr>
          <w:rFonts w:ascii="Book Antiqua" w:hAnsi="Book Antiqua" w:cs="Arial"/>
          <w:b/>
          <w:caps/>
        </w:rPr>
        <w:t xml:space="preserve">KERN </w:t>
      </w:r>
      <w:r w:rsidR="00C50462">
        <w:rPr>
          <w:rFonts w:ascii="Book Antiqua" w:hAnsi="Book Antiqua" w:cs="Arial"/>
          <w:b/>
          <w:caps/>
        </w:rPr>
        <w:t>[</w:t>
      </w:r>
      <w:r>
        <w:rPr>
          <w:rFonts w:ascii="Book Antiqua" w:hAnsi="Book Antiqua" w:cs="Arial"/>
          <w:b/>
          <w:caps/>
        </w:rPr>
        <w:t>G</w:t>
      </w:r>
      <w:r w:rsidR="00C50462">
        <w:rPr>
          <w:rFonts w:ascii="Book Antiqua" w:hAnsi="Book Antiqua" w:cs="Arial"/>
          <w:b/>
          <w:caps/>
        </w:rPr>
        <w:t>]</w:t>
      </w:r>
    </w:p>
    <w:p w14:paraId="1D8DB0F0" w14:textId="77777777" w:rsidR="00A32B11" w:rsidRPr="006D15A7" w:rsidRDefault="00A32B11" w:rsidP="00A32B11">
      <w:pPr>
        <w:jc w:val="center"/>
        <w:rPr>
          <w:rFonts w:ascii="Book Antiqua" w:hAnsi="Book Antiqua" w:cs="Arial"/>
          <w:b/>
          <w:caps/>
          <w:sz w:val="22"/>
        </w:rPr>
      </w:pPr>
      <w:r w:rsidRPr="006D15A7">
        <w:rPr>
          <w:rFonts w:ascii="Book Antiqua" w:hAnsi="Book Antiqua" w:cs="Arial"/>
          <w:b/>
          <w:caps/>
          <w:sz w:val="22"/>
        </w:rPr>
        <w:t xml:space="preserve">(ANONYMITY DIRECTION </w:t>
      </w:r>
      <w:r w:rsidR="00E86257" w:rsidRPr="006D15A7">
        <w:rPr>
          <w:rFonts w:ascii="Book Antiqua" w:hAnsi="Book Antiqua" w:cs="Arial"/>
          <w:b/>
          <w:caps/>
          <w:sz w:val="22"/>
        </w:rPr>
        <w:t xml:space="preserve">NOT </w:t>
      </w:r>
      <w:r w:rsidR="00A04CD3" w:rsidRPr="006D15A7">
        <w:rPr>
          <w:rFonts w:ascii="Book Antiqua" w:hAnsi="Book Antiqua" w:cs="Arial"/>
          <w:b/>
          <w:caps/>
          <w:sz w:val="22"/>
        </w:rPr>
        <w:t>made</w:t>
      </w:r>
      <w:r w:rsidRPr="006D15A7">
        <w:rPr>
          <w:rFonts w:ascii="Book Antiqua" w:hAnsi="Book Antiqua" w:cs="Arial"/>
          <w:b/>
          <w:caps/>
          <w:sz w:val="22"/>
        </w:rPr>
        <w:t>)</w:t>
      </w:r>
    </w:p>
    <w:p w14:paraId="5FC9BC28"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5944239F"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2617637B" w14:textId="77777777" w:rsidR="00DD5071" w:rsidRPr="001C5703" w:rsidRDefault="00DD5071" w:rsidP="00704B61">
      <w:pPr>
        <w:jc w:val="center"/>
        <w:rPr>
          <w:rFonts w:ascii="Book Antiqua" w:hAnsi="Book Antiqua" w:cs="Arial"/>
          <w:b/>
        </w:rPr>
      </w:pPr>
    </w:p>
    <w:p w14:paraId="6A501B8E"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4CAFCF91"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0FBAC7E5" w14:textId="33EAAFC7" w:rsidR="00DD5071" w:rsidRDefault="00DD5071" w:rsidP="00DD5071">
      <w:pPr>
        <w:rPr>
          <w:rFonts w:ascii="Book Antiqua" w:hAnsi="Book Antiqua" w:cs="Arial"/>
          <w:u w:val="single"/>
        </w:rPr>
      </w:pPr>
    </w:p>
    <w:p w14:paraId="4D6637F0" w14:textId="77777777" w:rsidR="00C360CE" w:rsidRPr="001C5703" w:rsidRDefault="00C360CE" w:rsidP="00DD5071">
      <w:pPr>
        <w:rPr>
          <w:rFonts w:ascii="Book Antiqua" w:hAnsi="Book Antiqua" w:cs="Arial"/>
          <w:u w:val="single"/>
        </w:rPr>
      </w:pPr>
    </w:p>
    <w:p w14:paraId="0B9343FB" w14:textId="77777777"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42FBD231"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E86257">
        <w:rPr>
          <w:rFonts w:ascii="Book Antiqua" w:hAnsi="Book Antiqua" w:cs="Arial"/>
        </w:rPr>
        <w:t>Mr T. Lay</w:t>
      </w:r>
      <w:r w:rsidR="00A04CD3">
        <w:rPr>
          <w:rFonts w:ascii="Book Antiqua" w:hAnsi="Book Antiqua" w:cs="Arial"/>
        </w:rPr>
        <w:t xml:space="preserve">, Counsel instructed by </w:t>
      </w:r>
      <w:r w:rsidR="00E86257">
        <w:rPr>
          <w:rFonts w:ascii="Book Antiqua" w:hAnsi="Book Antiqua" w:cs="Arial"/>
        </w:rPr>
        <w:t>Duncan Lewis &amp; Co,</w:t>
      </w:r>
      <w:r w:rsidR="00A04CD3">
        <w:rPr>
          <w:rFonts w:ascii="Book Antiqua" w:hAnsi="Book Antiqua" w:cs="Arial"/>
        </w:rPr>
        <w:t xml:space="preserve"> Solicitors</w:t>
      </w:r>
    </w:p>
    <w:p w14:paraId="51BB824F" w14:textId="77777777" w:rsidR="00DE7DB7" w:rsidRPr="001C5703" w:rsidRDefault="00DE7DB7" w:rsidP="00E04AB0">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E86257">
        <w:rPr>
          <w:rFonts w:ascii="Book Antiqua" w:hAnsi="Book Antiqua" w:cs="Arial"/>
        </w:rPr>
        <w:t>Ms A. Holmes</w:t>
      </w:r>
      <w:r w:rsidR="00A04CD3">
        <w:rPr>
          <w:rFonts w:ascii="Book Antiqua" w:hAnsi="Book Antiqua" w:cs="Arial"/>
        </w:rPr>
        <w:t xml:space="preserve">, </w:t>
      </w:r>
      <w:r w:rsidR="00E86257">
        <w:rPr>
          <w:rFonts w:ascii="Book Antiqua" w:hAnsi="Book Antiqua" w:cs="Arial"/>
        </w:rPr>
        <w:t xml:space="preserve">Senior </w:t>
      </w:r>
      <w:r w:rsidR="00A04CD3">
        <w:rPr>
          <w:rFonts w:ascii="Book Antiqua" w:hAnsi="Book Antiqua" w:cs="Arial"/>
        </w:rPr>
        <w:t xml:space="preserve">Home Office Presenting Officer </w:t>
      </w:r>
    </w:p>
    <w:p w14:paraId="2182E8BE" w14:textId="29D63E49" w:rsidR="00DE7DB7" w:rsidRDefault="00DE7DB7" w:rsidP="00402B9E">
      <w:pPr>
        <w:tabs>
          <w:tab w:val="left" w:pos="2520"/>
        </w:tabs>
        <w:jc w:val="center"/>
        <w:rPr>
          <w:rFonts w:ascii="Book Antiqua" w:hAnsi="Book Antiqua" w:cs="Arial"/>
        </w:rPr>
      </w:pPr>
    </w:p>
    <w:p w14:paraId="1B203AA2" w14:textId="77777777" w:rsidR="00C360CE" w:rsidRPr="001C5703" w:rsidRDefault="00C360CE" w:rsidP="00402B9E">
      <w:pPr>
        <w:tabs>
          <w:tab w:val="left" w:pos="2520"/>
        </w:tabs>
        <w:jc w:val="center"/>
        <w:rPr>
          <w:rFonts w:ascii="Book Antiqua" w:hAnsi="Book Antiqua" w:cs="Arial"/>
        </w:rPr>
      </w:pPr>
    </w:p>
    <w:p w14:paraId="362784E9" w14:textId="77777777" w:rsidR="00DE7DB7" w:rsidRPr="001C5703" w:rsidRDefault="00A32B11"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3D8E1B6E" w14:textId="77777777" w:rsidR="00E04AB0" w:rsidRPr="00E04AB0" w:rsidRDefault="00E04AB0" w:rsidP="00E04AB0">
      <w:pPr>
        <w:spacing w:before="240"/>
        <w:ind w:left="567"/>
        <w:jc w:val="both"/>
        <w:rPr>
          <w:rFonts w:ascii="Book Antiqua" w:hAnsi="Book Antiqua" w:cs="Arial"/>
          <w:i/>
        </w:rPr>
      </w:pPr>
      <w:r>
        <w:rPr>
          <w:rFonts w:ascii="Book Antiqua" w:hAnsi="Book Antiqua" w:cs="Arial"/>
          <w:i/>
        </w:rPr>
        <w:t>Introduction</w:t>
      </w:r>
    </w:p>
    <w:p w14:paraId="0FBF1E82" w14:textId="77777777" w:rsidR="00BF23BB" w:rsidRDefault="00A04CD3" w:rsidP="002440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w:t>
      </w:r>
      <w:r w:rsidR="00E86257">
        <w:rPr>
          <w:rFonts w:ascii="Book Antiqua" w:hAnsi="Book Antiqua" w:cs="Arial"/>
        </w:rPr>
        <w:t>Trinidad and Tobago</w:t>
      </w:r>
      <w:r>
        <w:rPr>
          <w:rFonts w:ascii="Book Antiqua" w:hAnsi="Book Antiqua" w:cs="Arial"/>
        </w:rPr>
        <w:t xml:space="preserve">, born </w:t>
      </w:r>
      <w:r w:rsidR="00E86257">
        <w:rPr>
          <w:rFonts w:ascii="Book Antiqua" w:hAnsi="Book Antiqua" w:cs="Arial"/>
        </w:rPr>
        <w:t xml:space="preserve">on 25 August </w:t>
      </w:r>
      <w:r>
        <w:rPr>
          <w:rFonts w:ascii="Book Antiqua" w:hAnsi="Book Antiqua" w:cs="Arial"/>
        </w:rPr>
        <w:t>198</w:t>
      </w:r>
      <w:r w:rsidR="00E86257">
        <w:rPr>
          <w:rFonts w:ascii="Book Antiqua" w:hAnsi="Book Antiqua" w:cs="Arial"/>
        </w:rPr>
        <w:t>3</w:t>
      </w:r>
      <w:r>
        <w:rPr>
          <w:rFonts w:ascii="Book Antiqua" w:hAnsi="Book Antiqua" w:cs="Arial"/>
        </w:rPr>
        <w:t xml:space="preserve">.  On </w:t>
      </w:r>
      <w:r w:rsidR="00E86257">
        <w:rPr>
          <w:rFonts w:ascii="Book Antiqua" w:hAnsi="Book Antiqua" w:cs="Arial"/>
        </w:rPr>
        <w:t xml:space="preserve">22 September </w:t>
      </w:r>
      <w:r>
        <w:rPr>
          <w:rFonts w:ascii="Book Antiqua" w:hAnsi="Book Antiqua" w:cs="Arial"/>
        </w:rPr>
        <w:t>2014 a decision was made to make a deportation order against him pursuant to section 32(5) of the UK Borders Act 2007 following his conviction</w:t>
      </w:r>
      <w:r w:rsidR="00F07D34">
        <w:rPr>
          <w:rFonts w:ascii="Book Antiqua" w:hAnsi="Book Antiqua" w:cs="Arial"/>
        </w:rPr>
        <w:t xml:space="preserve">, in the </w:t>
      </w:r>
      <w:r w:rsidR="00F07D34">
        <w:rPr>
          <w:rFonts w:ascii="Book Antiqua" w:hAnsi="Book Antiqua" w:cs="Arial"/>
        </w:rPr>
        <w:lastRenderedPageBreak/>
        <w:t>Crown Court sitting at Kingston,</w:t>
      </w:r>
      <w:r>
        <w:rPr>
          <w:rFonts w:ascii="Book Antiqua" w:hAnsi="Book Antiqua" w:cs="Arial"/>
        </w:rPr>
        <w:t xml:space="preserve"> for </w:t>
      </w:r>
      <w:r w:rsidR="00E86257">
        <w:rPr>
          <w:rFonts w:ascii="Book Antiqua" w:hAnsi="Book Antiqua" w:cs="Arial"/>
        </w:rPr>
        <w:t>an offence of robbery</w:t>
      </w:r>
      <w:r w:rsidR="00F07D34">
        <w:rPr>
          <w:rFonts w:ascii="Book Antiqua" w:hAnsi="Book Antiqua" w:cs="Arial"/>
        </w:rPr>
        <w:t>, committed on 18 August 2010,</w:t>
      </w:r>
      <w:r w:rsidR="00E86257">
        <w:rPr>
          <w:rFonts w:ascii="Book Antiqua" w:hAnsi="Book Antiqua" w:cs="Arial"/>
        </w:rPr>
        <w:t xml:space="preserve"> for which he received a sentence of three years’ imprisonment on 6 January </w:t>
      </w:r>
      <w:r w:rsidR="00F07D34">
        <w:rPr>
          <w:rFonts w:ascii="Book Antiqua" w:hAnsi="Book Antiqua" w:cs="Arial"/>
        </w:rPr>
        <w:t xml:space="preserve">2011. </w:t>
      </w:r>
    </w:p>
    <w:p w14:paraId="32022902" w14:textId="77777777" w:rsidR="00F07D34" w:rsidRDefault="00A04CD3" w:rsidP="00ED1807">
      <w:pPr>
        <w:numPr>
          <w:ilvl w:val="0"/>
          <w:numId w:val="1"/>
        </w:numPr>
        <w:tabs>
          <w:tab w:val="clear" w:pos="567"/>
        </w:tabs>
        <w:spacing w:before="240"/>
        <w:jc w:val="both"/>
        <w:rPr>
          <w:rFonts w:ascii="Book Antiqua" w:hAnsi="Book Antiqua" w:cs="Arial"/>
        </w:rPr>
      </w:pPr>
      <w:r w:rsidRPr="00F07D34">
        <w:rPr>
          <w:rFonts w:ascii="Book Antiqua" w:hAnsi="Book Antiqua" w:cs="Arial"/>
        </w:rPr>
        <w:t xml:space="preserve">His appeal against the respondent’s decision came before First-tier Tribunal Judge </w:t>
      </w:r>
      <w:r w:rsidR="00F07D34" w:rsidRPr="00F07D34">
        <w:rPr>
          <w:rFonts w:ascii="Book Antiqua" w:hAnsi="Book Antiqua" w:cs="Arial"/>
        </w:rPr>
        <w:t>Canavan</w:t>
      </w:r>
      <w:r w:rsidRPr="00F07D34">
        <w:rPr>
          <w:rFonts w:ascii="Book Antiqua" w:hAnsi="Book Antiqua" w:cs="Arial"/>
        </w:rPr>
        <w:t xml:space="preserve"> (“the </w:t>
      </w:r>
      <w:proofErr w:type="spellStart"/>
      <w:r w:rsidRPr="00F07D34">
        <w:rPr>
          <w:rFonts w:ascii="Book Antiqua" w:hAnsi="Book Antiqua" w:cs="Arial"/>
        </w:rPr>
        <w:t>FtJ</w:t>
      </w:r>
      <w:proofErr w:type="spellEnd"/>
      <w:r w:rsidRPr="00F07D34">
        <w:rPr>
          <w:rFonts w:ascii="Book Antiqua" w:hAnsi="Book Antiqua" w:cs="Arial"/>
        </w:rPr>
        <w:t xml:space="preserve">”) on </w:t>
      </w:r>
      <w:r w:rsidR="00F07D34" w:rsidRPr="00F07D34">
        <w:rPr>
          <w:rFonts w:ascii="Book Antiqua" w:hAnsi="Book Antiqua" w:cs="Arial"/>
        </w:rPr>
        <w:t>15</w:t>
      </w:r>
      <w:r w:rsidRPr="00F07D34">
        <w:rPr>
          <w:rFonts w:ascii="Book Antiqua" w:hAnsi="Book Antiqua" w:cs="Arial"/>
        </w:rPr>
        <w:t xml:space="preserve"> August 201</w:t>
      </w:r>
      <w:r w:rsidR="00F07D34" w:rsidRPr="00F07D34">
        <w:rPr>
          <w:rFonts w:ascii="Book Antiqua" w:hAnsi="Book Antiqua" w:cs="Arial"/>
        </w:rPr>
        <w:t>4</w:t>
      </w:r>
      <w:r w:rsidRPr="00F07D34">
        <w:rPr>
          <w:rFonts w:ascii="Book Antiqua" w:hAnsi="Book Antiqua" w:cs="Arial"/>
        </w:rPr>
        <w:t xml:space="preserve">, following which she </w:t>
      </w:r>
      <w:r w:rsidR="00F07D34" w:rsidRPr="00F07D34">
        <w:rPr>
          <w:rFonts w:ascii="Book Antiqua" w:hAnsi="Book Antiqua" w:cs="Arial"/>
        </w:rPr>
        <w:t>allowed</w:t>
      </w:r>
      <w:r w:rsidRPr="00F07D34">
        <w:rPr>
          <w:rFonts w:ascii="Book Antiqua" w:hAnsi="Book Antiqua" w:cs="Arial"/>
        </w:rPr>
        <w:t xml:space="preserve"> the appeal.</w:t>
      </w:r>
      <w:r w:rsidR="00F07D34">
        <w:rPr>
          <w:rFonts w:ascii="Book Antiqua" w:hAnsi="Book Antiqua" w:cs="Arial"/>
        </w:rPr>
        <w:t xml:space="preserve"> The respondent appealed against the decision of the </w:t>
      </w:r>
      <w:proofErr w:type="spellStart"/>
      <w:r w:rsidR="00F07D34">
        <w:rPr>
          <w:rFonts w:ascii="Book Antiqua" w:hAnsi="Book Antiqua" w:cs="Arial"/>
        </w:rPr>
        <w:t>FtJ</w:t>
      </w:r>
      <w:proofErr w:type="spellEnd"/>
      <w:r w:rsidR="00F07D34">
        <w:rPr>
          <w:rFonts w:ascii="Book Antiqua" w:hAnsi="Book Antiqua" w:cs="Arial"/>
        </w:rPr>
        <w:t xml:space="preserve"> but the Upper Tribunal (“UT”) upheld her decision after a hearing before </w:t>
      </w:r>
      <w:proofErr w:type="spellStart"/>
      <w:r w:rsidR="00F07D34">
        <w:rPr>
          <w:rFonts w:ascii="Book Antiqua" w:hAnsi="Book Antiqua" w:cs="Arial"/>
        </w:rPr>
        <w:t>Carr</w:t>
      </w:r>
      <w:proofErr w:type="spellEnd"/>
      <w:r w:rsidR="00F07D34">
        <w:rPr>
          <w:rFonts w:ascii="Book Antiqua" w:hAnsi="Book Antiqua" w:cs="Arial"/>
        </w:rPr>
        <w:t xml:space="preserve"> J and Upper Tribunal Judge Conway on 10 December 2014.</w:t>
      </w:r>
    </w:p>
    <w:p w14:paraId="17EC0C05" w14:textId="77777777" w:rsidR="00E04AB0" w:rsidRDefault="00F07D34"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was granted permission to appeal to the Court of Appeal against the UT’s decision. </w:t>
      </w:r>
      <w:r w:rsidR="00E04AB0">
        <w:rPr>
          <w:rFonts w:ascii="Book Antiqua" w:hAnsi="Book Antiqua" w:cs="Arial"/>
        </w:rPr>
        <w:t>On 25 May 2017 the respondent’s appeal was allowed, with the Court of Appeal ordering that “the case be remitted to the Upper Tribunal with a direction that the First-tier Tribunal erred in law by failing to apply the correct test” and that the UT conduct a rehearing of the appeal.</w:t>
      </w:r>
    </w:p>
    <w:p w14:paraId="5595CA92" w14:textId="77777777" w:rsidR="00E04AB0" w:rsidRDefault="00E04AB0" w:rsidP="00ED1807">
      <w:pPr>
        <w:numPr>
          <w:ilvl w:val="0"/>
          <w:numId w:val="1"/>
        </w:numPr>
        <w:tabs>
          <w:tab w:val="clear" w:pos="567"/>
        </w:tabs>
        <w:spacing w:before="240"/>
        <w:jc w:val="both"/>
        <w:rPr>
          <w:rFonts w:ascii="Book Antiqua" w:hAnsi="Book Antiqua" w:cs="Arial"/>
        </w:rPr>
      </w:pPr>
      <w:r>
        <w:rPr>
          <w:rFonts w:ascii="Book Antiqua" w:hAnsi="Book Antiqua" w:cs="Arial"/>
        </w:rPr>
        <w:t>The appellant was given permission to withdraw certain concessions made on his behalf as to the extent to which he could meet certain requirements of the Immigration Rules (“the Rules”) and provisions of the Nationality, Immigration and Asylum Act 2002 (“the 2002 Act”). The parties were also given permission to call such further evidence that they wished to rely on.</w:t>
      </w:r>
    </w:p>
    <w:p w14:paraId="6E892A10" w14:textId="77777777" w:rsidR="00B27ED6" w:rsidRDefault="00E04AB0"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Given that the </w:t>
      </w:r>
      <w:r w:rsidR="00B27ED6">
        <w:rPr>
          <w:rFonts w:ascii="Book Antiqua" w:hAnsi="Book Antiqua" w:cs="Arial"/>
        </w:rPr>
        <w:t xml:space="preserve">hearing before us involved a complete rehearing of the appeal, it is not necessary for us to say anything further about the error(s) found to have been made by the </w:t>
      </w:r>
      <w:proofErr w:type="spellStart"/>
      <w:r w:rsidR="00B27ED6">
        <w:rPr>
          <w:rFonts w:ascii="Book Antiqua" w:hAnsi="Book Antiqua" w:cs="Arial"/>
        </w:rPr>
        <w:t>FtJ</w:t>
      </w:r>
      <w:proofErr w:type="spellEnd"/>
      <w:r w:rsidR="00B27ED6">
        <w:rPr>
          <w:rFonts w:ascii="Book Antiqua" w:hAnsi="Book Antiqua" w:cs="Arial"/>
        </w:rPr>
        <w:t xml:space="preserve"> or the UT, or concessions previously made on behalf of the appellant.</w:t>
      </w:r>
      <w:r>
        <w:rPr>
          <w:rFonts w:ascii="Book Antiqua" w:hAnsi="Book Antiqua" w:cs="Arial"/>
        </w:rPr>
        <w:t xml:space="preserve"> </w:t>
      </w:r>
      <w:r w:rsidR="00F07D34">
        <w:rPr>
          <w:rFonts w:ascii="Book Antiqua" w:hAnsi="Book Antiqua" w:cs="Arial"/>
        </w:rPr>
        <w:t xml:space="preserve"> </w:t>
      </w:r>
      <w:r w:rsidR="00A04CD3" w:rsidRPr="00F07D34">
        <w:rPr>
          <w:rFonts w:ascii="Book Antiqua" w:hAnsi="Book Antiqua" w:cs="Arial"/>
        </w:rPr>
        <w:t xml:space="preserve"> </w:t>
      </w:r>
    </w:p>
    <w:p w14:paraId="1F1F9EA7" w14:textId="77777777" w:rsidR="008C75F7" w:rsidRDefault="00B27ED6" w:rsidP="00ED1807">
      <w:pPr>
        <w:numPr>
          <w:ilvl w:val="0"/>
          <w:numId w:val="1"/>
        </w:numPr>
        <w:tabs>
          <w:tab w:val="clear" w:pos="567"/>
        </w:tabs>
        <w:spacing w:before="240"/>
        <w:jc w:val="both"/>
        <w:rPr>
          <w:rFonts w:ascii="Book Antiqua" w:hAnsi="Book Antiqua" w:cs="Arial"/>
        </w:rPr>
      </w:pPr>
      <w:r w:rsidRPr="00B27ED6">
        <w:rPr>
          <w:rFonts w:ascii="Book Antiqua" w:hAnsi="Book Antiqua" w:cs="Arial"/>
        </w:rPr>
        <w:t>At the hearing before us we heard evidence from the appellant and his wife</w:t>
      </w:r>
      <w:r w:rsidR="00225AC0">
        <w:rPr>
          <w:rFonts w:ascii="Book Antiqua" w:hAnsi="Book Antiqua" w:cs="Arial"/>
        </w:rPr>
        <w:t>,</w:t>
      </w:r>
      <w:r w:rsidRPr="00B27ED6">
        <w:rPr>
          <w:rFonts w:ascii="Book Antiqua" w:hAnsi="Book Antiqua" w:cs="Arial"/>
        </w:rPr>
        <w:t xml:space="preserve"> whom we shall identify as SG. Because this appeal involves children, we consider it appropriate to </w:t>
      </w:r>
      <w:r>
        <w:rPr>
          <w:rFonts w:ascii="Book Antiqua" w:hAnsi="Book Antiqua" w:cs="Arial"/>
        </w:rPr>
        <w:t>refer to them,</w:t>
      </w:r>
      <w:r w:rsidR="008C75F7">
        <w:rPr>
          <w:rFonts w:ascii="Book Antiqua" w:hAnsi="Book Antiqua" w:cs="Arial"/>
        </w:rPr>
        <w:t xml:space="preserve"> and</w:t>
      </w:r>
      <w:r>
        <w:rPr>
          <w:rFonts w:ascii="Book Antiqua" w:hAnsi="Book Antiqua" w:cs="Arial"/>
        </w:rPr>
        <w:t xml:space="preserve"> the appellant’s wife</w:t>
      </w:r>
      <w:r w:rsidR="008C75F7">
        <w:rPr>
          <w:rFonts w:ascii="Book Antiqua" w:hAnsi="Book Antiqua" w:cs="Arial"/>
        </w:rPr>
        <w:t xml:space="preserve"> and former partner</w:t>
      </w:r>
      <w:r>
        <w:rPr>
          <w:rFonts w:ascii="Book Antiqua" w:hAnsi="Book Antiqua" w:cs="Arial"/>
        </w:rPr>
        <w:t>, by their</w:t>
      </w:r>
      <w:r w:rsidRPr="00B27ED6">
        <w:rPr>
          <w:rFonts w:ascii="Book Antiqua" w:hAnsi="Book Antiqua" w:cs="Arial"/>
        </w:rPr>
        <w:t xml:space="preserve"> initials</w:t>
      </w:r>
      <w:r w:rsidR="008C75F7">
        <w:rPr>
          <w:rFonts w:ascii="Book Antiqua" w:hAnsi="Book Antiqua" w:cs="Arial"/>
        </w:rPr>
        <w:t xml:space="preserve"> although we do not consider it necessary to make a formal anonymity order. </w:t>
      </w:r>
    </w:p>
    <w:p w14:paraId="1B162371" w14:textId="77777777" w:rsidR="008C75F7" w:rsidRDefault="008C75F7" w:rsidP="00ED1807">
      <w:pPr>
        <w:numPr>
          <w:ilvl w:val="0"/>
          <w:numId w:val="1"/>
        </w:numPr>
        <w:tabs>
          <w:tab w:val="clear" w:pos="567"/>
        </w:tabs>
        <w:spacing w:before="240"/>
        <w:jc w:val="both"/>
        <w:rPr>
          <w:rFonts w:ascii="Book Antiqua" w:hAnsi="Book Antiqua" w:cs="Arial"/>
        </w:rPr>
      </w:pPr>
      <w:r>
        <w:rPr>
          <w:rFonts w:ascii="Book Antiqua" w:hAnsi="Book Antiqua" w:cs="Arial"/>
        </w:rPr>
        <w:t>We set out below a summary of the oral evidence and the submissions made by the parties.</w:t>
      </w:r>
    </w:p>
    <w:p w14:paraId="3B5A776C" w14:textId="77777777" w:rsidR="008C75F7" w:rsidRPr="008C75F7" w:rsidRDefault="008C75F7" w:rsidP="008C75F7">
      <w:pPr>
        <w:spacing w:before="240"/>
        <w:ind w:left="567"/>
        <w:jc w:val="both"/>
        <w:rPr>
          <w:rFonts w:ascii="Book Antiqua" w:hAnsi="Book Antiqua" w:cs="Arial"/>
          <w:i/>
        </w:rPr>
      </w:pPr>
      <w:r>
        <w:rPr>
          <w:rFonts w:ascii="Book Antiqua" w:hAnsi="Book Antiqua" w:cs="Arial"/>
          <w:i/>
        </w:rPr>
        <w:t>The oral evidence</w:t>
      </w:r>
    </w:p>
    <w:p w14:paraId="18A44E1E" w14:textId="77777777" w:rsidR="008C75F7" w:rsidRDefault="008C75F7" w:rsidP="00ED1807">
      <w:pPr>
        <w:numPr>
          <w:ilvl w:val="0"/>
          <w:numId w:val="1"/>
        </w:numPr>
        <w:tabs>
          <w:tab w:val="clear" w:pos="567"/>
        </w:tabs>
        <w:spacing w:before="240"/>
        <w:jc w:val="both"/>
        <w:rPr>
          <w:rFonts w:ascii="Book Antiqua" w:hAnsi="Book Antiqua" w:cs="Arial"/>
        </w:rPr>
      </w:pPr>
      <w:r>
        <w:rPr>
          <w:rFonts w:ascii="Book Antiqua" w:hAnsi="Book Antiqua" w:cs="Arial"/>
        </w:rPr>
        <w:t>In examination-in-chief the appellant adopted his witness statements. In relation to his son (J), born on 24 April 2010 from a relationship with one MD, he said that he lives with his mother in Manchester and he sees him approximately every other week when his mother brings him to London to visit him. He does not stay overnight.</w:t>
      </w:r>
    </w:p>
    <w:p w14:paraId="72558D3E" w14:textId="77777777" w:rsidR="00E81DD3" w:rsidRDefault="008C75F7"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In terms of his deportation and the </w:t>
      </w:r>
      <w:proofErr w:type="spellStart"/>
      <w:r>
        <w:rPr>
          <w:rFonts w:ascii="Book Antiqua" w:hAnsi="Book Antiqua" w:cs="Arial"/>
        </w:rPr>
        <w:t>affect</w:t>
      </w:r>
      <w:proofErr w:type="spellEnd"/>
      <w:r>
        <w:rPr>
          <w:rFonts w:ascii="Book Antiqua" w:hAnsi="Book Antiqua" w:cs="Arial"/>
        </w:rPr>
        <w:t xml:space="preserve"> on the children, he has concern for all of them, but in particular KD (born on 19 January 2015) as she is his first daughter who is so attached to him. She has grown up with him since when she was a baby. He has more of an attachment with her</w:t>
      </w:r>
      <w:r w:rsidR="00E81DD3">
        <w:rPr>
          <w:rFonts w:ascii="Book Antiqua" w:hAnsi="Book Antiqua" w:cs="Arial"/>
        </w:rPr>
        <w:t xml:space="preserve"> and with whom he spends more time.</w:t>
      </w:r>
    </w:p>
    <w:p w14:paraId="57187424" w14:textId="77777777" w:rsidR="0044357A" w:rsidRDefault="00E81DD3" w:rsidP="00ED1807">
      <w:pPr>
        <w:numPr>
          <w:ilvl w:val="0"/>
          <w:numId w:val="1"/>
        </w:numPr>
        <w:tabs>
          <w:tab w:val="clear" w:pos="567"/>
        </w:tabs>
        <w:spacing w:before="240"/>
        <w:jc w:val="both"/>
        <w:rPr>
          <w:rFonts w:ascii="Book Antiqua" w:hAnsi="Book Antiqua" w:cs="Arial"/>
        </w:rPr>
      </w:pPr>
      <w:r>
        <w:rPr>
          <w:rFonts w:ascii="Book Antiqua" w:hAnsi="Book Antiqua" w:cs="Arial"/>
        </w:rPr>
        <w:t>His wife works full-time. He takes KD to nursery</w:t>
      </w:r>
      <w:r w:rsidR="0044357A">
        <w:rPr>
          <w:rFonts w:ascii="Book Antiqua" w:hAnsi="Book Antiqua" w:cs="Arial"/>
        </w:rPr>
        <w:t xml:space="preserve"> and puts her to bed. M is his step-son and he calls him Dad. They get on quite well with J.</w:t>
      </w:r>
    </w:p>
    <w:p w14:paraId="602C6337" w14:textId="77777777" w:rsidR="00034FEB" w:rsidRDefault="0044357A" w:rsidP="00ED1807">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cross-examination he explained that when he said in his witness statement </w:t>
      </w:r>
      <w:r w:rsidR="0089054C">
        <w:rPr>
          <w:rFonts w:ascii="Book Antiqua" w:hAnsi="Book Antiqua" w:cs="Arial"/>
        </w:rPr>
        <w:t xml:space="preserve">dated </w:t>
      </w:r>
      <w:r>
        <w:rPr>
          <w:rFonts w:ascii="Book Antiqua" w:hAnsi="Book Antiqua" w:cs="Arial"/>
        </w:rPr>
        <w:t xml:space="preserve">29 May 2018 that neither he nor his daughter KD would be able to cope if he had to leave the UK he meant that he does not know how he would be able to live without his family because of the bond that they have. </w:t>
      </w:r>
      <w:r w:rsidR="00034FEB">
        <w:rPr>
          <w:rFonts w:ascii="Book Antiqua" w:hAnsi="Book Antiqua" w:cs="Arial"/>
        </w:rPr>
        <w:t>Words could not explain, he said. He does not see himself without his family.</w:t>
      </w:r>
    </w:p>
    <w:p w14:paraId="21E72287" w14:textId="77777777" w:rsidR="00A10D82" w:rsidRDefault="00034FEB"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As to whether his parents in Trinidad could offer him moral support on return, even if not </w:t>
      </w:r>
      <w:r w:rsidR="00A10D82">
        <w:rPr>
          <w:rFonts w:ascii="Book Antiqua" w:hAnsi="Book Antiqua" w:cs="Arial"/>
        </w:rPr>
        <w:t xml:space="preserve">material support, the appellant said that they could but he had not seen them for 10 years. Things had changed so much in Trinidad. It would be especially hard for his family to go there. It is totally different from England. His wife </w:t>
      </w:r>
      <w:r w:rsidR="00171320">
        <w:rPr>
          <w:rFonts w:ascii="Book Antiqua" w:hAnsi="Book Antiqua" w:cs="Arial"/>
        </w:rPr>
        <w:t>went to Trinidad once and</w:t>
      </w:r>
      <w:r w:rsidR="00A10D82">
        <w:rPr>
          <w:rFonts w:ascii="Book Antiqua" w:hAnsi="Book Antiqua" w:cs="Arial"/>
        </w:rPr>
        <w:t xml:space="preserve"> said that she would not like it there because of the temperature and the climate. He would not be able to find employment because times have changed from when he was there before</w:t>
      </w:r>
      <w:r w:rsidR="0089054C">
        <w:rPr>
          <w:rFonts w:ascii="Book Antiqua" w:hAnsi="Book Antiqua" w:cs="Arial"/>
        </w:rPr>
        <w:t>,</w:t>
      </w:r>
      <w:r w:rsidR="00A10D82">
        <w:rPr>
          <w:rFonts w:ascii="Book Antiqua" w:hAnsi="Book Antiqua" w:cs="Arial"/>
        </w:rPr>
        <w:t xml:space="preserve"> when he knew people who could help him to get a job.</w:t>
      </w:r>
    </w:p>
    <w:p w14:paraId="3B245DF3" w14:textId="77777777" w:rsidR="00A10D82" w:rsidRDefault="00A10D82" w:rsidP="00ED1807">
      <w:pPr>
        <w:numPr>
          <w:ilvl w:val="0"/>
          <w:numId w:val="1"/>
        </w:numPr>
        <w:tabs>
          <w:tab w:val="clear" w:pos="567"/>
        </w:tabs>
        <w:spacing w:before="240"/>
        <w:jc w:val="both"/>
        <w:rPr>
          <w:rFonts w:ascii="Book Antiqua" w:hAnsi="Book Antiqua" w:cs="Arial"/>
        </w:rPr>
      </w:pPr>
      <w:r>
        <w:rPr>
          <w:rFonts w:ascii="Book Antiqua" w:hAnsi="Book Antiqua" w:cs="Arial"/>
        </w:rPr>
        <w:t>From what he had seen on the news and in social media, Trinidad is not safe because there are kidnappings, murders</w:t>
      </w:r>
      <w:r w:rsidR="008C75F7">
        <w:rPr>
          <w:rFonts w:ascii="Book Antiqua" w:hAnsi="Book Antiqua" w:cs="Arial"/>
        </w:rPr>
        <w:t xml:space="preserve"> </w:t>
      </w:r>
      <w:r>
        <w:rPr>
          <w:rFonts w:ascii="Book Antiqua" w:hAnsi="Book Antiqua" w:cs="Arial"/>
        </w:rPr>
        <w:t>and gun crime.</w:t>
      </w:r>
    </w:p>
    <w:p w14:paraId="7D3502FF" w14:textId="77777777" w:rsidR="00A10D82" w:rsidRDefault="00A10D82" w:rsidP="00ED1807">
      <w:pPr>
        <w:numPr>
          <w:ilvl w:val="0"/>
          <w:numId w:val="1"/>
        </w:numPr>
        <w:tabs>
          <w:tab w:val="clear" w:pos="567"/>
        </w:tabs>
        <w:spacing w:before="240"/>
        <w:jc w:val="both"/>
        <w:rPr>
          <w:rFonts w:ascii="Book Antiqua" w:hAnsi="Book Antiqua" w:cs="Arial"/>
        </w:rPr>
      </w:pPr>
      <w:r>
        <w:rPr>
          <w:rFonts w:ascii="Book Antiqua" w:hAnsi="Book Antiqua" w:cs="Arial"/>
        </w:rPr>
        <w:t>As to whether, when he got married and had two children</w:t>
      </w:r>
      <w:r w:rsidR="0089054C">
        <w:rPr>
          <w:rFonts w:ascii="Book Antiqua" w:hAnsi="Book Antiqua" w:cs="Arial"/>
        </w:rPr>
        <w:t>,</w:t>
      </w:r>
      <w:r>
        <w:rPr>
          <w:rFonts w:ascii="Book Antiqua" w:hAnsi="Book Antiqua" w:cs="Arial"/>
        </w:rPr>
        <w:t xml:space="preserve"> he knew that he was at risk of being deported, he said that at that time they thought that they would be ok, having gone to the town hall to apply to get married. They had been in love for so long. When they were told that it was okay for them to marry they did not look at it as a problem.</w:t>
      </w:r>
    </w:p>
    <w:p w14:paraId="75C0FB07" w14:textId="77777777" w:rsidR="00C15957" w:rsidRDefault="00A10D82" w:rsidP="00ED1807">
      <w:pPr>
        <w:numPr>
          <w:ilvl w:val="0"/>
          <w:numId w:val="1"/>
        </w:numPr>
        <w:tabs>
          <w:tab w:val="clear" w:pos="567"/>
        </w:tabs>
        <w:spacing w:before="240"/>
        <w:jc w:val="both"/>
        <w:rPr>
          <w:rFonts w:ascii="Book Antiqua" w:hAnsi="Book Antiqua" w:cs="Arial"/>
        </w:rPr>
      </w:pPr>
      <w:r>
        <w:rPr>
          <w:rFonts w:ascii="Book Antiqua" w:hAnsi="Book Antiqua" w:cs="Arial"/>
        </w:rPr>
        <w:t>Initially in answer to our questions he said that when they got married and had children</w:t>
      </w:r>
      <w:r w:rsidR="008C75F7">
        <w:rPr>
          <w:rFonts w:ascii="Book Antiqua" w:hAnsi="Book Antiqua" w:cs="Arial"/>
        </w:rPr>
        <w:t xml:space="preserve"> </w:t>
      </w:r>
      <w:r>
        <w:rPr>
          <w:rFonts w:ascii="Book Antiqua" w:hAnsi="Book Antiqua" w:cs="Arial"/>
        </w:rPr>
        <w:t xml:space="preserve">he did know that one day he may be in a position whereby he was to be deported. </w:t>
      </w:r>
      <w:r w:rsidR="00C15957">
        <w:rPr>
          <w:rFonts w:ascii="Book Antiqua" w:hAnsi="Book Antiqua" w:cs="Arial"/>
        </w:rPr>
        <w:t>As to whether he had thought that there was a risk that they might have to go to Trinidad he said that he did not think about deportation; he was in love and that was it.</w:t>
      </w:r>
    </w:p>
    <w:p w14:paraId="076B2845" w14:textId="77777777" w:rsidR="00B27ED6" w:rsidRDefault="00C15957"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SG adopted her witness statements in examination-in-chief. She said that it was not possible that her two children (from her previous relationship) M and A, would be able to go to Trinidad. </w:t>
      </w:r>
      <w:proofErr w:type="gramStart"/>
      <w:r>
        <w:rPr>
          <w:rFonts w:ascii="Book Antiqua" w:hAnsi="Book Antiqua" w:cs="Arial"/>
        </w:rPr>
        <w:t>A lives</w:t>
      </w:r>
      <w:proofErr w:type="gramEnd"/>
      <w:r>
        <w:rPr>
          <w:rFonts w:ascii="Book Antiqua" w:hAnsi="Book Antiqua" w:cs="Arial"/>
        </w:rPr>
        <w:t xml:space="preserve"> with them but she is now an adult and would not want to go. </w:t>
      </w:r>
      <w:r w:rsidR="00D21E8F">
        <w:rPr>
          <w:rFonts w:ascii="Book Antiqua" w:hAnsi="Book Antiqua" w:cs="Arial"/>
        </w:rPr>
        <w:t xml:space="preserve">A </w:t>
      </w:r>
      <w:r>
        <w:rPr>
          <w:rFonts w:ascii="Book Antiqua" w:hAnsi="Book Antiqua" w:cs="Arial"/>
        </w:rPr>
        <w:t>and M have a good relationship</w:t>
      </w:r>
      <w:r w:rsidR="008A6F10">
        <w:rPr>
          <w:rFonts w:ascii="Book Antiqua" w:hAnsi="Book Antiqua" w:cs="Arial"/>
        </w:rPr>
        <w:t xml:space="preserve"> and going to Trinidad would mean breaking them up. </w:t>
      </w:r>
    </w:p>
    <w:p w14:paraId="34F481C2" w14:textId="77777777" w:rsidR="008A6F10" w:rsidRDefault="008A6F10"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She (SG) has her </w:t>
      </w:r>
      <w:proofErr w:type="gramStart"/>
      <w:r>
        <w:rPr>
          <w:rFonts w:ascii="Book Antiqua" w:hAnsi="Book Antiqua" w:cs="Arial"/>
        </w:rPr>
        <w:t>76 year old</w:t>
      </w:r>
      <w:proofErr w:type="gramEnd"/>
      <w:r>
        <w:rPr>
          <w:rFonts w:ascii="Book Antiqua" w:hAnsi="Book Antiqua" w:cs="Arial"/>
        </w:rPr>
        <w:t xml:space="preserve"> grandmother here. She brought her up. She does things for her grandmother. There is also her job to consider. She started that job in 2014 and earns £1,300 per month net.</w:t>
      </w:r>
    </w:p>
    <w:p w14:paraId="2322CD24" w14:textId="77777777" w:rsidR="008A6F10" w:rsidRDefault="008A6F10" w:rsidP="00ED1807">
      <w:pPr>
        <w:numPr>
          <w:ilvl w:val="0"/>
          <w:numId w:val="1"/>
        </w:numPr>
        <w:tabs>
          <w:tab w:val="clear" w:pos="567"/>
        </w:tabs>
        <w:spacing w:before="240"/>
        <w:jc w:val="both"/>
        <w:rPr>
          <w:rFonts w:ascii="Book Antiqua" w:hAnsi="Book Antiqua" w:cs="Arial"/>
        </w:rPr>
      </w:pPr>
      <w:r>
        <w:rPr>
          <w:rFonts w:ascii="Book Antiqua" w:hAnsi="Book Antiqua" w:cs="Arial"/>
        </w:rPr>
        <w:t>M’s father is around but he does not contact M often, except when he remembers. He would say no to him going to Trinidad, just to be spiteful although she had not discussed it with him. Their break-up was not good.</w:t>
      </w:r>
    </w:p>
    <w:p w14:paraId="09249381" w14:textId="77777777" w:rsidR="008A6F10" w:rsidRDefault="008A6F10"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does most of the household tasks during the day. It would be a struggle for her with </w:t>
      </w:r>
      <w:r w:rsidR="0089054C">
        <w:rPr>
          <w:rFonts w:ascii="Book Antiqua" w:hAnsi="Book Antiqua" w:cs="Arial"/>
        </w:rPr>
        <w:t xml:space="preserve">the </w:t>
      </w:r>
      <w:r>
        <w:rPr>
          <w:rFonts w:ascii="Book Antiqua" w:hAnsi="Book Antiqua" w:cs="Arial"/>
        </w:rPr>
        <w:t>children</w:t>
      </w:r>
      <w:r w:rsidR="0089054C">
        <w:rPr>
          <w:rFonts w:ascii="Book Antiqua" w:hAnsi="Book Antiqua" w:cs="Arial"/>
        </w:rPr>
        <w:t>, without him</w:t>
      </w:r>
      <w:r>
        <w:rPr>
          <w:rFonts w:ascii="Book Antiqua" w:hAnsi="Book Antiqua" w:cs="Arial"/>
        </w:rPr>
        <w:t>. He cares for them whilst she is at work. If the appellant was not around she would have to arrange childcare. KD would have eight hours funded childcare but her son KS (born on 15 June 2017) would not. She could not rely on her daughter</w:t>
      </w:r>
      <w:r w:rsidR="0089054C">
        <w:rPr>
          <w:rFonts w:ascii="Book Antiqua" w:hAnsi="Book Antiqua" w:cs="Arial"/>
        </w:rPr>
        <w:t>,</w:t>
      </w:r>
      <w:r>
        <w:rPr>
          <w:rFonts w:ascii="Book Antiqua" w:hAnsi="Book Antiqua" w:cs="Arial"/>
        </w:rPr>
        <w:t xml:space="preserve"> A. She would have to change her hours at work and her </w:t>
      </w:r>
      <w:r>
        <w:rPr>
          <w:rFonts w:ascii="Book Antiqua" w:hAnsi="Book Antiqua" w:cs="Arial"/>
        </w:rPr>
        <w:lastRenderedPageBreak/>
        <w:t xml:space="preserve">income would drop. </w:t>
      </w:r>
      <w:r w:rsidR="009A0F87">
        <w:rPr>
          <w:rFonts w:ascii="Book Antiqua" w:hAnsi="Book Antiqua" w:cs="Arial"/>
        </w:rPr>
        <w:t>That is not a matter she had discussed with her employer. She would then have to support three children on a part-time income.</w:t>
      </w:r>
    </w:p>
    <w:p w14:paraId="5B3B82E5" w14:textId="77777777" w:rsidR="009A0F87" w:rsidRDefault="009A0F87"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If the appellant left the UK it would have a big impact on KD. He has been with her from 7.30 in the morning </w:t>
      </w:r>
      <w:r w:rsidR="0089054C">
        <w:rPr>
          <w:rFonts w:ascii="Book Antiqua" w:hAnsi="Book Antiqua" w:cs="Arial"/>
        </w:rPr>
        <w:t>until</w:t>
      </w:r>
      <w:r>
        <w:rPr>
          <w:rFonts w:ascii="Book Antiqua" w:hAnsi="Book Antiqua" w:cs="Arial"/>
        </w:rPr>
        <w:t xml:space="preserve"> 5 </w:t>
      </w:r>
      <w:r w:rsidR="0089054C">
        <w:rPr>
          <w:rFonts w:ascii="Book Antiqua" w:hAnsi="Book Antiqua" w:cs="Arial"/>
        </w:rPr>
        <w:t>o</w:t>
      </w:r>
      <w:r>
        <w:rPr>
          <w:rFonts w:ascii="Book Antiqua" w:hAnsi="Book Antiqua" w:cs="Arial"/>
        </w:rPr>
        <w:t>’clock in the evening since she was eight weeks old.</w:t>
      </w:r>
    </w:p>
    <w:p w14:paraId="15196C87" w14:textId="77777777" w:rsidR="009A0F87" w:rsidRDefault="009A0F87"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Their family life had developed a lot since he came out of prison. They do everything together. He made a mistake and he has done a lot to try to fix it. At the time he went to prison things were different. He is the centre of their family. When the elder children come home he is the one that is there. Without him she does not think the family would be able to function as they do now. It would break their hearts. It would be very </w:t>
      </w:r>
      <w:proofErr w:type="spellStart"/>
      <w:r>
        <w:rPr>
          <w:rFonts w:ascii="Book Antiqua" w:hAnsi="Book Antiqua" w:cs="Arial"/>
        </w:rPr>
        <w:t>very</w:t>
      </w:r>
      <w:proofErr w:type="spellEnd"/>
      <w:r>
        <w:rPr>
          <w:rFonts w:ascii="Book Antiqua" w:hAnsi="Book Antiqua" w:cs="Arial"/>
        </w:rPr>
        <w:t xml:space="preserve"> hard for everybody in the family to “just get on with it”.</w:t>
      </w:r>
    </w:p>
    <w:p w14:paraId="0B6528A6" w14:textId="77777777" w:rsidR="009A0F87" w:rsidRDefault="009A0F87" w:rsidP="00ED1807">
      <w:pPr>
        <w:numPr>
          <w:ilvl w:val="0"/>
          <w:numId w:val="1"/>
        </w:numPr>
        <w:tabs>
          <w:tab w:val="clear" w:pos="567"/>
        </w:tabs>
        <w:spacing w:before="240"/>
        <w:jc w:val="both"/>
        <w:rPr>
          <w:rFonts w:ascii="Book Antiqua" w:hAnsi="Book Antiqua" w:cs="Arial"/>
        </w:rPr>
      </w:pPr>
      <w:r>
        <w:rPr>
          <w:rFonts w:ascii="Book Antiqua" w:hAnsi="Book Antiqua" w:cs="Arial"/>
        </w:rPr>
        <w:t>SG accepted that the social</w:t>
      </w:r>
      <w:r w:rsidR="00623626">
        <w:rPr>
          <w:rFonts w:ascii="Book Antiqua" w:hAnsi="Book Antiqua" w:cs="Arial"/>
        </w:rPr>
        <w:t xml:space="preserve"> circumstances report of Alison Tyrell refers to her having a brother and sister and accepted that they have a close relationship but</w:t>
      </w:r>
      <w:r w:rsidR="0089054C">
        <w:rPr>
          <w:rFonts w:ascii="Book Antiqua" w:hAnsi="Book Antiqua" w:cs="Arial"/>
        </w:rPr>
        <w:t xml:space="preserve"> said that</w:t>
      </w:r>
      <w:r w:rsidR="00623626">
        <w:rPr>
          <w:rFonts w:ascii="Book Antiqua" w:hAnsi="Book Antiqua" w:cs="Arial"/>
        </w:rPr>
        <w:t xml:space="preserve"> it was not their responsibility to help her constantly. As to whether they would help her, she accepted that they would but only up to a limit. She could not depend on someone to help her constantly because of her working hours. </w:t>
      </w:r>
    </w:p>
    <w:p w14:paraId="42D52539" w14:textId="77777777" w:rsidR="00623626" w:rsidRDefault="00623626"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When she and the appellant got married they were not thinking about the question of deportation. They were just happy, in love and wanted to be together. </w:t>
      </w:r>
    </w:p>
    <w:p w14:paraId="0601C909" w14:textId="77777777" w:rsidR="00CC2D43" w:rsidRDefault="00623626" w:rsidP="00ED1807">
      <w:pPr>
        <w:numPr>
          <w:ilvl w:val="0"/>
          <w:numId w:val="1"/>
        </w:numPr>
        <w:tabs>
          <w:tab w:val="clear" w:pos="567"/>
        </w:tabs>
        <w:spacing w:before="240"/>
        <w:jc w:val="both"/>
        <w:rPr>
          <w:rFonts w:ascii="Book Antiqua" w:hAnsi="Book Antiqua" w:cs="Arial"/>
        </w:rPr>
      </w:pPr>
      <w:r>
        <w:rPr>
          <w:rFonts w:ascii="Book Antiqua" w:hAnsi="Book Antiqua" w:cs="Arial"/>
        </w:rPr>
        <w:t>In answer to our questions she said that</w:t>
      </w:r>
      <w:r w:rsidR="00171320">
        <w:rPr>
          <w:rFonts w:ascii="Book Antiqua" w:hAnsi="Book Antiqua" w:cs="Arial"/>
        </w:rPr>
        <w:t xml:space="preserve"> she</w:t>
      </w:r>
      <w:r w:rsidR="00CC2D43">
        <w:rPr>
          <w:rFonts w:ascii="Book Antiqua" w:hAnsi="Book Antiqua" w:cs="Arial"/>
        </w:rPr>
        <w:t xml:space="preserve"> met the appellant when she</w:t>
      </w:r>
      <w:r w:rsidR="00171320">
        <w:rPr>
          <w:rFonts w:ascii="Book Antiqua" w:hAnsi="Book Antiqua" w:cs="Arial"/>
        </w:rPr>
        <w:t xml:space="preserve"> went to Trinidad in 2004</w:t>
      </w:r>
      <w:r w:rsidR="00CC2D43">
        <w:rPr>
          <w:rFonts w:ascii="Book Antiqua" w:hAnsi="Book Antiqua" w:cs="Arial"/>
        </w:rPr>
        <w:t xml:space="preserve">. She had been there </w:t>
      </w:r>
      <w:r w:rsidR="00171320">
        <w:rPr>
          <w:rFonts w:ascii="Book Antiqua" w:hAnsi="Book Antiqua" w:cs="Arial"/>
        </w:rPr>
        <w:t xml:space="preserve">six or seven times </w:t>
      </w:r>
      <w:r w:rsidR="00CC2D43">
        <w:rPr>
          <w:rFonts w:ascii="Book Antiqua" w:hAnsi="Book Antiqua" w:cs="Arial"/>
        </w:rPr>
        <w:t>since</w:t>
      </w:r>
      <w:r w:rsidR="0089054C">
        <w:rPr>
          <w:rFonts w:ascii="Book Antiqua" w:hAnsi="Book Antiqua" w:cs="Arial"/>
        </w:rPr>
        <w:t>,</w:t>
      </w:r>
      <w:r w:rsidR="00CC2D43">
        <w:rPr>
          <w:rFonts w:ascii="Book Antiqua" w:hAnsi="Book Antiqua" w:cs="Arial"/>
        </w:rPr>
        <w:t xml:space="preserve"> when she was seeing the appellant. She stayed there for no longer than two weeks each time. </w:t>
      </w:r>
    </w:p>
    <w:p w14:paraId="0D8A2322" w14:textId="77777777" w:rsidR="00623626" w:rsidRDefault="00CC2D43" w:rsidP="00ED1807">
      <w:pPr>
        <w:numPr>
          <w:ilvl w:val="0"/>
          <w:numId w:val="1"/>
        </w:numPr>
        <w:tabs>
          <w:tab w:val="clear" w:pos="567"/>
        </w:tabs>
        <w:spacing w:before="240"/>
        <w:jc w:val="both"/>
        <w:rPr>
          <w:rFonts w:ascii="Book Antiqua" w:hAnsi="Book Antiqua" w:cs="Arial"/>
        </w:rPr>
      </w:pPr>
      <w:r>
        <w:rPr>
          <w:rFonts w:ascii="Book Antiqua" w:hAnsi="Book Antiqua" w:cs="Arial"/>
        </w:rPr>
        <w:t xml:space="preserve">She does everything for her grandmother. Her grandfather is 70 years old and works full-time. They live in the same house but are separated. </w:t>
      </w:r>
      <w:r w:rsidR="00171320">
        <w:rPr>
          <w:rFonts w:ascii="Book Antiqua" w:hAnsi="Book Antiqua" w:cs="Arial"/>
        </w:rPr>
        <w:t xml:space="preserve"> </w:t>
      </w:r>
      <w:r w:rsidR="00623626">
        <w:rPr>
          <w:rFonts w:ascii="Book Antiqua" w:hAnsi="Book Antiqua" w:cs="Arial"/>
        </w:rPr>
        <w:t xml:space="preserve"> </w:t>
      </w:r>
    </w:p>
    <w:p w14:paraId="0772800F" w14:textId="77777777" w:rsidR="003C1118" w:rsidRPr="00B27ED6" w:rsidRDefault="003C1118" w:rsidP="008C75F7">
      <w:pPr>
        <w:spacing w:before="240"/>
        <w:ind w:left="567"/>
        <w:jc w:val="both"/>
        <w:rPr>
          <w:rFonts w:ascii="Book Antiqua" w:hAnsi="Book Antiqua" w:cs="Arial"/>
        </w:rPr>
      </w:pPr>
      <w:r w:rsidRPr="00B27ED6">
        <w:rPr>
          <w:rFonts w:ascii="Book Antiqua" w:hAnsi="Book Antiqua" w:cs="Arial"/>
          <w:i/>
        </w:rPr>
        <w:t>Submissions</w:t>
      </w:r>
    </w:p>
    <w:p w14:paraId="4EA77579" w14:textId="77777777" w:rsidR="005F114F" w:rsidRDefault="00ED1807" w:rsidP="00CC2D43">
      <w:pPr>
        <w:numPr>
          <w:ilvl w:val="0"/>
          <w:numId w:val="1"/>
        </w:numPr>
        <w:tabs>
          <w:tab w:val="clear" w:pos="567"/>
        </w:tabs>
        <w:spacing w:before="240"/>
        <w:jc w:val="both"/>
        <w:rPr>
          <w:rFonts w:ascii="Book Antiqua" w:hAnsi="Book Antiqua" w:cs="Arial"/>
        </w:rPr>
      </w:pPr>
      <w:r>
        <w:rPr>
          <w:rFonts w:ascii="Book Antiqua" w:hAnsi="Book Antiqua" w:cs="Arial"/>
        </w:rPr>
        <w:t>In his submissions Mr Lay</w:t>
      </w:r>
      <w:r w:rsidR="00A63C6E">
        <w:rPr>
          <w:rFonts w:ascii="Book Antiqua" w:hAnsi="Book Antiqua" w:cs="Arial"/>
        </w:rPr>
        <w:t xml:space="preserve"> relied on his skeleton argument. He submitted </w:t>
      </w:r>
      <w:r>
        <w:rPr>
          <w:rFonts w:ascii="Book Antiqua" w:hAnsi="Book Antiqua" w:cs="Arial"/>
        </w:rPr>
        <w:t>that in principle the appellant was able to satisfy the requirements of paragraph 399(a) of the Rules (unduly harsh to separate from child).</w:t>
      </w:r>
    </w:p>
    <w:p w14:paraId="09527B60" w14:textId="77777777" w:rsidR="00ED1807" w:rsidRDefault="00ED1807" w:rsidP="00CC2D43">
      <w:pPr>
        <w:numPr>
          <w:ilvl w:val="0"/>
          <w:numId w:val="1"/>
        </w:numPr>
        <w:tabs>
          <w:tab w:val="clear" w:pos="567"/>
        </w:tabs>
        <w:spacing w:before="240"/>
        <w:jc w:val="both"/>
        <w:rPr>
          <w:rFonts w:ascii="Book Antiqua" w:hAnsi="Book Antiqua" w:cs="Arial"/>
        </w:rPr>
      </w:pPr>
      <w:r>
        <w:rPr>
          <w:rFonts w:ascii="Book Antiqua" w:hAnsi="Book Antiqua" w:cs="Arial"/>
        </w:rPr>
        <w:t>Ms Holmes clarified that it was not suggested on behalf of the respondent that the appellant’s ‘family’ could go with him to Trinidad and that the issue was in terms of the undue harshness of their remaining in the UK without him.</w:t>
      </w:r>
    </w:p>
    <w:p w14:paraId="3C53D23D" w14:textId="77777777" w:rsidR="00ED1807" w:rsidRDefault="00ED1807" w:rsidP="00CC2D43">
      <w:pPr>
        <w:numPr>
          <w:ilvl w:val="0"/>
          <w:numId w:val="1"/>
        </w:numPr>
        <w:tabs>
          <w:tab w:val="clear" w:pos="567"/>
        </w:tabs>
        <w:spacing w:before="240"/>
        <w:jc w:val="both"/>
        <w:rPr>
          <w:rFonts w:ascii="Book Antiqua" w:hAnsi="Book Antiqua" w:cs="Arial"/>
        </w:rPr>
      </w:pPr>
      <w:r>
        <w:rPr>
          <w:rFonts w:ascii="Book Antiqua" w:hAnsi="Book Antiqua" w:cs="Arial"/>
        </w:rPr>
        <w:t>On the question of undue harshness</w:t>
      </w:r>
      <w:r w:rsidR="00A127D5">
        <w:rPr>
          <w:rFonts w:ascii="Book Antiqua" w:hAnsi="Book Antiqua" w:cs="Arial"/>
        </w:rPr>
        <w:t xml:space="preserve"> we were referred by Mr Lay to the decision of the Court of Appeal in </w:t>
      </w:r>
      <w:r w:rsidR="00A127D5">
        <w:rPr>
          <w:rFonts w:ascii="Book Antiqua" w:hAnsi="Book Antiqua" w:cs="Arial"/>
          <w:i/>
        </w:rPr>
        <w:t xml:space="preserve">MM (Uganda) </w:t>
      </w:r>
      <w:r w:rsidR="00225AC0">
        <w:rPr>
          <w:rFonts w:ascii="Book Antiqua" w:hAnsi="Book Antiqua" w:cs="Arial"/>
          <w:i/>
        </w:rPr>
        <w:t>v</w:t>
      </w:r>
      <w:r w:rsidR="00A127D5">
        <w:rPr>
          <w:rFonts w:ascii="Book Antiqua" w:hAnsi="Book Antiqua" w:cs="Arial"/>
          <w:i/>
        </w:rPr>
        <w:t xml:space="preserve"> Secretary of State for the Home Department </w:t>
      </w:r>
      <w:r w:rsidR="00A127D5">
        <w:rPr>
          <w:rFonts w:ascii="Book Antiqua" w:hAnsi="Book Antiqua" w:cs="Arial"/>
        </w:rPr>
        <w:t xml:space="preserve">[2016] EWCA </w:t>
      </w:r>
      <w:proofErr w:type="spellStart"/>
      <w:r w:rsidR="00A127D5">
        <w:rPr>
          <w:rFonts w:ascii="Book Antiqua" w:hAnsi="Book Antiqua" w:cs="Arial"/>
        </w:rPr>
        <w:t>Civ</w:t>
      </w:r>
      <w:proofErr w:type="spellEnd"/>
      <w:r w:rsidR="00A127D5">
        <w:rPr>
          <w:rFonts w:ascii="Book Antiqua" w:hAnsi="Book Antiqua" w:cs="Arial"/>
        </w:rPr>
        <w:t xml:space="preserve"> 617, in particular at [25]</w:t>
      </w:r>
      <w:proofErr w:type="gramStart"/>
      <w:r w:rsidR="00A127D5">
        <w:rPr>
          <w:rFonts w:ascii="Book Antiqua" w:hAnsi="Book Antiqua" w:cs="Arial"/>
        </w:rPr>
        <w:t>-[</w:t>
      </w:r>
      <w:proofErr w:type="gramEnd"/>
      <w:r w:rsidR="00A127D5">
        <w:rPr>
          <w:rFonts w:ascii="Book Antiqua" w:hAnsi="Book Antiqua" w:cs="Arial"/>
        </w:rPr>
        <w:t xml:space="preserve">26] in terms of how undue harshness under the Rules is to be considered. </w:t>
      </w:r>
    </w:p>
    <w:p w14:paraId="76B5491F" w14:textId="77777777" w:rsidR="00A127D5" w:rsidRDefault="00A127D5"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It was submitted that it would be unduly harsh for the appellant to be separated from his family, in particular his younger children. It was accepted however, that it was said in </w:t>
      </w:r>
      <w:r>
        <w:rPr>
          <w:rFonts w:ascii="Book Antiqua" w:hAnsi="Book Antiqua" w:cs="Arial"/>
          <w:i/>
        </w:rPr>
        <w:t xml:space="preserve">NA (Pakistan) v Secretary of State for the Home Department </w:t>
      </w:r>
      <w:r>
        <w:rPr>
          <w:rFonts w:ascii="Book Antiqua" w:hAnsi="Book Antiqua" w:cs="Arial"/>
        </w:rPr>
        <w:t xml:space="preserve">[2016] EWCA </w:t>
      </w:r>
      <w:proofErr w:type="spellStart"/>
      <w:r>
        <w:rPr>
          <w:rFonts w:ascii="Book Antiqua" w:hAnsi="Book Antiqua" w:cs="Arial"/>
        </w:rPr>
        <w:t>Civ</w:t>
      </w:r>
      <w:proofErr w:type="spellEnd"/>
      <w:r>
        <w:rPr>
          <w:rFonts w:ascii="Book Antiqua" w:hAnsi="Book Antiqua" w:cs="Arial"/>
        </w:rPr>
        <w:t xml:space="preserve"> 662 that the mere fact of separation from a child’s father would not be enough. Nevertheless, it </w:t>
      </w:r>
      <w:r>
        <w:rPr>
          <w:rFonts w:ascii="Book Antiqua" w:hAnsi="Book Antiqua" w:cs="Arial"/>
        </w:rPr>
        <w:lastRenderedPageBreak/>
        <w:t>was also pointed out that at [32] the Court in that case said</w:t>
      </w:r>
      <w:r w:rsidR="00A63C6E">
        <w:rPr>
          <w:rFonts w:ascii="Book Antiqua" w:hAnsi="Book Antiqua" w:cs="Arial"/>
        </w:rPr>
        <w:t xml:space="preserve"> (to summarise)</w:t>
      </w:r>
      <w:r>
        <w:rPr>
          <w:rFonts w:ascii="Book Antiqua" w:hAnsi="Book Antiqua" w:cs="Arial"/>
        </w:rPr>
        <w:t xml:space="preserve"> that there may be cases where the factors described in Exceptions 1 and 2 of s.117C of the 2002 Act are not met yet the factors to be taken into account have such force that there were sufficiently compelling circumstances such as to</w:t>
      </w:r>
      <w:r w:rsidR="00A63C6E">
        <w:rPr>
          <w:rFonts w:ascii="Book Antiqua" w:hAnsi="Book Antiqua" w:cs="Arial"/>
        </w:rPr>
        <w:t xml:space="preserve"> outweigh the high public interest in deportation.</w:t>
      </w:r>
      <w:r>
        <w:rPr>
          <w:rFonts w:ascii="Book Antiqua" w:hAnsi="Book Antiqua" w:cs="Arial"/>
        </w:rPr>
        <w:t xml:space="preserve">  </w:t>
      </w:r>
      <w:r w:rsidR="00A63C6E">
        <w:rPr>
          <w:rFonts w:ascii="Book Antiqua" w:hAnsi="Book Antiqua" w:cs="Arial"/>
        </w:rPr>
        <w:t xml:space="preserve">As was said in </w:t>
      </w:r>
      <w:r w:rsidR="00A63C6E">
        <w:rPr>
          <w:rFonts w:ascii="Book Antiqua" w:hAnsi="Book Antiqua" w:cs="Arial"/>
          <w:i/>
        </w:rPr>
        <w:t xml:space="preserve">Hesham Ali v Secretary of State for the Home Department </w:t>
      </w:r>
      <w:r w:rsidR="00A63C6E">
        <w:rPr>
          <w:rFonts w:ascii="Book Antiqua" w:hAnsi="Book Antiqua" w:cs="Arial"/>
        </w:rPr>
        <w:t>[2016] UKSC 60, everything needed to be taken into account.</w:t>
      </w:r>
    </w:p>
    <w:p w14:paraId="23C317BC" w14:textId="77777777" w:rsidR="00A63C6E" w:rsidRDefault="00A63C6E"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It was also contended that the case before First-tier Tribunal Judge Canavan was a strong one, and is all the more so now. However, as we pointed out to Mr Lay, the Court of Appeal had found that the </w:t>
      </w:r>
      <w:proofErr w:type="spellStart"/>
      <w:r>
        <w:rPr>
          <w:rFonts w:ascii="Book Antiqua" w:hAnsi="Book Antiqua" w:cs="Arial"/>
        </w:rPr>
        <w:t>FtJ</w:t>
      </w:r>
      <w:proofErr w:type="spellEnd"/>
      <w:r>
        <w:rPr>
          <w:rFonts w:ascii="Book Antiqua" w:hAnsi="Book Antiqua" w:cs="Arial"/>
        </w:rPr>
        <w:t xml:space="preserve"> had applied the wrong test and we indicated that we were not at all persuaded that there was any merit </w:t>
      </w:r>
      <w:r w:rsidR="00F55BC8">
        <w:rPr>
          <w:rFonts w:ascii="Book Antiqua" w:hAnsi="Book Antiqua" w:cs="Arial"/>
        </w:rPr>
        <w:t xml:space="preserve">in a </w:t>
      </w:r>
      <w:r>
        <w:rPr>
          <w:rFonts w:ascii="Book Antiqua" w:hAnsi="Book Antiqua" w:cs="Arial"/>
        </w:rPr>
        <w:t>submission that relied on the First-tier Tribunal’s decision.</w:t>
      </w:r>
    </w:p>
    <w:p w14:paraId="0E724950" w14:textId="77777777" w:rsidR="00A63C6E" w:rsidRDefault="00A63C6E" w:rsidP="00CC2D43">
      <w:pPr>
        <w:numPr>
          <w:ilvl w:val="0"/>
          <w:numId w:val="1"/>
        </w:numPr>
        <w:tabs>
          <w:tab w:val="clear" w:pos="567"/>
        </w:tabs>
        <w:spacing w:before="240"/>
        <w:jc w:val="both"/>
        <w:rPr>
          <w:rFonts w:ascii="Book Antiqua" w:hAnsi="Book Antiqua" w:cs="Arial"/>
        </w:rPr>
      </w:pPr>
      <w:r>
        <w:rPr>
          <w:rFonts w:ascii="Book Antiqua" w:hAnsi="Book Antiqua" w:cs="Arial"/>
        </w:rPr>
        <w:t>It was submitted that the factors set out in the skeleton argument at page 8 were such as to mean that a proportionality assessment of the type required in this case, would mean that the appeal fell to be resolved in the appellant’s favour, particularly bearing in mind that there is now a functioning family.</w:t>
      </w:r>
      <w:r w:rsidR="00F55BC8">
        <w:rPr>
          <w:rFonts w:ascii="Book Antiqua" w:hAnsi="Book Antiqua" w:cs="Arial"/>
        </w:rPr>
        <w:t xml:space="preserve"> Those factors, to summarise, are the strength and length of the appellant’s relationship with his wife, the position of the children and the complex network of family relationships, SG’s relationship with her mother and the barriers to relocating to Trinidad, and the likelihood of SG having to give up work if the appellant is deported with the risks of deterioration in family wellbeing and conditions as explained in the social circumstances report.</w:t>
      </w:r>
    </w:p>
    <w:p w14:paraId="51733683" w14:textId="77777777" w:rsidR="00C7353C" w:rsidRDefault="00A63C6E"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Ms Holmes in her submissions </w:t>
      </w:r>
      <w:r w:rsidR="00C7353C">
        <w:rPr>
          <w:rFonts w:ascii="Book Antiqua" w:hAnsi="Book Antiqua" w:cs="Arial"/>
        </w:rPr>
        <w:t>argued that the appeal quite simply boiled down to a question of whether it was unduly harsh for the appellant to return to Trinidad</w:t>
      </w:r>
      <w:r w:rsidR="00F55BC8">
        <w:rPr>
          <w:rFonts w:ascii="Book Antiqua" w:hAnsi="Book Antiqua" w:cs="Arial"/>
        </w:rPr>
        <w:t>,</w:t>
      </w:r>
      <w:r w:rsidR="00C7353C">
        <w:rPr>
          <w:rFonts w:ascii="Book Antiqua" w:hAnsi="Book Antiqua" w:cs="Arial"/>
        </w:rPr>
        <w:t xml:space="preserve"> with his family remaining in the UK.  She submitted that the hurdle was a high one. Whilst such separation may be ‘harsh’ it was not </w:t>
      </w:r>
      <w:r w:rsidR="00C7353C" w:rsidRPr="00C7353C">
        <w:rPr>
          <w:rFonts w:ascii="Book Antiqua" w:hAnsi="Book Antiqua" w:cs="Arial"/>
          <w:i/>
        </w:rPr>
        <w:t>unduly</w:t>
      </w:r>
      <w:r w:rsidR="00C7353C">
        <w:rPr>
          <w:rFonts w:ascii="Book Antiqua" w:hAnsi="Book Antiqua" w:cs="Arial"/>
        </w:rPr>
        <w:t xml:space="preserve"> harsh.</w:t>
      </w:r>
      <w:r>
        <w:rPr>
          <w:rFonts w:ascii="Book Antiqua" w:hAnsi="Book Antiqua" w:cs="Arial"/>
        </w:rPr>
        <w:t xml:space="preserve"> </w:t>
      </w:r>
    </w:p>
    <w:p w14:paraId="4BFF1F1F" w14:textId="77777777" w:rsidR="00C7353C" w:rsidRDefault="00C7353C"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the social circumstances report, the author of it only saw the family for about two hours and does not therefore really know the family. Furthermore, it was not clear as to how she could make the comments that she does about SG’s mental health based only on that meeting. SG came across as a very capable and competent person who had been able to deal with difficulties that she had faced in the past. </w:t>
      </w:r>
    </w:p>
    <w:p w14:paraId="1559D8CF" w14:textId="713BB26D" w:rsidR="00525E96" w:rsidRDefault="00C7353C"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Furthermore, </w:t>
      </w:r>
      <w:r w:rsidR="00525E96">
        <w:rPr>
          <w:rFonts w:ascii="Book Antiqua" w:hAnsi="Book Antiqua" w:cs="Arial"/>
        </w:rPr>
        <w:t>SG</w:t>
      </w:r>
      <w:r>
        <w:rPr>
          <w:rFonts w:ascii="Book Antiqua" w:hAnsi="Book Antiqua" w:cs="Arial"/>
        </w:rPr>
        <w:t xml:space="preserve"> has a very sound family background</w:t>
      </w:r>
      <w:r w:rsidR="00525E96">
        <w:rPr>
          <w:rFonts w:ascii="Book Antiqua" w:hAnsi="Book Antiqua" w:cs="Arial"/>
        </w:rPr>
        <w:t>. From her witness statement it is apparent that she has a lot of support in her life, although it was not suggested that her family would be able to help all the time and in all circumstances.</w:t>
      </w:r>
    </w:p>
    <w:p w14:paraId="32DF29EF" w14:textId="77777777" w:rsidR="00525E96" w:rsidRDefault="00525E96"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Ms Holmes referred to various paragraphs of </w:t>
      </w:r>
      <w:r>
        <w:rPr>
          <w:rFonts w:ascii="Book Antiqua" w:hAnsi="Book Antiqua" w:cs="Arial"/>
          <w:i/>
        </w:rPr>
        <w:t xml:space="preserve">Hesham Ali </w:t>
      </w:r>
      <w:r>
        <w:rPr>
          <w:rFonts w:ascii="Book Antiqua" w:hAnsi="Book Antiqua" w:cs="Arial"/>
        </w:rPr>
        <w:t xml:space="preserve">in support of the contention that the appellant’s circumstances are not such as </w:t>
      </w:r>
      <w:r w:rsidR="00F55BC8">
        <w:rPr>
          <w:rFonts w:ascii="Book Antiqua" w:hAnsi="Book Antiqua" w:cs="Arial"/>
        </w:rPr>
        <w:t>sh</w:t>
      </w:r>
      <w:r>
        <w:rPr>
          <w:rFonts w:ascii="Book Antiqua" w:hAnsi="Book Antiqua" w:cs="Arial"/>
        </w:rPr>
        <w:t>ould lead to his appeal being allowed. It was submitted that there was nothing about the appellant’s case that made the circumstances exceptional.</w:t>
      </w:r>
    </w:p>
    <w:p w14:paraId="36587A29" w14:textId="77777777" w:rsidR="00164BAC" w:rsidRDefault="00525E96"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Lay accepted that </w:t>
      </w:r>
      <w:r w:rsidR="00164BAC">
        <w:rPr>
          <w:rFonts w:ascii="Book Antiqua" w:hAnsi="Book Antiqua" w:cs="Arial"/>
        </w:rPr>
        <w:t xml:space="preserve">the appellant would need to show strong/very compelling circumstances, especially in a case where immigration status is precarious. However, as was said at [77] of </w:t>
      </w:r>
      <w:r w:rsidR="00164BAC">
        <w:rPr>
          <w:rFonts w:ascii="Book Antiqua" w:hAnsi="Book Antiqua" w:cs="Arial"/>
          <w:i/>
        </w:rPr>
        <w:t>Hesham Ali</w:t>
      </w:r>
      <w:r w:rsidR="00F55BC8">
        <w:rPr>
          <w:rFonts w:ascii="Book Antiqua" w:hAnsi="Book Antiqua" w:cs="Arial"/>
        </w:rPr>
        <w:t>,</w:t>
      </w:r>
      <w:r w:rsidR="00164BAC">
        <w:rPr>
          <w:rFonts w:ascii="Book Antiqua" w:hAnsi="Book Antiqua" w:cs="Arial"/>
        </w:rPr>
        <w:t xml:space="preserve"> there was a danger of the issue of exceptional circumstances being misunderstood.</w:t>
      </w:r>
      <w:r>
        <w:rPr>
          <w:rFonts w:ascii="Book Antiqua" w:hAnsi="Book Antiqua" w:cs="Arial"/>
        </w:rPr>
        <w:t xml:space="preserve"> </w:t>
      </w:r>
    </w:p>
    <w:p w14:paraId="7B53438B" w14:textId="77777777" w:rsidR="00164BAC" w:rsidRPr="00164BAC" w:rsidRDefault="00164BAC" w:rsidP="00164BAC">
      <w:pPr>
        <w:spacing w:before="240"/>
        <w:ind w:left="567"/>
        <w:jc w:val="both"/>
        <w:rPr>
          <w:rFonts w:ascii="Book Antiqua" w:hAnsi="Book Antiqua" w:cs="Arial"/>
          <w:i/>
        </w:rPr>
      </w:pPr>
      <w:r>
        <w:rPr>
          <w:rFonts w:ascii="Book Antiqua" w:hAnsi="Book Antiqua" w:cs="Arial"/>
          <w:i/>
        </w:rPr>
        <w:lastRenderedPageBreak/>
        <w:t>Assessment and Conclusions</w:t>
      </w:r>
    </w:p>
    <w:p w14:paraId="445324BB" w14:textId="77777777" w:rsidR="00164BAC" w:rsidRDefault="00164BAC" w:rsidP="00CC2D43">
      <w:pPr>
        <w:numPr>
          <w:ilvl w:val="0"/>
          <w:numId w:val="1"/>
        </w:numPr>
        <w:tabs>
          <w:tab w:val="clear" w:pos="567"/>
        </w:tabs>
        <w:spacing w:before="240"/>
        <w:jc w:val="both"/>
        <w:rPr>
          <w:rFonts w:ascii="Book Antiqua" w:hAnsi="Book Antiqua" w:cs="Arial"/>
        </w:rPr>
      </w:pPr>
      <w:r>
        <w:rPr>
          <w:rFonts w:ascii="Book Antiqua" w:hAnsi="Book Antiqua" w:cs="Arial"/>
        </w:rPr>
        <w:t>We should say at the outset that we are grateful to the parties for their very clear and concise written and oral submissions. In terms of</w:t>
      </w:r>
      <w:r w:rsidR="00266E48">
        <w:rPr>
          <w:rFonts w:ascii="Book Antiqua" w:hAnsi="Book Antiqua" w:cs="Arial"/>
        </w:rPr>
        <w:t xml:space="preserve"> the</w:t>
      </w:r>
      <w:r>
        <w:rPr>
          <w:rFonts w:ascii="Book Antiqua" w:hAnsi="Book Antiqua" w:cs="Arial"/>
        </w:rPr>
        <w:t xml:space="preserve"> written arguments</w:t>
      </w:r>
      <w:r w:rsidR="00266E48">
        <w:rPr>
          <w:rFonts w:ascii="Book Antiqua" w:hAnsi="Book Antiqua" w:cs="Arial"/>
        </w:rPr>
        <w:t>,</w:t>
      </w:r>
      <w:r>
        <w:rPr>
          <w:rFonts w:ascii="Book Antiqua" w:hAnsi="Book Antiqua" w:cs="Arial"/>
        </w:rPr>
        <w:t xml:space="preserve"> we are</w:t>
      </w:r>
      <w:r w:rsidR="006015B7">
        <w:rPr>
          <w:rFonts w:ascii="Book Antiqua" w:hAnsi="Book Antiqua" w:cs="Arial"/>
        </w:rPr>
        <w:t>,</w:t>
      </w:r>
      <w:r>
        <w:rPr>
          <w:rFonts w:ascii="Book Antiqua" w:hAnsi="Book Antiqua" w:cs="Arial"/>
        </w:rPr>
        <w:t xml:space="preserve"> in particular</w:t>
      </w:r>
      <w:r w:rsidR="006015B7">
        <w:rPr>
          <w:rFonts w:ascii="Book Antiqua" w:hAnsi="Book Antiqua" w:cs="Arial"/>
        </w:rPr>
        <w:t>,</w:t>
      </w:r>
      <w:r>
        <w:rPr>
          <w:rFonts w:ascii="Book Antiqua" w:hAnsi="Book Antiqua" w:cs="Arial"/>
        </w:rPr>
        <w:t xml:space="preserve"> very grateful to Mr Lay for the clarity and focus of his skeleton argument.</w:t>
      </w:r>
    </w:p>
    <w:p w14:paraId="44B4EFE0" w14:textId="77777777" w:rsidR="00266E48" w:rsidRDefault="00FF73B4"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It is helpful at this point to </w:t>
      </w:r>
      <w:r w:rsidR="00225AC0">
        <w:rPr>
          <w:rFonts w:ascii="Book Antiqua" w:hAnsi="Book Antiqua" w:cs="Arial"/>
        </w:rPr>
        <w:t>set out</w:t>
      </w:r>
      <w:r w:rsidR="00266E48">
        <w:rPr>
          <w:rFonts w:ascii="Book Antiqua" w:hAnsi="Book Antiqua" w:cs="Arial"/>
        </w:rPr>
        <w:t xml:space="preserve"> the</w:t>
      </w:r>
      <w:r w:rsidR="00225AC0">
        <w:rPr>
          <w:rFonts w:ascii="Book Antiqua" w:hAnsi="Book Antiqua" w:cs="Arial"/>
        </w:rPr>
        <w:t xml:space="preserve"> details of the</w:t>
      </w:r>
      <w:r w:rsidR="00266E48">
        <w:rPr>
          <w:rFonts w:ascii="Book Antiqua" w:hAnsi="Book Antiqua" w:cs="Arial"/>
        </w:rPr>
        <w:t xml:space="preserve"> children to whom reference has been made in the course of the proceedings: </w:t>
      </w:r>
    </w:p>
    <w:p w14:paraId="6C634B53" w14:textId="77777777" w:rsidR="00FF73B4" w:rsidRDefault="00266E48" w:rsidP="008927B1">
      <w:pPr>
        <w:numPr>
          <w:ilvl w:val="0"/>
          <w:numId w:val="4"/>
        </w:numPr>
        <w:spacing w:before="120"/>
        <w:ind w:left="1701" w:hanging="567"/>
        <w:jc w:val="both"/>
        <w:rPr>
          <w:rFonts w:ascii="Book Antiqua" w:hAnsi="Book Antiqua" w:cs="Arial"/>
        </w:rPr>
      </w:pPr>
      <w:r>
        <w:rPr>
          <w:rFonts w:ascii="Book Antiqua" w:hAnsi="Book Antiqua" w:cs="Arial"/>
        </w:rPr>
        <w:t>KS is the appellant and his wife’s son, born on 15 June 2017.</w:t>
      </w:r>
    </w:p>
    <w:p w14:paraId="384D9F05" w14:textId="77777777" w:rsidR="00266E48" w:rsidRDefault="00266E48" w:rsidP="008927B1">
      <w:pPr>
        <w:numPr>
          <w:ilvl w:val="0"/>
          <w:numId w:val="4"/>
        </w:numPr>
        <w:spacing w:before="120"/>
        <w:ind w:left="1701" w:hanging="567"/>
        <w:jc w:val="both"/>
        <w:rPr>
          <w:rFonts w:ascii="Book Antiqua" w:hAnsi="Book Antiqua" w:cs="Arial"/>
        </w:rPr>
      </w:pPr>
      <w:r>
        <w:rPr>
          <w:rFonts w:ascii="Book Antiqua" w:hAnsi="Book Antiqua" w:cs="Arial"/>
        </w:rPr>
        <w:t>KD is the appellant and his wife’s daughter, born on 19 January 2015.</w:t>
      </w:r>
    </w:p>
    <w:p w14:paraId="14DA6400" w14:textId="77777777" w:rsidR="00266E48" w:rsidRDefault="00266E48" w:rsidP="008927B1">
      <w:pPr>
        <w:numPr>
          <w:ilvl w:val="0"/>
          <w:numId w:val="4"/>
        </w:numPr>
        <w:spacing w:before="120"/>
        <w:ind w:left="1701" w:hanging="567"/>
        <w:jc w:val="both"/>
        <w:rPr>
          <w:rFonts w:ascii="Book Antiqua" w:hAnsi="Book Antiqua" w:cs="Arial"/>
        </w:rPr>
      </w:pPr>
      <w:r>
        <w:rPr>
          <w:rFonts w:ascii="Book Antiqua" w:hAnsi="Book Antiqua" w:cs="Arial"/>
        </w:rPr>
        <w:t>J is the appellant’s son from his relationship to a previous partner, MD.</w:t>
      </w:r>
    </w:p>
    <w:p w14:paraId="193B1E08" w14:textId="77777777" w:rsidR="00266E48" w:rsidRDefault="00266E48" w:rsidP="008927B1">
      <w:pPr>
        <w:numPr>
          <w:ilvl w:val="0"/>
          <w:numId w:val="4"/>
        </w:numPr>
        <w:spacing w:before="120"/>
        <w:ind w:left="1701" w:hanging="567"/>
        <w:jc w:val="both"/>
        <w:rPr>
          <w:rFonts w:ascii="Book Antiqua" w:hAnsi="Book Antiqua" w:cs="Arial"/>
        </w:rPr>
      </w:pPr>
      <w:r>
        <w:rPr>
          <w:rFonts w:ascii="Book Antiqua" w:hAnsi="Book Antiqua" w:cs="Arial"/>
        </w:rPr>
        <w:t xml:space="preserve">M is the appellant’s wife’s son, born on </w:t>
      </w:r>
      <w:r w:rsidR="00D76BC3">
        <w:rPr>
          <w:rFonts w:ascii="Book Antiqua" w:hAnsi="Book Antiqua" w:cs="Arial"/>
        </w:rPr>
        <w:t>10 August 2004.</w:t>
      </w:r>
    </w:p>
    <w:p w14:paraId="0BFBDE12" w14:textId="77777777" w:rsidR="00D76BC3" w:rsidRPr="00D76BC3" w:rsidRDefault="00D76BC3" w:rsidP="008927B1">
      <w:pPr>
        <w:numPr>
          <w:ilvl w:val="0"/>
          <w:numId w:val="4"/>
        </w:numPr>
        <w:spacing w:before="120"/>
        <w:ind w:left="1701" w:hanging="567"/>
        <w:jc w:val="both"/>
        <w:rPr>
          <w:rFonts w:ascii="Book Antiqua" w:hAnsi="Book Antiqua" w:cs="Arial"/>
        </w:rPr>
      </w:pPr>
      <w:r>
        <w:rPr>
          <w:rFonts w:ascii="Book Antiqua" w:hAnsi="Book Antiqua" w:cs="Arial"/>
        </w:rPr>
        <w:t>A is the appellant’s wife’s daughter, born on 22 January 1999.</w:t>
      </w:r>
    </w:p>
    <w:p w14:paraId="5882FEC0" w14:textId="77777777" w:rsidR="00D76BC3" w:rsidRDefault="00D76BC3" w:rsidP="000858D5">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has a son, NG, in Trinidad who was born on 23 September 2003 and where, according to the appellant’s witness statement, he lives with his mother and her other two children. The appellant further states that he has weekly contact by phone or Skype with him. There was no dispute about this aspect of the appellant’s evidence. NG’s circumstances are however, not relevant to the assessment of the effect of the appellant’s deportation on family members in the UK. That he has a son in Trinidad is not </w:t>
      </w:r>
      <w:r w:rsidRPr="00F55BC8">
        <w:rPr>
          <w:rFonts w:ascii="Book Antiqua" w:hAnsi="Book Antiqua" w:cs="Arial"/>
        </w:rPr>
        <w:t>irrelevant</w:t>
      </w:r>
      <w:r>
        <w:rPr>
          <w:rFonts w:ascii="Book Antiqua" w:hAnsi="Book Antiqua" w:cs="Arial"/>
          <w:i/>
        </w:rPr>
        <w:t xml:space="preserve"> </w:t>
      </w:r>
      <w:r>
        <w:rPr>
          <w:rFonts w:ascii="Book Antiqua" w:hAnsi="Book Antiqua" w:cs="Arial"/>
        </w:rPr>
        <w:t xml:space="preserve">however.    </w:t>
      </w:r>
    </w:p>
    <w:p w14:paraId="3473FE04" w14:textId="77777777" w:rsidR="00CD5758" w:rsidRDefault="000858D5" w:rsidP="000858D5">
      <w:pPr>
        <w:numPr>
          <w:ilvl w:val="0"/>
          <w:numId w:val="1"/>
        </w:numPr>
        <w:tabs>
          <w:tab w:val="clear" w:pos="567"/>
        </w:tabs>
        <w:spacing w:before="240"/>
        <w:jc w:val="both"/>
        <w:rPr>
          <w:rFonts w:ascii="Book Antiqua" w:hAnsi="Book Antiqua" w:cs="Arial"/>
        </w:rPr>
      </w:pPr>
      <w:r>
        <w:rPr>
          <w:rFonts w:ascii="Book Antiqua" w:hAnsi="Book Antiqua" w:cs="Arial"/>
        </w:rPr>
        <w:t xml:space="preserve">So far as the </w:t>
      </w:r>
      <w:r w:rsidR="00D76BC3">
        <w:rPr>
          <w:rFonts w:ascii="Book Antiqua" w:hAnsi="Book Antiqua" w:cs="Arial"/>
        </w:rPr>
        <w:t>applicable</w:t>
      </w:r>
      <w:r>
        <w:rPr>
          <w:rFonts w:ascii="Book Antiqua" w:hAnsi="Book Antiqua" w:cs="Arial"/>
        </w:rPr>
        <w:t xml:space="preserve"> Rules are concerned, they are paragraphs 398 and 399.</w:t>
      </w:r>
      <w:r w:rsidR="00CD5758">
        <w:rPr>
          <w:rFonts w:ascii="Book Antiqua" w:hAnsi="Book Antiqua" w:cs="Arial"/>
        </w:rPr>
        <w:t xml:space="preserve"> The term of imprisonment that the potential deportee received</w:t>
      </w:r>
      <w:r w:rsidR="00DD3B8F">
        <w:rPr>
          <w:rFonts w:ascii="Book Antiqua" w:hAnsi="Book Antiqua" w:cs="Arial"/>
        </w:rPr>
        <w:t xml:space="preserve"> often (but not always, for example in cases of persistent offenders)</w:t>
      </w:r>
      <w:r w:rsidR="00CD5758">
        <w:rPr>
          <w:rFonts w:ascii="Book Antiqua" w:hAnsi="Book Antiqua" w:cs="Arial"/>
        </w:rPr>
        <w:t xml:space="preserve"> determines what particular provision of the deportation Rules applies in his or her case. This appellant received a sentence of three years’ imprisonment and therefore he comes within pa</w:t>
      </w:r>
      <w:r>
        <w:rPr>
          <w:rFonts w:ascii="Book Antiqua" w:hAnsi="Book Antiqua" w:cs="Arial"/>
        </w:rPr>
        <w:t>ragraph 398(b)</w:t>
      </w:r>
      <w:r w:rsidR="00CD5758">
        <w:rPr>
          <w:rFonts w:ascii="Book Antiqua" w:hAnsi="Book Antiqua" w:cs="Arial"/>
        </w:rPr>
        <w:t xml:space="preserve">. </w:t>
      </w:r>
      <w:r w:rsidR="00225AC0">
        <w:rPr>
          <w:rFonts w:ascii="Book Antiqua" w:hAnsi="Book Antiqua" w:cs="Arial"/>
        </w:rPr>
        <w:t>That</w:t>
      </w:r>
      <w:r>
        <w:rPr>
          <w:rFonts w:ascii="Book Antiqua" w:hAnsi="Book Antiqua" w:cs="Arial"/>
        </w:rPr>
        <w:t xml:space="preserve"> provides that the deportation of a person from the UK is conducive to the public good and in the public interest where they have been convicted of an offence for which they have been sentenced to a period of imprisonment of less than 4 years but at least 12 months.</w:t>
      </w:r>
    </w:p>
    <w:p w14:paraId="60E4B95E" w14:textId="77777777" w:rsidR="000858D5" w:rsidRDefault="000858D5" w:rsidP="000858D5">
      <w:pPr>
        <w:numPr>
          <w:ilvl w:val="0"/>
          <w:numId w:val="1"/>
        </w:numPr>
        <w:tabs>
          <w:tab w:val="clear" w:pos="567"/>
        </w:tabs>
        <w:spacing w:before="240"/>
        <w:jc w:val="both"/>
        <w:rPr>
          <w:rFonts w:ascii="Book Antiqua" w:hAnsi="Book Antiqua" w:cs="Arial"/>
        </w:rPr>
      </w:pPr>
      <w:r>
        <w:rPr>
          <w:rFonts w:ascii="Book Antiqua" w:hAnsi="Book Antiqua" w:cs="Arial"/>
        </w:rPr>
        <w:t>Paragraph 399 provides as follows:</w:t>
      </w:r>
    </w:p>
    <w:p w14:paraId="41A823CA" w14:textId="77777777" w:rsidR="000858D5" w:rsidRPr="001D07CD" w:rsidRDefault="000858D5" w:rsidP="008927B1">
      <w:pPr>
        <w:pStyle w:val="default"/>
        <w:spacing w:before="120"/>
        <w:ind w:left="1800" w:hanging="666"/>
        <w:jc w:val="both"/>
        <w:rPr>
          <w:rFonts w:ascii="Book Antiqua" w:hAnsi="Book Antiqua"/>
          <w:sz w:val="22"/>
          <w:szCs w:val="22"/>
        </w:rPr>
      </w:pPr>
      <w:r>
        <w:rPr>
          <w:rFonts w:ascii="Book Antiqua" w:hAnsi="Book Antiqua"/>
        </w:rPr>
        <w:t>“</w:t>
      </w:r>
      <w:r w:rsidRPr="001D07CD">
        <w:rPr>
          <w:rFonts w:ascii="Book Antiqua" w:hAnsi="Book Antiqua"/>
          <w:sz w:val="22"/>
          <w:szCs w:val="22"/>
        </w:rPr>
        <w:t>399.</w:t>
      </w:r>
      <w:r w:rsidRPr="001D07CD">
        <w:rPr>
          <w:rFonts w:ascii="Book Antiqua" w:hAnsi="Book Antiqua"/>
          <w:sz w:val="22"/>
          <w:szCs w:val="22"/>
        </w:rPr>
        <w:tab/>
        <w:t xml:space="preserve">This paragraph applies where paragraph 398 (b) or (c) applies if – </w:t>
      </w:r>
    </w:p>
    <w:p w14:paraId="6A71D1A6" w14:textId="77777777" w:rsidR="000858D5" w:rsidRPr="001D07CD" w:rsidRDefault="000858D5" w:rsidP="008927B1">
      <w:pPr>
        <w:pStyle w:val="default"/>
        <w:spacing w:before="120"/>
        <w:ind w:left="2268" w:hanging="567"/>
        <w:jc w:val="both"/>
        <w:rPr>
          <w:rFonts w:ascii="Book Antiqua" w:hAnsi="Book Antiqua"/>
          <w:sz w:val="22"/>
          <w:szCs w:val="22"/>
        </w:rPr>
      </w:pPr>
      <w:r w:rsidRPr="001D07CD">
        <w:rPr>
          <w:rFonts w:ascii="Book Antiqua" w:hAnsi="Book Antiqua"/>
          <w:sz w:val="22"/>
          <w:szCs w:val="22"/>
        </w:rPr>
        <w:t>(a)</w:t>
      </w:r>
      <w:r w:rsidRPr="001D07CD">
        <w:rPr>
          <w:rFonts w:ascii="Book Antiqua" w:hAnsi="Book Antiqua"/>
          <w:sz w:val="22"/>
          <w:szCs w:val="22"/>
        </w:rPr>
        <w:tab/>
        <w:t xml:space="preserve">the person has a genuine and subsisting parental relationship with a child under the age of 18 years who is in the </w:t>
      </w:r>
      <w:smartTag w:uri="urn:schemas-microsoft-com:office:smarttags" w:element="place">
        <w:smartTag w:uri="urn:schemas-microsoft-com:office:smarttags" w:element="country-region">
          <w:r w:rsidRPr="001D07CD">
            <w:rPr>
              <w:rFonts w:ascii="Book Antiqua" w:hAnsi="Book Antiqua"/>
              <w:sz w:val="22"/>
              <w:szCs w:val="22"/>
            </w:rPr>
            <w:t>UK</w:t>
          </w:r>
        </w:smartTag>
      </w:smartTag>
      <w:r w:rsidRPr="001D07CD">
        <w:rPr>
          <w:rFonts w:ascii="Book Antiqua" w:hAnsi="Book Antiqua"/>
          <w:sz w:val="22"/>
          <w:szCs w:val="22"/>
        </w:rPr>
        <w:t xml:space="preserve">, and </w:t>
      </w:r>
    </w:p>
    <w:p w14:paraId="2B84C245" w14:textId="77777777" w:rsidR="000858D5" w:rsidRPr="001D07CD" w:rsidRDefault="000858D5" w:rsidP="008927B1">
      <w:pPr>
        <w:pStyle w:val="default"/>
        <w:spacing w:before="120"/>
        <w:ind w:left="2835" w:hanging="567"/>
        <w:jc w:val="both"/>
        <w:rPr>
          <w:rFonts w:ascii="Book Antiqua" w:hAnsi="Book Antiqua"/>
          <w:sz w:val="22"/>
          <w:szCs w:val="22"/>
        </w:rPr>
      </w:pPr>
      <w:r w:rsidRPr="001D07CD">
        <w:rPr>
          <w:rFonts w:ascii="Book Antiqua" w:hAnsi="Book Antiqua"/>
          <w:sz w:val="22"/>
          <w:szCs w:val="22"/>
        </w:rPr>
        <w:t>(</w:t>
      </w:r>
      <w:proofErr w:type="spellStart"/>
      <w:r w:rsidRPr="001D07CD">
        <w:rPr>
          <w:rFonts w:ascii="Book Antiqua" w:hAnsi="Book Antiqua"/>
          <w:sz w:val="22"/>
          <w:szCs w:val="22"/>
        </w:rPr>
        <w:t>i</w:t>
      </w:r>
      <w:proofErr w:type="spellEnd"/>
      <w:r w:rsidRPr="001D07CD">
        <w:rPr>
          <w:rFonts w:ascii="Book Antiqua" w:hAnsi="Book Antiqua"/>
          <w:sz w:val="22"/>
          <w:szCs w:val="22"/>
        </w:rPr>
        <w:t>)</w:t>
      </w:r>
      <w:r w:rsidRPr="001D07CD">
        <w:rPr>
          <w:rFonts w:ascii="Book Antiqua" w:hAnsi="Book Antiqua"/>
          <w:sz w:val="22"/>
          <w:szCs w:val="22"/>
        </w:rPr>
        <w:tab/>
        <w:t xml:space="preserve">the child is a British Citizen; or </w:t>
      </w:r>
    </w:p>
    <w:p w14:paraId="1F1D994D" w14:textId="77777777" w:rsidR="000858D5" w:rsidRPr="001D07CD" w:rsidRDefault="000858D5" w:rsidP="008927B1">
      <w:pPr>
        <w:pStyle w:val="default"/>
        <w:spacing w:before="120"/>
        <w:ind w:left="2835" w:hanging="567"/>
        <w:jc w:val="both"/>
        <w:rPr>
          <w:rFonts w:ascii="Book Antiqua" w:hAnsi="Book Antiqua"/>
          <w:sz w:val="22"/>
          <w:szCs w:val="22"/>
        </w:rPr>
      </w:pPr>
      <w:r w:rsidRPr="001D07CD">
        <w:rPr>
          <w:rFonts w:ascii="Book Antiqua" w:hAnsi="Book Antiqua"/>
          <w:sz w:val="22"/>
          <w:szCs w:val="22"/>
        </w:rPr>
        <w:t>(ii)</w:t>
      </w:r>
      <w:r w:rsidRPr="001D07CD">
        <w:rPr>
          <w:rFonts w:ascii="Book Antiqua" w:hAnsi="Book Antiqua"/>
          <w:sz w:val="22"/>
          <w:szCs w:val="22"/>
        </w:rPr>
        <w:tab/>
        <w:t xml:space="preserve">the child has lived in the </w:t>
      </w:r>
      <w:smartTag w:uri="urn:schemas-microsoft-com:office:smarttags" w:element="place">
        <w:smartTag w:uri="urn:schemas-microsoft-com:office:smarttags" w:element="country-region">
          <w:r w:rsidRPr="001D07CD">
            <w:rPr>
              <w:rFonts w:ascii="Book Antiqua" w:hAnsi="Book Antiqua"/>
              <w:sz w:val="22"/>
              <w:szCs w:val="22"/>
            </w:rPr>
            <w:t>UK</w:t>
          </w:r>
        </w:smartTag>
      </w:smartTag>
      <w:r w:rsidRPr="001D07CD">
        <w:rPr>
          <w:rFonts w:ascii="Book Antiqua" w:hAnsi="Book Antiqua"/>
          <w:sz w:val="22"/>
          <w:szCs w:val="22"/>
        </w:rPr>
        <w:t xml:space="preserve"> continuously for at least the 7 years immediately preceding the date of the immigration decision; and in either case </w:t>
      </w:r>
    </w:p>
    <w:p w14:paraId="4D8ED658" w14:textId="77777777" w:rsidR="000858D5" w:rsidRPr="001D07CD" w:rsidRDefault="000858D5" w:rsidP="008927B1">
      <w:pPr>
        <w:pStyle w:val="default"/>
        <w:spacing w:before="120"/>
        <w:ind w:left="3402" w:hanging="567"/>
        <w:jc w:val="both"/>
        <w:rPr>
          <w:rFonts w:ascii="Book Antiqua" w:hAnsi="Book Antiqua"/>
          <w:sz w:val="22"/>
          <w:szCs w:val="22"/>
        </w:rPr>
      </w:pPr>
      <w:r w:rsidRPr="001D07CD">
        <w:rPr>
          <w:rFonts w:ascii="Book Antiqua" w:hAnsi="Book Antiqua"/>
          <w:sz w:val="22"/>
          <w:szCs w:val="22"/>
        </w:rPr>
        <w:t>(a)</w:t>
      </w:r>
      <w:r w:rsidRPr="001D07CD">
        <w:rPr>
          <w:rFonts w:ascii="Book Antiqua" w:hAnsi="Book Antiqua"/>
          <w:sz w:val="22"/>
          <w:szCs w:val="22"/>
        </w:rPr>
        <w:tab/>
        <w:t>it would be unduly harsh for the child to live in the country to which the person is to be deported; and</w:t>
      </w:r>
    </w:p>
    <w:p w14:paraId="7BC1D0B9" w14:textId="77777777" w:rsidR="00CD5758" w:rsidRDefault="000858D5" w:rsidP="008927B1">
      <w:pPr>
        <w:pStyle w:val="default"/>
        <w:spacing w:before="120"/>
        <w:ind w:left="3402" w:hanging="567"/>
        <w:jc w:val="both"/>
        <w:rPr>
          <w:rFonts w:ascii="Book Antiqua" w:hAnsi="Book Antiqua"/>
        </w:rPr>
      </w:pPr>
      <w:r w:rsidRPr="001D07CD">
        <w:rPr>
          <w:rFonts w:ascii="Book Antiqua" w:hAnsi="Book Antiqua"/>
          <w:sz w:val="22"/>
          <w:szCs w:val="22"/>
        </w:rPr>
        <w:t>(b)</w:t>
      </w:r>
      <w:r w:rsidRPr="001D07CD">
        <w:rPr>
          <w:rFonts w:ascii="Book Antiqua" w:hAnsi="Book Antiqua"/>
          <w:sz w:val="22"/>
          <w:szCs w:val="22"/>
        </w:rPr>
        <w:tab/>
        <w:t>it would be unduly harsh for the child to remain in the UK without the person who is to be deported</w:t>
      </w:r>
      <w:r>
        <w:rPr>
          <w:rFonts w:ascii="Book Antiqua" w:hAnsi="Book Antiqua"/>
        </w:rPr>
        <w:t>.”</w:t>
      </w:r>
    </w:p>
    <w:p w14:paraId="5571327B" w14:textId="77777777" w:rsidR="00266C73" w:rsidRDefault="00266C73" w:rsidP="002467CC">
      <w:pPr>
        <w:numPr>
          <w:ilvl w:val="0"/>
          <w:numId w:val="1"/>
        </w:numPr>
        <w:tabs>
          <w:tab w:val="clear" w:pos="567"/>
        </w:tabs>
        <w:spacing w:before="240"/>
        <w:jc w:val="both"/>
        <w:rPr>
          <w:rFonts w:ascii="Book Antiqua" w:hAnsi="Book Antiqua" w:cs="Arial"/>
          <w:lang w:val="en"/>
        </w:rPr>
      </w:pPr>
      <w:r w:rsidRPr="00266C73">
        <w:rPr>
          <w:rFonts w:ascii="Book Antiqua" w:hAnsi="Book Antiqua" w:cs="Arial"/>
        </w:rPr>
        <w:lastRenderedPageBreak/>
        <w:t>Lastly, in terms of the Rules, paragraph 398</w:t>
      </w:r>
      <w:r w:rsidRPr="00266C73">
        <w:rPr>
          <w:rFonts w:ascii="Book Antiqua" w:hAnsi="Book Antiqua" w:cs="Arial"/>
          <w:lang w:val="en"/>
        </w:rPr>
        <w:t>(c) states that</w:t>
      </w:r>
      <w:r>
        <w:rPr>
          <w:rFonts w:ascii="Book Antiqua" w:hAnsi="Book Antiqua" w:cs="Arial"/>
          <w:lang w:val="en"/>
        </w:rPr>
        <w:t>:</w:t>
      </w:r>
    </w:p>
    <w:p w14:paraId="72AA7A76" w14:textId="77777777" w:rsidR="00266C73" w:rsidRPr="00266C73" w:rsidRDefault="00266C73" w:rsidP="008927B1">
      <w:pPr>
        <w:spacing w:before="120"/>
        <w:ind w:left="1134"/>
        <w:jc w:val="both"/>
        <w:rPr>
          <w:rFonts w:ascii="Book Antiqua" w:hAnsi="Book Antiqua" w:cs="Arial"/>
          <w:sz w:val="22"/>
          <w:szCs w:val="22"/>
          <w:lang w:val="en"/>
        </w:rPr>
      </w:pPr>
      <w:r w:rsidRPr="00266C73">
        <w:rPr>
          <w:rFonts w:ascii="Book Antiqua" w:hAnsi="Book Antiqua" w:cs="Arial"/>
          <w:sz w:val="22"/>
          <w:szCs w:val="22"/>
          <w:lang w:val="en"/>
        </w:rPr>
        <w:t xml:space="preserve">“…the Secretary of State in assessing that claim will consider whether paragraph 399 or 399A applies and, if it does not, the </w:t>
      </w:r>
      <w:bookmarkStart w:id="2" w:name="_Hlk519317243"/>
      <w:r w:rsidRPr="00266C73">
        <w:rPr>
          <w:rFonts w:ascii="Book Antiqua" w:hAnsi="Book Antiqua" w:cs="Arial"/>
          <w:sz w:val="22"/>
          <w:szCs w:val="22"/>
          <w:lang w:val="en"/>
        </w:rPr>
        <w:t xml:space="preserve">public interest in deportation will only be outweighed by other factors where there are very compelling circumstances over and above those described </w:t>
      </w:r>
      <w:bookmarkEnd w:id="2"/>
      <w:r w:rsidRPr="00266C73">
        <w:rPr>
          <w:rFonts w:ascii="Book Antiqua" w:hAnsi="Book Antiqua" w:cs="Arial"/>
          <w:sz w:val="22"/>
          <w:szCs w:val="22"/>
          <w:lang w:val="en"/>
        </w:rPr>
        <w:t>in paragraphs 399 and 399A.”</w:t>
      </w:r>
    </w:p>
    <w:p w14:paraId="112902A5" w14:textId="77777777" w:rsidR="00CD5758" w:rsidRDefault="00266C73" w:rsidP="000858D5">
      <w:pPr>
        <w:numPr>
          <w:ilvl w:val="0"/>
          <w:numId w:val="1"/>
        </w:numPr>
        <w:tabs>
          <w:tab w:val="clear" w:pos="567"/>
        </w:tabs>
        <w:spacing w:before="240"/>
        <w:jc w:val="both"/>
        <w:rPr>
          <w:rFonts w:ascii="Book Antiqua" w:hAnsi="Book Antiqua" w:cs="Arial"/>
        </w:rPr>
      </w:pPr>
      <w:r>
        <w:rPr>
          <w:rFonts w:ascii="Book Antiqua" w:hAnsi="Book Antiqua" w:cs="Arial"/>
        </w:rPr>
        <w:t>The phrase “that claim” is a reference to the opening words of paragraph 398 in terms of a person’s claim that their deportation would be contrary to Article 8 of the ECHR.</w:t>
      </w:r>
    </w:p>
    <w:p w14:paraId="6D573E7E" w14:textId="77777777" w:rsidR="000858D5" w:rsidRPr="00266C73" w:rsidRDefault="00266C73" w:rsidP="002467CC">
      <w:pPr>
        <w:numPr>
          <w:ilvl w:val="0"/>
          <w:numId w:val="1"/>
        </w:numPr>
        <w:tabs>
          <w:tab w:val="clear" w:pos="567"/>
        </w:tabs>
        <w:spacing w:before="240"/>
        <w:jc w:val="both"/>
        <w:rPr>
          <w:rFonts w:ascii="Book Antiqua" w:hAnsi="Book Antiqua" w:cs="Arial"/>
        </w:rPr>
      </w:pPr>
      <w:r w:rsidRPr="00266C73">
        <w:rPr>
          <w:rFonts w:ascii="Book Antiqua" w:hAnsi="Book Antiqua" w:cs="Arial"/>
        </w:rPr>
        <w:t>It is also necessary to refer to the deportation provisions of the 2002 Act.</w:t>
      </w:r>
      <w:r>
        <w:rPr>
          <w:rFonts w:ascii="Book Antiqua" w:hAnsi="Book Antiqua" w:cs="Arial"/>
        </w:rPr>
        <w:t xml:space="preserve"> </w:t>
      </w:r>
      <w:r w:rsidR="000858D5" w:rsidRPr="00266C73">
        <w:rPr>
          <w:rFonts w:ascii="Book Antiqua" w:hAnsi="Book Antiqua" w:cs="Arial"/>
        </w:rPr>
        <w:t>S.117A-C provides as follows:</w:t>
      </w:r>
    </w:p>
    <w:p w14:paraId="33E8E55C" w14:textId="77777777" w:rsidR="000858D5" w:rsidRDefault="000858D5" w:rsidP="008927B1">
      <w:pPr>
        <w:shd w:val="clear" w:color="auto" w:fill="FFFFFF"/>
        <w:spacing w:before="120" w:line="288" w:lineRule="atLeast"/>
        <w:ind w:left="4253"/>
        <w:outlineLvl w:val="4"/>
        <w:rPr>
          <w:rStyle w:val="legamendingtext"/>
          <w:rFonts w:ascii="Book Antiqua" w:hAnsi="Book Antiqua" w:cs="Arial"/>
          <w:b/>
          <w:bCs/>
          <w:smallCaps/>
          <w:color w:val="000000"/>
          <w:sz w:val="22"/>
          <w:szCs w:val="22"/>
          <w:lang w:val="en"/>
        </w:rPr>
      </w:pPr>
      <w:r w:rsidRPr="004C51B7">
        <w:rPr>
          <w:rStyle w:val="legamendquote1"/>
          <w:rFonts w:ascii="Book Antiqua" w:hAnsi="Book Antiqua" w:cs="Arial"/>
          <w:smallCaps/>
          <w:color w:val="000000"/>
          <w:sz w:val="22"/>
          <w:szCs w:val="22"/>
          <w:lang w:val="en"/>
        </w:rPr>
        <w:t>“</w:t>
      </w:r>
      <w:r w:rsidRPr="004C51B7">
        <w:rPr>
          <w:rStyle w:val="legamendingtext"/>
          <w:rFonts w:ascii="Book Antiqua" w:hAnsi="Book Antiqua" w:cs="Arial"/>
          <w:b/>
          <w:bCs/>
          <w:smallCaps/>
          <w:color w:val="000000"/>
          <w:sz w:val="22"/>
          <w:szCs w:val="22"/>
          <w:lang w:val="en"/>
        </w:rPr>
        <w:t>PART 5A</w:t>
      </w:r>
    </w:p>
    <w:p w14:paraId="76477B7B" w14:textId="77777777" w:rsidR="000858D5" w:rsidRDefault="000858D5" w:rsidP="008927B1">
      <w:pPr>
        <w:shd w:val="clear" w:color="auto" w:fill="FFFFFF"/>
        <w:spacing w:before="120" w:line="288" w:lineRule="atLeast"/>
        <w:ind w:left="1985" w:firstLine="283"/>
        <w:outlineLvl w:val="4"/>
        <w:rPr>
          <w:rStyle w:val="legamendingtext"/>
          <w:rFonts w:ascii="Book Antiqua" w:hAnsi="Book Antiqua" w:cs="Arial"/>
          <w:smallCaps/>
          <w:color w:val="000000"/>
          <w:sz w:val="22"/>
          <w:szCs w:val="22"/>
          <w:lang w:val="en"/>
        </w:rPr>
      </w:pPr>
      <w:r w:rsidRPr="004C51B7">
        <w:rPr>
          <w:rStyle w:val="legamendingtext"/>
          <w:rFonts w:ascii="Book Antiqua" w:hAnsi="Book Antiqua" w:cs="Arial"/>
          <w:smallCaps/>
          <w:color w:val="000000"/>
          <w:sz w:val="22"/>
          <w:szCs w:val="22"/>
          <w:lang w:val="en"/>
        </w:rPr>
        <w:t>Article 8 of the ECHR: public interest considerations</w:t>
      </w:r>
    </w:p>
    <w:p w14:paraId="0A2CB002" w14:textId="77777777" w:rsidR="000858D5" w:rsidRPr="000C6166" w:rsidRDefault="000858D5" w:rsidP="008927B1">
      <w:pPr>
        <w:shd w:val="clear" w:color="auto" w:fill="FFFFFF"/>
        <w:spacing w:before="120" w:line="288" w:lineRule="atLeast"/>
        <w:outlineLvl w:val="5"/>
        <w:rPr>
          <w:rFonts w:ascii="Book Antiqua" w:hAnsi="Book Antiqua" w:cs="Arial"/>
          <w:b/>
          <w:color w:val="000000"/>
          <w:sz w:val="22"/>
          <w:szCs w:val="22"/>
          <w:lang w:val="en"/>
        </w:rPr>
      </w:pPr>
      <w:r>
        <w:rPr>
          <w:rStyle w:val="legamendingtext"/>
          <w:rFonts w:ascii="Book Antiqua" w:hAnsi="Book Antiqua" w:cs="Arial"/>
          <w:color w:val="000000"/>
          <w:sz w:val="22"/>
          <w:szCs w:val="22"/>
          <w:lang w:val="en"/>
        </w:rPr>
        <w:t xml:space="preserve">          </w:t>
      </w:r>
      <w:r w:rsidRPr="000C6166">
        <w:rPr>
          <w:rStyle w:val="legamendingtext"/>
          <w:rFonts w:ascii="Book Antiqua" w:hAnsi="Book Antiqua" w:cs="Arial"/>
          <w:b/>
          <w:color w:val="000000"/>
          <w:sz w:val="22"/>
          <w:szCs w:val="22"/>
          <w:lang w:val="en"/>
        </w:rPr>
        <w:t>117A</w:t>
      </w:r>
      <w:proofErr w:type="gramStart"/>
      <w:r w:rsidRPr="000C6166">
        <w:rPr>
          <w:rStyle w:val="legamendingtext"/>
          <w:rFonts w:ascii="Book Antiqua" w:hAnsi="Book Antiqua" w:cs="Arial"/>
          <w:b/>
          <w:color w:val="000000"/>
          <w:sz w:val="22"/>
          <w:szCs w:val="22"/>
          <w:lang w:val="en"/>
        </w:rPr>
        <w:tab/>
        <w:t xml:space="preserve">  Application</w:t>
      </w:r>
      <w:proofErr w:type="gramEnd"/>
      <w:r w:rsidRPr="000C6166">
        <w:rPr>
          <w:rStyle w:val="legamendingtext"/>
          <w:rFonts w:ascii="Book Antiqua" w:hAnsi="Book Antiqua" w:cs="Arial"/>
          <w:b/>
          <w:color w:val="000000"/>
          <w:sz w:val="22"/>
          <w:szCs w:val="22"/>
          <w:lang w:val="en"/>
        </w:rPr>
        <w:t xml:space="preserve"> of this Part</w:t>
      </w:r>
    </w:p>
    <w:p w14:paraId="6F69004F"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(1)</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This Part applies where a court or tribunal is required to determine whether a decision made under the Immigration Acts—</w:t>
      </w:r>
    </w:p>
    <w:p w14:paraId="2A3DD0C2" w14:textId="77777777" w:rsidR="000858D5" w:rsidRPr="004C51B7" w:rsidRDefault="000858D5" w:rsidP="008927B1">
      <w:pPr>
        <w:pStyle w:val="legclearfix2"/>
        <w:spacing w:before="120" w:after="0"/>
        <w:ind w:left="1689"/>
        <w:rPr>
          <w:rFonts w:ascii="Book Antiqua" w:hAnsi="Book Antiqua" w:cs="Arial"/>
          <w:sz w:val="22"/>
          <w:szCs w:val="22"/>
          <w:lang w:val="en"/>
        </w:rPr>
      </w:pP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 xml:space="preserve">breaches a person’s right to respect for private and family life under Article 8, </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and</w:t>
      </w:r>
    </w:p>
    <w:p w14:paraId="207E7846" w14:textId="77777777" w:rsidR="000858D5" w:rsidRPr="004C51B7" w:rsidRDefault="000858D5" w:rsidP="008927B1">
      <w:pPr>
        <w:pStyle w:val="legclearfix2"/>
        <w:spacing w:before="120" w:after="0"/>
        <w:ind w:left="1418" w:firstLine="271"/>
        <w:rPr>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as a result would be unlawful under section 6 of the Human Rights Act 1998.</w:t>
      </w:r>
    </w:p>
    <w:p w14:paraId="2ED8C815" w14:textId="77777777" w:rsidR="000858D5" w:rsidRPr="004C51B7" w:rsidRDefault="000858D5" w:rsidP="008927B1">
      <w:pPr>
        <w:pStyle w:val="legclearfix2"/>
        <w:spacing w:before="120" w:after="0"/>
        <w:ind w:left="1689" w:hanging="627"/>
        <w:rPr>
          <w:rFonts w:ascii="Book Antiqua" w:hAnsi="Book Antiqua" w:cs="Arial"/>
          <w:sz w:val="22"/>
          <w:szCs w:val="22"/>
          <w:lang w:val="en"/>
        </w:rPr>
      </w:pPr>
      <w:r w:rsidRPr="004C51B7">
        <w:rPr>
          <w:rStyle w:val="legamendingtext"/>
          <w:rFonts w:ascii="Book Antiqua" w:hAnsi="Book Antiqua" w:cs="Arial"/>
          <w:sz w:val="22"/>
          <w:szCs w:val="22"/>
          <w:lang w:val="en"/>
        </w:rPr>
        <w:t>(2)</w:t>
      </w:r>
      <w:r>
        <w:rPr>
          <w:rStyle w:val="legamendingtext"/>
          <w:rFonts w:ascii="Book Antiqua" w:hAnsi="Book Antiqua" w:cs="Arial"/>
          <w:sz w:val="22"/>
          <w:szCs w:val="22"/>
          <w:lang w:val="en"/>
        </w:rPr>
        <w:t xml:space="preserve">  </w:t>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In considering the public interest question, the court or tribunal must (in particular) have regard—</w:t>
      </w:r>
    </w:p>
    <w:p w14:paraId="4D809F60" w14:textId="77777777" w:rsidR="000858D5" w:rsidRPr="004C51B7" w:rsidRDefault="000858D5" w:rsidP="008927B1">
      <w:pPr>
        <w:pStyle w:val="legclearfix2"/>
        <w:spacing w:before="120" w:after="0"/>
        <w:ind w:left="1418" w:hanging="851"/>
        <w:rPr>
          <w:rFonts w:ascii="Book Antiqua" w:hAnsi="Book Antiqua" w:cs="Arial"/>
          <w:sz w:val="22"/>
          <w:szCs w:val="22"/>
          <w:lang w:val="en"/>
        </w:rPr>
      </w:pPr>
      <w:r>
        <w:rPr>
          <w:rStyle w:val="legamendingtext"/>
          <w:rFonts w:ascii="Book Antiqua" w:hAnsi="Book Antiqua" w:cs="Arial"/>
          <w:sz w:val="22"/>
          <w:szCs w:val="22"/>
          <w:lang w:val="en"/>
        </w:rPr>
        <w:t xml:space="preserve">               </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in all cases, to the considerations listed in section 117B, and</w:t>
      </w:r>
    </w:p>
    <w:p w14:paraId="5A6F063B" w14:textId="77777777" w:rsidR="000858D5" w:rsidRPr="004C51B7" w:rsidRDefault="000858D5" w:rsidP="008927B1">
      <w:pPr>
        <w:pStyle w:val="legclearfix2"/>
        <w:spacing w:before="120" w:after="0"/>
        <w:ind w:left="1701"/>
        <w:rPr>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in cases concerning the deportation of foreign criminals, to the considerations listed in section 117C.</w:t>
      </w:r>
    </w:p>
    <w:p w14:paraId="704EF5E6" w14:textId="77777777" w:rsidR="000858D5" w:rsidRDefault="000858D5" w:rsidP="008927B1">
      <w:pPr>
        <w:pStyle w:val="legclearfix2"/>
        <w:spacing w:before="120" w:after="0"/>
        <w:ind w:left="1689" w:hanging="555"/>
        <w:rPr>
          <w:rStyle w:val="legamendingtext"/>
          <w:rFonts w:ascii="Book Antiqua" w:hAnsi="Book Antiqua" w:cs="Arial"/>
          <w:sz w:val="22"/>
          <w:szCs w:val="22"/>
          <w:lang w:val="en"/>
        </w:rPr>
      </w:pPr>
      <w:r w:rsidRPr="004C51B7">
        <w:rPr>
          <w:rStyle w:val="legamendingtext"/>
          <w:rFonts w:ascii="Book Antiqua" w:hAnsi="Book Antiqua" w:cs="Arial"/>
          <w:sz w:val="22"/>
          <w:szCs w:val="22"/>
          <w:lang w:val="en"/>
        </w:rPr>
        <w:t>(3)</w:t>
      </w:r>
      <w:r>
        <w:rPr>
          <w:rStyle w:val="legamendingtext"/>
          <w:rFonts w:ascii="Book Antiqua" w:hAnsi="Book Antiqua" w:cs="Arial"/>
          <w:sz w:val="22"/>
          <w:szCs w:val="22"/>
          <w:lang w:val="en"/>
        </w:rPr>
        <w:t xml:space="preserve"> </w:t>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In subsection (2), “the public interest question” means the question of whether an interference with a person’s right to respect for private and family life is justified under Article 8(2).</w:t>
      </w:r>
    </w:p>
    <w:p w14:paraId="48E373D1" w14:textId="77777777" w:rsidR="000858D5" w:rsidRPr="000C6166" w:rsidRDefault="000858D5" w:rsidP="008927B1">
      <w:pPr>
        <w:shd w:val="clear" w:color="auto" w:fill="FFFFFF"/>
        <w:spacing w:before="120" w:line="288" w:lineRule="atLeast"/>
        <w:ind w:left="1418" w:hanging="851"/>
        <w:outlineLvl w:val="5"/>
        <w:rPr>
          <w:rFonts w:ascii="Book Antiqua" w:hAnsi="Book Antiqua" w:cs="Arial"/>
          <w:b/>
          <w:color w:val="000000"/>
          <w:sz w:val="22"/>
          <w:szCs w:val="22"/>
          <w:lang w:val="en"/>
        </w:rPr>
      </w:pPr>
      <w:r w:rsidRPr="000C6166">
        <w:rPr>
          <w:rStyle w:val="legamendingtext"/>
          <w:rFonts w:ascii="Book Antiqua" w:hAnsi="Book Antiqua" w:cs="Arial"/>
          <w:b/>
          <w:color w:val="000000"/>
          <w:sz w:val="22"/>
          <w:szCs w:val="22"/>
          <w:lang w:val="en"/>
        </w:rPr>
        <w:t>117B</w:t>
      </w:r>
      <w:r w:rsidRPr="000C6166">
        <w:rPr>
          <w:rStyle w:val="legamendingtext"/>
          <w:rFonts w:ascii="Book Antiqua" w:hAnsi="Book Antiqua" w:cs="Arial"/>
          <w:b/>
          <w:color w:val="000000"/>
          <w:sz w:val="22"/>
          <w:szCs w:val="22"/>
          <w:lang w:val="en"/>
        </w:rPr>
        <w:tab/>
        <w:t>Article 8: public interest considerations applicable in all cases</w:t>
      </w:r>
    </w:p>
    <w:p w14:paraId="58DEE534" w14:textId="77777777" w:rsidR="000858D5" w:rsidRPr="004C51B7" w:rsidRDefault="000858D5" w:rsidP="008927B1">
      <w:pPr>
        <w:pStyle w:val="legclearfix2"/>
        <w:spacing w:before="120" w:after="0"/>
        <w:ind w:left="1418" w:hanging="284"/>
        <w:rPr>
          <w:rFonts w:ascii="Book Antiqua" w:hAnsi="Book Antiqua" w:cs="Arial"/>
          <w:sz w:val="22"/>
          <w:szCs w:val="22"/>
          <w:lang w:val="en"/>
        </w:rPr>
      </w:pPr>
      <w:r w:rsidRPr="004C51B7">
        <w:rPr>
          <w:rStyle w:val="legamendingtext"/>
          <w:rFonts w:ascii="Book Antiqua" w:hAnsi="Book Antiqua" w:cs="Arial"/>
          <w:sz w:val="22"/>
          <w:szCs w:val="22"/>
          <w:lang w:val="en"/>
        </w:rPr>
        <w:t>(1)</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The maintenance of effective immigration controls is in the public interest.</w:t>
      </w:r>
    </w:p>
    <w:p w14:paraId="7A0BD248"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(2)</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It is in the public interest, and in particular in the interests of the economic well-being of the United Kingdom, that persons who seek to enter or remain in the United Kingdom are able to speak English, because persons who can speak English—</w:t>
      </w:r>
    </w:p>
    <w:p w14:paraId="328EFE8E" w14:textId="09CC09F3" w:rsidR="000858D5" w:rsidRPr="004C51B7" w:rsidRDefault="000858D5" w:rsidP="008927B1">
      <w:pPr>
        <w:pStyle w:val="legclearfix2"/>
        <w:spacing w:before="120" w:after="0"/>
        <w:ind w:left="1418" w:firstLine="271"/>
        <w:rPr>
          <w:rFonts w:ascii="Book Antiqua" w:hAnsi="Book Antiqua" w:cs="Arial"/>
          <w:sz w:val="22"/>
          <w:szCs w:val="22"/>
          <w:lang w:val="en"/>
        </w:rPr>
      </w:pPr>
      <w:r w:rsidRPr="004C51B7">
        <w:rPr>
          <w:rStyle w:val="legamendingtext"/>
          <w:rFonts w:ascii="Book Antiqua" w:hAnsi="Book Antiqua" w:cs="Arial"/>
          <w:sz w:val="22"/>
          <w:szCs w:val="22"/>
          <w:lang w:val="en"/>
        </w:rPr>
        <w:t>(a)</w:t>
      </w:r>
      <w:r w:rsidR="008927B1">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are less of a burden on taxpayers, and</w:t>
      </w:r>
    </w:p>
    <w:p w14:paraId="32C864BB" w14:textId="6C18E908" w:rsidR="000858D5" w:rsidRPr="004C51B7" w:rsidRDefault="000858D5" w:rsidP="008927B1">
      <w:pPr>
        <w:pStyle w:val="legclearfix2"/>
        <w:spacing w:before="120" w:after="0"/>
        <w:ind w:left="1418" w:firstLine="271"/>
        <w:rPr>
          <w:rFonts w:ascii="Book Antiqua" w:hAnsi="Book Antiqua" w:cs="Arial"/>
          <w:sz w:val="22"/>
          <w:szCs w:val="22"/>
          <w:lang w:val="en"/>
        </w:rPr>
      </w:pPr>
      <w:r w:rsidRPr="004C51B7">
        <w:rPr>
          <w:rStyle w:val="legamendingtext"/>
          <w:rFonts w:ascii="Book Antiqua" w:hAnsi="Book Antiqua" w:cs="Arial"/>
          <w:sz w:val="22"/>
          <w:szCs w:val="22"/>
          <w:lang w:val="en"/>
        </w:rPr>
        <w:t>(b)</w:t>
      </w:r>
      <w:r w:rsidR="008927B1">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are better able to integrate into society.</w:t>
      </w:r>
    </w:p>
    <w:p w14:paraId="4CCD16ED"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lastRenderedPageBreak/>
        <w:t>(3)</w:t>
      </w:r>
      <w:r>
        <w:rPr>
          <w:rStyle w:val="legamendingtext"/>
          <w:rFonts w:ascii="Book Antiqua" w:hAnsi="Book Antiqua" w:cs="Arial"/>
          <w:sz w:val="22"/>
          <w:szCs w:val="22"/>
          <w:lang w:val="en"/>
        </w:rPr>
        <w:t xml:space="preserve"> </w:t>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It is in the public interest, and in particular in the interests of the economic well-being of the United Kingdom, that persons who seek to enter or remain in the United Kingdom are financially independent, because such persons—</w:t>
      </w:r>
    </w:p>
    <w:p w14:paraId="72F55664" w14:textId="77777777" w:rsidR="000858D5" w:rsidRPr="004C51B7" w:rsidRDefault="000858D5" w:rsidP="008927B1">
      <w:pPr>
        <w:pStyle w:val="legclearfix2"/>
        <w:spacing w:before="120" w:after="0"/>
        <w:ind w:left="1418" w:firstLine="271"/>
        <w:rPr>
          <w:rFonts w:ascii="Book Antiqua" w:hAnsi="Book Antiqua" w:cs="Arial"/>
          <w:sz w:val="22"/>
          <w:szCs w:val="22"/>
          <w:lang w:val="en"/>
        </w:rPr>
      </w:pP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are not a burden on taxpayers, and</w:t>
      </w:r>
    </w:p>
    <w:p w14:paraId="4900216E" w14:textId="77777777" w:rsidR="000858D5" w:rsidRPr="004C51B7" w:rsidRDefault="000858D5" w:rsidP="008927B1">
      <w:pPr>
        <w:pStyle w:val="legclearfix2"/>
        <w:spacing w:before="120" w:after="0"/>
        <w:ind w:left="1418" w:firstLine="271"/>
        <w:rPr>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are better able to integrate into society.</w:t>
      </w:r>
    </w:p>
    <w:p w14:paraId="250F5067" w14:textId="77777777" w:rsidR="000858D5" w:rsidRPr="004C51B7" w:rsidRDefault="000858D5" w:rsidP="008927B1">
      <w:pPr>
        <w:pStyle w:val="legclearfix2"/>
        <w:spacing w:before="120" w:after="0"/>
        <w:ind w:left="567" w:firstLine="567"/>
        <w:rPr>
          <w:rFonts w:ascii="Book Antiqua" w:hAnsi="Book Antiqua" w:cs="Arial"/>
          <w:sz w:val="22"/>
          <w:szCs w:val="22"/>
          <w:lang w:val="en"/>
        </w:rPr>
      </w:pPr>
      <w:r w:rsidRPr="004C51B7">
        <w:rPr>
          <w:rStyle w:val="legamendingtext"/>
          <w:rFonts w:ascii="Book Antiqua" w:hAnsi="Book Antiqua" w:cs="Arial"/>
          <w:sz w:val="22"/>
          <w:szCs w:val="22"/>
          <w:lang w:val="en"/>
        </w:rPr>
        <w:t>(4)</w:t>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Little weight should be given to—</w:t>
      </w:r>
    </w:p>
    <w:p w14:paraId="578C5848" w14:textId="77777777" w:rsidR="000858D5" w:rsidRPr="004C51B7" w:rsidRDefault="000858D5" w:rsidP="008927B1">
      <w:pPr>
        <w:pStyle w:val="legclearfix2"/>
        <w:spacing w:before="120" w:after="0"/>
        <w:ind w:left="1418" w:firstLine="283"/>
        <w:rPr>
          <w:rFonts w:ascii="Book Antiqua" w:hAnsi="Book Antiqua" w:cs="Arial"/>
          <w:sz w:val="22"/>
          <w:szCs w:val="22"/>
          <w:lang w:val="en"/>
        </w:rPr>
      </w:pP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 private life, or</w:t>
      </w:r>
    </w:p>
    <w:p w14:paraId="3E23AC54" w14:textId="77777777" w:rsidR="000858D5" w:rsidRPr="004C51B7" w:rsidRDefault="000858D5" w:rsidP="008927B1">
      <w:pPr>
        <w:pStyle w:val="legclearfix2"/>
        <w:spacing w:before="120" w:after="0"/>
        <w:ind w:left="1418" w:firstLine="283"/>
        <w:rPr>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a relationship formed with a qualifying partner,</w:t>
      </w:r>
    </w:p>
    <w:p w14:paraId="7996FB1D" w14:textId="77777777" w:rsidR="000858D5" w:rsidRPr="004C51B7" w:rsidRDefault="000858D5" w:rsidP="008927B1">
      <w:pPr>
        <w:pStyle w:val="legrhs1"/>
        <w:spacing w:before="120" w:after="0"/>
        <w:ind w:left="1701"/>
        <w:rPr>
          <w:rFonts w:ascii="Book Antiqua" w:hAnsi="Book Antiqua" w:cs="Arial"/>
          <w:sz w:val="22"/>
          <w:szCs w:val="22"/>
          <w:lang w:val="en"/>
        </w:rPr>
      </w:pPr>
      <w:r w:rsidRPr="004C51B7">
        <w:rPr>
          <w:rStyle w:val="legamendingtext"/>
          <w:rFonts w:ascii="Book Antiqua" w:hAnsi="Book Antiqua" w:cs="Arial"/>
          <w:sz w:val="22"/>
          <w:szCs w:val="22"/>
          <w:lang w:val="en"/>
        </w:rPr>
        <w:t>that is established by a person at a time when the person is in the United Kingdom unlawfully.</w:t>
      </w:r>
      <w:r w:rsidRPr="004C51B7">
        <w:rPr>
          <w:rFonts w:ascii="Book Antiqua" w:hAnsi="Book Antiqua" w:cs="Arial"/>
          <w:sz w:val="22"/>
          <w:szCs w:val="22"/>
          <w:lang w:val="en"/>
        </w:rPr>
        <w:t xml:space="preserve"> </w:t>
      </w:r>
    </w:p>
    <w:p w14:paraId="302C7741"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(5)</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Little weight should be given to a private life established by a person at a time when the person’s immigration status is precarious.</w:t>
      </w:r>
    </w:p>
    <w:p w14:paraId="34E7CBDC"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(6)</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In the case of a person who is not liable to deportation, the public interest does not require the person’s removal where—</w:t>
      </w:r>
    </w:p>
    <w:p w14:paraId="3B848932" w14:textId="77777777" w:rsidR="000858D5" w:rsidRPr="004C51B7" w:rsidRDefault="000858D5" w:rsidP="008927B1">
      <w:pPr>
        <w:pStyle w:val="legclearfix2"/>
        <w:spacing w:before="120" w:after="0"/>
        <w:ind w:left="1689"/>
        <w:rPr>
          <w:rFonts w:ascii="Book Antiqua" w:hAnsi="Book Antiqua" w:cs="Arial"/>
          <w:sz w:val="22"/>
          <w:szCs w:val="22"/>
          <w:lang w:val="en"/>
        </w:rPr>
      </w:pP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the person has a genuine and subsisting parental relationship with a qualifying child, and</w:t>
      </w:r>
    </w:p>
    <w:p w14:paraId="66900792" w14:textId="77777777" w:rsidR="000858D5" w:rsidRDefault="000858D5" w:rsidP="008927B1">
      <w:pPr>
        <w:pStyle w:val="legclearfix2"/>
        <w:spacing w:before="120" w:after="0"/>
        <w:ind w:left="1418" w:firstLine="271"/>
        <w:rPr>
          <w:rStyle w:val="legamendingtext"/>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it would not be reasonable to expect the child to leave the United Kingdom.</w:t>
      </w:r>
    </w:p>
    <w:p w14:paraId="3879C2EE" w14:textId="77777777" w:rsidR="000858D5" w:rsidRPr="000C6166" w:rsidRDefault="000858D5" w:rsidP="008927B1">
      <w:pPr>
        <w:shd w:val="clear" w:color="auto" w:fill="FFFFFF"/>
        <w:spacing w:before="120" w:line="288" w:lineRule="atLeast"/>
        <w:ind w:left="1418" w:hanging="851"/>
        <w:outlineLvl w:val="5"/>
        <w:rPr>
          <w:rFonts w:ascii="Book Antiqua" w:hAnsi="Book Antiqua" w:cs="Arial"/>
          <w:b/>
          <w:color w:val="000000"/>
          <w:sz w:val="22"/>
          <w:szCs w:val="22"/>
          <w:lang w:val="en"/>
        </w:rPr>
      </w:pPr>
      <w:r w:rsidRPr="000C6166">
        <w:rPr>
          <w:rStyle w:val="legamendingtext"/>
          <w:rFonts w:ascii="Book Antiqua" w:hAnsi="Book Antiqua" w:cs="Arial"/>
          <w:b/>
          <w:color w:val="000000"/>
          <w:sz w:val="22"/>
          <w:szCs w:val="22"/>
          <w:lang w:val="en"/>
        </w:rPr>
        <w:t>117C</w:t>
      </w:r>
      <w:r>
        <w:rPr>
          <w:rStyle w:val="legamendingtext"/>
          <w:rFonts w:ascii="Book Antiqua" w:hAnsi="Book Antiqua" w:cs="Arial"/>
          <w:b/>
          <w:color w:val="000000"/>
          <w:sz w:val="22"/>
          <w:szCs w:val="22"/>
          <w:lang w:val="en"/>
        </w:rPr>
        <w:tab/>
      </w:r>
      <w:r w:rsidRPr="000C6166">
        <w:rPr>
          <w:rStyle w:val="legamendingtext"/>
          <w:rFonts w:ascii="Book Antiqua" w:hAnsi="Book Antiqua" w:cs="Arial"/>
          <w:b/>
          <w:color w:val="000000"/>
          <w:sz w:val="22"/>
          <w:szCs w:val="22"/>
          <w:lang w:val="en"/>
        </w:rPr>
        <w:t>Article 8: additional considerations in cases involving foreign criminals</w:t>
      </w:r>
    </w:p>
    <w:p w14:paraId="3237FAA1" w14:textId="77777777" w:rsidR="000858D5" w:rsidRPr="004C51B7" w:rsidRDefault="000858D5" w:rsidP="008927B1">
      <w:pPr>
        <w:pStyle w:val="legclearfix2"/>
        <w:spacing w:before="120" w:after="0"/>
        <w:ind w:left="1418" w:hanging="284"/>
        <w:rPr>
          <w:rFonts w:ascii="Book Antiqua" w:hAnsi="Book Antiqua" w:cs="Arial"/>
          <w:sz w:val="22"/>
          <w:szCs w:val="22"/>
          <w:lang w:val="en"/>
        </w:rPr>
      </w:pPr>
      <w:r w:rsidRPr="004C51B7">
        <w:rPr>
          <w:rStyle w:val="legamendingtext"/>
          <w:rFonts w:ascii="Book Antiqua" w:hAnsi="Book Antiqua" w:cs="Arial"/>
          <w:sz w:val="22"/>
          <w:szCs w:val="22"/>
          <w:lang w:val="en"/>
        </w:rPr>
        <w:t>(1)</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The deportation of foreign criminals is in the public interest.</w:t>
      </w:r>
    </w:p>
    <w:p w14:paraId="2896C7FC"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(2)</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The more serious the offence committed by a foreign criminal, the greater is the public interest in deportation of the criminal.</w:t>
      </w:r>
    </w:p>
    <w:p w14:paraId="3B82CBB0"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(3)</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In the case of a foreign criminal (“C”) who has not been sentenced to a period of imprisonment of four years or more, the public interest requires C’s deportation unless Exception 1 or Exception 2 applies.</w:t>
      </w:r>
    </w:p>
    <w:p w14:paraId="23CD012C" w14:textId="77777777" w:rsidR="000858D5" w:rsidRPr="004C51B7" w:rsidRDefault="000858D5" w:rsidP="008927B1">
      <w:pPr>
        <w:pStyle w:val="legclearfix2"/>
        <w:spacing w:before="120" w:after="0"/>
        <w:ind w:left="1418" w:hanging="284"/>
        <w:rPr>
          <w:rFonts w:ascii="Book Antiqua" w:hAnsi="Book Antiqua" w:cs="Arial"/>
          <w:sz w:val="22"/>
          <w:szCs w:val="22"/>
          <w:lang w:val="en"/>
        </w:rPr>
      </w:pPr>
      <w:r w:rsidRPr="004C51B7">
        <w:rPr>
          <w:rStyle w:val="legamendingtext"/>
          <w:rFonts w:ascii="Book Antiqua" w:hAnsi="Book Antiqua" w:cs="Arial"/>
          <w:sz w:val="22"/>
          <w:szCs w:val="22"/>
          <w:lang w:val="en"/>
        </w:rPr>
        <w:t>(4)</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Exception 1 applies where—</w:t>
      </w:r>
    </w:p>
    <w:p w14:paraId="0AB2AD7C" w14:textId="77777777" w:rsidR="000858D5" w:rsidRPr="004C51B7" w:rsidRDefault="000858D5" w:rsidP="008927B1">
      <w:pPr>
        <w:pStyle w:val="legclearfix2"/>
        <w:spacing w:before="120" w:after="0"/>
        <w:ind w:left="1418" w:firstLine="283"/>
        <w:rPr>
          <w:rFonts w:ascii="Book Antiqua" w:hAnsi="Book Antiqua" w:cs="Arial"/>
          <w:sz w:val="22"/>
          <w:szCs w:val="22"/>
          <w:lang w:val="en"/>
        </w:rPr>
      </w:pPr>
      <w:r w:rsidRPr="004C51B7">
        <w:rPr>
          <w:rStyle w:val="legamendingtext"/>
          <w:rFonts w:ascii="Book Antiqua" w:hAnsi="Book Antiqua" w:cs="Arial"/>
          <w:sz w:val="22"/>
          <w:szCs w:val="22"/>
          <w:lang w:val="en"/>
        </w:rPr>
        <w:t>(a)</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C has been lawfully resident in the United Kingdom for most of C’s life,</w:t>
      </w:r>
    </w:p>
    <w:p w14:paraId="03B61FE1" w14:textId="77777777" w:rsidR="000858D5" w:rsidRPr="004C51B7" w:rsidRDefault="000858D5" w:rsidP="008927B1">
      <w:pPr>
        <w:pStyle w:val="legclearfix2"/>
        <w:spacing w:before="120" w:after="0"/>
        <w:ind w:left="1418" w:firstLine="283"/>
        <w:rPr>
          <w:rFonts w:ascii="Book Antiqua" w:hAnsi="Book Antiqua" w:cs="Arial"/>
          <w:sz w:val="22"/>
          <w:szCs w:val="22"/>
          <w:lang w:val="en"/>
        </w:rPr>
      </w:pPr>
      <w:r w:rsidRPr="004C51B7">
        <w:rPr>
          <w:rStyle w:val="legamendingtext"/>
          <w:rFonts w:ascii="Book Antiqua" w:hAnsi="Book Antiqua" w:cs="Arial"/>
          <w:sz w:val="22"/>
          <w:szCs w:val="22"/>
          <w:lang w:val="en"/>
        </w:rPr>
        <w:t>(b)</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C is socially and culturally integrated in the United Kingdom, and</w:t>
      </w:r>
    </w:p>
    <w:p w14:paraId="7CF1A631" w14:textId="77777777" w:rsidR="000858D5" w:rsidRPr="004C51B7" w:rsidRDefault="000858D5" w:rsidP="008927B1">
      <w:pPr>
        <w:pStyle w:val="legclearfix2"/>
        <w:spacing w:before="120" w:after="0"/>
        <w:ind w:left="1701"/>
        <w:rPr>
          <w:rFonts w:ascii="Book Antiqua" w:hAnsi="Book Antiqua" w:cs="Arial"/>
          <w:sz w:val="22"/>
          <w:szCs w:val="22"/>
          <w:lang w:val="en"/>
        </w:rPr>
      </w:pPr>
      <w:r w:rsidRPr="004C51B7">
        <w:rPr>
          <w:rStyle w:val="legamendingtext"/>
          <w:rFonts w:ascii="Book Antiqua" w:hAnsi="Book Antiqua" w:cs="Arial"/>
          <w:sz w:val="22"/>
          <w:szCs w:val="22"/>
          <w:lang w:val="en"/>
        </w:rPr>
        <w:t>(c)</w:t>
      </w:r>
      <w:r>
        <w:rPr>
          <w:rStyle w:val="legamendingtext"/>
          <w:rFonts w:ascii="Book Antiqua" w:hAnsi="Book Antiqua" w:cs="Arial"/>
          <w:sz w:val="22"/>
          <w:szCs w:val="22"/>
          <w:lang w:val="en"/>
        </w:rPr>
        <w:t xml:space="preserve"> </w:t>
      </w:r>
      <w:r w:rsidRPr="004C51B7">
        <w:rPr>
          <w:rStyle w:val="legamendingtext"/>
          <w:rFonts w:ascii="Book Antiqua" w:hAnsi="Book Antiqua" w:cs="Arial"/>
          <w:sz w:val="22"/>
          <w:szCs w:val="22"/>
          <w:lang w:val="en"/>
        </w:rPr>
        <w:t>there would be very significant obstacles to C’s integration into the country to which C is proposed to be deported.</w:t>
      </w:r>
    </w:p>
    <w:p w14:paraId="5D81B37D"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(5)</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 xml:space="preserve">Exception 2 applies where C has a genuine and subsisting relationship with a qualifying partner, or a genuine and subsisting parental relationship with a </w:t>
      </w:r>
      <w:r w:rsidRPr="004C51B7">
        <w:rPr>
          <w:rStyle w:val="legamendingtext"/>
          <w:rFonts w:ascii="Book Antiqua" w:hAnsi="Book Antiqua" w:cs="Arial"/>
          <w:sz w:val="22"/>
          <w:szCs w:val="22"/>
          <w:lang w:val="en"/>
        </w:rPr>
        <w:lastRenderedPageBreak/>
        <w:t>qualifying child, and the effect of C’s deportation on the partner or child would be unduly harsh.</w:t>
      </w:r>
    </w:p>
    <w:p w14:paraId="53CFAED5" w14:textId="77777777" w:rsidR="000858D5" w:rsidRPr="004C51B7"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(6)</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In the case of a foreign criminal who has been sentenced to a period of imprisonment of at least four years, the public interest requires deportation unless there are very compelling circumstances, over and above those described in Exceptions 1 and 2.</w:t>
      </w:r>
    </w:p>
    <w:p w14:paraId="6172F4D9" w14:textId="77777777" w:rsidR="000858D5" w:rsidRPr="000C6166" w:rsidRDefault="000858D5" w:rsidP="008927B1">
      <w:pPr>
        <w:pStyle w:val="legclearfix2"/>
        <w:spacing w:before="120" w:after="0"/>
        <w:ind w:left="1689" w:hanging="555"/>
        <w:rPr>
          <w:rFonts w:ascii="Book Antiqua" w:hAnsi="Book Antiqua" w:cs="Arial"/>
          <w:sz w:val="22"/>
          <w:szCs w:val="22"/>
          <w:lang w:val="en"/>
        </w:rPr>
      </w:pPr>
      <w:r w:rsidRPr="004C51B7">
        <w:rPr>
          <w:rStyle w:val="legamendingtext"/>
          <w:rFonts w:ascii="Book Antiqua" w:hAnsi="Book Antiqua" w:cs="Arial"/>
          <w:sz w:val="22"/>
          <w:szCs w:val="22"/>
          <w:lang w:val="en"/>
        </w:rPr>
        <w:t>(7)</w:t>
      </w:r>
      <w:r>
        <w:rPr>
          <w:rStyle w:val="legamendingtext"/>
          <w:rFonts w:ascii="Book Antiqua" w:hAnsi="Book Antiqua" w:cs="Arial"/>
          <w:sz w:val="22"/>
          <w:szCs w:val="22"/>
          <w:lang w:val="en"/>
        </w:rPr>
        <w:tab/>
      </w:r>
      <w:r>
        <w:rPr>
          <w:rStyle w:val="legamendingtext"/>
          <w:rFonts w:ascii="Book Antiqua" w:hAnsi="Book Antiqua" w:cs="Arial"/>
          <w:sz w:val="22"/>
          <w:szCs w:val="22"/>
          <w:lang w:val="en"/>
        </w:rPr>
        <w:tab/>
      </w:r>
      <w:r w:rsidRPr="004C51B7">
        <w:rPr>
          <w:rStyle w:val="legamendingtext"/>
          <w:rFonts w:ascii="Book Antiqua" w:hAnsi="Book Antiqua" w:cs="Arial"/>
          <w:sz w:val="22"/>
          <w:szCs w:val="22"/>
          <w:lang w:val="en"/>
        </w:rPr>
        <w:t xml:space="preserve">The considerations in subsections </w:t>
      </w:r>
      <w:hyperlink r:id="rId8" w:anchor="p00130" w:tooltip="Go to 19 Article 8 of the ECHR: public interest considerations Article 8: additional considerations in cases involving foreign criminals (1) in PART 2" w:history="1">
        <w:r w:rsidRPr="004C51B7">
          <w:rPr>
            <w:rStyle w:val="legamendingtext"/>
            <w:rFonts w:ascii="Book Antiqua" w:hAnsi="Book Antiqua" w:cs="Arial"/>
            <w:color w:val="006699"/>
            <w:sz w:val="22"/>
            <w:szCs w:val="22"/>
            <w:lang w:val="en"/>
          </w:rPr>
          <w:t>(1)</w:t>
        </w:r>
      </w:hyperlink>
      <w:r w:rsidRPr="004C51B7">
        <w:rPr>
          <w:rStyle w:val="legamendingtext"/>
          <w:rFonts w:ascii="Book Antiqua" w:hAnsi="Book Antiqua" w:cs="Arial"/>
          <w:sz w:val="22"/>
          <w:szCs w:val="22"/>
          <w:lang w:val="en"/>
        </w:rPr>
        <w:t xml:space="preserve"> to </w:t>
      </w:r>
      <w:hyperlink r:id="rId9" w:anchor="p00131" w:tooltip="Go to 19 Article 8 of the ECHR: public interest considerations Article 8: additional considerations in cases involving foreign criminals (6) in PART 2" w:history="1">
        <w:r w:rsidRPr="004C51B7">
          <w:rPr>
            <w:rStyle w:val="legamendingtext"/>
            <w:rFonts w:ascii="Book Antiqua" w:hAnsi="Book Antiqua" w:cs="Arial"/>
            <w:color w:val="006699"/>
            <w:sz w:val="22"/>
            <w:szCs w:val="22"/>
            <w:lang w:val="en"/>
          </w:rPr>
          <w:t>(6)</w:t>
        </w:r>
      </w:hyperlink>
      <w:r w:rsidRPr="004C51B7">
        <w:rPr>
          <w:rStyle w:val="legamendingtext"/>
          <w:rFonts w:ascii="Book Antiqua" w:hAnsi="Book Antiqua" w:cs="Arial"/>
          <w:sz w:val="22"/>
          <w:szCs w:val="22"/>
          <w:lang w:val="en"/>
        </w:rPr>
        <w:t xml:space="preserve"> are to be taken into account where a court or tribunal is considering a decision to deport a foreign criminal only to the extent that the reason for the decision was the offence or offences for which the criminal has been convicted</w:t>
      </w:r>
      <w:r>
        <w:rPr>
          <w:rStyle w:val="legamendingtext"/>
          <w:rFonts w:ascii="Book Antiqua" w:hAnsi="Book Antiqua" w:cs="Arial"/>
          <w:sz w:val="22"/>
          <w:szCs w:val="22"/>
          <w:lang w:val="en"/>
        </w:rPr>
        <w:t>…”</w:t>
      </w:r>
    </w:p>
    <w:p w14:paraId="12281003" w14:textId="77777777" w:rsidR="00B37E2D" w:rsidRDefault="00DA00E4" w:rsidP="00B37E2D">
      <w:pPr>
        <w:numPr>
          <w:ilvl w:val="0"/>
          <w:numId w:val="1"/>
        </w:numPr>
        <w:tabs>
          <w:tab w:val="clear" w:pos="567"/>
        </w:tabs>
        <w:spacing w:before="240"/>
        <w:jc w:val="both"/>
        <w:rPr>
          <w:rFonts w:ascii="Book Antiqua" w:hAnsi="Book Antiqua" w:cs="Arial"/>
        </w:rPr>
      </w:pPr>
      <w:r>
        <w:rPr>
          <w:rFonts w:ascii="Book Antiqua" w:hAnsi="Book Antiqua" w:cs="Arial"/>
        </w:rPr>
        <w:t>One can see that s.117C is of particular relevance in this appeal.</w:t>
      </w:r>
      <w:r w:rsidR="00B37E2D" w:rsidRPr="00B37E2D">
        <w:rPr>
          <w:rFonts w:ascii="Book Antiqua" w:hAnsi="Book Antiqua" w:cs="Arial"/>
        </w:rPr>
        <w:t xml:space="preserve"> </w:t>
      </w:r>
      <w:r w:rsidR="00B37E2D">
        <w:rPr>
          <w:rFonts w:ascii="Book Antiqua" w:hAnsi="Book Antiqua" w:cs="Arial"/>
        </w:rPr>
        <w:t>S.117D defines</w:t>
      </w:r>
      <w:r w:rsidR="00DD3B8F">
        <w:rPr>
          <w:rFonts w:ascii="Book Antiqua" w:hAnsi="Book Antiqua" w:cs="Arial"/>
        </w:rPr>
        <w:t xml:space="preserve"> the phrase</w:t>
      </w:r>
      <w:r w:rsidR="00B37E2D">
        <w:rPr>
          <w:rFonts w:ascii="Book Antiqua" w:hAnsi="Book Antiqua" w:cs="Arial"/>
        </w:rPr>
        <w:t xml:space="preserve"> “qualifying child”.  It is not disputed but that J, KD, KS and M are such qualifying children (for these purposes, being under the age of 18 years and British Citizens). The 2002 Act in this respect is in harmony with the Rules (paragraph 399(a))</w:t>
      </w:r>
      <w:r w:rsidR="002C430A">
        <w:rPr>
          <w:rFonts w:ascii="Book Antiqua" w:hAnsi="Book Antiqua" w:cs="Arial"/>
        </w:rPr>
        <w:t xml:space="preserve"> and it was only paragraph 399(a) (under the Rules) that was relied on </w:t>
      </w:r>
      <w:proofErr w:type="spellStart"/>
      <w:r w:rsidR="002C430A">
        <w:rPr>
          <w:rFonts w:ascii="Book Antiqua" w:hAnsi="Book Antiqua" w:cs="Arial"/>
        </w:rPr>
        <w:t>on</w:t>
      </w:r>
      <w:proofErr w:type="spellEnd"/>
      <w:r w:rsidR="002C430A">
        <w:rPr>
          <w:rFonts w:ascii="Book Antiqua" w:hAnsi="Book Antiqua" w:cs="Arial"/>
        </w:rPr>
        <w:t xml:space="preserve"> behalf of the appellant.</w:t>
      </w:r>
    </w:p>
    <w:p w14:paraId="25FAFB23" w14:textId="77777777" w:rsidR="00DA00E4" w:rsidRDefault="00DD3B8F" w:rsidP="000858D5">
      <w:pPr>
        <w:numPr>
          <w:ilvl w:val="0"/>
          <w:numId w:val="1"/>
        </w:numPr>
        <w:tabs>
          <w:tab w:val="clear" w:pos="567"/>
        </w:tabs>
        <w:spacing w:before="240"/>
        <w:jc w:val="both"/>
        <w:rPr>
          <w:rFonts w:ascii="Book Antiqua" w:hAnsi="Book Antiqua" w:cs="Arial"/>
        </w:rPr>
      </w:pPr>
      <w:r>
        <w:rPr>
          <w:rFonts w:ascii="Book Antiqua" w:hAnsi="Book Antiqua" w:cs="Arial"/>
        </w:rPr>
        <w:t>W</w:t>
      </w:r>
      <w:r w:rsidR="00B37E2D">
        <w:rPr>
          <w:rFonts w:ascii="Book Antiqua" w:hAnsi="Book Antiqua" w:cs="Arial"/>
        </w:rPr>
        <w:t>e do not understand the respondent’s case to be that the appellant does not have a “genuine and subsisting parental relationship” with those children, and the evidence in any event leads us to conclude that he does have such relationship</w:t>
      </w:r>
      <w:r w:rsidR="002C430A">
        <w:rPr>
          <w:rFonts w:ascii="Book Antiqua" w:hAnsi="Book Antiqua" w:cs="Arial"/>
        </w:rPr>
        <w:t>s</w:t>
      </w:r>
      <w:r w:rsidR="00B37E2D">
        <w:rPr>
          <w:rFonts w:ascii="Book Antiqua" w:hAnsi="Book Antiqua" w:cs="Arial"/>
        </w:rPr>
        <w:t>.</w:t>
      </w:r>
    </w:p>
    <w:p w14:paraId="28814276" w14:textId="77777777" w:rsidR="00FF73B4" w:rsidRDefault="00051B2F" w:rsidP="000858D5">
      <w:pPr>
        <w:numPr>
          <w:ilvl w:val="0"/>
          <w:numId w:val="1"/>
        </w:numPr>
        <w:tabs>
          <w:tab w:val="clear" w:pos="567"/>
        </w:tabs>
        <w:spacing w:before="240"/>
        <w:jc w:val="both"/>
        <w:rPr>
          <w:rFonts w:ascii="Book Antiqua" w:hAnsi="Book Antiqua" w:cs="Arial"/>
        </w:rPr>
      </w:pPr>
      <w:r>
        <w:rPr>
          <w:rFonts w:ascii="Book Antiqua" w:hAnsi="Book Antiqua" w:cs="Arial"/>
        </w:rPr>
        <w:t xml:space="preserve">As is apparent from our summary of the parties’ submissions, it is </w:t>
      </w:r>
      <w:r w:rsidR="00225AC0">
        <w:rPr>
          <w:rFonts w:ascii="Book Antiqua" w:hAnsi="Book Antiqua" w:cs="Arial"/>
        </w:rPr>
        <w:t xml:space="preserve">similarly </w:t>
      </w:r>
      <w:r>
        <w:rPr>
          <w:rFonts w:ascii="Book Antiqua" w:hAnsi="Book Antiqua" w:cs="Arial"/>
        </w:rPr>
        <w:t xml:space="preserve">not contended on behalf of the respondent that </w:t>
      </w:r>
      <w:r w:rsidR="00B37E2D">
        <w:rPr>
          <w:rFonts w:ascii="Book Antiqua" w:hAnsi="Book Antiqua" w:cs="Arial"/>
        </w:rPr>
        <w:t xml:space="preserve">the appeal should be dismissed on the basis that the appellant’s wife and the minor children should be required to leave the UK and live in Trinidad with him. </w:t>
      </w:r>
    </w:p>
    <w:p w14:paraId="01DF6D0E" w14:textId="77777777" w:rsidR="00225AC0" w:rsidRDefault="00225AC0" w:rsidP="00DD3B8F">
      <w:pPr>
        <w:numPr>
          <w:ilvl w:val="0"/>
          <w:numId w:val="1"/>
        </w:numPr>
        <w:tabs>
          <w:tab w:val="clear" w:pos="567"/>
        </w:tabs>
        <w:spacing w:before="240"/>
        <w:jc w:val="both"/>
        <w:rPr>
          <w:rFonts w:ascii="Book Antiqua" w:hAnsi="Book Antiqua" w:cs="Arial"/>
        </w:rPr>
      </w:pPr>
      <w:r>
        <w:rPr>
          <w:rFonts w:ascii="Book Antiqua" w:hAnsi="Book Antiqua" w:cs="Arial"/>
        </w:rPr>
        <w:t xml:space="preserve">We must decide whether the appellant’s deportation would be unduly harsh within the scheme of the Rules and if not, whether there </w:t>
      </w:r>
      <w:r w:rsidRPr="00225AC0">
        <w:rPr>
          <w:rFonts w:ascii="Book Antiqua" w:hAnsi="Book Antiqua" w:cs="Arial"/>
          <w:lang w:val="en"/>
        </w:rPr>
        <w:t>very compelling circumstances over and above those described</w:t>
      </w:r>
      <w:r>
        <w:rPr>
          <w:rFonts w:ascii="Book Antiqua" w:hAnsi="Book Antiqua" w:cs="Arial"/>
          <w:lang w:val="en"/>
        </w:rPr>
        <w:t xml:space="preserve"> in the Rules such as to outweigh the </w:t>
      </w:r>
      <w:r w:rsidRPr="00225AC0">
        <w:rPr>
          <w:rFonts w:ascii="Book Antiqua" w:hAnsi="Book Antiqua" w:cs="Arial"/>
          <w:lang w:val="en"/>
        </w:rPr>
        <w:t>public interest in deportation</w:t>
      </w:r>
      <w:r>
        <w:rPr>
          <w:rFonts w:ascii="Book Antiqua" w:hAnsi="Book Antiqua" w:cs="Arial"/>
          <w:lang w:val="en"/>
        </w:rPr>
        <w:t>.</w:t>
      </w:r>
    </w:p>
    <w:p w14:paraId="736770CC" w14:textId="77777777" w:rsidR="00225AC0" w:rsidRPr="00225AC0" w:rsidRDefault="00B37E2D" w:rsidP="00225AC0">
      <w:pPr>
        <w:numPr>
          <w:ilvl w:val="0"/>
          <w:numId w:val="1"/>
        </w:numPr>
        <w:tabs>
          <w:tab w:val="clear" w:pos="567"/>
        </w:tabs>
        <w:spacing w:before="240"/>
        <w:jc w:val="both"/>
        <w:rPr>
          <w:rFonts w:ascii="Book Antiqua" w:hAnsi="Book Antiqua" w:cs="Arial"/>
        </w:rPr>
      </w:pPr>
      <w:r>
        <w:rPr>
          <w:rFonts w:ascii="Book Antiqua" w:hAnsi="Book Antiqua" w:cs="Arial"/>
        </w:rPr>
        <w:t>In her submissions, if we understood her correctly,</w:t>
      </w:r>
      <w:r w:rsidR="00DD3B8F">
        <w:rPr>
          <w:rFonts w:ascii="Book Antiqua" w:hAnsi="Book Antiqua" w:cs="Arial"/>
        </w:rPr>
        <w:t xml:space="preserve"> Ms Holmes</w:t>
      </w:r>
      <w:r>
        <w:rPr>
          <w:rFonts w:ascii="Book Antiqua" w:hAnsi="Book Antiqua" w:cs="Arial"/>
        </w:rPr>
        <w:t xml:space="preserve"> seemed to suggest that because SG said that she would not go to Trinidad with the appellant</w:t>
      </w:r>
      <w:r w:rsidR="00DD3B8F">
        <w:rPr>
          <w:rFonts w:ascii="Book Antiqua" w:hAnsi="Book Antiqua" w:cs="Arial"/>
        </w:rPr>
        <w:t>,</w:t>
      </w:r>
      <w:r w:rsidR="00FF73B4">
        <w:rPr>
          <w:rFonts w:ascii="Book Antiqua" w:hAnsi="Book Antiqua" w:cs="Arial"/>
        </w:rPr>
        <w:t xml:space="preserve"> that was the basis upon which she accepted that </w:t>
      </w:r>
      <w:r w:rsidR="00DD3B8F">
        <w:rPr>
          <w:rFonts w:ascii="Book Antiqua" w:hAnsi="Book Antiqua" w:cs="Arial"/>
        </w:rPr>
        <w:t xml:space="preserve">it would be unduly harsh to expect </w:t>
      </w:r>
      <w:r w:rsidR="00FF73B4">
        <w:rPr>
          <w:rFonts w:ascii="Book Antiqua" w:hAnsi="Book Antiqua" w:cs="Arial"/>
        </w:rPr>
        <w:t xml:space="preserve">the family </w:t>
      </w:r>
      <w:r w:rsidR="00DD3B8F">
        <w:rPr>
          <w:rFonts w:ascii="Book Antiqua" w:hAnsi="Book Antiqua" w:cs="Arial"/>
        </w:rPr>
        <w:t>to go there with him</w:t>
      </w:r>
      <w:r w:rsidR="00FF73B4">
        <w:rPr>
          <w:rFonts w:ascii="Book Antiqua" w:hAnsi="Book Antiqua" w:cs="Arial"/>
        </w:rPr>
        <w:t xml:space="preserve">. We doubt very much that this could amount to a reason for concluding that it would be unduly harsh for a partner and children to return to the country of deportation with an appellant. However, we do not need to explore the matter any further in that context because quite apart from the respondent’s position on that aspect of undue harshness, there is the important fact that M is not the appellant’s son and the unchallenged evidence is that his father would not allow him to go to Trinidad. That would mean that he would be separated from his mother, SG, and from his step-siblings if they left the UK and he remained. That is not the only consideration in relation to this family in this context, but it is enough. </w:t>
      </w:r>
      <w:r w:rsidR="00225AC0" w:rsidRPr="00225AC0">
        <w:rPr>
          <w:rFonts w:ascii="Book Antiqua" w:hAnsi="Book Antiqua" w:cs="Arial"/>
        </w:rPr>
        <w:t xml:space="preserve"> </w:t>
      </w:r>
    </w:p>
    <w:p w14:paraId="625F4396" w14:textId="77777777" w:rsidR="000858D5" w:rsidRPr="00225AC0" w:rsidRDefault="000858D5" w:rsidP="00225AC0">
      <w:pPr>
        <w:numPr>
          <w:ilvl w:val="0"/>
          <w:numId w:val="1"/>
        </w:numPr>
        <w:tabs>
          <w:tab w:val="clear" w:pos="567"/>
        </w:tabs>
        <w:spacing w:before="240"/>
        <w:jc w:val="both"/>
        <w:rPr>
          <w:rFonts w:ascii="Book Antiqua" w:hAnsi="Book Antiqua" w:cs="Arial"/>
        </w:rPr>
      </w:pPr>
      <w:r w:rsidRPr="00225AC0">
        <w:rPr>
          <w:rFonts w:ascii="Book Antiqua" w:hAnsi="Book Antiqua" w:cs="Arial"/>
        </w:rPr>
        <w:lastRenderedPageBreak/>
        <w:t xml:space="preserve">In </w:t>
      </w:r>
      <w:r w:rsidRPr="00225AC0">
        <w:rPr>
          <w:rFonts w:ascii="Book Antiqua" w:hAnsi="Book Antiqua" w:cs="Arial"/>
          <w:i/>
        </w:rPr>
        <w:t>MM (Uganda)</w:t>
      </w:r>
      <w:r w:rsidR="00225AC0">
        <w:rPr>
          <w:rFonts w:ascii="Book Antiqua" w:hAnsi="Book Antiqua" w:cs="Arial"/>
          <w:i/>
        </w:rPr>
        <w:t xml:space="preserve"> </w:t>
      </w:r>
      <w:r w:rsidR="00225AC0">
        <w:rPr>
          <w:rFonts w:ascii="Book Antiqua" w:hAnsi="Book Antiqua" w:cs="Arial"/>
        </w:rPr>
        <w:t xml:space="preserve">in relation to the </w:t>
      </w:r>
      <w:r w:rsidR="00225AC0" w:rsidRPr="00225AC0">
        <w:rPr>
          <w:rFonts w:ascii="Book Antiqua" w:hAnsi="Book Antiqua" w:cs="Arial"/>
        </w:rPr>
        <w:t>expression “unduly harsh</w:t>
      </w:r>
      <w:r w:rsidR="00225AC0">
        <w:rPr>
          <w:rFonts w:ascii="Book Antiqua" w:hAnsi="Book Antiqua" w:cs="Arial"/>
        </w:rPr>
        <w:t>, at</w:t>
      </w:r>
      <w:r w:rsidRPr="00225AC0">
        <w:rPr>
          <w:rFonts w:ascii="Book Antiqua" w:hAnsi="Book Antiqua" w:cs="Arial"/>
        </w:rPr>
        <w:t xml:space="preserve"> [26] the court </w:t>
      </w:r>
      <w:r w:rsidR="00225AC0">
        <w:rPr>
          <w:rFonts w:ascii="Book Antiqua" w:hAnsi="Book Antiqua" w:cs="Arial"/>
        </w:rPr>
        <w:t>said</w:t>
      </w:r>
      <w:r w:rsidRPr="00225AC0">
        <w:rPr>
          <w:rFonts w:ascii="Book Antiqua" w:hAnsi="Book Antiqua" w:cs="Arial"/>
        </w:rPr>
        <w:t xml:space="preserve"> that:</w:t>
      </w:r>
    </w:p>
    <w:p w14:paraId="7BB0BD9C" w14:textId="77777777" w:rsidR="00225AC0" w:rsidRDefault="000858D5" w:rsidP="008927B1">
      <w:pPr>
        <w:spacing w:before="120"/>
        <w:ind w:left="1134"/>
        <w:jc w:val="both"/>
        <w:rPr>
          <w:rFonts w:ascii="Book Antiqua" w:hAnsi="Book Antiqua" w:cs="Arial"/>
        </w:rPr>
      </w:pPr>
      <w:r>
        <w:rPr>
          <w:rFonts w:ascii="Book Antiqua" w:hAnsi="Book Antiqua" w:cs="Arial"/>
        </w:rPr>
        <w:t>“</w:t>
      </w:r>
      <w:r w:rsidRPr="001D07CD">
        <w:rPr>
          <w:rFonts w:ascii="Book Antiqua" w:hAnsi="Book Antiqua" w:cs="Arial"/>
          <w:sz w:val="22"/>
          <w:szCs w:val="22"/>
        </w:rPr>
        <w:t>The expression ‘unduly harsh’ in section 117C(5) and Rule 399(a) and (b) requires regard to be had to all the circumstances including the criminal’s immigration and criminal history</w:t>
      </w:r>
      <w:r>
        <w:rPr>
          <w:rFonts w:ascii="Book Antiqua" w:hAnsi="Book Antiqua" w:cs="Arial"/>
        </w:rPr>
        <w:t>.”</w:t>
      </w:r>
      <w:r w:rsidR="00A63C6E">
        <w:rPr>
          <w:rFonts w:ascii="Book Antiqua" w:hAnsi="Book Antiqua" w:cs="Arial"/>
        </w:rPr>
        <w:t xml:space="preserve"> </w:t>
      </w:r>
    </w:p>
    <w:p w14:paraId="46670DFF" w14:textId="77777777" w:rsidR="00225AC0" w:rsidRDefault="00225AC0" w:rsidP="00225AC0">
      <w:pPr>
        <w:numPr>
          <w:ilvl w:val="0"/>
          <w:numId w:val="1"/>
        </w:numPr>
        <w:tabs>
          <w:tab w:val="clear" w:pos="567"/>
        </w:tabs>
        <w:spacing w:before="240"/>
        <w:jc w:val="both"/>
        <w:rPr>
          <w:rFonts w:ascii="Book Antiqua" w:hAnsi="Book Antiqua" w:cs="Arial"/>
        </w:rPr>
      </w:pPr>
      <w:r>
        <w:rPr>
          <w:rFonts w:ascii="Book Antiqua" w:hAnsi="Book Antiqua" w:cs="Arial"/>
        </w:rPr>
        <w:t xml:space="preserve">In his skeleton argument Mr Lay argues that </w:t>
      </w:r>
      <w:r>
        <w:rPr>
          <w:rFonts w:ascii="Book Antiqua" w:hAnsi="Book Antiqua" w:cs="Arial"/>
          <w:i/>
        </w:rPr>
        <w:t xml:space="preserve">MM (Uganda) </w:t>
      </w:r>
      <w:r>
        <w:rPr>
          <w:rFonts w:ascii="Book Antiqua" w:hAnsi="Book Antiqua" w:cs="Arial"/>
        </w:rPr>
        <w:t xml:space="preserve">was wrongly decided it its assessment of the approach to be taken to the question of undue harshness. As in the skeleton argument, we were informed that the Supreme Court has granted permission to appeal on that point. However, as we also indicated, </w:t>
      </w:r>
      <w:r>
        <w:rPr>
          <w:rFonts w:ascii="Book Antiqua" w:hAnsi="Book Antiqua" w:cs="Arial"/>
          <w:i/>
        </w:rPr>
        <w:t>MM (Uganda)</w:t>
      </w:r>
      <w:r>
        <w:rPr>
          <w:rFonts w:ascii="Book Antiqua" w:hAnsi="Book Antiqua" w:cs="Arial"/>
        </w:rPr>
        <w:t xml:space="preserve"> is binding authority regardless of the fact that the case is to be considered on appeal to the Supreme Court. </w:t>
      </w:r>
    </w:p>
    <w:p w14:paraId="7A90C115" w14:textId="77777777" w:rsidR="00C455D1" w:rsidRDefault="00225AC0" w:rsidP="00CC2D43">
      <w:pPr>
        <w:numPr>
          <w:ilvl w:val="0"/>
          <w:numId w:val="1"/>
        </w:numPr>
        <w:tabs>
          <w:tab w:val="clear" w:pos="567"/>
        </w:tabs>
        <w:spacing w:before="240"/>
        <w:jc w:val="both"/>
        <w:rPr>
          <w:rFonts w:ascii="Book Antiqua" w:hAnsi="Book Antiqua" w:cs="Arial"/>
        </w:rPr>
      </w:pPr>
      <w:r>
        <w:rPr>
          <w:rFonts w:ascii="Book Antiqua" w:hAnsi="Book Antiqua" w:cs="Arial"/>
        </w:rPr>
        <w:t>The offence of which the appellant was convicted was a serious offence of robbery, as the sentence he received indicates.</w:t>
      </w:r>
      <w:r w:rsidR="005A520C">
        <w:rPr>
          <w:rFonts w:ascii="Book Antiqua" w:hAnsi="Book Antiqua" w:cs="Arial"/>
        </w:rPr>
        <w:t xml:space="preserve"> He was aged 27 when he was sentenced and almost 27 when the offence was committed.</w:t>
      </w:r>
      <w:r>
        <w:rPr>
          <w:rFonts w:ascii="Book Antiqua" w:hAnsi="Book Antiqua" w:cs="Arial"/>
        </w:rPr>
        <w:t xml:space="preserve"> To summarise the sentencing remarks, the offence involved the appellant and others in a group</w:t>
      </w:r>
      <w:r w:rsidR="006929D1">
        <w:rPr>
          <w:rFonts w:ascii="Book Antiqua" w:hAnsi="Book Antiqua" w:cs="Arial"/>
        </w:rPr>
        <w:t xml:space="preserve"> </w:t>
      </w:r>
      <w:r w:rsidR="00C455D1">
        <w:rPr>
          <w:rFonts w:ascii="Book Antiqua" w:hAnsi="Book Antiqua" w:cs="Arial"/>
        </w:rPr>
        <w:t>who “targeted” a single, lone male on his way home in a darkened area. He was “attacked and hit, punched and robbed in a very nasty and unpleasant way by the group”. Others in the group then ran off but the appellant “hung around” the area and was arrested with the passports and</w:t>
      </w:r>
      <w:r w:rsidR="002C430A">
        <w:rPr>
          <w:rFonts w:ascii="Book Antiqua" w:hAnsi="Book Antiqua" w:cs="Arial"/>
        </w:rPr>
        <w:t xml:space="preserve"> other</w:t>
      </w:r>
      <w:r w:rsidR="00C455D1">
        <w:rPr>
          <w:rFonts w:ascii="Book Antiqua" w:hAnsi="Book Antiqua" w:cs="Arial"/>
        </w:rPr>
        <w:t xml:space="preserve"> property in his possession. The appellant pleaded not guilty but was convicted by the jury. </w:t>
      </w:r>
    </w:p>
    <w:p w14:paraId="1E4C2D7B" w14:textId="77777777" w:rsidR="00C455D1" w:rsidRDefault="00C455D1" w:rsidP="00CC2D43">
      <w:pPr>
        <w:numPr>
          <w:ilvl w:val="0"/>
          <w:numId w:val="1"/>
        </w:numPr>
        <w:tabs>
          <w:tab w:val="clear" w:pos="567"/>
        </w:tabs>
        <w:spacing w:before="240"/>
        <w:jc w:val="both"/>
        <w:rPr>
          <w:rFonts w:ascii="Book Antiqua" w:hAnsi="Book Antiqua" w:cs="Arial"/>
        </w:rPr>
      </w:pPr>
      <w:r>
        <w:rPr>
          <w:rFonts w:ascii="Book Antiqua" w:hAnsi="Book Antiqua" w:cs="Arial"/>
        </w:rPr>
        <w:t>The sentencing judge said that the aggravating features of the case were that it was a group attack, the injuries to the victim which, although not grave, were certainly unpleasant. In addition, it was considered that the appellant would have hung on to the stolen property that he had in his possession, being of some value, i.e. passports.</w:t>
      </w:r>
    </w:p>
    <w:p w14:paraId="6B797C0E" w14:textId="77777777" w:rsidR="00890BFB" w:rsidRDefault="00E81F66" w:rsidP="00CC2D43">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the risk of reoffending, it is important to note that the offence was committed </w:t>
      </w:r>
      <w:r w:rsidR="005A520C">
        <w:rPr>
          <w:rFonts w:ascii="Book Antiqua" w:hAnsi="Book Antiqua" w:cs="Arial"/>
        </w:rPr>
        <w:t xml:space="preserve">on 18 </w:t>
      </w:r>
      <w:r>
        <w:rPr>
          <w:rFonts w:ascii="Book Antiqua" w:hAnsi="Book Antiqua" w:cs="Arial"/>
        </w:rPr>
        <w:t xml:space="preserve">August 2010. The appellant was convicted and sentenced on 6 January 2011. He </w:t>
      </w:r>
      <w:r w:rsidR="00F261F9">
        <w:rPr>
          <w:rFonts w:ascii="Book Antiqua" w:hAnsi="Book Antiqua" w:cs="Arial"/>
        </w:rPr>
        <w:t>has not offended since</w:t>
      </w:r>
      <w:r w:rsidR="005A520C">
        <w:rPr>
          <w:rFonts w:ascii="Book Antiqua" w:hAnsi="Book Antiqua" w:cs="Arial"/>
        </w:rPr>
        <w:t xml:space="preserve"> and the robbery was his first offence.</w:t>
      </w:r>
      <w:r w:rsidR="00F261F9">
        <w:rPr>
          <w:rFonts w:ascii="Book Antiqua" w:hAnsi="Book Antiqua" w:cs="Arial"/>
        </w:rPr>
        <w:t xml:space="preserve"> </w:t>
      </w:r>
    </w:p>
    <w:p w14:paraId="2E992404" w14:textId="77777777" w:rsidR="00BD2A4A" w:rsidRDefault="00890BFB" w:rsidP="00CC2D43">
      <w:pPr>
        <w:numPr>
          <w:ilvl w:val="0"/>
          <w:numId w:val="1"/>
        </w:numPr>
        <w:tabs>
          <w:tab w:val="clear" w:pos="567"/>
        </w:tabs>
        <w:spacing w:before="240"/>
        <w:jc w:val="both"/>
        <w:rPr>
          <w:rFonts w:ascii="Book Antiqua" w:hAnsi="Book Antiqua" w:cs="Arial"/>
        </w:rPr>
      </w:pPr>
      <w:r>
        <w:rPr>
          <w:rFonts w:ascii="Book Antiqua" w:hAnsi="Book Antiqua" w:cs="Arial"/>
        </w:rPr>
        <w:t>As regards the risk of reoffending, in the appellant’s bundle there are three OASys reports</w:t>
      </w:r>
      <w:r w:rsidR="00BD2A4A">
        <w:rPr>
          <w:rFonts w:ascii="Book Antiqua" w:hAnsi="Book Antiqua" w:cs="Arial"/>
        </w:rPr>
        <w:t xml:space="preserve">, all with a date </w:t>
      </w:r>
      <w:r w:rsidR="00425826">
        <w:rPr>
          <w:rFonts w:ascii="Book Antiqua" w:hAnsi="Book Antiqua" w:cs="Arial"/>
        </w:rPr>
        <w:t xml:space="preserve">of 4 July 2018 </w:t>
      </w:r>
      <w:r w:rsidR="00BD2A4A">
        <w:rPr>
          <w:rFonts w:ascii="Book Antiqua" w:hAnsi="Book Antiqua" w:cs="Arial"/>
        </w:rPr>
        <w:t>at the</w:t>
      </w:r>
      <w:r w:rsidR="00425826">
        <w:rPr>
          <w:rFonts w:ascii="Book Antiqua" w:hAnsi="Book Antiqua" w:cs="Arial"/>
        </w:rPr>
        <w:t xml:space="preserve"> top of each page</w:t>
      </w:r>
      <w:r w:rsidR="00BD2A4A">
        <w:rPr>
          <w:rFonts w:ascii="Book Antiqua" w:hAnsi="Book Antiqua" w:cs="Arial"/>
        </w:rPr>
        <w:t>, but each being stated to be for a different purpose, being “Termination of Community Supervision”, “Start Licence” and “Other”. Notwithstanding the date on those reports, it cannot be that that is the date upon which the assessments were made since in each case there is a “Date Assessment Completed” on page 2</w:t>
      </w:r>
      <w:r w:rsidR="002C430A">
        <w:rPr>
          <w:rFonts w:ascii="Book Antiqua" w:hAnsi="Book Antiqua" w:cs="Arial"/>
        </w:rPr>
        <w:t>,</w:t>
      </w:r>
      <w:r w:rsidR="00BD2A4A">
        <w:rPr>
          <w:rFonts w:ascii="Book Antiqua" w:hAnsi="Book Antiqua" w:cs="Arial"/>
        </w:rPr>
        <w:t xml:space="preserve"> with the latest being 19 August  2013 on the Termination of Community Supervision version. Nevertheless, the significant point is that the risk of reoffending </w:t>
      </w:r>
      <w:r w:rsidR="002C430A">
        <w:rPr>
          <w:rFonts w:ascii="Book Antiqua" w:hAnsi="Book Antiqua" w:cs="Arial"/>
        </w:rPr>
        <w:t>was</w:t>
      </w:r>
      <w:r w:rsidR="00BD2A4A">
        <w:rPr>
          <w:rFonts w:ascii="Book Antiqua" w:hAnsi="Book Antiqua" w:cs="Arial"/>
        </w:rPr>
        <w:t xml:space="preserve"> said at that time to have been low, with a ‘medium’ risk of harm to the public (presumably in the event that an offence is committed).</w:t>
      </w:r>
    </w:p>
    <w:p w14:paraId="44077BE7" w14:textId="77777777" w:rsidR="007039E0" w:rsidRDefault="00BD2A4A" w:rsidP="00CC2D43">
      <w:pPr>
        <w:numPr>
          <w:ilvl w:val="0"/>
          <w:numId w:val="1"/>
        </w:numPr>
        <w:tabs>
          <w:tab w:val="clear" w:pos="567"/>
        </w:tabs>
        <w:spacing w:before="240"/>
        <w:jc w:val="both"/>
        <w:rPr>
          <w:rFonts w:ascii="Book Antiqua" w:hAnsi="Book Antiqua" w:cs="Arial"/>
        </w:rPr>
      </w:pPr>
      <w:r>
        <w:rPr>
          <w:rFonts w:ascii="Book Antiqua" w:hAnsi="Book Antiqua" w:cs="Arial"/>
        </w:rPr>
        <w:t>That then, was the expert assessment of the risk of reoffending in 2013, notwithstanding that at that time the appellant still maintained his innocence, as is clear from the OASys report.</w:t>
      </w:r>
      <w:r w:rsidR="007039E0">
        <w:rPr>
          <w:rFonts w:ascii="Book Antiqua" w:hAnsi="Book Antiqua" w:cs="Arial"/>
        </w:rPr>
        <w:t xml:space="preserve"> Given that he has not reoffended in the years since his release</w:t>
      </w:r>
      <w:r w:rsidR="005967E0">
        <w:rPr>
          <w:rFonts w:ascii="Book Antiqua" w:hAnsi="Book Antiqua" w:cs="Arial"/>
        </w:rPr>
        <w:t xml:space="preserve"> after serving his sentence</w:t>
      </w:r>
      <w:r w:rsidR="002C430A">
        <w:rPr>
          <w:rFonts w:ascii="Book Antiqua" w:hAnsi="Book Antiqua" w:cs="Arial"/>
        </w:rPr>
        <w:t>,</w:t>
      </w:r>
      <w:r w:rsidR="005967E0">
        <w:rPr>
          <w:rFonts w:ascii="Book Antiqua" w:hAnsi="Book Antiqua" w:cs="Arial"/>
        </w:rPr>
        <w:t xml:space="preserve"> and then from immigration detention </w:t>
      </w:r>
      <w:r w:rsidR="00027758">
        <w:rPr>
          <w:rFonts w:ascii="Book Antiqua" w:hAnsi="Book Antiqua" w:cs="Arial"/>
        </w:rPr>
        <w:t>on 21 March 2012</w:t>
      </w:r>
      <w:r w:rsidR="007039E0">
        <w:rPr>
          <w:rFonts w:ascii="Book Antiqua" w:hAnsi="Book Antiqua" w:cs="Arial"/>
        </w:rPr>
        <w:t>, and taking into account the 2013 assessment of the risk of reoffending, we are satisfied that there is a low risk that the appellant will reoffend.</w:t>
      </w:r>
    </w:p>
    <w:p w14:paraId="6E292D93" w14:textId="77777777" w:rsidR="00E348C9" w:rsidRPr="00A321B2" w:rsidRDefault="007039E0" w:rsidP="00A70492">
      <w:pPr>
        <w:numPr>
          <w:ilvl w:val="0"/>
          <w:numId w:val="1"/>
        </w:numPr>
        <w:tabs>
          <w:tab w:val="clear" w:pos="567"/>
        </w:tabs>
        <w:spacing w:before="240"/>
        <w:jc w:val="both"/>
        <w:rPr>
          <w:rFonts w:ascii="Book Antiqua" w:hAnsi="Book Antiqua" w:cs="Arial"/>
        </w:rPr>
      </w:pPr>
      <w:r w:rsidRPr="00E348C9">
        <w:rPr>
          <w:rFonts w:ascii="Book Antiqua" w:hAnsi="Book Antiqua" w:cs="Arial"/>
        </w:rPr>
        <w:lastRenderedPageBreak/>
        <w:t xml:space="preserve">However, as </w:t>
      </w:r>
      <w:r w:rsidR="00C861F6" w:rsidRPr="00E348C9">
        <w:rPr>
          <w:rFonts w:ascii="Book Antiqua" w:hAnsi="Book Antiqua" w:cs="Arial"/>
        </w:rPr>
        <w:t xml:space="preserve">is clear from authority, </w:t>
      </w:r>
      <w:r w:rsidRPr="00E348C9">
        <w:rPr>
          <w:rFonts w:ascii="Book Antiqua" w:hAnsi="Book Antiqua" w:cs="Arial"/>
        </w:rPr>
        <w:t>the risk of reoffending</w:t>
      </w:r>
      <w:r w:rsidR="00C861F6" w:rsidRPr="00E348C9">
        <w:rPr>
          <w:rFonts w:ascii="Book Antiqua" w:hAnsi="Book Antiqua" w:cs="Arial"/>
        </w:rPr>
        <w:t xml:space="preserve"> is not the only, or even the most important factor, to be taken into account in terms of the public interest</w:t>
      </w:r>
      <w:r w:rsidR="00E348C9" w:rsidRPr="00E348C9">
        <w:rPr>
          <w:rFonts w:ascii="Book Antiqua" w:hAnsi="Book Antiqua" w:cs="Arial"/>
        </w:rPr>
        <w:t xml:space="preserve">. Whilst Lord Wilson in </w:t>
      </w:r>
      <w:r w:rsidR="00E348C9" w:rsidRPr="00E348C9">
        <w:rPr>
          <w:rFonts w:ascii="Book Antiqua" w:hAnsi="Book Antiqua" w:cs="Arial"/>
          <w:i/>
        </w:rPr>
        <w:t>Hesham Ali</w:t>
      </w:r>
      <w:r w:rsidR="00E348C9" w:rsidRPr="00E348C9">
        <w:rPr>
          <w:rFonts w:ascii="Book Antiqua" w:hAnsi="Book Antiqua" w:cs="Arial"/>
        </w:rPr>
        <w:t xml:space="preserve"> disavow</w:t>
      </w:r>
      <w:r w:rsidR="002C430A">
        <w:rPr>
          <w:rFonts w:ascii="Book Antiqua" w:hAnsi="Book Antiqua" w:cs="Arial"/>
        </w:rPr>
        <w:t>ed</w:t>
      </w:r>
      <w:r w:rsidR="00E348C9" w:rsidRPr="00E348C9">
        <w:rPr>
          <w:rFonts w:ascii="Book Antiqua" w:hAnsi="Book Antiqua" w:cs="Arial"/>
        </w:rPr>
        <w:t xml:space="preserve"> the phrase “public revulsion” that he used in </w:t>
      </w:r>
      <w:bookmarkStart w:id="3" w:name="para70"/>
      <w:r w:rsidR="00E348C9" w:rsidRPr="00E348C9">
        <w:rPr>
          <w:rFonts w:ascii="Book Antiqua" w:hAnsi="Book Antiqua"/>
          <w:i/>
          <w:iCs/>
          <w:color w:val="000000"/>
        </w:rPr>
        <w:t>OH (Serbia) v Secretary of State for the Home Department</w:t>
      </w:r>
      <w:r w:rsidR="00E348C9" w:rsidRPr="00E348C9">
        <w:rPr>
          <w:rFonts w:ascii="Book Antiqua" w:hAnsi="Book Antiqua"/>
          <w:color w:val="000000"/>
        </w:rPr>
        <w:t> </w:t>
      </w:r>
      <w:bookmarkEnd w:id="3"/>
      <w:r w:rsidR="00E348C9" w:rsidRPr="00E348C9">
        <w:rPr>
          <w:rFonts w:ascii="Book Antiqua" w:hAnsi="Book Antiqua"/>
          <w:color w:val="000000"/>
        </w:rPr>
        <w:t xml:space="preserve">[2008] EWCA </w:t>
      </w:r>
      <w:proofErr w:type="spellStart"/>
      <w:r w:rsidR="00E348C9" w:rsidRPr="00E348C9">
        <w:rPr>
          <w:rFonts w:ascii="Book Antiqua" w:hAnsi="Book Antiqua"/>
          <w:color w:val="000000"/>
        </w:rPr>
        <w:t>Civ</w:t>
      </w:r>
      <w:proofErr w:type="spellEnd"/>
      <w:r w:rsidR="00E348C9" w:rsidRPr="00E348C9">
        <w:rPr>
          <w:rFonts w:ascii="Book Antiqua" w:hAnsi="Book Antiqua"/>
          <w:color w:val="000000"/>
        </w:rPr>
        <w:t xml:space="preserve"> 694, the depth of public concern about the facility for a foreign criminal’s rights under article 8 to preclude his deportation is a significant factor to be taken into account</w:t>
      </w:r>
      <w:r w:rsidR="00E348C9">
        <w:rPr>
          <w:rFonts w:ascii="Book Antiqua" w:hAnsi="Book Antiqua"/>
          <w:color w:val="000000"/>
        </w:rPr>
        <w:t xml:space="preserve"> (see [70] of </w:t>
      </w:r>
      <w:r w:rsidR="00E348C9">
        <w:rPr>
          <w:rFonts w:ascii="Book Antiqua" w:hAnsi="Book Antiqua"/>
          <w:i/>
          <w:color w:val="000000"/>
        </w:rPr>
        <w:t>Hesham Ali</w:t>
      </w:r>
      <w:r w:rsidR="00E348C9">
        <w:rPr>
          <w:rFonts w:ascii="Book Antiqua" w:hAnsi="Book Antiqua"/>
          <w:color w:val="000000"/>
        </w:rPr>
        <w:t>)</w:t>
      </w:r>
      <w:r w:rsidR="00E348C9" w:rsidRPr="00E348C9">
        <w:rPr>
          <w:rFonts w:ascii="Book Antiqua" w:hAnsi="Book Antiqua"/>
          <w:color w:val="000000"/>
        </w:rPr>
        <w:t xml:space="preserve">. </w:t>
      </w:r>
    </w:p>
    <w:p w14:paraId="3CC64661" w14:textId="77777777" w:rsidR="00A321B2" w:rsidRDefault="00A321B2" w:rsidP="00A70492">
      <w:pPr>
        <w:numPr>
          <w:ilvl w:val="0"/>
          <w:numId w:val="1"/>
        </w:numPr>
        <w:tabs>
          <w:tab w:val="clear" w:pos="567"/>
        </w:tabs>
        <w:spacing w:before="240"/>
        <w:jc w:val="both"/>
        <w:rPr>
          <w:rFonts w:ascii="Book Antiqua" w:hAnsi="Book Antiqua" w:cs="Arial"/>
        </w:rPr>
      </w:pPr>
      <w:r>
        <w:rPr>
          <w:rFonts w:ascii="Book Antiqua" w:hAnsi="Book Antiqua" w:cs="Arial"/>
        </w:rPr>
        <w:t>The best interests of the minor children in the UK must be taken into account. Their interests are a primary consideration. In that context we proceed on the footing that if the appellant is removed from the UK, they will remain behind. In each case they will remain with their mothers.</w:t>
      </w:r>
    </w:p>
    <w:p w14:paraId="1D86D952" w14:textId="77777777" w:rsidR="004F296E" w:rsidRDefault="004F296E" w:rsidP="004F296E">
      <w:pPr>
        <w:numPr>
          <w:ilvl w:val="0"/>
          <w:numId w:val="1"/>
        </w:numPr>
        <w:tabs>
          <w:tab w:val="clear" w:pos="567"/>
        </w:tabs>
        <w:spacing w:before="240"/>
        <w:jc w:val="both"/>
        <w:rPr>
          <w:rFonts w:ascii="Book Antiqua" w:hAnsi="Book Antiqua" w:cs="Arial"/>
        </w:rPr>
      </w:pPr>
      <w:r>
        <w:rPr>
          <w:rFonts w:ascii="Book Antiqua" w:hAnsi="Book Antiqua" w:cs="Arial"/>
        </w:rPr>
        <w:t>We have no difficulty at all in accepting that the best interests of the children lie in the maintenance of the status quo in terms of KS, KD and M continuing to live with the appellant and his wife, and in J continuing the contact that he currently enjoys with the appellant.</w:t>
      </w:r>
    </w:p>
    <w:p w14:paraId="594BEFB6" w14:textId="77777777" w:rsidR="004F296E" w:rsidRDefault="004F296E" w:rsidP="004F296E">
      <w:pPr>
        <w:numPr>
          <w:ilvl w:val="0"/>
          <w:numId w:val="1"/>
        </w:numPr>
        <w:tabs>
          <w:tab w:val="clear" w:pos="567"/>
        </w:tabs>
        <w:spacing w:before="240"/>
        <w:jc w:val="both"/>
        <w:rPr>
          <w:rFonts w:ascii="Book Antiqua" w:hAnsi="Book Antiqua" w:cs="Arial"/>
        </w:rPr>
      </w:pPr>
      <w:r>
        <w:rPr>
          <w:rFonts w:ascii="Book Antiqua" w:hAnsi="Book Antiqua" w:cs="Arial"/>
        </w:rPr>
        <w:t xml:space="preserve">We accept the evidence of the appellant’s involvement in the daily lives of KS, KD and M, and the emotional bond that there is between him and them. Likewise in terms of his relationship with J. </w:t>
      </w:r>
    </w:p>
    <w:p w14:paraId="5137F98D" w14:textId="77777777" w:rsidR="004F296E" w:rsidRDefault="004F296E" w:rsidP="004F296E">
      <w:pPr>
        <w:numPr>
          <w:ilvl w:val="0"/>
          <w:numId w:val="1"/>
        </w:numPr>
        <w:tabs>
          <w:tab w:val="clear" w:pos="567"/>
        </w:tabs>
        <w:spacing w:before="240"/>
        <w:jc w:val="both"/>
        <w:rPr>
          <w:rFonts w:ascii="Book Antiqua" w:hAnsi="Book Antiqua" w:cs="Arial"/>
        </w:rPr>
      </w:pPr>
      <w:r>
        <w:rPr>
          <w:rFonts w:ascii="Book Antiqua" w:hAnsi="Book Antiqua" w:cs="Arial"/>
        </w:rPr>
        <w:t xml:space="preserve">We are also of the view that their best interests will be adversely affected by the appellant’s removal because inevitably the contact that they presently have will be severed. Contact could no doubt be maintained by letters, phone calls, Skype or similar, and by the occasional visit to Trinidad. Financial constraints are likely to mean that </w:t>
      </w:r>
      <w:r w:rsidR="00FF02CC">
        <w:rPr>
          <w:rFonts w:ascii="Book Antiqua" w:hAnsi="Book Antiqua" w:cs="Arial"/>
        </w:rPr>
        <w:t>the visits could only be occasional. The sort of contact and communication that could be maintained in the circumstances of the appellant being in Trinidad would of course be no substitute for the face-to-face contact that every child needs and is entitled to for so many obvious reasons.</w:t>
      </w:r>
    </w:p>
    <w:p w14:paraId="6B6D674B" w14:textId="77777777" w:rsidR="00FF02CC" w:rsidRDefault="00FF02CC" w:rsidP="004F296E">
      <w:pPr>
        <w:numPr>
          <w:ilvl w:val="0"/>
          <w:numId w:val="1"/>
        </w:numPr>
        <w:tabs>
          <w:tab w:val="clear" w:pos="567"/>
        </w:tabs>
        <w:spacing w:before="240"/>
        <w:jc w:val="both"/>
        <w:rPr>
          <w:rFonts w:ascii="Book Antiqua" w:hAnsi="Book Antiqua" w:cs="Arial"/>
        </w:rPr>
      </w:pPr>
      <w:r>
        <w:rPr>
          <w:rFonts w:ascii="Book Antiqua" w:hAnsi="Book Antiqua" w:cs="Arial"/>
        </w:rPr>
        <w:t xml:space="preserve">We have no difficulty in accepting that all of the children would be significantly adversely affected by the appellant’s removal to Trinidad. </w:t>
      </w:r>
      <w:r w:rsidR="00A15C21">
        <w:rPr>
          <w:rFonts w:ascii="Book Antiqua" w:hAnsi="Book Antiqua" w:cs="Arial"/>
        </w:rPr>
        <w:t xml:space="preserve">We are similarly satisfied that Ms Tyrell is right when she says in her report that she anticipates that A (although now an adult) and M would experience feelings of loss if their contact and relationship with the appellant </w:t>
      </w:r>
      <w:r w:rsidR="001C5571">
        <w:rPr>
          <w:rFonts w:ascii="Book Antiqua" w:hAnsi="Book Antiqua" w:cs="Arial"/>
        </w:rPr>
        <w:t>were severed. Likewise, as we have already intimated, we agree that neither KS nor KD would be able to maintain meaningful contact with the appellant if they are separated by his deportation</w:t>
      </w:r>
      <w:r w:rsidR="002C430A">
        <w:rPr>
          <w:rFonts w:ascii="Book Antiqua" w:hAnsi="Book Antiqua" w:cs="Arial"/>
        </w:rPr>
        <w:t>, at least not as meaningful as their contact at present</w:t>
      </w:r>
      <w:r w:rsidR="001C5571">
        <w:rPr>
          <w:rFonts w:ascii="Book Antiqua" w:hAnsi="Book Antiqua" w:cs="Arial"/>
        </w:rPr>
        <w:t xml:space="preserve">. </w:t>
      </w:r>
    </w:p>
    <w:p w14:paraId="5F20969D" w14:textId="77777777" w:rsidR="001C5571" w:rsidRDefault="001C5571" w:rsidP="004F296E">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removal, with the family remaining behind, is likely to have a very significant impact on the appellant’s wife. </w:t>
      </w:r>
      <w:r w:rsidR="003E4999">
        <w:rPr>
          <w:rFonts w:ascii="Book Antiqua" w:hAnsi="Book Antiqua" w:cs="Arial"/>
        </w:rPr>
        <w:t xml:space="preserve">She would plainly not have the direct physical and emotional support that he currently provides in </w:t>
      </w:r>
      <w:r w:rsidR="00154430">
        <w:rPr>
          <w:rFonts w:ascii="Book Antiqua" w:hAnsi="Book Antiqua" w:cs="Arial"/>
        </w:rPr>
        <w:t xml:space="preserve">relation to the family as a unit. She says in her witness statement that she would not be able to work if he were not there as she would not be able to afford childcare. In oral evidence however, she said that </w:t>
      </w:r>
      <w:r w:rsidR="004C1C5C">
        <w:rPr>
          <w:rFonts w:ascii="Book Antiqua" w:hAnsi="Book Antiqua" w:cs="Arial"/>
        </w:rPr>
        <w:t>s</w:t>
      </w:r>
      <w:r w:rsidR="00154430">
        <w:rPr>
          <w:rFonts w:ascii="Book Antiqua" w:hAnsi="Book Antiqua" w:cs="Arial"/>
        </w:rPr>
        <w:t xml:space="preserve">he would have to change her hours at work and her income would drop and </w:t>
      </w:r>
      <w:r w:rsidR="002C430A">
        <w:rPr>
          <w:rFonts w:ascii="Book Antiqua" w:hAnsi="Book Antiqua" w:cs="Arial"/>
        </w:rPr>
        <w:t xml:space="preserve">she </w:t>
      </w:r>
      <w:r w:rsidR="00154430">
        <w:rPr>
          <w:rFonts w:ascii="Book Antiqua" w:hAnsi="Book Antiqua" w:cs="Arial"/>
        </w:rPr>
        <w:t xml:space="preserve">would then have to support three children on a part-time income. </w:t>
      </w:r>
    </w:p>
    <w:p w14:paraId="003EF44F" w14:textId="77777777" w:rsidR="00154430" w:rsidRDefault="00154430" w:rsidP="004F296E">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We consider it more likely that what SG said in oral evidence is the actual position, being her evidence in answer to direct questioning, i.e. that she would have to reduce her hours of work and would therefore have less income. We nevertheless accept that there would be adverse financial consequences in the appellant’s removal. </w:t>
      </w:r>
    </w:p>
    <w:p w14:paraId="0A2F2410" w14:textId="77777777" w:rsidR="00154430" w:rsidRPr="004F296E" w:rsidRDefault="00154430" w:rsidP="004F296E">
      <w:pPr>
        <w:numPr>
          <w:ilvl w:val="0"/>
          <w:numId w:val="1"/>
        </w:numPr>
        <w:tabs>
          <w:tab w:val="clear" w:pos="567"/>
        </w:tabs>
        <w:spacing w:before="240"/>
        <w:jc w:val="both"/>
        <w:rPr>
          <w:rFonts w:ascii="Book Antiqua" w:hAnsi="Book Antiqua" w:cs="Arial"/>
        </w:rPr>
      </w:pPr>
      <w:r>
        <w:rPr>
          <w:rFonts w:ascii="Book Antiqua" w:hAnsi="Book Antiqua" w:cs="Arial"/>
        </w:rPr>
        <w:t xml:space="preserve"> </w:t>
      </w:r>
      <w:r w:rsidR="00020BD2">
        <w:rPr>
          <w:rFonts w:ascii="Book Antiqua" w:hAnsi="Book Antiqua" w:cs="Arial"/>
        </w:rPr>
        <w:t>Quite apart from all the above, it is important to recognise the relationship between the appellant and his wife. There is no reason not to accept their evidence of their commitment to each other and the strength of their relationship. Ms Holmes took exception to what is said in Ms Tyrell’s report at paragraph 2.9</w:t>
      </w:r>
      <w:r w:rsidR="002C430A">
        <w:rPr>
          <w:rFonts w:ascii="Book Antiqua" w:hAnsi="Book Antiqua" w:cs="Arial"/>
        </w:rPr>
        <w:t>,</w:t>
      </w:r>
      <w:r w:rsidR="00020BD2">
        <w:rPr>
          <w:rFonts w:ascii="Book Antiqua" w:hAnsi="Book Antiqua" w:cs="Arial"/>
        </w:rPr>
        <w:t xml:space="preserve"> namely that SG’s “mental health and wellbeing would be negatively impacted as she is accustomed to the stability and security </w:t>
      </w:r>
      <w:r w:rsidR="00202221">
        <w:rPr>
          <w:rFonts w:ascii="Book Antiqua" w:hAnsi="Book Antiqua" w:cs="Arial"/>
        </w:rPr>
        <w:t>that her efforts have afforded the family”. However, this was said in the context of her going to Trinidad with the appellant. Nevertheless, we conclude that there would be an adverse emotional impact on SG if the appellant was removed; that is inevitable.</w:t>
      </w:r>
      <w:r w:rsidR="00020BD2">
        <w:rPr>
          <w:rFonts w:ascii="Book Antiqua" w:hAnsi="Book Antiqua" w:cs="Arial"/>
        </w:rPr>
        <w:t xml:space="preserve"> </w:t>
      </w:r>
      <w:r w:rsidR="00144AD5">
        <w:rPr>
          <w:rFonts w:ascii="Book Antiqua" w:hAnsi="Book Antiqua" w:cs="Arial"/>
        </w:rPr>
        <w:t xml:space="preserve">In this context we also note the difficulties that are described in Ms Tyrell’s report </w:t>
      </w:r>
      <w:r w:rsidR="007A33B5">
        <w:rPr>
          <w:rFonts w:ascii="Book Antiqua" w:hAnsi="Book Antiqua" w:cs="Arial"/>
        </w:rPr>
        <w:t>in relation to SG’s own upbringing and her family relationships in terms of her parents and siblings.</w:t>
      </w:r>
    </w:p>
    <w:p w14:paraId="4D87377B" w14:textId="77777777" w:rsidR="00202221" w:rsidRDefault="00202221" w:rsidP="00A70492">
      <w:pPr>
        <w:numPr>
          <w:ilvl w:val="0"/>
          <w:numId w:val="1"/>
        </w:numPr>
        <w:tabs>
          <w:tab w:val="clear" w:pos="567"/>
        </w:tabs>
        <w:spacing w:before="240"/>
        <w:jc w:val="both"/>
        <w:rPr>
          <w:rFonts w:ascii="Book Antiqua" w:hAnsi="Book Antiqua" w:cs="Arial"/>
        </w:rPr>
      </w:pPr>
      <w:r>
        <w:rPr>
          <w:rFonts w:ascii="Book Antiqua" w:hAnsi="Book Antiqua" w:cs="Arial"/>
        </w:rPr>
        <w:t>In addition, we note what is said about the caring responsibilities that SG has for her 76 year</w:t>
      </w:r>
      <w:r w:rsidR="00522C8A">
        <w:rPr>
          <w:rFonts w:ascii="Book Antiqua" w:hAnsi="Book Antiqua" w:cs="Arial"/>
        </w:rPr>
        <w:t xml:space="preserve"> </w:t>
      </w:r>
      <w:r>
        <w:rPr>
          <w:rFonts w:ascii="Book Antiqua" w:hAnsi="Book Antiqua" w:cs="Arial"/>
        </w:rPr>
        <w:t>old grandmother (who lives with her husband, although they are ‘separated’) whom she regards as her mother, and who is registered disabled. She lives two streets away and SG visits her every day, and the appellant is also said to visit her when SG is at work. The absence of the appellant would be likely here again to have an adverse effect, not only on SG’s grandmother but on SG who would have to manage those caring responsibilities without the appellant’s help.</w:t>
      </w:r>
      <w:r w:rsidR="007E3129">
        <w:rPr>
          <w:rFonts w:ascii="Book Antiqua" w:hAnsi="Book Antiqua" w:cs="Arial"/>
        </w:rPr>
        <w:t xml:space="preserve"> We also note however, that in Ms Tyrell’s report at 17.3 it states that SG’s grandmother helps by cooking meals for the family on occasion which SG takes home. </w:t>
      </w:r>
    </w:p>
    <w:p w14:paraId="57683E58" w14:textId="77777777" w:rsidR="00EE3805" w:rsidRDefault="00EE3805" w:rsidP="00A70492">
      <w:pPr>
        <w:numPr>
          <w:ilvl w:val="0"/>
          <w:numId w:val="1"/>
        </w:numPr>
        <w:tabs>
          <w:tab w:val="clear" w:pos="567"/>
        </w:tabs>
        <w:spacing w:before="240"/>
        <w:jc w:val="both"/>
        <w:rPr>
          <w:rFonts w:ascii="Book Antiqua" w:hAnsi="Book Antiqua" w:cs="Arial"/>
        </w:rPr>
      </w:pPr>
      <w:r>
        <w:rPr>
          <w:rFonts w:ascii="Book Antiqua" w:hAnsi="Book Antiqua" w:cs="Arial"/>
        </w:rPr>
        <w:t>The matters we have referred to above do not stray beyond a consideration of the question of undue harshness in relation to the minor children; they are interrelated matters.</w:t>
      </w:r>
    </w:p>
    <w:p w14:paraId="552C8A43" w14:textId="77777777" w:rsidR="00E348C9" w:rsidRDefault="0000376D" w:rsidP="00A70492">
      <w:pPr>
        <w:numPr>
          <w:ilvl w:val="0"/>
          <w:numId w:val="1"/>
        </w:numPr>
        <w:tabs>
          <w:tab w:val="clear" w:pos="567"/>
        </w:tabs>
        <w:spacing w:before="240"/>
        <w:jc w:val="both"/>
        <w:rPr>
          <w:rFonts w:ascii="Book Antiqua" w:hAnsi="Book Antiqua" w:cs="Arial"/>
        </w:rPr>
      </w:pPr>
      <w:r>
        <w:rPr>
          <w:rFonts w:ascii="Book Antiqua" w:hAnsi="Book Antiqua" w:cs="Arial"/>
        </w:rPr>
        <w:t>We must also bear in mind however, that the appellant’s relationship with SG was developed</w:t>
      </w:r>
      <w:r w:rsidR="00144AD5">
        <w:rPr>
          <w:rFonts w:ascii="Book Antiqua" w:hAnsi="Book Antiqua" w:cs="Arial"/>
        </w:rPr>
        <w:t>, although it existed before,</w:t>
      </w:r>
      <w:r>
        <w:rPr>
          <w:rFonts w:ascii="Book Antiqua" w:hAnsi="Book Antiqua" w:cs="Arial"/>
        </w:rPr>
        <w:t xml:space="preserve"> at a time when his immigration status was precarious. </w:t>
      </w:r>
      <w:r w:rsidR="00C97F32">
        <w:rPr>
          <w:rFonts w:ascii="Book Antiqua" w:hAnsi="Book Antiqua" w:cs="Arial"/>
        </w:rPr>
        <w:t xml:space="preserve">The appellant arrived as a visitor in April 2009 and overstayed. </w:t>
      </w:r>
      <w:r w:rsidR="00144AD5">
        <w:rPr>
          <w:rFonts w:ascii="Book Antiqua" w:hAnsi="Book Antiqua" w:cs="Arial"/>
        </w:rPr>
        <w:t>They married</w:t>
      </w:r>
      <w:r w:rsidR="005967E0">
        <w:rPr>
          <w:rFonts w:ascii="Book Antiqua" w:hAnsi="Book Antiqua" w:cs="Arial"/>
        </w:rPr>
        <w:t xml:space="preserve"> (in June 2013)</w:t>
      </w:r>
      <w:r w:rsidR="00144AD5">
        <w:rPr>
          <w:rFonts w:ascii="Book Antiqua" w:hAnsi="Book Antiqua" w:cs="Arial"/>
        </w:rPr>
        <w:t xml:space="preserve"> and had two children in those circumstances. We have reminded ourselves of what they both said in evidence in answer to that point, but the precariousness of the appellant’s status is a significant factor to be taken into account in considering whether it would be unduly harsh for him to be separated from his family in the UK, even accepting that the children cannot be held responsible for the actions of their parents.</w:t>
      </w:r>
    </w:p>
    <w:p w14:paraId="28C11371" w14:textId="77777777" w:rsidR="00144AD5" w:rsidRDefault="00144AD5" w:rsidP="00A70492">
      <w:pPr>
        <w:numPr>
          <w:ilvl w:val="0"/>
          <w:numId w:val="1"/>
        </w:numPr>
        <w:tabs>
          <w:tab w:val="clear" w:pos="567"/>
        </w:tabs>
        <w:spacing w:before="240"/>
        <w:jc w:val="both"/>
        <w:rPr>
          <w:rFonts w:ascii="Book Antiqua" w:hAnsi="Book Antiqua" w:cs="Arial"/>
        </w:rPr>
      </w:pPr>
      <w:r>
        <w:rPr>
          <w:rFonts w:ascii="Book Antiqua" w:hAnsi="Book Antiqua" w:cs="Arial"/>
        </w:rPr>
        <w:t xml:space="preserve">We also note the evidence that SG has two siblings </w:t>
      </w:r>
      <w:r w:rsidR="00EE3805">
        <w:rPr>
          <w:rFonts w:ascii="Book Antiqua" w:hAnsi="Book Antiqua" w:cs="Arial"/>
        </w:rPr>
        <w:t>with</w:t>
      </w:r>
      <w:r>
        <w:rPr>
          <w:rFonts w:ascii="Book Antiqua" w:hAnsi="Book Antiqua" w:cs="Arial"/>
        </w:rPr>
        <w:t xml:space="preserve"> whom</w:t>
      </w:r>
      <w:r w:rsidR="00425826">
        <w:rPr>
          <w:rFonts w:ascii="Book Antiqua" w:hAnsi="Book Antiqua" w:cs="Arial"/>
        </w:rPr>
        <w:t>,</w:t>
      </w:r>
      <w:r>
        <w:rPr>
          <w:rFonts w:ascii="Book Antiqua" w:hAnsi="Book Antiqua" w:cs="Arial"/>
        </w:rPr>
        <w:t xml:space="preserve"> </w:t>
      </w:r>
      <w:r w:rsidR="00EE3805">
        <w:rPr>
          <w:rFonts w:ascii="Book Antiqua" w:hAnsi="Book Antiqua" w:cs="Arial"/>
        </w:rPr>
        <w:t>according to her oral evidence</w:t>
      </w:r>
      <w:r w:rsidR="00425826">
        <w:rPr>
          <w:rFonts w:ascii="Book Antiqua" w:hAnsi="Book Antiqua" w:cs="Arial"/>
        </w:rPr>
        <w:t>,</w:t>
      </w:r>
      <w:r w:rsidR="00EE3805">
        <w:rPr>
          <w:rFonts w:ascii="Book Antiqua" w:hAnsi="Book Antiqua" w:cs="Arial"/>
        </w:rPr>
        <w:t xml:space="preserve"> she has</w:t>
      </w:r>
      <w:r>
        <w:rPr>
          <w:rFonts w:ascii="Book Antiqua" w:hAnsi="Book Antiqua" w:cs="Arial"/>
        </w:rPr>
        <w:t xml:space="preserve"> a close relationship, albeit that she said that </w:t>
      </w:r>
      <w:r w:rsidR="004C1C5C">
        <w:rPr>
          <w:rFonts w:ascii="Book Antiqua" w:hAnsi="Book Antiqua" w:cs="Arial"/>
        </w:rPr>
        <w:t>i</w:t>
      </w:r>
      <w:r>
        <w:rPr>
          <w:rFonts w:ascii="Book Antiqua" w:hAnsi="Book Antiqua" w:cs="Arial"/>
        </w:rPr>
        <w:t>t was not their responsibility to help her “constantly”. It is reasonable to conclude that she could turn to them for at least some assistance.</w:t>
      </w:r>
    </w:p>
    <w:p w14:paraId="1213AD7F" w14:textId="77777777" w:rsidR="00144AD5" w:rsidRDefault="00144AD5" w:rsidP="00A70492">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addition, A, although still only 19, is an adult, is in employment and lives with SG and the appellant. It is reasonable to conclude that she would be able to provide practical support to SG in the appellant’s absence even though she has her own life to lead. </w:t>
      </w:r>
      <w:r w:rsidR="007E3129">
        <w:rPr>
          <w:rFonts w:ascii="Book Antiqua" w:hAnsi="Book Antiqua" w:cs="Arial"/>
        </w:rPr>
        <w:t>In Ms Tyrell’s report at 15.7 it states that she</w:t>
      </w:r>
      <w:r>
        <w:rPr>
          <w:rFonts w:ascii="Book Antiqua" w:hAnsi="Book Antiqua" w:cs="Arial"/>
        </w:rPr>
        <w:t xml:space="preserve"> contribute</w:t>
      </w:r>
      <w:r w:rsidR="007E3129">
        <w:rPr>
          <w:rFonts w:ascii="Book Antiqua" w:hAnsi="Book Antiqua" w:cs="Arial"/>
        </w:rPr>
        <w:t>s</w:t>
      </w:r>
      <w:r>
        <w:rPr>
          <w:rFonts w:ascii="Book Antiqua" w:hAnsi="Book Antiqua" w:cs="Arial"/>
        </w:rPr>
        <w:t xml:space="preserve"> financially to the household income</w:t>
      </w:r>
      <w:r w:rsidR="007E3129">
        <w:rPr>
          <w:rFonts w:ascii="Book Antiqua" w:hAnsi="Book Antiqua" w:cs="Arial"/>
        </w:rPr>
        <w:t>.</w:t>
      </w:r>
    </w:p>
    <w:p w14:paraId="17F393A4" w14:textId="77777777" w:rsidR="00144AD5" w:rsidRDefault="007A33B5" w:rsidP="00A70492">
      <w:pPr>
        <w:numPr>
          <w:ilvl w:val="0"/>
          <w:numId w:val="1"/>
        </w:numPr>
        <w:tabs>
          <w:tab w:val="clear" w:pos="567"/>
        </w:tabs>
        <w:spacing w:before="240"/>
        <w:jc w:val="both"/>
        <w:rPr>
          <w:rFonts w:ascii="Book Antiqua" w:hAnsi="Book Antiqua" w:cs="Arial"/>
        </w:rPr>
      </w:pPr>
      <w:r>
        <w:rPr>
          <w:rFonts w:ascii="Book Antiqua" w:hAnsi="Book Antiqua" w:cs="Arial"/>
        </w:rPr>
        <w:t xml:space="preserve">So far as the appellant is concerned, the purely practical consequences for him of his return to Trinidad we do not consider to be of much significance. He has his parents there with whom he </w:t>
      </w:r>
      <w:r w:rsidR="00425826">
        <w:rPr>
          <w:rFonts w:ascii="Book Antiqua" w:hAnsi="Book Antiqua" w:cs="Arial"/>
        </w:rPr>
        <w:t>appears to be</w:t>
      </w:r>
      <w:r>
        <w:rPr>
          <w:rFonts w:ascii="Book Antiqua" w:hAnsi="Book Antiqua" w:cs="Arial"/>
        </w:rPr>
        <w:t xml:space="preserve"> in contact. He has a son there who is now aged 14. He would be able to have greater contact with him than is presently the case, which we consider must surely be to the benefit of both of them. The appellant raises the question of the difficulty he would have in finding employment</w:t>
      </w:r>
      <w:r w:rsidR="004C1C5C">
        <w:rPr>
          <w:rFonts w:ascii="Book Antiqua" w:hAnsi="Book Antiqua" w:cs="Arial"/>
        </w:rPr>
        <w:t>,</w:t>
      </w:r>
      <w:r>
        <w:rPr>
          <w:rFonts w:ascii="Book Antiqua" w:hAnsi="Book Antiqua" w:cs="Arial"/>
        </w:rPr>
        <w:t xml:space="preserve"> but </w:t>
      </w:r>
      <w:r w:rsidR="000A16A2">
        <w:rPr>
          <w:rFonts w:ascii="Book Antiqua" w:hAnsi="Book Antiqua" w:cs="Arial"/>
        </w:rPr>
        <w:t>we do not consider that</w:t>
      </w:r>
      <w:r w:rsidR="006D2E4D">
        <w:rPr>
          <w:rFonts w:ascii="Book Antiqua" w:hAnsi="Book Antiqua" w:cs="Arial"/>
        </w:rPr>
        <w:t xml:space="preserve"> that is a matter</w:t>
      </w:r>
      <w:r w:rsidR="000A16A2">
        <w:rPr>
          <w:rFonts w:ascii="Book Antiqua" w:hAnsi="Book Antiqua" w:cs="Arial"/>
        </w:rPr>
        <w:t xml:space="preserve"> of great significance </w:t>
      </w:r>
      <w:r w:rsidR="006D2E4D">
        <w:rPr>
          <w:rFonts w:ascii="Book Antiqua" w:hAnsi="Book Antiqua" w:cs="Arial"/>
        </w:rPr>
        <w:t xml:space="preserve">whether considered alone or in combination with any other factors, </w:t>
      </w:r>
      <w:r w:rsidR="000A16A2">
        <w:rPr>
          <w:rFonts w:ascii="Book Antiqua" w:hAnsi="Book Antiqua" w:cs="Arial"/>
        </w:rPr>
        <w:t>when set against the significant public interest considerations in play</w:t>
      </w:r>
      <w:r w:rsidR="006D2E4D">
        <w:rPr>
          <w:rFonts w:ascii="Book Antiqua" w:hAnsi="Book Antiqua" w:cs="Arial"/>
        </w:rPr>
        <w:t>.</w:t>
      </w:r>
      <w:r w:rsidR="000A16A2">
        <w:rPr>
          <w:rFonts w:ascii="Book Antiqua" w:hAnsi="Book Antiqua" w:cs="Arial"/>
        </w:rPr>
        <w:t xml:space="preserve"> </w:t>
      </w:r>
    </w:p>
    <w:p w14:paraId="7673BE63" w14:textId="77777777" w:rsidR="004F1875" w:rsidRDefault="003854E7" w:rsidP="00A70492">
      <w:pPr>
        <w:numPr>
          <w:ilvl w:val="0"/>
          <w:numId w:val="1"/>
        </w:numPr>
        <w:tabs>
          <w:tab w:val="clear" w:pos="567"/>
        </w:tabs>
        <w:spacing w:before="240"/>
        <w:jc w:val="both"/>
        <w:rPr>
          <w:rFonts w:ascii="Book Antiqua" w:hAnsi="Book Antiqua" w:cs="Arial"/>
        </w:rPr>
      </w:pPr>
      <w:r>
        <w:rPr>
          <w:rFonts w:ascii="Book Antiqua" w:hAnsi="Book Antiqua" w:cs="Arial"/>
        </w:rPr>
        <w:t xml:space="preserve">‘Mere’ separation of a deportee from his spouse and/or children is manifestly not a sufficient basis from which to conclude that deportation would be unduly harsh. To decide otherwise would be to </w:t>
      </w:r>
      <w:r w:rsidR="00EA1538">
        <w:rPr>
          <w:rFonts w:ascii="Book Antiqua" w:hAnsi="Book Antiqua" w:cs="Arial"/>
        </w:rPr>
        <w:t>neutralise the effect of the Rules and the deportation provisions of s.117 of the 2002 Act (see</w:t>
      </w:r>
      <w:r w:rsidR="00EE3805">
        <w:rPr>
          <w:rFonts w:ascii="Book Antiqua" w:hAnsi="Book Antiqua" w:cs="Arial"/>
        </w:rPr>
        <w:t xml:space="preserve"> also</w:t>
      </w:r>
      <w:r w:rsidR="00EA1538">
        <w:rPr>
          <w:rFonts w:ascii="Book Antiqua" w:hAnsi="Book Antiqua" w:cs="Arial"/>
        </w:rPr>
        <w:t xml:space="preserve"> </w:t>
      </w:r>
      <w:r w:rsidR="004F1875">
        <w:rPr>
          <w:rFonts w:ascii="Book Antiqua" w:hAnsi="Book Antiqua" w:cs="Arial"/>
        </w:rPr>
        <w:t xml:space="preserve">[34] of </w:t>
      </w:r>
      <w:r w:rsidR="004F1875">
        <w:rPr>
          <w:rFonts w:ascii="Book Antiqua" w:hAnsi="Book Antiqua" w:cs="Arial"/>
          <w:i/>
        </w:rPr>
        <w:t>NA (Pakistan) v Secretary of State for the Home Department</w:t>
      </w:r>
      <w:r w:rsidR="004F1875">
        <w:rPr>
          <w:rFonts w:ascii="Book Antiqua" w:hAnsi="Book Antiqua" w:cs="Arial"/>
        </w:rPr>
        <w:t xml:space="preserve"> [2016] EWCA </w:t>
      </w:r>
      <w:proofErr w:type="spellStart"/>
      <w:r w:rsidR="004F1875">
        <w:rPr>
          <w:rFonts w:ascii="Book Antiqua" w:hAnsi="Book Antiqua" w:cs="Arial"/>
        </w:rPr>
        <w:t>Civ</w:t>
      </w:r>
      <w:proofErr w:type="spellEnd"/>
      <w:r w:rsidR="004F1875">
        <w:rPr>
          <w:rFonts w:ascii="Book Antiqua" w:hAnsi="Book Antiqua" w:cs="Arial"/>
        </w:rPr>
        <w:t xml:space="preserve"> 662).</w:t>
      </w:r>
    </w:p>
    <w:p w14:paraId="515BC490" w14:textId="77777777" w:rsidR="00EB4A47" w:rsidRDefault="00A265B1" w:rsidP="00A70492">
      <w:pPr>
        <w:numPr>
          <w:ilvl w:val="0"/>
          <w:numId w:val="1"/>
        </w:numPr>
        <w:tabs>
          <w:tab w:val="clear" w:pos="567"/>
        </w:tabs>
        <w:spacing w:before="240"/>
        <w:jc w:val="both"/>
        <w:rPr>
          <w:rFonts w:ascii="Book Antiqua" w:hAnsi="Book Antiqua" w:cs="Arial"/>
        </w:rPr>
      </w:pPr>
      <w:r>
        <w:rPr>
          <w:rFonts w:ascii="Book Antiqua" w:hAnsi="Book Antiqua" w:cs="Arial"/>
        </w:rPr>
        <w:t>The appellant</w:t>
      </w:r>
      <w:r w:rsidR="00EB4A47">
        <w:rPr>
          <w:rFonts w:ascii="Book Antiqua" w:hAnsi="Book Antiqua" w:cs="Arial"/>
        </w:rPr>
        <w:t xml:space="preserve"> is step-father to M who is 13 years old and to A who is 19. M’s father </w:t>
      </w:r>
      <w:r w:rsidR="00EE3805">
        <w:rPr>
          <w:rFonts w:ascii="Book Antiqua" w:hAnsi="Book Antiqua" w:cs="Arial"/>
        </w:rPr>
        <w:t>appears</w:t>
      </w:r>
      <w:r w:rsidR="00EB4A47">
        <w:rPr>
          <w:rFonts w:ascii="Book Antiqua" w:hAnsi="Book Antiqua" w:cs="Arial"/>
        </w:rPr>
        <w:t xml:space="preserve"> not </w:t>
      </w:r>
      <w:r w:rsidR="004C1C5C">
        <w:rPr>
          <w:rFonts w:ascii="Book Antiqua" w:hAnsi="Book Antiqua" w:cs="Arial"/>
        </w:rPr>
        <w:t xml:space="preserve">to </w:t>
      </w:r>
      <w:r w:rsidR="00EB4A47">
        <w:rPr>
          <w:rFonts w:ascii="Book Antiqua" w:hAnsi="Book Antiqua" w:cs="Arial"/>
        </w:rPr>
        <w:t>have much involvement in M’s life according to the evidence of SG</w:t>
      </w:r>
      <w:r w:rsidR="00EE3805">
        <w:rPr>
          <w:rFonts w:ascii="Book Antiqua" w:hAnsi="Book Antiqua" w:cs="Arial"/>
        </w:rPr>
        <w:t>,</w:t>
      </w:r>
      <w:r w:rsidR="00EB4A47">
        <w:rPr>
          <w:rFonts w:ascii="Book Antiqua" w:hAnsi="Book Antiqua" w:cs="Arial"/>
        </w:rPr>
        <w:t xml:space="preserve"> which we accept. That evidence is reinforced by M’s letter dated 8 June 2018. He speaks of his close father/son relationship with the appellant in contrast </w:t>
      </w:r>
      <w:r w:rsidR="00CE43D6">
        <w:rPr>
          <w:rFonts w:ascii="Book Antiqua" w:hAnsi="Book Antiqua" w:cs="Arial"/>
        </w:rPr>
        <w:t>with</w:t>
      </w:r>
      <w:r w:rsidR="00EB4A47">
        <w:rPr>
          <w:rFonts w:ascii="Book Antiqua" w:hAnsi="Book Antiqua" w:cs="Arial"/>
        </w:rPr>
        <w:t xml:space="preserve"> his relationship with his natural father</w:t>
      </w:r>
      <w:r>
        <w:rPr>
          <w:rFonts w:ascii="Book Antiqua" w:hAnsi="Book Antiqua" w:cs="Arial"/>
        </w:rPr>
        <w:t xml:space="preserve">. The evidence suggests that M’s father lacks </w:t>
      </w:r>
      <w:r w:rsidR="00EB4A47">
        <w:rPr>
          <w:rFonts w:ascii="Book Antiqua" w:hAnsi="Book Antiqua" w:cs="Arial"/>
        </w:rPr>
        <w:t xml:space="preserve">commitment, engagement </w:t>
      </w:r>
      <w:r>
        <w:rPr>
          <w:rFonts w:ascii="Book Antiqua" w:hAnsi="Book Antiqua" w:cs="Arial"/>
        </w:rPr>
        <w:t xml:space="preserve">or much </w:t>
      </w:r>
      <w:r w:rsidR="00EB4A47">
        <w:rPr>
          <w:rFonts w:ascii="Book Antiqua" w:hAnsi="Book Antiqua" w:cs="Arial"/>
        </w:rPr>
        <w:t xml:space="preserve">active interest in </w:t>
      </w:r>
      <w:r>
        <w:rPr>
          <w:rFonts w:ascii="Book Antiqua" w:hAnsi="Book Antiqua" w:cs="Arial"/>
        </w:rPr>
        <w:t>M’s</w:t>
      </w:r>
      <w:r w:rsidR="00EB4A47">
        <w:rPr>
          <w:rFonts w:ascii="Book Antiqua" w:hAnsi="Book Antiqua" w:cs="Arial"/>
        </w:rPr>
        <w:t xml:space="preserve"> life.</w:t>
      </w:r>
    </w:p>
    <w:p w14:paraId="4890B808" w14:textId="77777777" w:rsidR="00787C72" w:rsidRDefault="00787C72" w:rsidP="00787C72">
      <w:pPr>
        <w:numPr>
          <w:ilvl w:val="0"/>
          <w:numId w:val="1"/>
        </w:numPr>
        <w:tabs>
          <w:tab w:val="clear" w:pos="567"/>
        </w:tabs>
        <w:spacing w:before="240"/>
        <w:jc w:val="both"/>
        <w:rPr>
          <w:rFonts w:ascii="Book Antiqua" w:hAnsi="Book Antiqua" w:cs="Arial"/>
        </w:rPr>
      </w:pPr>
      <w:r>
        <w:rPr>
          <w:rFonts w:ascii="Book Antiqua" w:hAnsi="Book Antiqua" w:cs="Arial"/>
        </w:rPr>
        <w:t>J, who is 9, lives with his mother. His mother’s letter dated 11 June 2018, apart from referring to the closeness of the relationship between J and the appellant</w:t>
      </w:r>
      <w:r w:rsidR="00C97F32">
        <w:rPr>
          <w:rFonts w:ascii="Book Antiqua" w:hAnsi="Book Antiqua" w:cs="Arial"/>
        </w:rPr>
        <w:t xml:space="preserve">, </w:t>
      </w:r>
      <w:r>
        <w:rPr>
          <w:rFonts w:ascii="Book Antiqua" w:hAnsi="Book Antiqua" w:cs="Arial"/>
        </w:rPr>
        <w:t>refers to the appellant as the only “father role model” that he has. Her letter suggests that there is no other father figure in his life. We bear in mind that she did not attend to give evidence</w:t>
      </w:r>
      <w:r w:rsidR="004C1C5C">
        <w:rPr>
          <w:rFonts w:ascii="Book Antiqua" w:hAnsi="Book Antiqua" w:cs="Arial"/>
        </w:rPr>
        <w:t>,</w:t>
      </w:r>
      <w:r>
        <w:rPr>
          <w:rFonts w:ascii="Book Antiqua" w:hAnsi="Book Antiqua" w:cs="Arial"/>
        </w:rPr>
        <w:t xml:space="preserve"> and this is a matter that could have been more fully explored in oral evidence. On the other hand</w:t>
      </w:r>
      <w:r w:rsidR="004C1C5C">
        <w:rPr>
          <w:rFonts w:ascii="Book Antiqua" w:hAnsi="Book Antiqua" w:cs="Arial"/>
        </w:rPr>
        <w:t>,</w:t>
      </w:r>
      <w:r>
        <w:rPr>
          <w:rFonts w:ascii="Book Antiqua" w:hAnsi="Book Antiqua" w:cs="Arial"/>
        </w:rPr>
        <w:t xml:space="preserve"> there was no challenge to her evidence.</w:t>
      </w:r>
      <w:r w:rsidRPr="00787C72">
        <w:rPr>
          <w:rFonts w:ascii="Book Antiqua" w:hAnsi="Book Antiqua" w:cs="Arial"/>
        </w:rPr>
        <w:t xml:space="preserve"> </w:t>
      </w:r>
      <w:r w:rsidR="00EB4A47" w:rsidRPr="00787C72">
        <w:rPr>
          <w:rFonts w:ascii="Book Antiqua" w:hAnsi="Book Antiqua" w:cs="Arial"/>
        </w:rPr>
        <w:t xml:space="preserve"> </w:t>
      </w:r>
    </w:p>
    <w:p w14:paraId="72F0DE13" w14:textId="77777777" w:rsidR="00787C72" w:rsidRDefault="00A70492" w:rsidP="00787C72">
      <w:pPr>
        <w:numPr>
          <w:ilvl w:val="0"/>
          <w:numId w:val="1"/>
        </w:numPr>
        <w:tabs>
          <w:tab w:val="clear" w:pos="567"/>
        </w:tabs>
        <w:spacing w:before="240"/>
        <w:jc w:val="both"/>
        <w:rPr>
          <w:rFonts w:ascii="Book Antiqua" w:hAnsi="Book Antiqua" w:cs="Arial"/>
        </w:rPr>
      </w:pPr>
      <w:r>
        <w:rPr>
          <w:rFonts w:ascii="Book Antiqua" w:hAnsi="Book Antiqua" w:cs="Arial"/>
        </w:rPr>
        <w:t xml:space="preserve">We consider that Ms Holmes’ point about SG obviously being very capable and competent is well made. We too have that impression. We are of the view that she would be able to ‘manage’ in a practical sense without the appellant, by calling on assistance from family (her siblings), and from her eldest daughter A. </w:t>
      </w:r>
    </w:p>
    <w:p w14:paraId="1D847092" w14:textId="77777777" w:rsidR="005F7E04" w:rsidRPr="00A265B1" w:rsidRDefault="00A70492" w:rsidP="00ED58D7">
      <w:pPr>
        <w:numPr>
          <w:ilvl w:val="0"/>
          <w:numId w:val="1"/>
        </w:numPr>
        <w:tabs>
          <w:tab w:val="clear" w:pos="567"/>
        </w:tabs>
        <w:spacing w:before="240"/>
        <w:jc w:val="both"/>
        <w:rPr>
          <w:rFonts w:ascii="Book Antiqua" w:hAnsi="Book Antiqua" w:cs="Arial"/>
        </w:rPr>
      </w:pPr>
      <w:r w:rsidRPr="00A265B1">
        <w:rPr>
          <w:rFonts w:ascii="Book Antiqua" w:hAnsi="Book Antiqua" w:cs="Arial"/>
        </w:rPr>
        <w:t>The ages of M and J are significant. M</w:t>
      </w:r>
      <w:r w:rsidR="00522C8A">
        <w:rPr>
          <w:rFonts w:ascii="Book Antiqua" w:hAnsi="Book Antiqua" w:cs="Arial"/>
        </w:rPr>
        <w:t>,</w:t>
      </w:r>
      <w:r w:rsidRPr="00A265B1">
        <w:rPr>
          <w:rFonts w:ascii="Book Antiqua" w:hAnsi="Book Antiqua" w:cs="Arial"/>
        </w:rPr>
        <w:t xml:space="preserve"> in particular</w:t>
      </w:r>
      <w:r w:rsidR="00522C8A">
        <w:rPr>
          <w:rFonts w:ascii="Book Antiqua" w:hAnsi="Book Antiqua" w:cs="Arial"/>
        </w:rPr>
        <w:t>,</w:t>
      </w:r>
      <w:r w:rsidRPr="00A265B1">
        <w:rPr>
          <w:rFonts w:ascii="Book Antiqua" w:hAnsi="Book Antiqua" w:cs="Arial"/>
        </w:rPr>
        <w:t xml:space="preserve"> is of an age when he will increasingly need greater emotional and practical support and guidance.</w:t>
      </w:r>
      <w:r w:rsidR="005F7E04" w:rsidRPr="00A265B1">
        <w:rPr>
          <w:rFonts w:ascii="Book Antiqua" w:hAnsi="Book Antiqua" w:cs="Arial"/>
        </w:rPr>
        <w:t xml:space="preserve"> J is approaching th</w:t>
      </w:r>
      <w:r w:rsidR="00A265B1">
        <w:rPr>
          <w:rFonts w:ascii="Book Antiqua" w:hAnsi="Book Antiqua" w:cs="Arial"/>
        </w:rPr>
        <w:t>at</w:t>
      </w:r>
      <w:r w:rsidR="005F7E04" w:rsidRPr="00A265B1">
        <w:rPr>
          <w:rFonts w:ascii="Book Antiqua" w:hAnsi="Book Antiqua" w:cs="Arial"/>
        </w:rPr>
        <w:t xml:space="preserve"> age. </w:t>
      </w:r>
      <w:r w:rsidR="00EE3805">
        <w:rPr>
          <w:rFonts w:ascii="Book Antiqua" w:hAnsi="Book Antiqua" w:cs="Arial"/>
        </w:rPr>
        <w:t>Nevertheless, they will continue to have the daily contact and support of their mothers, and the ability to maintain contact with the appellant, even though at a distance.</w:t>
      </w:r>
    </w:p>
    <w:p w14:paraId="7CDF59A4" w14:textId="77777777" w:rsidR="00BA1C4F" w:rsidRDefault="00F71689" w:rsidP="00A70492">
      <w:pPr>
        <w:numPr>
          <w:ilvl w:val="0"/>
          <w:numId w:val="1"/>
        </w:numPr>
        <w:tabs>
          <w:tab w:val="clear" w:pos="567"/>
        </w:tabs>
        <w:spacing w:before="240"/>
        <w:jc w:val="both"/>
        <w:rPr>
          <w:rFonts w:ascii="Book Antiqua" w:hAnsi="Book Antiqua" w:cs="Arial"/>
        </w:rPr>
      </w:pPr>
      <w:r>
        <w:rPr>
          <w:rFonts w:ascii="Book Antiqua" w:hAnsi="Book Antiqua" w:cs="Arial"/>
        </w:rPr>
        <w:lastRenderedPageBreak/>
        <w:t>It is to be remembered that the</w:t>
      </w:r>
      <w:r w:rsidR="005F7E04">
        <w:rPr>
          <w:rFonts w:ascii="Book Antiqua" w:hAnsi="Book Antiqua" w:cs="Arial"/>
        </w:rPr>
        <w:t xml:space="preserve"> appellant was convicted of a serious offence, </w:t>
      </w:r>
      <w:r w:rsidR="00BA1C4F">
        <w:rPr>
          <w:rFonts w:ascii="Book Antiqua" w:hAnsi="Book Antiqua" w:cs="Arial"/>
        </w:rPr>
        <w:t>albeit</w:t>
      </w:r>
      <w:r w:rsidR="005F7E04">
        <w:rPr>
          <w:rFonts w:ascii="Book Antiqua" w:hAnsi="Book Antiqua" w:cs="Arial"/>
        </w:rPr>
        <w:t xml:space="preserve"> about eight years ago</w:t>
      </w:r>
      <w:r w:rsidR="00BA1C4F">
        <w:rPr>
          <w:rFonts w:ascii="Book Antiqua" w:hAnsi="Book Antiqua" w:cs="Arial"/>
        </w:rPr>
        <w:t>. The</w:t>
      </w:r>
      <w:r w:rsidR="00EE3805">
        <w:rPr>
          <w:rFonts w:ascii="Book Antiqua" w:hAnsi="Book Antiqua" w:cs="Arial"/>
        </w:rPr>
        <w:t xml:space="preserve"> very strong public interest</w:t>
      </w:r>
      <w:r w:rsidR="00BA1C4F">
        <w:rPr>
          <w:rFonts w:ascii="Book Antiqua" w:hAnsi="Book Antiqua" w:cs="Arial"/>
        </w:rPr>
        <w:t xml:space="preserve"> in deportation</w:t>
      </w:r>
      <w:r w:rsidR="00EE3805">
        <w:rPr>
          <w:rFonts w:ascii="Book Antiqua" w:hAnsi="Book Antiqua" w:cs="Arial"/>
        </w:rPr>
        <w:t xml:space="preserve"> is manifest</w:t>
      </w:r>
      <w:r w:rsidR="00BA1C4F">
        <w:rPr>
          <w:rFonts w:ascii="Book Antiqua" w:hAnsi="Book Antiqua" w:cs="Arial"/>
        </w:rPr>
        <w:t>. Considering all the circumstances, we are not satisfied that it would be unduly harsh for him to be separated from the minor children with whom he has a parental relationship. Contact would not cease between them. It could be maintained, albeit in very different and limited circumstances. There would be a greater burden placed on SG in bringing up the three minor children that live with them but she is no</w:t>
      </w:r>
      <w:r w:rsidR="007E3129">
        <w:rPr>
          <w:rFonts w:ascii="Book Antiqua" w:hAnsi="Book Antiqua" w:cs="Arial"/>
        </w:rPr>
        <w:t>t</w:t>
      </w:r>
      <w:r w:rsidR="00BA1C4F">
        <w:rPr>
          <w:rFonts w:ascii="Book Antiqua" w:hAnsi="Book Antiqua" w:cs="Arial"/>
        </w:rPr>
        <w:t xml:space="preserve"> likely to have to manage alone, without any help from any other family member. There would probably be financial hardship</w:t>
      </w:r>
      <w:r w:rsidR="004C1C5C">
        <w:rPr>
          <w:rFonts w:ascii="Book Antiqua" w:hAnsi="Book Antiqua" w:cs="Arial"/>
        </w:rPr>
        <w:t>,</w:t>
      </w:r>
      <w:r w:rsidR="00BA1C4F">
        <w:rPr>
          <w:rFonts w:ascii="Book Antiqua" w:hAnsi="Book Antiqua" w:cs="Arial"/>
        </w:rPr>
        <w:t xml:space="preserve"> but no evidence was put before us to suggest that such financial hardship would have any, or any significant, detrimental effect on the children. We have taken into account all the other circumstances. As explained above, in the assessment of the issue of undue harshness.</w:t>
      </w:r>
    </w:p>
    <w:p w14:paraId="1F7EE928" w14:textId="77777777" w:rsidR="00BA1C4F" w:rsidRDefault="00A50497" w:rsidP="00A70492">
      <w:pPr>
        <w:numPr>
          <w:ilvl w:val="0"/>
          <w:numId w:val="1"/>
        </w:numPr>
        <w:tabs>
          <w:tab w:val="clear" w:pos="567"/>
        </w:tabs>
        <w:spacing w:before="240"/>
        <w:jc w:val="both"/>
        <w:rPr>
          <w:rFonts w:ascii="Book Antiqua" w:hAnsi="Book Antiqua" w:cs="Arial"/>
        </w:rPr>
      </w:pPr>
      <w:r>
        <w:rPr>
          <w:rFonts w:ascii="Book Antiqua" w:hAnsi="Book Antiqua" w:cs="Arial"/>
        </w:rPr>
        <w:t xml:space="preserve">We accept that removing the appellant would be harsh. We are not satisfied that it would be </w:t>
      </w:r>
      <w:r w:rsidRPr="00A50497">
        <w:rPr>
          <w:rFonts w:ascii="Book Antiqua" w:hAnsi="Book Antiqua" w:cs="Arial"/>
          <w:i/>
        </w:rPr>
        <w:t>unduly</w:t>
      </w:r>
      <w:r>
        <w:rPr>
          <w:rFonts w:ascii="Book Antiqua" w:hAnsi="Book Antiqua" w:cs="Arial"/>
        </w:rPr>
        <w:t xml:space="preserve"> harsh in relation to the children. </w:t>
      </w:r>
    </w:p>
    <w:p w14:paraId="62C371AE" w14:textId="77777777" w:rsidR="00A63C6E" w:rsidRDefault="00A50497" w:rsidP="00A70492">
      <w:pPr>
        <w:numPr>
          <w:ilvl w:val="0"/>
          <w:numId w:val="1"/>
        </w:numPr>
        <w:tabs>
          <w:tab w:val="clear" w:pos="567"/>
        </w:tabs>
        <w:spacing w:before="240"/>
        <w:jc w:val="both"/>
        <w:rPr>
          <w:rFonts w:ascii="Book Antiqua" w:hAnsi="Book Antiqua" w:cs="Arial"/>
        </w:rPr>
      </w:pPr>
      <w:r>
        <w:rPr>
          <w:rFonts w:ascii="Book Antiqua" w:hAnsi="Book Antiqua" w:cs="Arial"/>
        </w:rPr>
        <w:t xml:space="preserve">We have considered whether there are very compelling circumstances over and above those described in paragraph 399(a), as well as the parallel provisions of s.117C of the 2002 Act.  </w:t>
      </w:r>
      <w:r w:rsidR="00BA1C4F">
        <w:rPr>
          <w:rFonts w:ascii="Book Antiqua" w:hAnsi="Book Antiqua" w:cs="Arial"/>
        </w:rPr>
        <w:t xml:space="preserve"> </w:t>
      </w:r>
      <w:r w:rsidR="00677CBD">
        <w:rPr>
          <w:rFonts w:ascii="Book Antiqua" w:hAnsi="Book Antiqua" w:cs="Arial"/>
        </w:rPr>
        <w:t xml:space="preserve">In order for the public interest to be outweighed there would have to be “a very strong claim indeed” ([38] </w:t>
      </w:r>
      <w:r w:rsidR="00677CBD">
        <w:rPr>
          <w:rFonts w:ascii="Book Antiqua" w:hAnsi="Book Antiqua" w:cs="Arial"/>
          <w:i/>
        </w:rPr>
        <w:t>Hesham Ali</w:t>
      </w:r>
      <w:r w:rsidR="00E44AF7">
        <w:rPr>
          <w:rFonts w:ascii="Book Antiqua" w:hAnsi="Book Antiqua" w:cs="Arial"/>
        </w:rPr>
        <w:t>). We cannot see that there are such circumstances in this appeal, reflecting again on all the matters that we have considered and there being no additional relevant factors to be taken into account.</w:t>
      </w:r>
    </w:p>
    <w:p w14:paraId="7EED0B5B" w14:textId="77777777" w:rsidR="00E44AF7" w:rsidRPr="00E348C9" w:rsidRDefault="00E44AF7" w:rsidP="00A70492">
      <w:pPr>
        <w:numPr>
          <w:ilvl w:val="0"/>
          <w:numId w:val="1"/>
        </w:numPr>
        <w:tabs>
          <w:tab w:val="clear" w:pos="567"/>
        </w:tabs>
        <w:spacing w:before="240"/>
        <w:jc w:val="both"/>
        <w:rPr>
          <w:rFonts w:ascii="Book Antiqua" w:hAnsi="Book Antiqua" w:cs="Arial"/>
        </w:rPr>
      </w:pPr>
      <w:r>
        <w:rPr>
          <w:rFonts w:ascii="Book Antiqua" w:hAnsi="Book Antiqua" w:cs="Arial"/>
        </w:rPr>
        <w:t>Accordingly, the appeal must be dismissed.</w:t>
      </w:r>
    </w:p>
    <w:p w14:paraId="44BD06E6" w14:textId="77777777" w:rsidR="00273385" w:rsidRDefault="00273385" w:rsidP="00273385">
      <w:pPr>
        <w:spacing w:before="240"/>
        <w:ind w:left="567"/>
        <w:jc w:val="both"/>
        <w:rPr>
          <w:rFonts w:ascii="Book Antiqua" w:hAnsi="Book Antiqua" w:cs="Arial"/>
        </w:rPr>
      </w:pPr>
      <w:r>
        <w:rPr>
          <w:rFonts w:ascii="Book Antiqua" w:hAnsi="Book Antiqua" w:cs="Arial"/>
          <w:i/>
        </w:rPr>
        <w:t>Decision</w:t>
      </w:r>
    </w:p>
    <w:p w14:paraId="22BE8491" w14:textId="77777777" w:rsidR="00244A50" w:rsidRDefault="00273385" w:rsidP="00F23D8A">
      <w:pPr>
        <w:numPr>
          <w:ilvl w:val="0"/>
          <w:numId w:val="1"/>
        </w:numPr>
        <w:tabs>
          <w:tab w:val="clear" w:pos="567"/>
        </w:tabs>
        <w:spacing w:before="240"/>
        <w:jc w:val="both"/>
        <w:rPr>
          <w:rFonts w:ascii="Book Antiqua" w:hAnsi="Book Antiqua" w:cs="Arial"/>
          <w:b/>
          <w:u w:val="single"/>
        </w:rPr>
      </w:pPr>
      <w:r w:rsidRPr="00A63C6E">
        <w:rPr>
          <w:rFonts w:ascii="Book Antiqua" w:hAnsi="Book Antiqua" w:cs="Arial"/>
        </w:rPr>
        <w:t>The decision of the First-tier Tribunal involved the making of an error on a point of law.  Its decision</w:t>
      </w:r>
      <w:r w:rsidR="00E44AF7">
        <w:rPr>
          <w:rFonts w:ascii="Book Antiqua" w:hAnsi="Book Antiqua" w:cs="Arial"/>
        </w:rPr>
        <w:t xml:space="preserve"> having been set aside, we re-make the decision by dismissing the appeal.</w:t>
      </w:r>
      <w:r w:rsidRPr="00A63C6E">
        <w:rPr>
          <w:rFonts w:ascii="Book Antiqua" w:hAnsi="Book Antiqua" w:cs="Arial"/>
        </w:rPr>
        <w:t xml:space="preserve"> </w:t>
      </w:r>
    </w:p>
    <w:p w14:paraId="01F06E72" w14:textId="77777777" w:rsidR="00244A50" w:rsidRDefault="00244A50" w:rsidP="00A32B11">
      <w:pPr>
        <w:jc w:val="both"/>
        <w:rPr>
          <w:rFonts w:ascii="Book Antiqua" w:hAnsi="Book Antiqua" w:cs="Arial"/>
          <w:b/>
          <w:u w:val="single"/>
        </w:rPr>
      </w:pPr>
    </w:p>
    <w:p w14:paraId="6BD2F872" w14:textId="77777777" w:rsidR="00B27ED6" w:rsidRDefault="00B27ED6" w:rsidP="005D42C5">
      <w:pPr>
        <w:tabs>
          <w:tab w:val="left" w:pos="2520"/>
        </w:tabs>
        <w:ind w:left="540" w:hanging="540"/>
        <w:jc w:val="both"/>
        <w:rPr>
          <w:rFonts w:ascii="Book Antiqua" w:hAnsi="Book Antiqua" w:cs="Arial"/>
          <w:color w:val="000000"/>
        </w:rPr>
      </w:pPr>
    </w:p>
    <w:p w14:paraId="17921E7C" w14:textId="77777777" w:rsidR="00B95326" w:rsidRDefault="003543A1" w:rsidP="005D42C5">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proofErr w:type="spellStart"/>
      <w:r w:rsidR="00842E4B">
        <w:rPr>
          <w:rFonts w:ascii="Book Antiqua" w:hAnsi="Book Antiqua" w:cs="Arial"/>
          <w:color w:val="000000"/>
        </w:rPr>
        <w:t>Kopieczek</w:t>
      </w:r>
      <w:proofErr w:type="spellEnd"/>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441A91">
        <w:rPr>
          <w:rFonts w:ascii="Book Antiqua" w:hAnsi="Book Antiqua" w:cs="Arial"/>
          <w:color w:val="000000"/>
        </w:rPr>
        <w:tab/>
      </w:r>
      <w:r w:rsidR="00202B62">
        <w:rPr>
          <w:rFonts w:ascii="Book Antiqua" w:hAnsi="Book Antiqua" w:cs="Arial"/>
          <w:color w:val="000000"/>
        </w:rPr>
        <w:t>20</w:t>
      </w:r>
      <w:r w:rsidR="00E86BD9">
        <w:rPr>
          <w:rFonts w:ascii="Book Antiqua" w:hAnsi="Book Antiqua" w:cs="Arial"/>
          <w:color w:val="000000"/>
        </w:rPr>
        <w:t>/07/18</w:t>
      </w:r>
    </w:p>
    <w:p w14:paraId="5BA83245" w14:textId="77777777" w:rsidR="00A32B11" w:rsidRDefault="00A32B11" w:rsidP="005D42C5">
      <w:pPr>
        <w:tabs>
          <w:tab w:val="left" w:pos="2520"/>
        </w:tabs>
        <w:ind w:left="540" w:hanging="540"/>
        <w:jc w:val="both"/>
        <w:rPr>
          <w:rFonts w:ascii="Book Antiqua" w:hAnsi="Book Antiqua" w:cs="Arial"/>
          <w:color w:val="000000"/>
        </w:rPr>
      </w:pPr>
    </w:p>
    <w:sectPr w:rsidR="00A32B11"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C0F98" w14:textId="77777777" w:rsidR="00EC5AC3" w:rsidRDefault="00EC5AC3">
      <w:r>
        <w:separator/>
      </w:r>
    </w:p>
  </w:endnote>
  <w:endnote w:type="continuationSeparator" w:id="0">
    <w:p w14:paraId="68CFF089" w14:textId="77777777" w:rsidR="00EC5AC3" w:rsidRDefault="00EC5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BD82" w14:textId="5A3DDCEF" w:rsidR="006015B7" w:rsidRPr="001C5703" w:rsidRDefault="006015B7"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2845F7">
      <w:rPr>
        <w:rStyle w:val="PageNumber"/>
        <w:rFonts w:ascii="Book Antiqua" w:hAnsi="Book Antiqua" w:cs="Arial"/>
        <w:noProof/>
        <w:sz w:val="16"/>
        <w:szCs w:val="16"/>
      </w:rPr>
      <w:t>14</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32EC9" w14:textId="77777777" w:rsidR="006015B7" w:rsidRPr="001C5703" w:rsidRDefault="006015B7" w:rsidP="009A0C11">
    <w:pPr>
      <w:jc w:val="center"/>
      <w:rPr>
        <w:rFonts w:ascii="Book Antiqua" w:hAnsi="Book Antiqua" w:cs="Arial"/>
        <w:b/>
      </w:rPr>
    </w:pPr>
    <w:r w:rsidRPr="001C5703">
      <w:rPr>
        <w:rFonts w:ascii="Book Antiqua" w:hAnsi="Book Antiqua" w:cs="Arial"/>
        <w:b/>
        <w:spacing w:val="-6"/>
      </w:rPr>
      <w:t>©</w:t>
    </w:r>
    <w:r w:rsidR="006C3E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4448D" w14:textId="77777777" w:rsidR="00EC5AC3" w:rsidRDefault="00EC5AC3">
      <w:r>
        <w:separator/>
      </w:r>
    </w:p>
  </w:footnote>
  <w:footnote w:type="continuationSeparator" w:id="0">
    <w:p w14:paraId="42B7FB0E" w14:textId="77777777" w:rsidR="00EC5AC3" w:rsidRDefault="00EC5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F22B9" w14:textId="77777777" w:rsidR="006015B7" w:rsidRPr="001C5703" w:rsidRDefault="006015B7" w:rsidP="00593795">
    <w:pPr>
      <w:pStyle w:val="Header"/>
      <w:jc w:val="right"/>
      <w:rPr>
        <w:rFonts w:ascii="Book Antiqua" w:hAnsi="Book Antiqua" w:cs="Arial"/>
        <w:sz w:val="16"/>
        <w:szCs w:val="16"/>
      </w:rPr>
    </w:pPr>
    <w:r w:rsidRPr="001C5703">
      <w:rPr>
        <w:rFonts w:ascii="Book Antiqua" w:hAnsi="Book Antiqua" w:cs="Arial"/>
        <w:sz w:val="16"/>
        <w:szCs w:val="16"/>
      </w:rPr>
      <w:t>Appeal Number:</w:t>
    </w:r>
    <w:r>
      <w:rPr>
        <w:rFonts w:ascii="Book Antiqua" w:hAnsi="Book Antiqua" w:cs="Arial"/>
        <w:sz w:val="16"/>
        <w:szCs w:val="16"/>
      </w:rPr>
      <w:t xml:space="preserve"> </w:t>
    </w:r>
    <w:r w:rsidRPr="00E86257">
      <w:rPr>
        <w:rFonts w:ascii="Book Antiqua" w:hAnsi="Book Antiqua" w:cs="Arial"/>
        <w:sz w:val="16"/>
        <w:szCs w:val="16"/>
      </w:rPr>
      <w:t>DA/00359/2014</w:t>
    </w:r>
    <w:r w:rsidRPr="001C570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EC70" w14:textId="77777777" w:rsidR="006015B7" w:rsidRPr="001C5703" w:rsidRDefault="006015B7">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A09C1478"/>
    <w:lvl w:ilvl="0">
      <w:start w:val="1"/>
      <w:numFmt w:val="decimal"/>
      <w:lvlText w:val="%1."/>
      <w:lvlJc w:val="left"/>
      <w:pPr>
        <w:tabs>
          <w:tab w:val="num" w:pos="567"/>
        </w:tabs>
        <w:ind w:left="567" w:hanging="567"/>
      </w:pPr>
      <w:rPr>
        <w:rFonts w:hint="default"/>
        <w:b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44E5FEE"/>
    <w:multiLevelType w:val="hybridMultilevel"/>
    <w:tmpl w:val="F95A893E"/>
    <w:lvl w:ilvl="0" w:tplc="08090001">
      <w:start w:val="1"/>
      <w:numFmt w:val="bullet"/>
      <w:lvlText w:val=""/>
      <w:lvlJc w:val="left"/>
      <w:pPr>
        <w:ind w:left="1408" w:hanging="360"/>
      </w:pPr>
      <w:rPr>
        <w:rFonts w:ascii="Symbol" w:hAnsi="Symbol" w:hint="default"/>
      </w:rPr>
    </w:lvl>
    <w:lvl w:ilvl="1" w:tplc="08090003" w:tentative="1">
      <w:start w:val="1"/>
      <w:numFmt w:val="bullet"/>
      <w:lvlText w:val="o"/>
      <w:lvlJc w:val="left"/>
      <w:pPr>
        <w:ind w:left="2128" w:hanging="360"/>
      </w:pPr>
      <w:rPr>
        <w:rFonts w:ascii="Courier New" w:hAnsi="Courier New" w:cs="Courier New" w:hint="default"/>
      </w:rPr>
    </w:lvl>
    <w:lvl w:ilvl="2" w:tplc="08090005" w:tentative="1">
      <w:start w:val="1"/>
      <w:numFmt w:val="bullet"/>
      <w:lvlText w:val=""/>
      <w:lvlJc w:val="left"/>
      <w:pPr>
        <w:ind w:left="2848" w:hanging="360"/>
      </w:pPr>
      <w:rPr>
        <w:rFonts w:ascii="Wingdings" w:hAnsi="Wingdings" w:hint="default"/>
      </w:rPr>
    </w:lvl>
    <w:lvl w:ilvl="3" w:tplc="08090001" w:tentative="1">
      <w:start w:val="1"/>
      <w:numFmt w:val="bullet"/>
      <w:lvlText w:val=""/>
      <w:lvlJc w:val="left"/>
      <w:pPr>
        <w:ind w:left="3568" w:hanging="360"/>
      </w:pPr>
      <w:rPr>
        <w:rFonts w:ascii="Symbol" w:hAnsi="Symbol" w:hint="default"/>
      </w:rPr>
    </w:lvl>
    <w:lvl w:ilvl="4" w:tplc="08090003" w:tentative="1">
      <w:start w:val="1"/>
      <w:numFmt w:val="bullet"/>
      <w:lvlText w:val="o"/>
      <w:lvlJc w:val="left"/>
      <w:pPr>
        <w:ind w:left="4288" w:hanging="360"/>
      </w:pPr>
      <w:rPr>
        <w:rFonts w:ascii="Courier New" w:hAnsi="Courier New" w:cs="Courier New" w:hint="default"/>
      </w:rPr>
    </w:lvl>
    <w:lvl w:ilvl="5" w:tplc="08090005" w:tentative="1">
      <w:start w:val="1"/>
      <w:numFmt w:val="bullet"/>
      <w:lvlText w:val=""/>
      <w:lvlJc w:val="left"/>
      <w:pPr>
        <w:ind w:left="5008" w:hanging="360"/>
      </w:pPr>
      <w:rPr>
        <w:rFonts w:ascii="Wingdings" w:hAnsi="Wingdings" w:hint="default"/>
      </w:rPr>
    </w:lvl>
    <w:lvl w:ilvl="6" w:tplc="08090001" w:tentative="1">
      <w:start w:val="1"/>
      <w:numFmt w:val="bullet"/>
      <w:lvlText w:val=""/>
      <w:lvlJc w:val="left"/>
      <w:pPr>
        <w:ind w:left="5728" w:hanging="360"/>
      </w:pPr>
      <w:rPr>
        <w:rFonts w:ascii="Symbol" w:hAnsi="Symbol" w:hint="default"/>
      </w:rPr>
    </w:lvl>
    <w:lvl w:ilvl="7" w:tplc="08090003" w:tentative="1">
      <w:start w:val="1"/>
      <w:numFmt w:val="bullet"/>
      <w:lvlText w:val="o"/>
      <w:lvlJc w:val="left"/>
      <w:pPr>
        <w:ind w:left="6448" w:hanging="360"/>
      </w:pPr>
      <w:rPr>
        <w:rFonts w:ascii="Courier New" w:hAnsi="Courier New" w:cs="Courier New" w:hint="default"/>
      </w:rPr>
    </w:lvl>
    <w:lvl w:ilvl="8" w:tplc="08090005" w:tentative="1">
      <w:start w:val="1"/>
      <w:numFmt w:val="bullet"/>
      <w:lvlText w:val=""/>
      <w:lvlJc w:val="left"/>
      <w:pPr>
        <w:ind w:left="7168" w:hanging="360"/>
      </w:pPr>
      <w:rPr>
        <w:rFonts w:ascii="Wingdings" w:hAnsi="Wingdings" w:hint="default"/>
      </w:rPr>
    </w:lvl>
  </w:abstractNum>
  <w:abstractNum w:abstractNumId="3"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CE"/>
    <w:rsid w:val="00000621"/>
    <w:rsid w:val="000036C2"/>
    <w:rsid w:val="0000376D"/>
    <w:rsid w:val="00020BD2"/>
    <w:rsid w:val="00027758"/>
    <w:rsid w:val="00033D3D"/>
    <w:rsid w:val="00034FEB"/>
    <w:rsid w:val="00051B2F"/>
    <w:rsid w:val="00055D10"/>
    <w:rsid w:val="00062F02"/>
    <w:rsid w:val="00071A7E"/>
    <w:rsid w:val="000746C0"/>
    <w:rsid w:val="00074D1D"/>
    <w:rsid w:val="000858D5"/>
    <w:rsid w:val="00092580"/>
    <w:rsid w:val="000934D2"/>
    <w:rsid w:val="00093D4D"/>
    <w:rsid w:val="000A16A2"/>
    <w:rsid w:val="000D55C4"/>
    <w:rsid w:val="000D5D94"/>
    <w:rsid w:val="000F1A0E"/>
    <w:rsid w:val="000F2591"/>
    <w:rsid w:val="000F30BD"/>
    <w:rsid w:val="0010335F"/>
    <w:rsid w:val="0010523C"/>
    <w:rsid w:val="001165A7"/>
    <w:rsid w:val="00121F8E"/>
    <w:rsid w:val="001346A3"/>
    <w:rsid w:val="00144AD5"/>
    <w:rsid w:val="00154430"/>
    <w:rsid w:val="00164BAC"/>
    <w:rsid w:val="00167D3A"/>
    <w:rsid w:val="00171320"/>
    <w:rsid w:val="00174A01"/>
    <w:rsid w:val="001779CE"/>
    <w:rsid w:val="001801C7"/>
    <w:rsid w:val="0018317B"/>
    <w:rsid w:val="001A3082"/>
    <w:rsid w:val="001B186A"/>
    <w:rsid w:val="001B1E57"/>
    <w:rsid w:val="001B2F75"/>
    <w:rsid w:val="001C5571"/>
    <w:rsid w:val="001C5703"/>
    <w:rsid w:val="001C77C2"/>
    <w:rsid w:val="001F2716"/>
    <w:rsid w:val="00202221"/>
    <w:rsid w:val="00202B62"/>
    <w:rsid w:val="00207617"/>
    <w:rsid w:val="00212A0D"/>
    <w:rsid w:val="00215684"/>
    <w:rsid w:val="00225AC0"/>
    <w:rsid w:val="00225B4A"/>
    <w:rsid w:val="0023134B"/>
    <w:rsid w:val="00244044"/>
    <w:rsid w:val="00244A50"/>
    <w:rsid w:val="002467CC"/>
    <w:rsid w:val="00266C73"/>
    <w:rsid w:val="00266E48"/>
    <w:rsid w:val="00273385"/>
    <w:rsid w:val="00275A2C"/>
    <w:rsid w:val="00283659"/>
    <w:rsid w:val="002845F7"/>
    <w:rsid w:val="00284A9E"/>
    <w:rsid w:val="00294025"/>
    <w:rsid w:val="002C430A"/>
    <w:rsid w:val="002C6BD4"/>
    <w:rsid w:val="002D68BF"/>
    <w:rsid w:val="002F6B98"/>
    <w:rsid w:val="00302A0B"/>
    <w:rsid w:val="003127BB"/>
    <w:rsid w:val="0032279B"/>
    <w:rsid w:val="00324A4F"/>
    <w:rsid w:val="00336CBF"/>
    <w:rsid w:val="00341507"/>
    <w:rsid w:val="00343FE3"/>
    <w:rsid w:val="003543A1"/>
    <w:rsid w:val="003546C8"/>
    <w:rsid w:val="003854E7"/>
    <w:rsid w:val="003A7CF2"/>
    <w:rsid w:val="003C1118"/>
    <w:rsid w:val="003C3E59"/>
    <w:rsid w:val="003C5CE5"/>
    <w:rsid w:val="003E267B"/>
    <w:rsid w:val="003E4999"/>
    <w:rsid w:val="003E7CD1"/>
    <w:rsid w:val="003F7527"/>
    <w:rsid w:val="00402B9E"/>
    <w:rsid w:val="00415976"/>
    <w:rsid w:val="004249CB"/>
    <w:rsid w:val="00425826"/>
    <w:rsid w:val="0044127D"/>
    <w:rsid w:val="00441A91"/>
    <w:rsid w:val="0044357A"/>
    <w:rsid w:val="004448DB"/>
    <w:rsid w:val="00446C9A"/>
    <w:rsid w:val="00452F2B"/>
    <w:rsid w:val="00477193"/>
    <w:rsid w:val="00486222"/>
    <w:rsid w:val="00486CA1"/>
    <w:rsid w:val="004A1848"/>
    <w:rsid w:val="004A6F4A"/>
    <w:rsid w:val="004C1C5C"/>
    <w:rsid w:val="004E4717"/>
    <w:rsid w:val="004F1875"/>
    <w:rsid w:val="004F296E"/>
    <w:rsid w:val="00504F24"/>
    <w:rsid w:val="00507FEC"/>
    <w:rsid w:val="00510F0E"/>
    <w:rsid w:val="00520345"/>
    <w:rsid w:val="0052070D"/>
    <w:rsid w:val="00522C8A"/>
    <w:rsid w:val="00525E96"/>
    <w:rsid w:val="00544919"/>
    <w:rsid w:val="005479E1"/>
    <w:rsid w:val="00552779"/>
    <w:rsid w:val="00553E0A"/>
    <w:rsid w:val="005570FD"/>
    <w:rsid w:val="005575EA"/>
    <w:rsid w:val="00572FD2"/>
    <w:rsid w:val="0057790C"/>
    <w:rsid w:val="00580278"/>
    <w:rsid w:val="0058061A"/>
    <w:rsid w:val="00593795"/>
    <w:rsid w:val="005967E0"/>
    <w:rsid w:val="005A520C"/>
    <w:rsid w:val="005A75FF"/>
    <w:rsid w:val="005B1C60"/>
    <w:rsid w:val="005C2DBC"/>
    <w:rsid w:val="005D10AB"/>
    <w:rsid w:val="005D42C5"/>
    <w:rsid w:val="005F114F"/>
    <w:rsid w:val="005F7E04"/>
    <w:rsid w:val="006015B7"/>
    <w:rsid w:val="00601D8F"/>
    <w:rsid w:val="00615F38"/>
    <w:rsid w:val="00623626"/>
    <w:rsid w:val="00630EE5"/>
    <w:rsid w:val="00653E97"/>
    <w:rsid w:val="006763DB"/>
    <w:rsid w:val="00677CBD"/>
    <w:rsid w:val="00684A74"/>
    <w:rsid w:val="00690B8A"/>
    <w:rsid w:val="006929D1"/>
    <w:rsid w:val="00694ADF"/>
    <w:rsid w:val="006C3E42"/>
    <w:rsid w:val="006D15A7"/>
    <w:rsid w:val="006D2E4D"/>
    <w:rsid w:val="006D5CE4"/>
    <w:rsid w:val="006D5EDB"/>
    <w:rsid w:val="006F2CF1"/>
    <w:rsid w:val="006F3929"/>
    <w:rsid w:val="006F3F32"/>
    <w:rsid w:val="007028DD"/>
    <w:rsid w:val="007038ED"/>
    <w:rsid w:val="007039E0"/>
    <w:rsid w:val="00703BC3"/>
    <w:rsid w:val="00704B61"/>
    <w:rsid w:val="00736528"/>
    <w:rsid w:val="007552A9"/>
    <w:rsid w:val="00761858"/>
    <w:rsid w:val="0076589D"/>
    <w:rsid w:val="00767D59"/>
    <w:rsid w:val="00776E97"/>
    <w:rsid w:val="00780F86"/>
    <w:rsid w:val="00787C72"/>
    <w:rsid w:val="007912AD"/>
    <w:rsid w:val="007A33B5"/>
    <w:rsid w:val="007B0824"/>
    <w:rsid w:val="007B5D3C"/>
    <w:rsid w:val="007D37E8"/>
    <w:rsid w:val="007E3129"/>
    <w:rsid w:val="00821B72"/>
    <w:rsid w:val="00823097"/>
    <w:rsid w:val="00823EF2"/>
    <w:rsid w:val="00825DDF"/>
    <w:rsid w:val="008266E1"/>
    <w:rsid w:val="008303B8"/>
    <w:rsid w:val="0083159C"/>
    <w:rsid w:val="00833DCE"/>
    <w:rsid w:val="00842E4B"/>
    <w:rsid w:val="00871D34"/>
    <w:rsid w:val="00874F3A"/>
    <w:rsid w:val="0089054C"/>
    <w:rsid w:val="00890BFB"/>
    <w:rsid w:val="008927B1"/>
    <w:rsid w:val="008A030A"/>
    <w:rsid w:val="008A6F10"/>
    <w:rsid w:val="008B270C"/>
    <w:rsid w:val="008B5078"/>
    <w:rsid w:val="008C3D3D"/>
    <w:rsid w:val="008C75F7"/>
    <w:rsid w:val="008D4131"/>
    <w:rsid w:val="008E1011"/>
    <w:rsid w:val="008E1B28"/>
    <w:rsid w:val="008E683F"/>
    <w:rsid w:val="008F1932"/>
    <w:rsid w:val="0090307A"/>
    <w:rsid w:val="00904924"/>
    <w:rsid w:val="00921062"/>
    <w:rsid w:val="00931FE8"/>
    <w:rsid w:val="009405A9"/>
    <w:rsid w:val="009722BC"/>
    <w:rsid w:val="009727A3"/>
    <w:rsid w:val="00987774"/>
    <w:rsid w:val="00995847"/>
    <w:rsid w:val="009A0C11"/>
    <w:rsid w:val="009A0F87"/>
    <w:rsid w:val="009A11E8"/>
    <w:rsid w:val="009F5220"/>
    <w:rsid w:val="00A04CD3"/>
    <w:rsid w:val="00A10D82"/>
    <w:rsid w:val="00A127D5"/>
    <w:rsid w:val="00A15234"/>
    <w:rsid w:val="00A15C21"/>
    <w:rsid w:val="00A201AB"/>
    <w:rsid w:val="00A24FB5"/>
    <w:rsid w:val="00A265B1"/>
    <w:rsid w:val="00A31C8B"/>
    <w:rsid w:val="00A321B2"/>
    <w:rsid w:val="00A32B11"/>
    <w:rsid w:val="00A40893"/>
    <w:rsid w:val="00A40D5C"/>
    <w:rsid w:val="00A50497"/>
    <w:rsid w:val="00A509FA"/>
    <w:rsid w:val="00A5553E"/>
    <w:rsid w:val="00A57B3D"/>
    <w:rsid w:val="00A63C6E"/>
    <w:rsid w:val="00A70492"/>
    <w:rsid w:val="00A81751"/>
    <w:rsid w:val="00A845DC"/>
    <w:rsid w:val="00AD4834"/>
    <w:rsid w:val="00AD625E"/>
    <w:rsid w:val="00AE7219"/>
    <w:rsid w:val="00B03889"/>
    <w:rsid w:val="00B160A0"/>
    <w:rsid w:val="00B26AA2"/>
    <w:rsid w:val="00B27ED6"/>
    <w:rsid w:val="00B3524D"/>
    <w:rsid w:val="00B3703B"/>
    <w:rsid w:val="00B37E2D"/>
    <w:rsid w:val="00B40F69"/>
    <w:rsid w:val="00B46616"/>
    <w:rsid w:val="00B53E03"/>
    <w:rsid w:val="00B56B2E"/>
    <w:rsid w:val="00B6036A"/>
    <w:rsid w:val="00B7040A"/>
    <w:rsid w:val="00B83391"/>
    <w:rsid w:val="00B85D21"/>
    <w:rsid w:val="00B95326"/>
    <w:rsid w:val="00BA1C4F"/>
    <w:rsid w:val="00BA3A97"/>
    <w:rsid w:val="00BD1977"/>
    <w:rsid w:val="00BD2A4A"/>
    <w:rsid w:val="00BD4196"/>
    <w:rsid w:val="00BF22CA"/>
    <w:rsid w:val="00BF23BB"/>
    <w:rsid w:val="00C15957"/>
    <w:rsid w:val="00C24D4A"/>
    <w:rsid w:val="00C26032"/>
    <w:rsid w:val="00C2706E"/>
    <w:rsid w:val="00C345E1"/>
    <w:rsid w:val="00C360CE"/>
    <w:rsid w:val="00C43BFD"/>
    <w:rsid w:val="00C455D1"/>
    <w:rsid w:val="00C50462"/>
    <w:rsid w:val="00C6406A"/>
    <w:rsid w:val="00C7353C"/>
    <w:rsid w:val="00C861F6"/>
    <w:rsid w:val="00C96774"/>
    <w:rsid w:val="00C97F32"/>
    <w:rsid w:val="00CA5609"/>
    <w:rsid w:val="00CB6E35"/>
    <w:rsid w:val="00CC2D43"/>
    <w:rsid w:val="00CD4001"/>
    <w:rsid w:val="00CD5758"/>
    <w:rsid w:val="00CE1A46"/>
    <w:rsid w:val="00CE43D6"/>
    <w:rsid w:val="00D035C2"/>
    <w:rsid w:val="00D20757"/>
    <w:rsid w:val="00D21E8F"/>
    <w:rsid w:val="00D22636"/>
    <w:rsid w:val="00D40FD9"/>
    <w:rsid w:val="00D45316"/>
    <w:rsid w:val="00D53769"/>
    <w:rsid w:val="00D64505"/>
    <w:rsid w:val="00D76BC3"/>
    <w:rsid w:val="00D85C13"/>
    <w:rsid w:val="00D9111A"/>
    <w:rsid w:val="00D91BE3"/>
    <w:rsid w:val="00D94AFC"/>
    <w:rsid w:val="00D96B22"/>
    <w:rsid w:val="00DA00E4"/>
    <w:rsid w:val="00DB70AE"/>
    <w:rsid w:val="00DD3B8F"/>
    <w:rsid w:val="00DD5071"/>
    <w:rsid w:val="00DD5C39"/>
    <w:rsid w:val="00DE0177"/>
    <w:rsid w:val="00DE7DB7"/>
    <w:rsid w:val="00DF7309"/>
    <w:rsid w:val="00E00A0A"/>
    <w:rsid w:val="00E04AB0"/>
    <w:rsid w:val="00E066DE"/>
    <w:rsid w:val="00E07F57"/>
    <w:rsid w:val="00E30683"/>
    <w:rsid w:val="00E348C9"/>
    <w:rsid w:val="00E44AF7"/>
    <w:rsid w:val="00E453D8"/>
    <w:rsid w:val="00E50BCE"/>
    <w:rsid w:val="00E574BF"/>
    <w:rsid w:val="00E61292"/>
    <w:rsid w:val="00E74DB6"/>
    <w:rsid w:val="00E77C4D"/>
    <w:rsid w:val="00E81D01"/>
    <w:rsid w:val="00E81DD3"/>
    <w:rsid w:val="00E81F66"/>
    <w:rsid w:val="00E86257"/>
    <w:rsid w:val="00E86BD9"/>
    <w:rsid w:val="00EA1538"/>
    <w:rsid w:val="00EA1C69"/>
    <w:rsid w:val="00EB4A47"/>
    <w:rsid w:val="00EC23F8"/>
    <w:rsid w:val="00EC5AC3"/>
    <w:rsid w:val="00ED1807"/>
    <w:rsid w:val="00ED58D7"/>
    <w:rsid w:val="00EE1330"/>
    <w:rsid w:val="00EE3805"/>
    <w:rsid w:val="00EE45D8"/>
    <w:rsid w:val="00F07D34"/>
    <w:rsid w:val="00F22EDA"/>
    <w:rsid w:val="00F23D8A"/>
    <w:rsid w:val="00F24E8F"/>
    <w:rsid w:val="00F261F9"/>
    <w:rsid w:val="00F343D4"/>
    <w:rsid w:val="00F55BC8"/>
    <w:rsid w:val="00F56D87"/>
    <w:rsid w:val="00F71689"/>
    <w:rsid w:val="00FE5495"/>
    <w:rsid w:val="00FF02CC"/>
    <w:rsid w:val="00FF72EB"/>
    <w:rsid w:val="00FF7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7DAF35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default">
    <w:name w:val="default"/>
    <w:basedOn w:val="Normal"/>
    <w:rsid w:val="000D55C4"/>
    <w:pPr>
      <w:autoSpaceDE w:val="0"/>
      <w:autoSpaceDN w:val="0"/>
    </w:pPr>
    <w:rPr>
      <w:rFonts w:ascii="Arial" w:hAnsi="Arial" w:cs="Arial"/>
      <w:color w:val="000000"/>
    </w:rPr>
  </w:style>
  <w:style w:type="paragraph" w:customStyle="1" w:styleId="legrhs1">
    <w:name w:val="legrhs1"/>
    <w:basedOn w:val="Normal"/>
    <w:rsid w:val="000858D5"/>
    <w:pPr>
      <w:shd w:val="clear" w:color="auto" w:fill="FFFFFF"/>
      <w:spacing w:after="120" w:line="360" w:lineRule="atLeast"/>
      <w:jc w:val="both"/>
    </w:pPr>
    <w:rPr>
      <w:color w:val="000000"/>
      <w:sz w:val="19"/>
      <w:szCs w:val="19"/>
    </w:rPr>
  </w:style>
  <w:style w:type="character" w:customStyle="1" w:styleId="legamendquote1">
    <w:name w:val="legamendquote1"/>
    <w:rsid w:val="000858D5"/>
    <w:rPr>
      <w:b w:val="0"/>
      <w:bCs w:val="0"/>
      <w:i w:val="0"/>
      <w:iCs w:val="0"/>
    </w:rPr>
  </w:style>
  <w:style w:type="character" w:customStyle="1" w:styleId="legamendingtext">
    <w:name w:val="legamendingtext"/>
    <w:rsid w:val="000858D5"/>
  </w:style>
  <w:style w:type="character" w:customStyle="1" w:styleId="legds2">
    <w:name w:val="legds2"/>
    <w:rsid w:val="000858D5"/>
    <w:rPr>
      <w:vanish w:val="0"/>
      <w:webHidden w:val="0"/>
      <w:specVanish w:val="0"/>
    </w:rPr>
  </w:style>
  <w:style w:type="paragraph" w:customStyle="1" w:styleId="legclearfix2">
    <w:name w:val="legclearfix2"/>
    <w:basedOn w:val="Normal"/>
    <w:rsid w:val="000858D5"/>
    <w:pPr>
      <w:shd w:val="clear" w:color="auto" w:fill="FFFFFF"/>
      <w:spacing w:after="120" w:line="360" w:lineRule="atLeast"/>
    </w:pPr>
    <w:rPr>
      <w:color w:val="000000"/>
      <w:sz w:val="19"/>
      <w:szCs w:val="19"/>
    </w:rPr>
  </w:style>
  <w:style w:type="paragraph" w:styleId="Revision">
    <w:name w:val="Revision"/>
    <w:hidden/>
    <w:uiPriority w:val="99"/>
    <w:semiHidden/>
    <w:rsid w:val="004C1C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778812">
      <w:bodyDiv w:val="1"/>
      <w:marLeft w:val="0"/>
      <w:marRight w:val="0"/>
      <w:marTop w:val="0"/>
      <w:marBottom w:val="0"/>
      <w:divBdr>
        <w:top w:val="none" w:sz="0" w:space="0" w:color="auto"/>
        <w:left w:val="none" w:sz="0" w:space="0" w:color="auto"/>
        <w:bottom w:val="none" w:sz="0" w:space="0" w:color="auto"/>
        <w:right w:val="none" w:sz="0" w:space="0" w:color="auto"/>
      </w:divBdr>
      <w:divsChild>
        <w:div w:id="634992300">
          <w:marLeft w:val="0"/>
          <w:marRight w:val="0"/>
          <w:marTop w:val="0"/>
          <w:marBottom w:val="0"/>
          <w:divBdr>
            <w:top w:val="none" w:sz="0" w:space="0" w:color="auto"/>
            <w:left w:val="none" w:sz="0" w:space="0" w:color="auto"/>
            <w:bottom w:val="none" w:sz="0" w:space="0" w:color="auto"/>
            <w:right w:val="none" w:sz="0" w:space="0" w:color="auto"/>
          </w:divBdr>
          <w:divsChild>
            <w:div w:id="1183712017">
              <w:marLeft w:val="0"/>
              <w:marRight w:val="0"/>
              <w:marTop w:val="0"/>
              <w:marBottom w:val="0"/>
              <w:divBdr>
                <w:top w:val="none" w:sz="0" w:space="0" w:color="auto"/>
                <w:left w:val="none" w:sz="0" w:space="0" w:color="auto"/>
                <w:bottom w:val="none" w:sz="0" w:space="0" w:color="auto"/>
                <w:right w:val="none" w:sz="0" w:space="0" w:color="auto"/>
              </w:divBdr>
              <w:divsChild>
                <w:div w:id="894194836">
                  <w:marLeft w:val="0"/>
                  <w:marRight w:val="0"/>
                  <w:marTop w:val="0"/>
                  <w:marBottom w:val="0"/>
                  <w:divBdr>
                    <w:top w:val="none" w:sz="0" w:space="0" w:color="auto"/>
                    <w:left w:val="none" w:sz="0" w:space="0" w:color="auto"/>
                    <w:bottom w:val="none" w:sz="0" w:space="0" w:color="auto"/>
                    <w:right w:val="none" w:sz="0" w:space="0" w:color="auto"/>
                  </w:divBdr>
                  <w:divsChild>
                    <w:div w:id="1867060614">
                      <w:marLeft w:val="0"/>
                      <w:marRight w:val="0"/>
                      <w:marTop w:val="0"/>
                      <w:marBottom w:val="0"/>
                      <w:divBdr>
                        <w:top w:val="none" w:sz="0" w:space="0" w:color="auto"/>
                        <w:left w:val="none" w:sz="0" w:space="0" w:color="auto"/>
                        <w:bottom w:val="none" w:sz="0" w:space="0" w:color="auto"/>
                        <w:right w:val="none" w:sz="0" w:space="0" w:color="auto"/>
                      </w:divBdr>
                      <w:divsChild>
                        <w:div w:id="452138512">
                          <w:marLeft w:val="0"/>
                          <w:marRight w:val="0"/>
                          <w:marTop w:val="0"/>
                          <w:marBottom w:val="0"/>
                          <w:divBdr>
                            <w:top w:val="none" w:sz="0" w:space="0" w:color="auto"/>
                            <w:left w:val="none" w:sz="0" w:space="0" w:color="auto"/>
                            <w:bottom w:val="none" w:sz="0" w:space="0" w:color="auto"/>
                            <w:right w:val="none" w:sz="0" w:space="0" w:color="auto"/>
                          </w:divBdr>
                          <w:divsChild>
                            <w:div w:id="1881897046">
                              <w:marLeft w:val="0"/>
                              <w:marRight w:val="0"/>
                              <w:marTop w:val="0"/>
                              <w:marBottom w:val="0"/>
                              <w:divBdr>
                                <w:top w:val="none" w:sz="0" w:space="0" w:color="auto"/>
                                <w:left w:val="none" w:sz="0" w:space="0" w:color="auto"/>
                                <w:bottom w:val="none" w:sz="0" w:space="0" w:color="auto"/>
                                <w:right w:val="none" w:sz="0" w:space="0" w:color="auto"/>
                              </w:divBdr>
                              <w:divsChild>
                                <w:div w:id="653146552">
                                  <w:marLeft w:val="0"/>
                                  <w:marRight w:val="0"/>
                                  <w:marTop w:val="0"/>
                                  <w:marBottom w:val="0"/>
                                  <w:divBdr>
                                    <w:top w:val="none" w:sz="0" w:space="0" w:color="auto"/>
                                    <w:left w:val="none" w:sz="0" w:space="0" w:color="auto"/>
                                    <w:bottom w:val="none" w:sz="0" w:space="0" w:color="auto"/>
                                    <w:right w:val="none" w:sz="0" w:space="0" w:color="auto"/>
                                  </w:divBdr>
                                  <w:divsChild>
                                    <w:div w:id="1704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ukpga/2014/22/section/19/enacte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gislation.gov.uk/ukpga/2014/22/section/19/enac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6479</Words>
  <Characters>30463</Characters>
  <Application>Microsoft Office Word</Application>
  <DocSecurity>0</DocSecurity>
  <Lines>253</Lines>
  <Paragraphs>73</Paragraphs>
  <ScaleCrop>false</ScaleCrop>
  <Company/>
  <LinksUpToDate>false</LinksUpToDate>
  <CharactersWithSpaces>36869</CharactersWithSpaces>
  <SharedDoc>false</SharedDoc>
  <HLinks>
    <vt:vector size="12" baseType="variant">
      <vt:variant>
        <vt:i4>524359</vt:i4>
      </vt:variant>
      <vt:variant>
        <vt:i4>6</vt:i4>
      </vt:variant>
      <vt:variant>
        <vt:i4>0</vt:i4>
      </vt:variant>
      <vt:variant>
        <vt:i4>5</vt:i4>
      </vt:variant>
      <vt:variant>
        <vt:lpwstr>http://www.legislation.gov.uk/ukpga/2014/22/section/19/enacted</vt:lpwstr>
      </vt:variant>
      <vt:variant>
        <vt:lpwstr>p00131</vt:lpwstr>
      </vt:variant>
      <vt:variant>
        <vt:i4>589895</vt:i4>
      </vt:variant>
      <vt:variant>
        <vt:i4>3</vt:i4>
      </vt:variant>
      <vt:variant>
        <vt:i4>0</vt:i4>
      </vt:variant>
      <vt:variant>
        <vt:i4>5</vt:i4>
      </vt:variant>
      <vt:variant>
        <vt:lpwstr>http://www.legislation.gov.uk/ukpga/2014/22/section/19/enacted</vt:lpwstr>
      </vt:variant>
      <vt:variant>
        <vt:lpwstr>p00130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2018-08-10T12:07:00Z</dcterms:created>
  <dcterms:modified xsi:type="dcterms:W3CDTF">2018-08-10T12:07:00Z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