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8F548D" w:rsidP="00643BFC">
      <w:pPr>
        <w:jc w:val="center"/>
        <w:rPr>
          <w:rFonts w:ascii="Book Antiqua" w:hAnsi="Book Antiqua" w:cs="Arial"/>
          <w:caps/>
          <w:color w:val="000000"/>
          <w:sz w:val="16"/>
          <w:szCs w:val="16"/>
        </w:rPr>
      </w:pPr>
      <w:r>
        <w:rPr>
          <w:noProof/>
        </w:rPr>
        <w:drawing>
          <wp:inline distT="0" distB="0" distL="0" distR="0" wp14:anchorId="30F64C06" wp14:editId="73CF3E0B">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154C17"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24D27"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8F548D" w:rsidRPr="008F548D">
        <w:rPr>
          <w:rFonts w:ascii="Book Antiqua" w:hAnsi="Book Antiqua" w:cs="Arial"/>
          <w:color w:val="000000"/>
        </w:rPr>
        <w:t>DA/00384/2017</w:t>
      </w:r>
      <w:bookmarkEnd w:id="0"/>
    </w:p>
    <w:p w:rsidR="00C345E1" w:rsidRDefault="00C345E1" w:rsidP="00154C17">
      <w:pPr>
        <w:rPr>
          <w:rFonts w:ascii="Book Antiqua" w:hAnsi="Book Antiqua" w:cs="Arial"/>
          <w:color w:val="000000"/>
        </w:rPr>
      </w:pPr>
    </w:p>
    <w:p w:rsidR="0042376F" w:rsidRPr="000704BB" w:rsidRDefault="0042376F" w:rsidP="00154C17">
      <w:pP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0704BB" w:rsidTr="00265B39">
        <w:tc>
          <w:tcPr>
            <w:tcW w:w="586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8F548D">
              <w:rPr>
                <w:rFonts w:ascii="Book Antiqua" w:hAnsi="Book Antiqua" w:cs="Arial"/>
                <w:b/>
              </w:rPr>
              <w:t xml:space="preserve">Field House </w:t>
            </w:r>
          </w:p>
        </w:tc>
        <w:tc>
          <w:tcPr>
            <w:tcW w:w="3960" w:type="dxa"/>
          </w:tcPr>
          <w:p w:rsidR="00D22636" w:rsidRPr="000704BB" w:rsidRDefault="00265B39"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265B39">
        <w:tc>
          <w:tcPr>
            <w:tcW w:w="586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8F548D">
              <w:rPr>
                <w:rFonts w:ascii="Book Antiqua" w:hAnsi="Book Antiqua" w:cs="Arial"/>
                <w:b/>
              </w:rPr>
              <w:t>29</w:t>
            </w:r>
            <w:r w:rsidR="00A52AE4" w:rsidRPr="00A52AE4">
              <w:rPr>
                <w:rFonts w:ascii="Book Antiqua" w:hAnsi="Book Antiqua" w:cs="Arial"/>
                <w:b/>
                <w:vertAlign w:val="superscript"/>
              </w:rPr>
              <w:t>th</w:t>
            </w:r>
            <w:r w:rsidR="00A52AE4">
              <w:rPr>
                <w:rFonts w:ascii="Book Antiqua" w:hAnsi="Book Antiqua" w:cs="Arial"/>
                <w:b/>
              </w:rPr>
              <w:t xml:space="preserve"> </w:t>
            </w:r>
            <w:r w:rsidR="008F548D">
              <w:rPr>
                <w:rFonts w:ascii="Book Antiqua" w:hAnsi="Book Antiqua" w:cs="Arial"/>
                <w:b/>
              </w:rPr>
              <w:t>June 2018</w:t>
            </w:r>
          </w:p>
        </w:tc>
        <w:tc>
          <w:tcPr>
            <w:tcW w:w="3960" w:type="dxa"/>
          </w:tcPr>
          <w:p w:rsidR="00D22636" w:rsidRPr="000704BB" w:rsidRDefault="00AE0BC7" w:rsidP="004A1848">
            <w:pPr>
              <w:jc w:val="both"/>
              <w:rPr>
                <w:rFonts w:ascii="Book Antiqua" w:hAnsi="Book Antiqua" w:cs="Arial"/>
                <w:b/>
              </w:rPr>
            </w:pPr>
            <w:r>
              <w:rPr>
                <w:rFonts w:ascii="Book Antiqua" w:hAnsi="Book Antiqua" w:cs="Arial"/>
                <w:b/>
              </w:rPr>
              <w:t>On 18</w:t>
            </w:r>
            <w:r w:rsidRPr="00AE0BC7">
              <w:rPr>
                <w:rFonts w:ascii="Book Antiqua" w:hAnsi="Book Antiqua" w:cs="Arial"/>
                <w:b/>
                <w:vertAlign w:val="superscript"/>
              </w:rPr>
              <w:t>th</w:t>
            </w:r>
            <w:r>
              <w:rPr>
                <w:rFonts w:ascii="Book Antiqua" w:hAnsi="Book Antiqua" w:cs="Arial"/>
                <w:b/>
              </w:rPr>
              <w:t xml:space="preserve"> July 2018</w:t>
            </w:r>
          </w:p>
        </w:tc>
      </w:tr>
      <w:tr w:rsidR="00D22636" w:rsidRPr="000704BB" w:rsidTr="00265B39">
        <w:tc>
          <w:tcPr>
            <w:tcW w:w="5868" w:type="dxa"/>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Default="00D20757" w:rsidP="00A15234">
      <w:pPr>
        <w:jc w:val="center"/>
        <w:rPr>
          <w:rFonts w:ascii="Book Antiqua" w:hAnsi="Book Antiqua" w:cs="Arial"/>
          <w:b/>
        </w:rPr>
      </w:pPr>
    </w:p>
    <w:p w:rsidR="0042376F" w:rsidRPr="000704BB" w:rsidRDefault="0042376F"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8F548D" w:rsidRDefault="008F548D" w:rsidP="00A15234">
      <w:pPr>
        <w:jc w:val="center"/>
        <w:rPr>
          <w:rFonts w:ascii="Book Antiqua" w:hAnsi="Book Antiqua" w:cs="Arial"/>
          <w:b/>
          <w:caps/>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8F548D" w:rsidRPr="00024D27" w:rsidRDefault="008F548D" w:rsidP="008F548D">
      <w:pPr>
        <w:jc w:val="center"/>
        <w:rPr>
          <w:rFonts w:ascii="Book Antiqua" w:hAnsi="Book Antiqua" w:cs="Arial"/>
          <w:b/>
          <w:caps/>
        </w:rPr>
      </w:pPr>
      <w:r w:rsidRPr="008F548D">
        <w:rPr>
          <w:rFonts w:ascii="Book Antiqua" w:hAnsi="Book Antiqua" w:cs="Arial"/>
          <w:b/>
          <w:caps/>
        </w:rPr>
        <w:t>Victor</w:t>
      </w:r>
      <w:r>
        <w:rPr>
          <w:rFonts w:ascii="Book Antiqua" w:hAnsi="Book Antiqua" w:cs="Arial"/>
          <w:b/>
          <w:caps/>
        </w:rPr>
        <w:t xml:space="preserve"> </w:t>
      </w:r>
      <w:r w:rsidRPr="008F548D">
        <w:rPr>
          <w:rFonts w:ascii="Book Antiqua" w:hAnsi="Book Antiqua" w:cs="Arial"/>
          <w:b/>
          <w:caps/>
        </w:rPr>
        <w:t>Edagha</w:t>
      </w:r>
    </w:p>
    <w:p w:rsidR="008F548D" w:rsidRPr="000704BB" w:rsidRDefault="008F548D" w:rsidP="008F548D">
      <w:pPr>
        <w:jc w:val="center"/>
        <w:rPr>
          <w:rFonts w:ascii="Book Antiqua" w:hAnsi="Book Antiqua" w:cs="Arial"/>
          <w:b/>
        </w:rPr>
      </w:pPr>
      <w:r>
        <w:rPr>
          <w:rFonts w:ascii="Book Antiqua" w:hAnsi="Book Antiqua" w:cs="Arial"/>
          <w:b/>
          <w:caps/>
        </w:rPr>
        <w:t xml:space="preserve">(anonymity direction </w:t>
      </w:r>
      <w:r w:rsidR="007D7837">
        <w:rPr>
          <w:rFonts w:ascii="Book Antiqua" w:hAnsi="Book Antiqua" w:cs="Arial"/>
          <w:b/>
          <w:caps/>
        </w:rPr>
        <w:t>not made</w:t>
      </w:r>
      <w:r>
        <w:rPr>
          <w:rFonts w:ascii="Book Antiqua" w:hAnsi="Book Antiqua" w:cs="Arial"/>
          <w:b/>
          <w:caps/>
        </w:rPr>
        <w: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Default="00DD5071" w:rsidP="00DD5071">
      <w:pPr>
        <w:rPr>
          <w:rFonts w:ascii="Book Antiqua" w:hAnsi="Book Antiqua" w:cs="Arial"/>
          <w:u w:val="single"/>
        </w:rPr>
      </w:pPr>
    </w:p>
    <w:p w:rsidR="0042376F" w:rsidRPr="000704BB" w:rsidRDefault="0042376F"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7D7837">
        <w:rPr>
          <w:rFonts w:ascii="Book Antiqua" w:hAnsi="Book Antiqua" w:cs="Arial"/>
        </w:rPr>
        <w:t>Ms R Ahmad</w:t>
      </w:r>
      <w:r w:rsidR="00154C17">
        <w:rPr>
          <w:rFonts w:ascii="Book Antiqua" w:hAnsi="Book Antiqua" w:cs="Arial"/>
        </w:rPr>
        <w:t>, Home Office Presenting Officer</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7D7837">
        <w:rPr>
          <w:rFonts w:ascii="Book Antiqua" w:hAnsi="Book Antiqua" w:cs="Arial"/>
        </w:rPr>
        <w:t>Mr B Hoshi, instructed by BiD</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BF23BB"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154C17">
        <w:rPr>
          <w:rFonts w:ascii="Book Antiqua" w:hAnsi="Book Antiqua" w:cs="Arial"/>
        </w:rPr>
        <w:t xml:space="preserve">Although this is an appeal by the Secretary of State, I shall refer to the parties as in the First-tier Tribunal. </w:t>
      </w:r>
      <w:r w:rsidR="007D7837">
        <w:rPr>
          <w:rFonts w:ascii="Book Antiqua" w:hAnsi="Book Antiqua" w:cs="Arial"/>
        </w:rPr>
        <w:t xml:space="preserve">The Appellant is a citizen of Italy born on 10 July 1987.  His appeal against deportation was allowed by First-tier Tribunal Judge Lever on 22 November 2017.  </w:t>
      </w:r>
    </w:p>
    <w:p w:rsidR="007D7837" w:rsidRDefault="007D7837" w:rsidP="00265B39">
      <w:pPr>
        <w:ind w:left="567" w:hanging="567"/>
        <w:jc w:val="both"/>
        <w:rPr>
          <w:rFonts w:ascii="Book Antiqua" w:hAnsi="Book Antiqua" w:cs="Arial"/>
        </w:rPr>
      </w:pPr>
    </w:p>
    <w:p w:rsidR="00154C17" w:rsidRDefault="007D7837" w:rsidP="00154C17">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Secretary </w:t>
      </w:r>
      <w:r w:rsidR="00154C17">
        <w:rPr>
          <w:rFonts w:ascii="Book Antiqua" w:hAnsi="Book Antiqua" w:cs="Arial"/>
        </w:rPr>
        <w:t>of State appealed on the ground that the judge</w:t>
      </w:r>
      <w:r>
        <w:rPr>
          <w:rFonts w:ascii="Book Antiqua" w:hAnsi="Book Antiqua" w:cs="Arial"/>
        </w:rPr>
        <w:t xml:space="preserve"> materially erred in law in </w:t>
      </w:r>
      <w:r w:rsidR="00154C17">
        <w:rPr>
          <w:rFonts w:ascii="Book Antiqua" w:hAnsi="Book Antiqua" w:cs="Arial"/>
        </w:rPr>
        <w:t>his consideration of</w:t>
      </w:r>
      <w:r>
        <w:rPr>
          <w:rFonts w:ascii="Book Antiqua" w:hAnsi="Book Antiqua" w:cs="Arial"/>
        </w:rPr>
        <w:t xml:space="preserve"> proportionality of the Appellant’s deportation in accordance </w:t>
      </w:r>
      <w:r>
        <w:rPr>
          <w:rFonts w:ascii="Book Antiqua" w:hAnsi="Book Antiqua" w:cs="Arial"/>
        </w:rPr>
        <w:lastRenderedPageBreak/>
        <w:t>with Regulation 27(5) of the</w:t>
      </w:r>
      <w:r w:rsidR="009627B4">
        <w:rPr>
          <w:rFonts w:ascii="Book Antiqua" w:hAnsi="Book Antiqua" w:cs="Arial"/>
        </w:rPr>
        <w:t xml:space="preserve"> Immigration</w:t>
      </w:r>
      <w:r>
        <w:rPr>
          <w:rFonts w:ascii="Book Antiqua" w:hAnsi="Book Antiqua" w:cs="Arial"/>
        </w:rPr>
        <w:t xml:space="preserve"> </w:t>
      </w:r>
      <w:r w:rsidR="009627B4">
        <w:rPr>
          <w:rFonts w:ascii="Book Antiqua" w:hAnsi="Book Antiqua" w:cs="Arial"/>
        </w:rPr>
        <w:t>(</w:t>
      </w:r>
      <w:r>
        <w:rPr>
          <w:rFonts w:ascii="Book Antiqua" w:hAnsi="Book Antiqua" w:cs="Arial"/>
        </w:rPr>
        <w:t>EEA</w:t>
      </w:r>
      <w:r w:rsidR="009627B4">
        <w:rPr>
          <w:rFonts w:ascii="Book Antiqua" w:hAnsi="Book Antiqua" w:cs="Arial"/>
        </w:rPr>
        <w:t>)</w:t>
      </w:r>
      <w:r>
        <w:rPr>
          <w:rFonts w:ascii="Book Antiqua" w:hAnsi="Book Antiqua" w:cs="Arial"/>
        </w:rPr>
        <w:t xml:space="preserve"> Regulations 2016 and the judge failed to provide adequate reasons for finding</w:t>
      </w:r>
      <w:r w:rsidR="00154C17">
        <w:rPr>
          <w:rFonts w:ascii="Book Antiqua" w:hAnsi="Book Antiqua" w:cs="Arial"/>
        </w:rPr>
        <w:t>,</w:t>
      </w:r>
      <w:r>
        <w:rPr>
          <w:rFonts w:ascii="Book Antiqua" w:hAnsi="Book Antiqua" w:cs="Arial"/>
        </w:rPr>
        <w:t xml:space="preserve"> at paragraph 34</w:t>
      </w:r>
      <w:r w:rsidR="00154C17">
        <w:rPr>
          <w:rFonts w:ascii="Book Antiqua" w:hAnsi="Book Antiqua" w:cs="Arial"/>
        </w:rPr>
        <w:t>,</w:t>
      </w:r>
      <w:r>
        <w:rPr>
          <w:rFonts w:ascii="Book Antiqua" w:hAnsi="Book Antiqua" w:cs="Arial"/>
        </w:rPr>
        <w:t xml:space="preserve"> that the Appellant’s deportation would be disproportionate in accordance with Regulation 27(6</w:t>
      </w:r>
      <w:r w:rsidR="009627B4">
        <w:rPr>
          <w:rFonts w:ascii="Book Antiqua" w:hAnsi="Book Antiqua" w:cs="Arial"/>
        </w:rPr>
        <w:t>)</w:t>
      </w:r>
      <w:r>
        <w:rPr>
          <w:rFonts w:ascii="Book Antiqua" w:hAnsi="Book Antiqua" w:cs="Arial"/>
        </w:rPr>
        <w:t xml:space="preserve">.  </w:t>
      </w:r>
    </w:p>
    <w:p w:rsidR="00154C17" w:rsidRDefault="00154C17" w:rsidP="00265B39">
      <w:pPr>
        <w:ind w:left="567" w:hanging="567"/>
        <w:jc w:val="both"/>
        <w:rPr>
          <w:rFonts w:ascii="Book Antiqua" w:hAnsi="Book Antiqua" w:cs="Arial"/>
        </w:rPr>
      </w:pPr>
    </w:p>
    <w:p w:rsidR="00654D67" w:rsidRDefault="00654D67" w:rsidP="00154C17">
      <w:pPr>
        <w:ind w:left="567" w:hanging="567"/>
        <w:jc w:val="both"/>
        <w:rPr>
          <w:rFonts w:ascii="Book Antiqua" w:hAnsi="Book Antiqua" w:cs="Arial"/>
        </w:rPr>
      </w:pPr>
      <w:r>
        <w:rPr>
          <w:rFonts w:ascii="Book Antiqua" w:hAnsi="Book Antiqua" w:cs="Arial"/>
        </w:rPr>
        <w:t>3.</w:t>
      </w:r>
      <w:r>
        <w:rPr>
          <w:rFonts w:ascii="Book Antiqua" w:hAnsi="Book Antiqua" w:cs="Arial"/>
        </w:rPr>
        <w:tab/>
        <w:t>Permission to appeal was granted by Upper Tribunal Judge Kebede on</w:t>
      </w:r>
      <w:r w:rsidR="00154C17">
        <w:rPr>
          <w:rFonts w:ascii="Book Antiqua" w:hAnsi="Book Antiqua" w:cs="Arial"/>
        </w:rPr>
        <w:t xml:space="preserve"> 9</w:t>
      </w:r>
      <w:r>
        <w:rPr>
          <w:rFonts w:ascii="Book Antiqua" w:hAnsi="Book Antiqua" w:cs="Arial"/>
        </w:rPr>
        <w:t xml:space="preserve"> April 2018 on the following grounds:</w:t>
      </w:r>
    </w:p>
    <w:p w:rsidR="00787B02" w:rsidRDefault="00787B02" w:rsidP="00654D67">
      <w:pPr>
        <w:ind w:left="1134"/>
        <w:jc w:val="both"/>
        <w:rPr>
          <w:rFonts w:ascii="Book Antiqua" w:hAnsi="Book Antiqua" w:cs="Arial"/>
        </w:rPr>
      </w:pPr>
    </w:p>
    <w:p w:rsidR="00654D67" w:rsidRDefault="00654D67" w:rsidP="00654D67">
      <w:pPr>
        <w:ind w:left="1134"/>
        <w:jc w:val="both"/>
        <w:rPr>
          <w:rFonts w:ascii="Book Antiqua" w:hAnsi="Book Antiqua" w:cs="Arial"/>
        </w:rPr>
      </w:pPr>
      <w:r>
        <w:rPr>
          <w:rFonts w:ascii="Book Antiqua" w:hAnsi="Book Antiqua" w:cs="Arial"/>
        </w:rPr>
        <w:t>“There is arguable merit in the assertion in the grounds that the judge’s findings in relation to the Appellant’s offending were inconsistent with the fact of his conviction and that his findings on proportionality were inadequately reasoned.”</w:t>
      </w:r>
    </w:p>
    <w:p w:rsidR="00654D67" w:rsidRDefault="00654D67" w:rsidP="00654D67">
      <w:pPr>
        <w:jc w:val="both"/>
        <w:rPr>
          <w:rFonts w:ascii="Book Antiqua" w:hAnsi="Book Antiqua" w:cs="Arial"/>
        </w:rPr>
      </w:pPr>
    </w:p>
    <w:p w:rsidR="00154C17" w:rsidRDefault="00154C17" w:rsidP="00654D67">
      <w:pPr>
        <w:jc w:val="both"/>
        <w:rPr>
          <w:rFonts w:ascii="Book Antiqua" w:hAnsi="Book Antiqua" w:cs="Arial"/>
        </w:rPr>
      </w:pPr>
    </w:p>
    <w:p w:rsidR="00654D67" w:rsidRDefault="00154C17" w:rsidP="00654D67">
      <w:pPr>
        <w:jc w:val="both"/>
        <w:rPr>
          <w:rFonts w:ascii="Book Antiqua" w:hAnsi="Book Antiqua" w:cs="Arial"/>
          <w:b/>
          <w:u w:val="single"/>
        </w:rPr>
      </w:pPr>
      <w:r>
        <w:rPr>
          <w:rFonts w:ascii="Book Antiqua" w:hAnsi="Book Antiqua" w:cs="Arial"/>
          <w:b/>
          <w:u w:val="single"/>
        </w:rPr>
        <w:t>The judge’s decision</w:t>
      </w:r>
      <w:r w:rsidR="00654D67">
        <w:rPr>
          <w:rFonts w:ascii="Book Antiqua" w:hAnsi="Book Antiqua" w:cs="Arial"/>
          <w:b/>
          <w:u w:val="single"/>
        </w:rPr>
        <w:t xml:space="preserve"> </w:t>
      </w:r>
    </w:p>
    <w:p w:rsidR="00154C17" w:rsidRDefault="00154C17" w:rsidP="00654D67">
      <w:pPr>
        <w:jc w:val="both"/>
        <w:rPr>
          <w:rFonts w:ascii="Book Antiqua" w:hAnsi="Book Antiqua" w:cs="Arial"/>
          <w:b/>
          <w:u w:val="single"/>
        </w:rPr>
      </w:pPr>
    </w:p>
    <w:p w:rsidR="00654D67" w:rsidRDefault="00654D67" w:rsidP="00154C17">
      <w:pPr>
        <w:ind w:left="567" w:hanging="567"/>
        <w:jc w:val="both"/>
        <w:rPr>
          <w:rFonts w:ascii="Book Antiqua" w:hAnsi="Book Antiqua" w:cs="Arial"/>
        </w:rPr>
      </w:pPr>
      <w:r>
        <w:rPr>
          <w:rFonts w:ascii="Book Antiqua" w:hAnsi="Book Antiqua" w:cs="Arial"/>
        </w:rPr>
        <w:t>4.</w:t>
      </w:r>
      <w:r>
        <w:rPr>
          <w:rFonts w:ascii="Book Antiqua" w:hAnsi="Book Antiqua" w:cs="Arial"/>
        </w:rPr>
        <w:tab/>
      </w:r>
      <w:r w:rsidR="00154C17">
        <w:rPr>
          <w:rFonts w:ascii="Book Antiqua" w:hAnsi="Book Antiqua" w:cs="Arial"/>
        </w:rPr>
        <w:t>The judge made the following relevant findings:</w:t>
      </w:r>
    </w:p>
    <w:p w:rsidR="00154C17" w:rsidRDefault="00154C17" w:rsidP="00154C17">
      <w:pPr>
        <w:ind w:left="567" w:hanging="567"/>
        <w:jc w:val="both"/>
        <w:rPr>
          <w:rFonts w:ascii="Book Antiqua" w:hAnsi="Book Antiqua" w:cs="Arial"/>
        </w:rPr>
      </w:pPr>
    </w:p>
    <w:p w:rsidR="00654D67" w:rsidRDefault="00654D67" w:rsidP="00CE0DD4">
      <w:pPr>
        <w:ind w:left="1701" w:hanging="567"/>
        <w:jc w:val="both"/>
        <w:rPr>
          <w:rFonts w:ascii="Book Antiqua" w:hAnsi="Book Antiqua" w:cs="Arial"/>
        </w:rPr>
      </w:pPr>
      <w:r>
        <w:rPr>
          <w:rFonts w:ascii="Book Antiqua" w:hAnsi="Book Antiqua" w:cs="Arial"/>
        </w:rPr>
        <w:t>“31.</w:t>
      </w:r>
      <w:r>
        <w:rPr>
          <w:rFonts w:ascii="Book Antiqua" w:hAnsi="Book Antiqua" w:cs="Arial"/>
        </w:rPr>
        <w:tab/>
        <w:t>The reality seems to be that the Appellant committed no offences until</w:t>
      </w:r>
      <w:r w:rsidR="00154C17">
        <w:rPr>
          <w:rFonts w:ascii="Book Antiqua" w:hAnsi="Book Antiqua" w:cs="Arial"/>
        </w:rPr>
        <w:t xml:space="preserve"> the age of 25/26 years.</w:t>
      </w:r>
      <w:r>
        <w:rPr>
          <w:rFonts w:ascii="Book Antiqua" w:hAnsi="Book Antiqua" w:cs="Arial"/>
        </w:rPr>
        <w:t xml:space="preserve"> He has no convictions for the type of offences that do cause harm to the public and cause distress to individuals such as </w:t>
      </w:r>
      <w:r w:rsidR="00154C17">
        <w:rPr>
          <w:rFonts w:ascii="Book Antiqua" w:hAnsi="Book Antiqua" w:cs="Arial"/>
        </w:rPr>
        <w:t xml:space="preserve">referred to by the Respondent. </w:t>
      </w:r>
      <w:r>
        <w:rPr>
          <w:rFonts w:ascii="Book Antiqua" w:hAnsi="Book Antiqua" w:cs="Arial"/>
        </w:rPr>
        <w:t>As indicated above, the one offence that potentially caused upset and is a matter of concern was the common assault in March 2015 for which he</w:t>
      </w:r>
      <w:r w:rsidR="00154C17">
        <w:rPr>
          <w:rFonts w:ascii="Book Antiqua" w:hAnsi="Book Antiqua" w:cs="Arial"/>
        </w:rPr>
        <w:t xml:space="preserve"> was given a restraining order.</w:t>
      </w:r>
      <w:r>
        <w:rPr>
          <w:rFonts w:ascii="Book Antiqua" w:hAnsi="Book Antiqua" w:cs="Arial"/>
        </w:rPr>
        <w:t xml:space="preserve"> However, as I have indicated</w:t>
      </w:r>
      <w:r w:rsidR="00154C17">
        <w:rPr>
          <w:rFonts w:ascii="Book Antiqua" w:hAnsi="Book Antiqua" w:cs="Arial"/>
        </w:rPr>
        <w:t>,</w:t>
      </w:r>
      <w:r>
        <w:rPr>
          <w:rFonts w:ascii="Book Antiqua" w:hAnsi="Book Antiqua" w:cs="Arial"/>
        </w:rPr>
        <w:t xml:space="preserve"> there is no indication of any breach of that order during its twelve months’ duration.  Much of the recent offending is essentially focused on what appears to be low level aspects of public order offences centred around the fact that the Appellant appears to have been perceived by the police as a potential problem </w:t>
      </w:r>
      <w:r w:rsidR="00E33F67">
        <w:rPr>
          <w:rFonts w:ascii="Book Antiqua" w:hAnsi="Book Antiqua" w:cs="Arial"/>
        </w:rPr>
        <w:t>in</w:t>
      </w:r>
      <w:r>
        <w:rPr>
          <w:rFonts w:ascii="Book Antiqua" w:hAnsi="Book Antiqua" w:cs="Arial"/>
        </w:rPr>
        <w:t xml:space="preserve"> the area that they were policing although the Appellant either throughout or partly throughout the duration lived in that area.  There is no evidence of any actual criminality on the Appellant’s behalf other than the perception as such in the mind of the police other than his resistance and assault of a police constable within those circumstances.  I have already commented upon the fact that the PNC discloses the Appellant’s address appears to have been the very same area from which the Appellant was excluded by virtue of the CBO and the breaches </w:t>
      </w:r>
      <w:r w:rsidR="008D3F7F">
        <w:rPr>
          <w:rFonts w:ascii="Book Antiqua" w:hAnsi="Book Antiqua" w:cs="Arial"/>
        </w:rPr>
        <w:t xml:space="preserve">including a period of imprisonment appear to be for no more than walking within that area.  I do not find that on balance the Appellant’s behaviour is such that he presents as a genuine, present and sufficiently </w:t>
      </w:r>
      <w:r w:rsidR="00E33F67">
        <w:rPr>
          <w:rFonts w:ascii="Book Antiqua" w:hAnsi="Book Antiqua" w:cs="Arial"/>
        </w:rPr>
        <w:t xml:space="preserve">serious </w:t>
      </w:r>
      <w:r w:rsidR="008D3F7F">
        <w:rPr>
          <w:rFonts w:ascii="Book Antiqua" w:hAnsi="Book Antiqua" w:cs="Arial"/>
        </w:rPr>
        <w:t>threat affecting one of the fundamental interests of society including that referred to by the Respondent as a low level persistent offender.  The Respondent’s deportation letter as commented upon in the report by Mr Knight is somewhat overblown, speculative and, in parts, inaccurate.  In fairness the author of that letter is unlikely to be a lawyer, appears to be working, as do I, on restrictive evidence, and may be using cut and paste standardised paragraphs.  For those reasons I aim no criticism at the author of the letter.</w:t>
      </w:r>
    </w:p>
    <w:p w:rsidR="008D3F7F" w:rsidRDefault="008D3F7F" w:rsidP="008D3F7F">
      <w:pPr>
        <w:ind w:left="1134" w:hanging="567"/>
        <w:jc w:val="both"/>
        <w:rPr>
          <w:rFonts w:ascii="Book Antiqua" w:hAnsi="Book Antiqua" w:cs="Arial"/>
        </w:rPr>
      </w:pPr>
    </w:p>
    <w:p w:rsidR="008D3F7F" w:rsidRDefault="008D3F7F" w:rsidP="00CE0DD4">
      <w:pPr>
        <w:ind w:left="1701" w:hanging="567"/>
        <w:jc w:val="both"/>
        <w:rPr>
          <w:rFonts w:ascii="Book Antiqua" w:hAnsi="Book Antiqua" w:cs="Arial"/>
        </w:rPr>
      </w:pPr>
      <w:r>
        <w:rPr>
          <w:rFonts w:ascii="Book Antiqua" w:hAnsi="Book Antiqua" w:cs="Arial"/>
        </w:rPr>
        <w:lastRenderedPageBreak/>
        <w:t>32.</w:t>
      </w:r>
      <w:r>
        <w:rPr>
          <w:rFonts w:ascii="Book Antiqua" w:hAnsi="Book Antiqua" w:cs="Arial"/>
        </w:rPr>
        <w:tab/>
        <w:t xml:space="preserve">I have also and separately taken account of the evidence of the Appellant’s partner and Mr Steen, in terms of the Appellant’s private life and character generally.  Those are features that do no harm to the Appellant’s case.  </w:t>
      </w:r>
    </w:p>
    <w:p w:rsidR="008D3F7F" w:rsidRDefault="008D3F7F" w:rsidP="00CE0DD4">
      <w:pPr>
        <w:ind w:left="1701" w:hanging="567"/>
        <w:jc w:val="both"/>
        <w:rPr>
          <w:rFonts w:ascii="Book Antiqua" w:hAnsi="Book Antiqua" w:cs="Arial"/>
        </w:rPr>
      </w:pPr>
    </w:p>
    <w:p w:rsidR="008D3F7F" w:rsidRDefault="008D3F7F" w:rsidP="00CE0DD4">
      <w:pPr>
        <w:ind w:left="1701" w:hanging="567"/>
        <w:jc w:val="both"/>
        <w:rPr>
          <w:rFonts w:ascii="Book Antiqua" w:hAnsi="Book Antiqua" w:cs="Arial"/>
        </w:rPr>
      </w:pPr>
      <w:r>
        <w:rPr>
          <w:rFonts w:ascii="Book Antiqua" w:hAnsi="Book Antiqua" w:cs="Arial"/>
        </w:rPr>
        <w:t>33.</w:t>
      </w:r>
      <w:r>
        <w:rPr>
          <w:rFonts w:ascii="Book Antiqua" w:hAnsi="Book Antiqua" w:cs="Arial"/>
        </w:rPr>
        <w:tab/>
        <w:t>I have considered paragraph 35 of the Respondent’s letter which suggests an absence of evidence that the Appellant has successfully addressed the issu</w:t>
      </w:r>
      <w:r w:rsidR="00154C17">
        <w:rPr>
          <w:rFonts w:ascii="Book Antiqua" w:hAnsi="Book Antiqua" w:cs="Arial"/>
        </w:rPr>
        <w:t>es that prompted him to offend.</w:t>
      </w:r>
      <w:r>
        <w:rPr>
          <w:rFonts w:ascii="Book Antiqua" w:hAnsi="Book Antiqua" w:cs="Arial"/>
        </w:rPr>
        <w:t xml:space="preserve"> Frankly, that is a somewhat vague comment.  What are the issues?  It could however be said that the lack of breach of the restraining order over twelve months shows that in respect of that particular matter he had dealt with the issue.  His move out of the area where he was living and from which he was excluded has clearly addressed the issue that brought about the CBO in the first instance.  </w:t>
      </w:r>
    </w:p>
    <w:p w:rsidR="008D3F7F" w:rsidRDefault="008D3F7F" w:rsidP="00CE0DD4">
      <w:pPr>
        <w:ind w:left="1701" w:hanging="567"/>
        <w:jc w:val="both"/>
        <w:rPr>
          <w:rFonts w:ascii="Book Antiqua" w:hAnsi="Book Antiqua" w:cs="Arial"/>
        </w:rPr>
      </w:pPr>
    </w:p>
    <w:p w:rsidR="008D3F7F" w:rsidRDefault="008D3F7F" w:rsidP="00CE0DD4">
      <w:pPr>
        <w:ind w:left="1701" w:hanging="567"/>
        <w:jc w:val="both"/>
        <w:rPr>
          <w:rFonts w:ascii="Book Antiqua" w:hAnsi="Book Antiqua" w:cs="Arial"/>
        </w:rPr>
      </w:pPr>
      <w:r>
        <w:rPr>
          <w:rFonts w:ascii="Book Antiqua" w:hAnsi="Book Antiqua" w:cs="Arial"/>
        </w:rPr>
        <w:t>34.</w:t>
      </w:r>
      <w:r>
        <w:rPr>
          <w:rFonts w:ascii="Book Antiqua" w:hAnsi="Book Antiqua" w:cs="Arial"/>
        </w:rPr>
        <w:tab/>
        <w:t>I further consider when looking at paragraph 27(5) that removal of the Appellant would not in the circumstances of this case comply with the principle of proportionality.  In terms of Regulation 27(6) I have taken account of the fact that the Appellant has been in the UK some time, has worked and continues to work in the UK, has a partner who has been with him a little time, speaks good English, and appears to have integrated into UK society.  Accordingly and for all the reasons provided, I do not find in the circumstances that deportation of the Appellant is in accordance with the principles in Regulation 27(5) of the EEA Regulations 2016.”</w:t>
      </w:r>
    </w:p>
    <w:p w:rsidR="00764ED4" w:rsidRDefault="00764ED4" w:rsidP="00764ED4">
      <w:pPr>
        <w:ind w:left="567" w:hanging="567"/>
        <w:jc w:val="both"/>
        <w:rPr>
          <w:rFonts w:ascii="Book Antiqua" w:hAnsi="Book Antiqua" w:cs="Arial"/>
        </w:rPr>
      </w:pPr>
    </w:p>
    <w:p w:rsidR="00154C17" w:rsidRDefault="00154C17" w:rsidP="00764ED4">
      <w:pPr>
        <w:ind w:left="567" w:hanging="567"/>
        <w:jc w:val="both"/>
        <w:rPr>
          <w:rFonts w:ascii="Book Antiqua" w:hAnsi="Book Antiqua" w:cs="Arial"/>
        </w:rPr>
      </w:pPr>
    </w:p>
    <w:p w:rsidR="00764ED4" w:rsidRDefault="00E55AD6" w:rsidP="00764ED4">
      <w:pPr>
        <w:ind w:left="567" w:hanging="567"/>
        <w:jc w:val="both"/>
        <w:rPr>
          <w:rFonts w:ascii="Book Antiqua" w:hAnsi="Book Antiqua" w:cs="Arial"/>
        </w:rPr>
      </w:pPr>
      <w:r>
        <w:rPr>
          <w:rFonts w:ascii="Book Antiqua" w:hAnsi="Book Antiqua" w:cs="Arial"/>
        </w:rPr>
        <w:t>5</w:t>
      </w:r>
      <w:r w:rsidR="00764ED4">
        <w:rPr>
          <w:rFonts w:ascii="Book Antiqua" w:hAnsi="Book Antiqua" w:cs="Arial"/>
        </w:rPr>
        <w:t>.</w:t>
      </w:r>
      <w:r w:rsidR="00764ED4">
        <w:rPr>
          <w:rFonts w:ascii="Book Antiqua" w:hAnsi="Book Antiqua" w:cs="Arial"/>
        </w:rPr>
        <w:tab/>
      </w:r>
      <w:r w:rsidR="00764ED4" w:rsidRPr="00C129E7">
        <w:rPr>
          <w:rFonts w:ascii="Book Antiqua" w:hAnsi="Book Antiqua" w:cs="Arial"/>
          <w:b/>
          <w:u w:val="single"/>
        </w:rPr>
        <w:t xml:space="preserve">The Appellant’s </w:t>
      </w:r>
      <w:r w:rsidR="002A7CC7" w:rsidRPr="00C129E7">
        <w:rPr>
          <w:rFonts w:ascii="Book Antiqua" w:hAnsi="Book Antiqua" w:cs="Arial"/>
          <w:b/>
          <w:u w:val="single"/>
        </w:rPr>
        <w:t>previous convictions</w:t>
      </w:r>
      <w:r w:rsidR="00C129E7">
        <w:rPr>
          <w:rFonts w:ascii="Book Antiqua" w:hAnsi="Book Antiqua" w:cs="Arial"/>
        </w:rPr>
        <w:t>:</w:t>
      </w:r>
      <w:r w:rsidR="002A7CC7">
        <w:rPr>
          <w:rFonts w:ascii="Book Antiqua" w:hAnsi="Book Antiqua" w:cs="Arial"/>
        </w:rPr>
        <w:t xml:space="preserve">  </w:t>
      </w:r>
    </w:p>
    <w:p w:rsidR="004C4C42" w:rsidRDefault="004C4C42" w:rsidP="00764ED4">
      <w:pPr>
        <w:ind w:left="567" w:hanging="567"/>
        <w:jc w:val="both"/>
        <w:rPr>
          <w:rFonts w:ascii="Book Antiqua" w:hAnsi="Book Antiqua" w:cs="Arial"/>
        </w:rPr>
      </w:pPr>
    </w:p>
    <w:tbl>
      <w:tblPr>
        <w:tblStyle w:val="TableGrid"/>
        <w:tblW w:w="934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3512"/>
        <w:gridCol w:w="22"/>
      </w:tblGrid>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8 February 2013</w:t>
            </w:r>
          </w:p>
        </w:tc>
        <w:tc>
          <w:tcPr>
            <w:tcW w:w="3260" w:type="dxa"/>
          </w:tcPr>
          <w:p w:rsidR="004C4C42" w:rsidRDefault="004C4C42" w:rsidP="00764ED4">
            <w:pPr>
              <w:jc w:val="both"/>
              <w:rPr>
                <w:rFonts w:ascii="Book Antiqua" w:hAnsi="Book Antiqua" w:cs="Arial"/>
              </w:rPr>
            </w:pPr>
            <w:r>
              <w:rPr>
                <w:rFonts w:ascii="Book Antiqua" w:hAnsi="Book Antiqua" w:cs="Arial"/>
              </w:rPr>
              <w:t>Resi</w:t>
            </w:r>
            <w:r w:rsidR="001A198F">
              <w:rPr>
                <w:rFonts w:ascii="Book Antiqua" w:hAnsi="Book Antiqua" w:cs="Arial"/>
              </w:rPr>
              <w:t>s</w:t>
            </w:r>
            <w:r>
              <w:rPr>
                <w:rFonts w:ascii="Book Antiqua" w:hAnsi="Book Antiqua" w:cs="Arial"/>
              </w:rPr>
              <w:t>t or obstruct constable</w:t>
            </w:r>
          </w:p>
        </w:tc>
        <w:tc>
          <w:tcPr>
            <w:tcW w:w="3512" w:type="dxa"/>
          </w:tcPr>
          <w:p w:rsidR="004C4C42" w:rsidRDefault="004C4C42" w:rsidP="00764ED4">
            <w:pPr>
              <w:jc w:val="both"/>
              <w:rPr>
                <w:rFonts w:ascii="Book Antiqua" w:hAnsi="Book Antiqua" w:cs="Arial"/>
              </w:rPr>
            </w:pPr>
            <w:r>
              <w:rPr>
                <w:rFonts w:ascii="Book Antiqua" w:hAnsi="Book Antiqua" w:cs="Arial"/>
              </w:rPr>
              <w:t>Fine £110</w:t>
            </w:r>
          </w:p>
          <w:p w:rsidR="00154C17" w:rsidRDefault="00154C17" w:rsidP="00764ED4">
            <w:pPr>
              <w:jc w:val="both"/>
              <w:rPr>
                <w:rFonts w:ascii="Book Antiqua" w:hAnsi="Book Antiqua" w:cs="Arial"/>
              </w:rPr>
            </w:pPr>
          </w:p>
        </w:tc>
      </w:tr>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28 February 2013</w:t>
            </w:r>
          </w:p>
        </w:tc>
        <w:tc>
          <w:tcPr>
            <w:tcW w:w="3260" w:type="dxa"/>
          </w:tcPr>
          <w:p w:rsidR="004C4C42" w:rsidRDefault="004C4C42" w:rsidP="00764ED4">
            <w:pPr>
              <w:jc w:val="both"/>
              <w:rPr>
                <w:rFonts w:ascii="Book Antiqua" w:hAnsi="Book Antiqua" w:cs="Arial"/>
              </w:rPr>
            </w:pPr>
            <w:r>
              <w:rPr>
                <w:rFonts w:ascii="Book Antiqua" w:hAnsi="Book Antiqua" w:cs="Arial"/>
              </w:rPr>
              <w:t>Destroy or damage property</w:t>
            </w:r>
          </w:p>
        </w:tc>
        <w:tc>
          <w:tcPr>
            <w:tcW w:w="3512" w:type="dxa"/>
          </w:tcPr>
          <w:p w:rsidR="004C4C42" w:rsidRDefault="004C4C42" w:rsidP="00154C17">
            <w:pPr>
              <w:rPr>
                <w:rFonts w:ascii="Book Antiqua" w:hAnsi="Book Antiqua" w:cs="Arial"/>
              </w:rPr>
            </w:pPr>
            <w:r>
              <w:rPr>
                <w:rFonts w:ascii="Book Antiqua" w:hAnsi="Book Antiqua" w:cs="Arial"/>
              </w:rPr>
              <w:t>Conditional discharge six months</w:t>
            </w:r>
          </w:p>
          <w:p w:rsidR="00154C17" w:rsidRDefault="00154C17" w:rsidP="00154C17">
            <w:pPr>
              <w:rPr>
                <w:rFonts w:ascii="Book Antiqua" w:hAnsi="Book Antiqua" w:cs="Arial"/>
              </w:rPr>
            </w:pPr>
          </w:p>
        </w:tc>
      </w:tr>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25 May 2014</w:t>
            </w:r>
          </w:p>
        </w:tc>
        <w:tc>
          <w:tcPr>
            <w:tcW w:w="3260" w:type="dxa"/>
          </w:tcPr>
          <w:p w:rsidR="004C4C42" w:rsidRDefault="004C4C42" w:rsidP="00764ED4">
            <w:pPr>
              <w:jc w:val="both"/>
              <w:rPr>
                <w:rFonts w:ascii="Book Antiqua" w:hAnsi="Book Antiqua" w:cs="Arial"/>
              </w:rPr>
            </w:pPr>
            <w:r>
              <w:rPr>
                <w:rFonts w:ascii="Book Antiqua" w:hAnsi="Book Antiqua" w:cs="Arial"/>
              </w:rPr>
              <w:t>Common assault</w:t>
            </w:r>
          </w:p>
        </w:tc>
        <w:tc>
          <w:tcPr>
            <w:tcW w:w="3512" w:type="dxa"/>
          </w:tcPr>
          <w:p w:rsidR="004C4C42" w:rsidRDefault="004C4C42" w:rsidP="00764ED4">
            <w:pPr>
              <w:jc w:val="both"/>
              <w:rPr>
                <w:rFonts w:ascii="Book Antiqua" w:hAnsi="Book Antiqua" w:cs="Arial"/>
              </w:rPr>
            </w:pPr>
            <w:r>
              <w:rPr>
                <w:rFonts w:ascii="Book Antiqua" w:hAnsi="Book Antiqua" w:cs="Arial"/>
              </w:rPr>
              <w:t>Fine £150</w:t>
            </w:r>
          </w:p>
        </w:tc>
      </w:tr>
      <w:tr w:rsidR="00154C17" w:rsidTr="00E745C6">
        <w:trPr>
          <w:gridAfter w:val="1"/>
          <w:wAfter w:w="22" w:type="dxa"/>
        </w:trPr>
        <w:tc>
          <w:tcPr>
            <w:tcW w:w="2547" w:type="dxa"/>
          </w:tcPr>
          <w:p w:rsidR="00154C17" w:rsidRDefault="00154C17" w:rsidP="00764ED4">
            <w:pPr>
              <w:jc w:val="both"/>
              <w:rPr>
                <w:rFonts w:ascii="Book Antiqua" w:hAnsi="Book Antiqua" w:cs="Arial"/>
              </w:rPr>
            </w:pPr>
          </w:p>
        </w:tc>
        <w:tc>
          <w:tcPr>
            <w:tcW w:w="3260" w:type="dxa"/>
          </w:tcPr>
          <w:p w:rsidR="00154C17" w:rsidRDefault="00154C17" w:rsidP="00764ED4">
            <w:pPr>
              <w:jc w:val="both"/>
              <w:rPr>
                <w:rFonts w:ascii="Book Antiqua" w:hAnsi="Book Antiqua" w:cs="Arial"/>
              </w:rPr>
            </w:pPr>
          </w:p>
        </w:tc>
        <w:tc>
          <w:tcPr>
            <w:tcW w:w="3512" w:type="dxa"/>
          </w:tcPr>
          <w:p w:rsidR="00154C17" w:rsidRDefault="00154C17" w:rsidP="00764ED4">
            <w:pPr>
              <w:jc w:val="both"/>
              <w:rPr>
                <w:rFonts w:ascii="Book Antiqua" w:hAnsi="Book Antiqua" w:cs="Arial"/>
              </w:rPr>
            </w:pPr>
          </w:p>
        </w:tc>
      </w:tr>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6 October 2014</w:t>
            </w:r>
          </w:p>
        </w:tc>
        <w:tc>
          <w:tcPr>
            <w:tcW w:w="3260" w:type="dxa"/>
          </w:tcPr>
          <w:p w:rsidR="004C4C42" w:rsidRDefault="004C4C42" w:rsidP="00154C17">
            <w:pPr>
              <w:rPr>
                <w:rFonts w:ascii="Book Antiqua" w:hAnsi="Book Antiqua" w:cs="Arial"/>
              </w:rPr>
            </w:pPr>
            <w:r>
              <w:rPr>
                <w:rFonts w:ascii="Book Antiqua" w:hAnsi="Book Antiqua" w:cs="Arial"/>
              </w:rPr>
              <w:t>Failure to surrender to custody</w:t>
            </w:r>
          </w:p>
        </w:tc>
        <w:tc>
          <w:tcPr>
            <w:tcW w:w="3512" w:type="dxa"/>
          </w:tcPr>
          <w:p w:rsidR="004C4C42" w:rsidRDefault="004C4C42" w:rsidP="00764ED4">
            <w:pPr>
              <w:jc w:val="both"/>
              <w:rPr>
                <w:rFonts w:ascii="Book Antiqua" w:hAnsi="Book Antiqua" w:cs="Arial"/>
              </w:rPr>
            </w:pPr>
            <w:r>
              <w:rPr>
                <w:rFonts w:ascii="Book Antiqua" w:hAnsi="Book Antiqua" w:cs="Arial"/>
              </w:rPr>
              <w:t>No separate penalty</w:t>
            </w:r>
          </w:p>
          <w:p w:rsidR="00154C17" w:rsidRDefault="00154C17" w:rsidP="00764ED4">
            <w:pPr>
              <w:jc w:val="both"/>
              <w:rPr>
                <w:rFonts w:ascii="Book Antiqua" w:hAnsi="Book Antiqua" w:cs="Arial"/>
              </w:rPr>
            </w:pPr>
          </w:p>
          <w:p w:rsidR="00154C17" w:rsidRDefault="00154C17" w:rsidP="00764ED4">
            <w:pPr>
              <w:jc w:val="both"/>
              <w:rPr>
                <w:rFonts w:ascii="Book Antiqua" w:hAnsi="Book Antiqua" w:cs="Arial"/>
              </w:rPr>
            </w:pPr>
          </w:p>
        </w:tc>
      </w:tr>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18 November 2015</w:t>
            </w:r>
          </w:p>
        </w:tc>
        <w:tc>
          <w:tcPr>
            <w:tcW w:w="3260" w:type="dxa"/>
          </w:tcPr>
          <w:p w:rsidR="004C4C42" w:rsidRDefault="004C4C42" w:rsidP="00764ED4">
            <w:pPr>
              <w:jc w:val="both"/>
              <w:rPr>
                <w:rFonts w:ascii="Book Antiqua" w:hAnsi="Book Antiqua" w:cs="Arial"/>
              </w:rPr>
            </w:pPr>
            <w:r>
              <w:rPr>
                <w:rFonts w:ascii="Book Antiqua" w:hAnsi="Book Antiqua" w:cs="Arial"/>
              </w:rPr>
              <w:t>Common assault</w:t>
            </w:r>
          </w:p>
        </w:tc>
        <w:tc>
          <w:tcPr>
            <w:tcW w:w="3512" w:type="dxa"/>
          </w:tcPr>
          <w:p w:rsidR="004C4C42" w:rsidRDefault="004C4C42" w:rsidP="00154C17">
            <w:pPr>
              <w:rPr>
                <w:rFonts w:ascii="Book Antiqua" w:hAnsi="Book Antiqua" w:cs="Arial"/>
              </w:rPr>
            </w:pPr>
            <w:r>
              <w:rPr>
                <w:rFonts w:ascii="Book Antiqua" w:hAnsi="Book Antiqua" w:cs="Arial"/>
              </w:rPr>
              <w:t>Restraining order, protection from harassment twelve months</w:t>
            </w:r>
          </w:p>
        </w:tc>
      </w:tr>
      <w:tr w:rsidR="004C4C42" w:rsidTr="00E745C6">
        <w:trPr>
          <w:gridAfter w:val="1"/>
          <w:wAfter w:w="22" w:type="dxa"/>
        </w:trPr>
        <w:tc>
          <w:tcPr>
            <w:tcW w:w="2547" w:type="dxa"/>
          </w:tcPr>
          <w:p w:rsidR="00154C17" w:rsidRDefault="00154C17" w:rsidP="00764ED4">
            <w:pPr>
              <w:jc w:val="both"/>
              <w:rPr>
                <w:rFonts w:ascii="Book Antiqua" w:hAnsi="Book Antiqua" w:cs="Arial"/>
              </w:rPr>
            </w:pPr>
          </w:p>
          <w:p w:rsidR="004C4C42" w:rsidRDefault="004C4C42" w:rsidP="00764ED4">
            <w:pPr>
              <w:jc w:val="both"/>
              <w:rPr>
                <w:rFonts w:ascii="Book Antiqua" w:hAnsi="Book Antiqua" w:cs="Arial"/>
              </w:rPr>
            </w:pPr>
            <w:r>
              <w:rPr>
                <w:rFonts w:ascii="Book Antiqua" w:hAnsi="Book Antiqua" w:cs="Arial"/>
              </w:rPr>
              <w:t>13 June 2016</w:t>
            </w:r>
          </w:p>
        </w:tc>
        <w:tc>
          <w:tcPr>
            <w:tcW w:w="3260" w:type="dxa"/>
          </w:tcPr>
          <w:p w:rsidR="00154C17" w:rsidRDefault="00154C17" w:rsidP="00764ED4">
            <w:pPr>
              <w:jc w:val="both"/>
              <w:rPr>
                <w:rFonts w:ascii="Book Antiqua" w:hAnsi="Book Antiqua" w:cs="Arial"/>
              </w:rPr>
            </w:pPr>
          </w:p>
          <w:p w:rsidR="004C4C42" w:rsidRDefault="004C4C42" w:rsidP="00764ED4">
            <w:pPr>
              <w:jc w:val="both"/>
              <w:rPr>
                <w:rFonts w:ascii="Book Antiqua" w:hAnsi="Book Antiqua" w:cs="Arial"/>
              </w:rPr>
            </w:pPr>
            <w:r>
              <w:rPr>
                <w:rFonts w:ascii="Book Antiqua" w:hAnsi="Book Antiqua" w:cs="Arial"/>
              </w:rPr>
              <w:t>Battery</w:t>
            </w:r>
          </w:p>
        </w:tc>
        <w:tc>
          <w:tcPr>
            <w:tcW w:w="3512" w:type="dxa"/>
          </w:tcPr>
          <w:p w:rsidR="00154C17" w:rsidRDefault="00154C17" w:rsidP="00764ED4">
            <w:pPr>
              <w:jc w:val="both"/>
              <w:rPr>
                <w:rFonts w:ascii="Book Antiqua" w:hAnsi="Book Antiqua" w:cs="Arial"/>
              </w:rPr>
            </w:pPr>
          </w:p>
          <w:p w:rsidR="004C4C42" w:rsidRDefault="004C4C42" w:rsidP="00764ED4">
            <w:pPr>
              <w:jc w:val="both"/>
              <w:rPr>
                <w:rFonts w:ascii="Book Antiqua" w:hAnsi="Book Antiqua" w:cs="Arial"/>
              </w:rPr>
            </w:pPr>
            <w:r>
              <w:rPr>
                <w:rFonts w:ascii="Book Antiqua" w:hAnsi="Book Antiqua" w:cs="Arial"/>
              </w:rPr>
              <w:t>Fine £120</w:t>
            </w:r>
          </w:p>
          <w:p w:rsidR="00C129E7" w:rsidRDefault="00C129E7" w:rsidP="00764ED4">
            <w:pPr>
              <w:jc w:val="both"/>
              <w:rPr>
                <w:rFonts w:ascii="Book Antiqua" w:hAnsi="Book Antiqua" w:cs="Arial"/>
              </w:rPr>
            </w:pPr>
          </w:p>
        </w:tc>
      </w:tr>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5 October 2016</w:t>
            </w:r>
          </w:p>
        </w:tc>
        <w:tc>
          <w:tcPr>
            <w:tcW w:w="3260" w:type="dxa"/>
          </w:tcPr>
          <w:p w:rsidR="004C4C42" w:rsidRDefault="004C4C42" w:rsidP="00764ED4">
            <w:pPr>
              <w:jc w:val="both"/>
              <w:rPr>
                <w:rFonts w:ascii="Book Antiqua" w:hAnsi="Book Antiqua" w:cs="Arial"/>
              </w:rPr>
            </w:pPr>
            <w:r>
              <w:rPr>
                <w:rFonts w:ascii="Book Antiqua" w:hAnsi="Book Antiqua" w:cs="Arial"/>
              </w:rPr>
              <w:t>Assault on a constable</w:t>
            </w:r>
          </w:p>
        </w:tc>
        <w:tc>
          <w:tcPr>
            <w:tcW w:w="3512" w:type="dxa"/>
          </w:tcPr>
          <w:p w:rsidR="004C4C42" w:rsidRDefault="004C4C42" w:rsidP="00C129E7">
            <w:pPr>
              <w:rPr>
                <w:rFonts w:ascii="Book Antiqua" w:hAnsi="Book Antiqua" w:cs="Arial"/>
              </w:rPr>
            </w:pPr>
            <w:r>
              <w:rPr>
                <w:rFonts w:ascii="Book Antiqua" w:hAnsi="Book Antiqua" w:cs="Arial"/>
              </w:rPr>
              <w:t>Community order</w:t>
            </w:r>
            <w:r w:rsidR="00483554">
              <w:rPr>
                <w:rFonts w:ascii="Book Antiqua" w:hAnsi="Book Antiqua" w:cs="Arial"/>
              </w:rPr>
              <w:t>, 9 December 2017</w:t>
            </w:r>
            <w:r>
              <w:rPr>
                <w:rFonts w:ascii="Book Antiqua" w:hAnsi="Book Antiqua" w:cs="Arial"/>
              </w:rPr>
              <w:t>, unpaid work requirement</w:t>
            </w:r>
          </w:p>
        </w:tc>
      </w:tr>
      <w:tr w:rsidR="000566A2" w:rsidTr="00E745C6">
        <w:tc>
          <w:tcPr>
            <w:tcW w:w="9341" w:type="dxa"/>
            <w:gridSpan w:val="4"/>
          </w:tcPr>
          <w:p w:rsidR="000566A2" w:rsidRDefault="000566A2" w:rsidP="00764ED4">
            <w:pPr>
              <w:jc w:val="both"/>
              <w:rPr>
                <w:rFonts w:ascii="Book Antiqua" w:hAnsi="Book Antiqua" w:cs="Arial"/>
              </w:rPr>
            </w:pPr>
            <w:r>
              <w:rPr>
                <w:rFonts w:ascii="Book Antiqua" w:hAnsi="Book Antiqua" w:cs="Arial"/>
              </w:rPr>
              <w:lastRenderedPageBreak/>
              <w:t xml:space="preserve">Including other offences of resisting or obstructing a constable and failing to surrender to custody at the appointed time.  </w:t>
            </w:r>
          </w:p>
          <w:p w:rsidR="00C129E7" w:rsidRDefault="00C129E7" w:rsidP="00764ED4">
            <w:pPr>
              <w:jc w:val="both"/>
              <w:rPr>
                <w:rFonts w:ascii="Book Antiqua" w:hAnsi="Book Antiqua" w:cs="Arial"/>
              </w:rPr>
            </w:pPr>
          </w:p>
        </w:tc>
      </w:tr>
      <w:tr w:rsidR="004C4C42" w:rsidTr="00E745C6">
        <w:trPr>
          <w:gridAfter w:val="1"/>
          <w:wAfter w:w="22" w:type="dxa"/>
        </w:trPr>
        <w:tc>
          <w:tcPr>
            <w:tcW w:w="2547" w:type="dxa"/>
          </w:tcPr>
          <w:p w:rsidR="004C4C42" w:rsidRDefault="004C4C42" w:rsidP="00764ED4">
            <w:pPr>
              <w:jc w:val="both"/>
              <w:rPr>
                <w:rFonts w:ascii="Book Antiqua" w:hAnsi="Book Antiqua" w:cs="Arial"/>
              </w:rPr>
            </w:pPr>
            <w:r>
              <w:rPr>
                <w:rFonts w:ascii="Book Antiqua" w:hAnsi="Book Antiqua" w:cs="Arial"/>
              </w:rPr>
              <w:t>14 November 2016</w:t>
            </w:r>
          </w:p>
        </w:tc>
        <w:tc>
          <w:tcPr>
            <w:tcW w:w="3260" w:type="dxa"/>
          </w:tcPr>
          <w:p w:rsidR="004C4C42" w:rsidRDefault="004C4C42" w:rsidP="00C129E7">
            <w:pPr>
              <w:rPr>
                <w:rFonts w:ascii="Book Antiqua" w:hAnsi="Book Antiqua" w:cs="Arial"/>
              </w:rPr>
            </w:pPr>
            <w:r>
              <w:rPr>
                <w:rFonts w:ascii="Book Antiqua" w:hAnsi="Book Antiqua" w:cs="Arial"/>
              </w:rPr>
              <w:t xml:space="preserve">Failure to comply with a Section </w:t>
            </w:r>
            <w:r w:rsidR="000566A2">
              <w:rPr>
                <w:rFonts w:ascii="Book Antiqua" w:hAnsi="Book Antiqua" w:cs="Arial"/>
              </w:rPr>
              <w:t>35 direction excluding a person from an area</w:t>
            </w:r>
          </w:p>
          <w:p w:rsidR="00C129E7" w:rsidRDefault="00C129E7" w:rsidP="00C129E7">
            <w:pPr>
              <w:rPr>
                <w:rFonts w:ascii="Book Antiqua" w:hAnsi="Book Antiqua" w:cs="Arial"/>
              </w:rPr>
            </w:pPr>
          </w:p>
        </w:tc>
        <w:tc>
          <w:tcPr>
            <w:tcW w:w="3512" w:type="dxa"/>
          </w:tcPr>
          <w:p w:rsidR="004C4C42" w:rsidRDefault="000566A2" w:rsidP="00764ED4">
            <w:pPr>
              <w:jc w:val="both"/>
              <w:rPr>
                <w:rFonts w:ascii="Book Antiqua" w:hAnsi="Book Antiqua" w:cs="Arial"/>
              </w:rPr>
            </w:pPr>
            <w:r>
              <w:rPr>
                <w:rFonts w:ascii="Book Antiqua" w:hAnsi="Book Antiqua" w:cs="Arial"/>
              </w:rPr>
              <w:t>Fine £300</w:t>
            </w:r>
          </w:p>
        </w:tc>
      </w:tr>
      <w:tr w:rsidR="000566A2" w:rsidTr="00E745C6">
        <w:trPr>
          <w:gridAfter w:val="1"/>
          <w:wAfter w:w="22" w:type="dxa"/>
        </w:trPr>
        <w:tc>
          <w:tcPr>
            <w:tcW w:w="2547" w:type="dxa"/>
          </w:tcPr>
          <w:p w:rsidR="000566A2" w:rsidRDefault="000566A2" w:rsidP="00764ED4">
            <w:pPr>
              <w:jc w:val="both"/>
              <w:rPr>
                <w:rFonts w:ascii="Book Antiqua" w:hAnsi="Book Antiqua" w:cs="Arial"/>
              </w:rPr>
            </w:pPr>
            <w:r>
              <w:rPr>
                <w:rFonts w:ascii="Book Antiqua" w:hAnsi="Book Antiqua" w:cs="Arial"/>
              </w:rPr>
              <w:t>18 November 2016</w:t>
            </w:r>
          </w:p>
        </w:tc>
        <w:tc>
          <w:tcPr>
            <w:tcW w:w="3260" w:type="dxa"/>
          </w:tcPr>
          <w:p w:rsidR="00C129E7" w:rsidRDefault="000566A2" w:rsidP="002B7DA7">
            <w:pPr>
              <w:rPr>
                <w:rFonts w:ascii="Book Antiqua" w:hAnsi="Book Antiqua" w:cs="Arial"/>
              </w:rPr>
            </w:pPr>
            <w:r>
              <w:rPr>
                <w:rFonts w:ascii="Book Antiqua" w:hAnsi="Book Antiqua" w:cs="Arial"/>
              </w:rPr>
              <w:t>Using threatening, abusive, insulting words o</w:t>
            </w:r>
            <w:r w:rsidR="000725EE">
              <w:rPr>
                <w:rFonts w:ascii="Book Antiqua" w:hAnsi="Book Antiqua" w:cs="Arial"/>
              </w:rPr>
              <w:t>r</w:t>
            </w:r>
            <w:r>
              <w:rPr>
                <w:rFonts w:ascii="Book Antiqua" w:hAnsi="Book Antiqua" w:cs="Arial"/>
              </w:rPr>
              <w:t xml:space="preserve"> behaviour or </w:t>
            </w:r>
            <w:r w:rsidR="000725EE">
              <w:rPr>
                <w:rFonts w:ascii="Book Antiqua" w:hAnsi="Book Antiqua" w:cs="Arial"/>
              </w:rPr>
              <w:t>disorderly</w:t>
            </w:r>
            <w:r>
              <w:rPr>
                <w:rFonts w:ascii="Book Antiqua" w:hAnsi="Book Antiqua" w:cs="Arial"/>
              </w:rPr>
              <w:t xml:space="preserve"> behaviour to cause harassment </w:t>
            </w:r>
          </w:p>
        </w:tc>
        <w:tc>
          <w:tcPr>
            <w:tcW w:w="3512" w:type="dxa"/>
          </w:tcPr>
          <w:p w:rsidR="000566A2" w:rsidRDefault="000566A2" w:rsidP="00483554">
            <w:pPr>
              <w:rPr>
                <w:rFonts w:ascii="Book Antiqua" w:hAnsi="Book Antiqua" w:cs="Arial"/>
              </w:rPr>
            </w:pPr>
            <w:r>
              <w:rPr>
                <w:rFonts w:ascii="Book Antiqua" w:hAnsi="Book Antiqua" w:cs="Arial"/>
              </w:rPr>
              <w:t>Community order</w:t>
            </w:r>
            <w:r w:rsidR="00483554">
              <w:rPr>
                <w:rFonts w:ascii="Book Antiqua" w:hAnsi="Book Antiqua" w:cs="Arial"/>
              </w:rPr>
              <w:t>, 9 December 2017, u</w:t>
            </w:r>
            <w:r w:rsidR="00C129E7">
              <w:rPr>
                <w:rFonts w:ascii="Book Antiqua" w:hAnsi="Book Antiqua" w:cs="Arial"/>
              </w:rPr>
              <w:t>npaid work requirement</w:t>
            </w:r>
            <w:r>
              <w:rPr>
                <w:rFonts w:ascii="Book Antiqua" w:hAnsi="Book Antiqua" w:cs="Arial"/>
              </w:rPr>
              <w:t xml:space="preserve"> </w:t>
            </w:r>
          </w:p>
        </w:tc>
      </w:tr>
      <w:tr w:rsidR="008D362D" w:rsidTr="00E745C6">
        <w:trPr>
          <w:gridAfter w:val="1"/>
          <w:wAfter w:w="22" w:type="dxa"/>
        </w:trPr>
        <w:tc>
          <w:tcPr>
            <w:tcW w:w="2547" w:type="dxa"/>
          </w:tcPr>
          <w:p w:rsidR="008D362D" w:rsidRDefault="008D362D" w:rsidP="00764ED4">
            <w:pPr>
              <w:jc w:val="both"/>
              <w:rPr>
                <w:rFonts w:ascii="Book Antiqua" w:hAnsi="Book Antiqua" w:cs="Arial"/>
              </w:rPr>
            </w:pPr>
          </w:p>
        </w:tc>
        <w:tc>
          <w:tcPr>
            <w:tcW w:w="3260" w:type="dxa"/>
          </w:tcPr>
          <w:p w:rsidR="008D362D" w:rsidRDefault="008D362D" w:rsidP="00764ED4">
            <w:pPr>
              <w:jc w:val="both"/>
              <w:rPr>
                <w:rFonts w:ascii="Book Antiqua" w:hAnsi="Book Antiqua" w:cs="Arial"/>
              </w:rPr>
            </w:pPr>
          </w:p>
        </w:tc>
        <w:tc>
          <w:tcPr>
            <w:tcW w:w="3512" w:type="dxa"/>
          </w:tcPr>
          <w:p w:rsidR="00C129E7" w:rsidRDefault="00C129E7" w:rsidP="00764ED4">
            <w:pPr>
              <w:jc w:val="both"/>
              <w:rPr>
                <w:rFonts w:ascii="Book Antiqua" w:hAnsi="Book Antiqua" w:cs="Arial"/>
              </w:rPr>
            </w:pPr>
          </w:p>
        </w:tc>
      </w:tr>
      <w:tr w:rsidR="008D362D" w:rsidTr="00E745C6">
        <w:trPr>
          <w:gridAfter w:val="1"/>
          <w:wAfter w:w="22" w:type="dxa"/>
        </w:trPr>
        <w:tc>
          <w:tcPr>
            <w:tcW w:w="2547" w:type="dxa"/>
          </w:tcPr>
          <w:p w:rsidR="008D362D" w:rsidRDefault="008D362D" w:rsidP="00764ED4">
            <w:pPr>
              <w:jc w:val="both"/>
              <w:rPr>
                <w:rFonts w:ascii="Book Antiqua" w:hAnsi="Book Antiqua" w:cs="Arial"/>
              </w:rPr>
            </w:pPr>
            <w:r>
              <w:rPr>
                <w:rFonts w:ascii="Book Antiqua" w:hAnsi="Book Antiqua" w:cs="Arial"/>
              </w:rPr>
              <w:t>30 January 2017</w:t>
            </w:r>
          </w:p>
        </w:tc>
        <w:tc>
          <w:tcPr>
            <w:tcW w:w="3260" w:type="dxa"/>
          </w:tcPr>
          <w:p w:rsidR="008D362D" w:rsidRDefault="008D362D" w:rsidP="00C129E7">
            <w:pPr>
              <w:rPr>
                <w:rFonts w:ascii="Book Antiqua" w:hAnsi="Book Antiqua" w:cs="Arial"/>
              </w:rPr>
            </w:pPr>
            <w:r>
              <w:rPr>
                <w:rFonts w:ascii="Book Antiqua" w:hAnsi="Book Antiqua" w:cs="Arial"/>
              </w:rPr>
              <w:t>Breach of a criminal behaviour order</w:t>
            </w:r>
            <w:r w:rsidR="006C7FA6">
              <w:rPr>
                <w:rFonts w:ascii="Book Antiqua" w:hAnsi="Book Antiqua" w:cs="Arial"/>
              </w:rPr>
              <w:t xml:space="preserve"> [CBO]</w:t>
            </w:r>
          </w:p>
          <w:p w:rsidR="00C129E7" w:rsidRDefault="00C129E7" w:rsidP="00764ED4">
            <w:pPr>
              <w:jc w:val="both"/>
              <w:rPr>
                <w:rFonts w:ascii="Book Antiqua" w:hAnsi="Book Antiqua" w:cs="Arial"/>
              </w:rPr>
            </w:pPr>
          </w:p>
        </w:tc>
        <w:tc>
          <w:tcPr>
            <w:tcW w:w="3512" w:type="dxa"/>
          </w:tcPr>
          <w:p w:rsidR="008D362D" w:rsidRDefault="008D362D" w:rsidP="00764ED4">
            <w:pPr>
              <w:jc w:val="both"/>
              <w:rPr>
                <w:rFonts w:ascii="Book Antiqua" w:hAnsi="Book Antiqua" w:cs="Arial"/>
              </w:rPr>
            </w:pPr>
            <w:r>
              <w:rPr>
                <w:rFonts w:ascii="Book Antiqua" w:hAnsi="Book Antiqua" w:cs="Arial"/>
              </w:rPr>
              <w:t>Fined £60</w:t>
            </w:r>
          </w:p>
        </w:tc>
      </w:tr>
      <w:tr w:rsidR="008D362D" w:rsidTr="00E745C6">
        <w:trPr>
          <w:gridAfter w:val="1"/>
          <w:wAfter w:w="22" w:type="dxa"/>
        </w:trPr>
        <w:tc>
          <w:tcPr>
            <w:tcW w:w="2547" w:type="dxa"/>
          </w:tcPr>
          <w:p w:rsidR="008D362D" w:rsidRDefault="008D362D" w:rsidP="00764ED4">
            <w:pPr>
              <w:jc w:val="both"/>
              <w:rPr>
                <w:rFonts w:ascii="Book Antiqua" w:hAnsi="Book Antiqua" w:cs="Arial"/>
              </w:rPr>
            </w:pPr>
            <w:r>
              <w:rPr>
                <w:rFonts w:ascii="Book Antiqua" w:hAnsi="Book Antiqua" w:cs="Arial"/>
              </w:rPr>
              <w:t>6 May 2017</w:t>
            </w:r>
          </w:p>
        </w:tc>
        <w:tc>
          <w:tcPr>
            <w:tcW w:w="3260" w:type="dxa"/>
          </w:tcPr>
          <w:p w:rsidR="008D362D" w:rsidRDefault="008D362D" w:rsidP="00C129E7">
            <w:pPr>
              <w:rPr>
                <w:rFonts w:ascii="Book Antiqua" w:hAnsi="Book Antiqua" w:cs="Arial"/>
              </w:rPr>
            </w:pPr>
            <w:r>
              <w:rPr>
                <w:rFonts w:ascii="Book Antiqua" w:hAnsi="Book Antiqua" w:cs="Arial"/>
              </w:rPr>
              <w:t>Breach of a criminal behaviour order</w:t>
            </w:r>
          </w:p>
        </w:tc>
        <w:tc>
          <w:tcPr>
            <w:tcW w:w="3512" w:type="dxa"/>
          </w:tcPr>
          <w:p w:rsidR="008D362D" w:rsidRDefault="008D362D" w:rsidP="00764ED4">
            <w:pPr>
              <w:jc w:val="both"/>
              <w:rPr>
                <w:rFonts w:ascii="Book Antiqua" w:hAnsi="Book Antiqua" w:cs="Arial"/>
              </w:rPr>
            </w:pPr>
            <w:r>
              <w:rPr>
                <w:rFonts w:ascii="Book Antiqua" w:hAnsi="Book Antiqua" w:cs="Arial"/>
              </w:rPr>
              <w:t>Imprisonment six weeks</w:t>
            </w:r>
          </w:p>
        </w:tc>
      </w:tr>
    </w:tbl>
    <w:p w:rsidR="004C4C42" w:rsidRDefault="004C4C42" w:rsidP="00764ED4">
      <w:pPr>
        <w:ind w:left="567" w:hanging="567"/>
        <w:jc w:val="both"/>
        <w:rPr>
          <w:rFonts w:ascii="Book Antiqua" w:hAnsi="Book Antiqua" w:cs="Arial"/>
        </w:rPr>
      </w:pPr>
    </w:p>
    <w:p w:rsidR="00C129E7" w:rsidRDefault="00C129E7" w:rsidP="00764ED4">
      <w:pPr>
        <w:ind w:left="567" w:hanging="567"/>
        <w:jc w:val="both"/>
        <w:rPr>
          <w:rFonts w:ascii="Book Antiqua" w:hAnsi="Book Antiqua" w:cs="Arial"/>
        </w:rPr>
      </w:pPr>
    </w:p>
    <w:p w:rsidR="004C4C42" w:rsidRDefault="008D362D" w:rsidP="00764ED4">
      <w:pPr>
        <w:ind w:left="567" w:hanging="567"/>
        <w:jc w:val="both"/>
        <w:rPr>
          <w:rFonts w:ascii="Book Antiqua" w:hAnsi="Book Antiqua" w:cs="Arial"/>
          <w:b/>
          <w:u w:val="single"/>
        </w:rPr>
      </w:pPr>
      <w:r>
        <w:rPr>
          <w:rFonts w:ascii="Book Antiqua" w:hAnsi="Book Antiqua" w:cs="Arial"/>
          <w:b/>
          <w:u w:val="single"/>
        </w:rPr>
        <w:t>Submissions</w:t>
      </w:r>
    </w:p>
    <w:p w:rsidR="008D362D" w:rsidRDefault="008D362D" w:rsidP="00764ED4">
      <w:pPr>
        <w:ind w:left="567" w:hanging="567"/>
        <w:jc w:val="both"/>
        <w:rPr>
          <w:rFonts w:ascii="Book Antiqua" w:hAnsi="Book Antiqua" w:cs="Arial"/>
          <w:b/>
          <w:u w:val="single"/>
        </w:rPr>
      </w:pPr>
    </w:p>
    <w:p w:rsidR="008D362D" w:rsidRDefault="00E55AD6" w:rsidP="00764ED4">
      <w:pPr>
        <w:ind w:left="567" w:hanging="567"/>
        <w:jc w:val="both"/>
        <w:rPr>
          <w:rFonts w:ascii="Book Antiqua" w:hAnsi="Book Antiqua" w:cs="Arial"/>
        </w:rPr>
      </w:pPr>
      <w:r>
        <w:rPr>
          <w:rFonts w:ascii="Book Antiqua" w:hAnsi="Book Antiqua" w:cs="Arial"/>
        </w:rPr>
        <w:t>6</w:t>
      </w:r>
      <w:r w:rsidR="008D362D">
        <w:rPr>
          <w:rFonts w:ascii="Book Antiqua" w:hAnsi="Book Antiqua" w:cs="Arial"/>
        </w:rPr>
        <w:t>.</w:t>
      </w:r>
      <w:r w:rsidR="008D362D">
        <w:rPr>
          <w:rFonts w:ascii="Book Antiqua" w:hAnsi="Book Antiqua" w:cs="Arial"/>
        </w:rPr>
        <w:tab/>
        <w:t>Ms Ahmad subm</w:t>
      </w:r>
      <w:r w:rsidR="00483554">
        <w:rPr>
          <w:rFonts w:ascii="Book Antiqua" w:hAnsi="Book Antiqua" w:cs="Arial"/>
        </w:rPr>
        <w:t xml:space="preserve">itted that the judge found </w:t>
      </w:r>
      <w:r w:rsidR="008D362D">
        <w:rPr>
          <w:rFonts w:ascii="Book Antiqua" w:hAnsi="Book Antiqua" w:cs="Arial"/>
        </w:rPr>
        <w:t>there was insufficient evidence of permanent residence and therefore the lowest level of protection was applicable.  The judge referred to the PNC wit</w:t>
      </w:r>
      <w:r w:rsidR="00483554">
        <w:rPr>
          <w:rFonts w:ascii="Book Antiqua" w:hAnsi="Book Antiqua" w:cs="Arial"/>
        </w:rPr>
        <w:t xml:space="preserve">hout making any findings and </w:t>
      </w:r>
      <w:r w:rsidR="006C7FA6">
        <w:rPr>
          <w:rFonts w:ascii="Book Antiqua" w:hAnsi="Book Antiqua" w:cs="Arial"/>
        </w:rPr>
        <w:t>h</w:t>
      </w:r>
      <w:r w:rsidR="008D362D">
        <w:rPr>
          <w:rFonts w:ascii="Book Antiqua" w:hAnsi="Book Antiqua" w:cs="Arial"/>
        </w:rPr>
        <w:t>e failed to appreciate the evidence that the Appel</w:t>
      </w:r>
      <w:r w:rsidR="00483554">
        <w:rPr>
          <w:rFonts w:ascii="Book Antiqua" w:hAnsi="Book Antiqua" w:cs="Arial"/>
        </w:rPr>
        <w:t>lant was a persistent offender.</w:t>
      </w:r>
      <w:r w:rsidR="008D362D">
        <w:rPr>
          <w:rFonts w:ascii="Book Antiqua" w:hAnsi="Book Antiqua" w:cs="Arial"/>
        </w:rPr>
        <w:t xml:space="preserve"> Further the judge gave weight to </w:t>
      </w:r>
      <w:r w:rsidR="00705292">
        <w:rPr>
          <w:rFonts w:ascii="Book Antiqua" w:hAnsi="Book Antiqua" w:cs="Arial"/>
        </w:rPr>
        <w:t>im</w:t>
      </w:r>
      <w:r w:rsidR="008D362D">
        <w:rPr>
          <w:rFonts w:ascii="Book Antiqua" w:hAnsi="Book Antiqua" w:cs="Arial"/>
        </w:rPr>
        <w:t>material matters</w:t>
      </w:r>
      <w:r w:rsidR="00483554">
        <w:rPr>
          <w:rFonts w:ascii="Book Antiqua" w:hAnsi="Book Antiqua" w:cs="Arial"/>
        </w:rPr>
        <w:t>,</w:t>
      </w:r>
      <w:r w:rsidR="008D362D">
        <w:rPr>
          <w:rFonts w:ascii="Book Antiqua" w:hAnsi="Book Antiqua" w:cs="Arial"/>
        </w:rPr>
        <w:t xml:space="preserve"> namely that the Appellant did not start</w:t>
      </w:r>
      <w:r w:rsidR="009A4E31">
        <w:rPr>
          <w:rFonts w:ascii="Book Antiqua" w:hAnsi="Book Antiqua" w:cs="Arial"/>
        </w:rPr>
        <w:t>ed</w:t>
      </w:r>
      <w:r w:rsidR="008D362D">
        <w:rPr>
          <w:rFonts w:ascii="Book Antiqua" w:hAnsi="Book Antiqua" w:cs="Arial"/>
        </w:rPr>
        <w:t xml:space="preserve"> to offend until the age of 25</w:t>
      </w:r>
      <w:r w:rsidR="00483554">
        <w:rPr>
          <w:rFonts w:ascii="Book Antiqua" w:hAnsi="Book Antiqua" w:cs="Arial"/>
        </w:rPr>
        <w:t xml:space="preserve">. </w:t>
      </w:r>
      <w:r w:rsidR="006C7FA6">
        <w:rPr>
          <w:rFonts w:ascii="Book Antiqua" w:hAnsi="Book Antiqua" w:cs="Arial"/>
        </w:rPr>
        <w:t>T</w:t>
      </w:r>
      <w:r w:rsidR="001C2FB5">
        <w:rPr>
          <w:rFonts w:ascii="Book Antiqua" w:hAnsi="Book Antiqua" w:cs="Arial"/>
        </w:rPr>
        <w:t xml:space="preserve">he judge failed to properly apply Regulation 27.  </w:t>
      </w:r>
    </w:p>
    <w:p w:rsidR="001C2FB5" w:rsidRDefault="001C2FB5" w:rsidP="00764ED4">
      <w:pPr>
        <w:ind w:left="567" w:hanging="567"/>
        <w:jc w:val="both"/>
        <w:rPr>
          <w:rFonts w:ascii="Book Antiqua" w:hAnsi="Book Antiqua" w:cs="Arial"/>
        </w:rPr>
      </w:pPr>
    </w:p>
    <w:p w:rsidR="001C2FB5" w:rsidRDefault="00E55AD6" w:rsidP="00764ED4">
      <w:pPr>
        <w:ind w:left="567" w:hanging="567"/>
        <w:jc w:val="both"/>
        <w:rPr>
          <w:rFonts w:ascii="Book Antiqua" w:hAnsi="Book Antiqua" w:cs="Arial"/>
        </w:rPr>
      </w:pPr>
      <w:r>
        <w:rPr>
          <w:rFonts w:ascii="Book Antiqua" w:hAnsi="Book Antiqua" w:cs="Arial"/>
        </w:rPr>
        <w:t>7</w:t>
      </w:r>
      <w:r w:rsidR="001C2FB5">
        <w:rPr>
          <w:rFonts w:ascii="Book Antiqua" w:hAnsi="Book Antiqua" w:cs="Arial"/>
        </w:rPr>
        <w:t>.</w:t>
      </w:r>
      <w:r w:rsidR="001C2FB5">
        <w:rPr>
          <w:rFonts w:ascii="Book Antiqua" w:hAnsi="Book Antiqua" w:cs="Arial"/>
        </w:rPr>
        <w:tab/>
        <w:t xml:space="preserve">Evidence that the Appellant had been convicted of </w:t>
      </w:r>
      <w:r w:rsidR="006C7FA6">
        <w:rPr>
          <w:rFonts w:ascii="Book Antiqua" w:hAnsi="Book Antiqua" w:cs="Arial"/>
        </w:rPr>
        <w:t xml:space="preserve">several </w:t>
      </w:r>
      <w:r w:rsidR="001C2FB5">
        <w:rPr>
          <w:rFonts w:ascii="Book Antiqua" w:hAnsi="Book Antiqua" w:cs="Arial"/>
        </w:rPr>
        <w:t>offences was sufficient to show that there was a pattern to offending.  He had received six weeks’ imp</w:t>
      </w:r>
      <w:r w:rsidR="006C7FA6">
        <w:rPr>
          <w:rFonts w:ascii="Book Antiqua" w:hAnsi="Book Antiqua" w:cs="Arial"/>
        </w:rPr>
        <w:t>risonment for his last offence.</w:t>
      </w:r>
      <w:r w:rsidR="001C2FB5">
        <w:rPr>
          <w:rFonts w:ascii="Book Antiqua" w:hAnsi="Book Antiqua" w:cs="Arial"/>
        </w:rPr>
        <w:t xml:space="preserve"> The judge’s consideration of the Appellant’s offending behaviour was speculative and the judge failed to consider whether the Appellant was a persistent offender.  The judge’s finding that he was not</w:t>
      </w:r>
      <w:r w:rsidR="009804EF">
        <w:rPr>
          <w:rFonts w:ascii="Book Antiqua" w:hAnsi="Book Antiqua" w:cs="Arial"/>
        </w:rPr>
        <w:t>, was not</w:t>
      </w:r>
      <w:r w:rsidR="006C7FA6">
        <w:rPr>
          <w:rFonts w:ascii="Book Antiqua" w:hAnsi="Book Antiqua" w:cs="Arial"/>
        </w:rPr>
        <w:t xml:space="preserve"> open to him on the evidence. </w:t>
      </w:r>
      <w:r w:rsidR="001C2FB5">
        <w:rPr>
          <w:rFonts w:ascii="Book Antiqua" w:hAnsi="Book Antiqua" w:cs="Arial"/>
        </w:rPr>
        <w:t xml:space="preserve">The judge’s consideration of proportionality </w:t>
      </w:r>
      <w:r w:rsidR="006C7FA6">
        <w:rPr>
          <w:rFonts w:ascii="Book Antiqua" w:hAnsi="Book Antiqua" w:cs="Arial"/>
        </w:rPr>
        <w:t>at paragraph 34 was inadequate.</w:t>
      </w:r>
      <w:r w:rsidR="001C2FB5">
        <w:rPr>
          <w:rFonts w:ascii="Book Antiqua" w:hAnsi="Book Antiqua" w:cs="Arial"/>
        </w:rPr>
        <w:t xml:space="preserve"> He failed to give reasons as to the significance of the Appellant’s ties in the UK, his length of residence, his employment and other matters.  </w:t>
      </w:r>
    </w:p>
    <w:p w:rsidR="001C2FB5" w:rsidRDefault="001C2FB5" w:rsidP="00764ED4">
      <w:pPr>
        <w:ind w:left="567" w:hanging="567"/>
        <w:jc w:val="both"/>
        <w:rPr>
          <w:rFonts w:ascii="Book Antiqua" w:hAnsi="Book Antiqua" w:cs="Arial"/>
        </w:rPr>
      </w:pPr>
    </w:p>
    <w:p w:rsidR="001C2FB5" w:rsidRDefault="00E55AD6" w:rsidP="00764ED4">
      <w:pPr>
        <w:ind w:left="567" w:hanging="567"/>
        <w:jc w:val="both"/>
        <w:rPr>
          <w:rFonts w:ascii="Book Antiqua" w:hAnsi="Book Antiqua" w:cs="Arial"/>
        </w:rPr>
      </w:pPr>
      <w:r>
        <w:rPr>
          <w:rFonts w:ascii="Book Antiqua" w:hAnsi="Book Antiqua" w:cs="Arial"/>
        </w:rPr>
        <w:t>8</w:t>
      </w:r>
      <w:r w:rsidR="001C2FB5">
        <w:rPr>
          <w:rFonts w:ascii="Book Antiqua" w:hAnsi="Book Antiqua" w:cs="Arial"/>
        </w:rPr>
        <w:t>.</w:t>
      </w:r>
      <w:r w:rsidR="001C2FB5">
        <w:rPr>
          <w:rFonts w:ascii="Book Antiqua" w:hAnsi="Book Antiqua" w:cs="Arial"/>
        </w:rPr>
        <w:tab/>
      </w:r>
      <w:r w:rsidR="009B6E76">
        <w:rPr>
          <w:rFonts w:ascii="Book Antiqua" w:hAnsi="Book Antiqua" w:cs="Arial"/>
        </w:rPr>
        <w:t>Mr Hoshi submitted that the challenge was a rationality challenge and lacked merit.  He submitted that</w:t>
      </w:r>
      <w:r w:rsidR="009A4E31">
        <w:rPr>
          <w:rFonts w:ascii="Book Antiqua" w:hAnsi="Book Antiqua" w:cs="Arial"/>
        </w:rPr>
        <w:t>,</w:t>
      </w:r>
      <w:r w:rsidR="009B6E76">
        <w:rPr>
          <w:rFonts w:ascii="Book Antiqua" w:hAnsi="Book Antiqua" w:cs="Arial"/>
        </w:rPr>
        <w:t xml:space="preserve"> at paragraphs 20, 26 and 30</w:t>
      </w:r>
      <w:r w:rsidR="009A4E31">
        <w:rPr>
          <w:rFonts w:ascii="Book Antiqua" w:hAnsi="Book Antiqua" w:cs="Arial"/>
        </w:rPr>
        <w:t>,</w:t>
      </w:r>
      <w:r w:rsidR="009B6E76">
        <w:rPr>
          <w:rFonts w:ascii="Book Antiqua" w:hAnsi="Book Antiqua" w:cs="Arial"/>
        </w:rPr>
        <w:t xml:space="preserve"> it was clear that the judge’s analysis of the facts </w:t>
      </w:r>
      <w:r w:rsidR="006C6929">
        <w:rPr>
          <w:rFonts w:ascii="Book Antiqua" w:hAnsi="Book Antiqua" w:cs="Arial"/>
        </w:rPr>
        <w:t>was</w:t>
      </w:r>
      <w:r w:rsidR="009B6E76">
        <w:rPr>
          <w:rFonts w:ascii="Book Antiqua" w:hAnsi="Book Antiqua" w:cs="Arial"/>
        </w:rPr>
        <w:t xml:space="preserve"> at the forefront of his mind as were the arguments made in favour of deportation.  It could not be said that the judge disregarded the A</w:t>
      </w:r>
      <w:r w:rsidR="006C7FA6">
        <w:rPr>
          <w:rFonts w:ascii="Book Antiqua" w:hAnsi="Book Antiqua" w:cs="Arial"/>
        </w:rPr>
        <w:t>ppellant’s offending behaviour.</w:t>
      </w:r>
      <w:r w:rsidR="009B6E76">
        <w:rPr>
          <w:rFonts w:ascii="Book Antiqua" w:hAnsi="Book Antiqua" w:cs="Arial"/>
        </w:rPr>
        <w:t xml:space="preserve"> The judge expressly stated that he would not go behind the convictions and he acc</w:t>
      </w:r>
      <w:r w:rsidR="006C7FA6">
        <w:rPr>
          <w:rFonts w:ascii="Book Antiqua" w:hAnsi="Book Antiqua" w:cs="Arial"/>
        </w:rPr>
        <w:t>epted the pattern of offending.</w:t>
      </w:r>
      <w:r w:rsidR="009B6E76">
        <w:rPr>
          <w:rFonts w:ascii="Book Antiqua" w:hAnsi="Book Antiqua" w:cs="Arial"/>
        </w:rPr>
        <w:t xml:space="preserve"> What the judge then did was to consider the circumstances of the offences and assess whether the Appellant was a threat to one of </w:t>
      </w:r>
      <w:r w:rsidR="009B6E76">
        <w:rPr>
          <w:rFonts w:ascii="Book Antiqua" w:hAnsi="Book Antiqua" w:cs="Arial"/>
        </w:rPr>
        <w:lastRenderedPageBreak/>
        <w:t>the fu</w:t>
      </w:r>
      <w:r w:rsidR="006C7FA6">
        <w:rPr>
          <w:rFonts w:ascii="Book Antiqua" w:hAnsi="Book Antiqua" w:cs="Arial"/>
        </w:rPr>
        <w:t>ndamental interests of society.</w:t>
      </w:r>
      <w:r w:rsidR="009B6E76">
        <w:rPr>
          <w:rFonts w:ascii="Book Antiqua" w:hAnsi="Book Antiqua" w:cs="Arial"/>
        </w:rPr>
        <w:t xml:space="preserve"> The Appellant’s previous convictions alone were not enough to show this and it was not enough for the Appellant to be considered</w:t>
      </w:r>
      <w:r w:rsidR="006C7FA6">
        <w:rPr>
          <w:rFonts w:ascii="Book Antiqua" w:hAnsi="Book Antiqua" w:cs="Arial"/>
        </w:rPr>
        <w:t xml:space="preserve"> a persistent offender. </w:t>
      </w:r>
      <w:r w:rsidR="009B6E76">
        <w:rPr>
          <w:rFonts w:ascii="Book Antiqua" w:hAnsi="Book Antiqua" w:cs="Arial"/>
        </w:rPr>
        <w:t>The judge properly assessed whether the Appellant was a genuine, present and sufficiently s</w:t>
      </w:r>
      <w:r w:rsidR="006C7FA6">
        <w:rPr>
          <w:rFonts w:ascii="Book Antiqua" w:hAnsi="Book Antiqua" w:cs="Arial"/>
        </w:rPr>
        <w:t xml:space="preserve">erious threat at paragraph 31. </w:t>
      </w:r>
      <w:r w:rsidR="009B6E76">
        <w:rPr>
          <w:rFonts w:ascii="Book Antiqua" w:hAnsi="Book Antiqua" w:cs="Arial"/>
        </w:rPr>
        <w:t>The Respondent submi</w:t>
      </w:r>
      <w:r w:rsidR="009A4E31">
        <w:rPr>
          <w:rFonts w:ascii="Book Antiqua" w:hAnsi="Book Antiqua" w:cs="Arial"/>
        </w:rPr>
        <w:t>tted</w:t>
      </w:r>
      <w:r w:rsidR="009B6E76">
        <w:rPr>
          <w:rFonts w:ascii="Book Antiqua" w:hAnsi="Book Antiqua" w:cs="Arial"/>
        </w:rPr>
        <w:t xml:space="preserve"> the judge was speculating in circumstances where there was no evidence beyond th</w:t>
      </w:r>
      <w:r w:rsidR="006C7FA6">
        <w:rPr>
          <w:rFonts w:ascii="Book Antiqua" w:hAnsi="Book Antiqua" w:cs="Arial"/>
        </w:rPr>
        <w:t>e PNC record. It wa</w:t>
      </w:r>
      <w:r w:rsidR="009B6E76">
        <w:rPr>
          <w:rFonts w:ascii="Book Antiqua" w:hAnsi="Book Antiqua" w:cs="Arial"/>
        </w:rPr>
        <w:t>s ironic that the Responden</w:t>
      </w:r>
      <w:r w:rsidR="006C7FA6">
        <w:rPr>
          <w:rFonts w:ascii="Book Antiqua" w:hAnsi="Book Antiqua" w:cs="Arial"/>
        </w:rPr>
        <w:t>t made</w:t>
      </w:r>
      <w:r w:rsidR="009B6E76">
        <w:rPr>
          <w:rFonts w:ascii="Book Antiqua" w:hAnsi="Book Antiqua" w:cs="Arial"/>
        </w:rPr>
        <w:t xml:space="preserve"> speculative assertions in the grounds, namely that there is an escalating pattern of serious offences and the Appella</w:t>
      </w:r>
      <w:r w:rsidR="009A4E31">
        <w:rPr>
          <w:rFonts w:ascii="Book Antiqua" w:hAnsi="Book Antiqua" w:cs="Arial"/>
        </w:rPr>
        <w:t xml:space="preserve">nt presents a </w:t>
      </w:r>
      <w:r w:rsidR="006C7FA6">
        <w:rPr>
          <w:rFonts w:ascii="Book Antiqua" w:hAnsi="Book Antiqua" w:cs="Arial"/>
        </w:rPr>
        <w:t>high risk to the public.</w:t>
      </w:r>
      <w:r w:rsidR="009B6E76">
        <w:rPr>
          <w:rFonts w:ascii="Book Antiqua" w:hAnsi="Book Antiqua" w:cs="Arial"/>
        </w:rPr>
        <w:t xml:space="preserve"> The judge accepted the expert evidence that the mere fact of a CBO did not mean the Appellant was a serious risk</w:t>
      </w:r>
      <w:r w:rsidR="006C7FA6">
        <w:rPr>
          <w:rFonts w:ascii="Book Antiqua" w:hAnsi="Book Antiqua" w:cs="Arial"/>
        </w:rPr>
        <w:t xml:space="preserve">. </w:t>
      </w:r>
      <w:r w:rsidR="000A43C2">
        <w:rPr>
          <w:rFonts w:ascii="Book Antiqua" w:hAnsi="Book Antiqua" w:cs="Arial"/>
        </w:rPr>
        <w:t>There was no evidence of the surrounding circumstances in the Appellant’s case and the standard of the imposition of a CBO was low</w:t>
      </w:r>
      <w:r w:rsidR="004C546C">
        <w:rPr>
          <w:rFonts w:ascii="Book Antiqua" w:hAnsi="Book Antiqua" w:cs="Arial"/>
        </w:rPr>
        <w:t xml:space="preserve">.  </w:t>
      </w:r>
    </w:p>
    <w:p w:rsidR="004C546C" w:rsidRDefault="004C546C" w:rsidP="00764ED4">
      <w:pPr>
        <w:ind w:left="567" w:hanging="567"/>
        <w:jc w:val="both"/>
        <w:rPr>
          <w:rFonts w:ascii="Book Antiqua" w:hAnsi="Book Antiqua" w:cs="Arial"/>
        </w:rPr>
      </w:pPr>
    </w:p>
    <w:p w:rsidR="004B45BF" w:rsidRDefault="00E55AD6" w:rsidP="00764ED4">
      <w:pPr>
        <w:ind w:left="567" w:hanging="567"/>
        <w:jc w:val="both"/>
        <w:rPr>
          <w:rFonts w:ascii="Book Antiqua" w:hAnsi="Book Antiqua" w:cs="Arial"/>
        </w:rPr>
      </w:pPr>
      <w:r>
        <w:rPr>
          <w:rFonts w:ascii="Book Antiqua" w:hAnsi="Book Antiqua" w:cs="Arial"/>
        </w:rPr>
        <w:t>9</w:t>
      </w:r>
      <w:r w:rsidR="004C546C">
        <w:rPr>
          <w:rFonts w:ascii="Book Antiqua" w:hAnsi="Book Antiqua" w:cs="Arial"/>
        </w:rPr>
        <w:t>.</w:t>
      </w:r>
      <w:r w:rsidR="004C546C">
        <w:rPr>
          <w:rFonts w:ascii="Book Antiqua" w:hAnsi="Book Antiqua" w:cs="Arial"/>
        </w:rPr>
        <w:tab/>
        <w:t xml:space="preserve">The </w:t>
      </w:r>
      <w:r w:rsidR="00AE5D3F">
        <w:rPr>
          <w:rFonts w:ascii="Book Antiqua" w:hAnsi="Book Antiqua" w:cs="Arial"/>
        </w:rPr>
        <w:t>Nexus</w:t>
      </w:r>
      <w:r w:rsidR="004C546C">
        <w:rPr>
          <w:rFonts w:ascii="Book Antiqua" w:hAnsi="Book Antiqua" w:cs="Arial"/>
        </w:rPr>
        <w:t xml:space="preserve"> witness statements adduced at a renewal of bail hearing were not adduced as evidence in the appeal before the First-tier Trib</w:t>
      </w:r>
      <w:r w:rsidR="006C7FA6">
        <w:rPr>
          <w:rFonts w:ascii="Book Antiqua" w:hAnsi="Book Antiqua" w:cs="Arial"/>
        </w:rPr>
        <w:t>unal and should be disregarded.</w:t>
      </w:r>
      <w:r w:rsidR="004C546C">
        <w:rPr>
          <w:rFonts w:ascii="Book Antiqua" w:hAnsi="Book Antiqua" w:cs="Arial"/>
        </w:rPr>
        <w:t xml:space="preserve"> In this case the judge accepted the Appellant</w:t>
      </w:r>
      <w:r w:rsidR="00755DB2">
        <w:rPr>
          <w:rFonts w:ascii="Book Antiqua" w:hAnsi="Book Antiqua" w:cs="Arial"/>
        </w:rPr>
        <w:t>’s</w:t>
      </w:r>
      <w:r w:rsidR="004C546C">
        <w:rPr>
          <w:rFonts w:ascii="Book Antiqua" w:hAnsi="Book Antiqua" w:cs="Arial"/>
        </w:rPr>
        <w:t xml:space="preserve"> evidence of surrounding circumstances and that the problems had now stopped because the Appellant had left the ar</w:t>
      </w:r>
      <w:r w:rsidR="006C7FA6">
        <w:rPr>
          <w:rFonts w:ascii="Book Antiqua" w:hAnsi="Book Antiqua" w:cs="Arial"/>
        </w:rPr>
        <w:t xml:space="preserve">ea from which he was excluded. </w:t>
      </w:r>
      <w:r w:rsidR="004C546C">
        <w:rPr>
          <w:rFonts w:ascii="Book Antiqua" w:hAnsi="Book Antiqua" w:cs="Arial"/>
        </w:rPr>
        <w:t>The Appellant’s explanation was consistent with the limited evidence and there was a lack of evidence</w:t>
      </w:r>
      <w:r w:rsidR="006C7FA6">
        <w:rPr>
          <w:rFonts w:ascii="Book Antiqua" w:hAnsi="Book Antiqua" w:cs="Arial"/>
        </w:rPr>
        <w:t xml:space="preserve"> on the part of the Respondent.</w:t>
      </w:r>
      <w:r w:rsidR="004C546C">
        <w:rPr>
          <w:rFonts w:ascii="Book Antiqua" w:hAnsi="Book Antiqua" w:cs="Arial"/>
        </w:rPr>
        <w:t xml:space="preserve"> There was nothing other than the Appellant’s mere presence in the area which</w:t>
      </w:r>
      <w:r w:rsidR="006C7FA6">
        <w:rPr>
          <w:rFonts w:ascii="Book Antiqua" w:hAnsi="Book Antiqua" w:cs="Arial"/>
        </w:rPr>
        <w:t xml:space="preserve"> gave rise to the convictions. </w:t>
      </w:r>
      <w:r w:rsidR="004C546C">
        <w:rPr>
          <w:rFonts w:ascii="Book Antiqua" w:hAnsi="Book Antiqua" w:cs="Arial"/>
        </w:rPr>
        <w:t>The judge accepted the Appellant’s account of returning to collect his belongings as plausible.  So</w:t>
      </w:r>
      <w:r w:rsidR="006C7FA6">
        <w:rPr>
          <w:rFonts w:ascii="Book Antiqua" w:hAnsi="Book Antiqua" w:cs="Arial"/>
        </w:rPr>
        <w:t>,</w:t>
      </w:r>
      <w:r w:rsidR="004C546C">
        <w:rPr>
          <w:rFonts w:ascii="Book Antiqua" w:hAnsi="Book Antiqua" w:cs="Arial"/>
        </w:rPr>
        <w:t xml:space="preserve"> although there was breach of an exclusion order</w:t>
      </w:r>
      <w:r w:rsidR="006C7FA6">
        <w:rPr>
          <w:rFonts w:ascii="Book Antiqua" w:hAnsi="Book Antiqua" w:cs="Arial"/>
        </w:rPr>
        <w:t>,</w:t>
      </w:r>
      <w:r w:rsidR="004C546C">
        <w:rPr>
          <w:rFonts w:ascii="Book Antiqua" w:hAnsi="Book Antiqua" w:cs="Arial"/>
        </w:rPr>
        <w:t xml:space="preserve"> it was not harmful and no crime was c</w:t>
      </w:r>
      <w:r w:rsidR="006C7FA6">
        <w:rPr>
          <w:rFonts w:ascii="Book Antiqua" w:hAnsi="Book Antiqua" w:cs="Arial"/>
        </w:rPr>
        <w:t>ommitted in the exclusion zone. T</w:t>
      </w:r>
      <w:r w:rsidR="004C546C">
        <w:rPr>
          <w:rFonts w:ascii="Book Antiqua" w:hAnsi="Book Antiqua" w:cs="Arial"/>
        </w:rPr>
        <w:t xml:space="preserve">he judge’s decision was well reasoned in relation to whether the Appellant was a </w:t>
      </w:r>
      <w:r w:rsidR="00BE3F6D">
        <w:rPr>
          <w:rFonts w:ascii="Book Antiqua" w:hAnsi="Book Antiqua" w:cs="Arial"/>
        </w:rPr>
        <w:t xml:space="preserve">genuine, present and sufficiently serious threat.  </w:t>
      </w:r>
    </w:p>
    <w:p w:rsidR="004B45BF" w:rsidRDefault="004B45BF" w:rsidP="00764ED4">
      <w:pPr>
        <w:ind w:left="567" w:hanging="567"/>
        <w:jc w:val="both"/>
        <w:rPr>
          <w:rFonts w:ascii="Book Antiqua" w:hAnsi="Book Antiqua" w:cs="Arial"/>
        </w:rPr>
      </w:pPr>
    </w:p>
    <w:p w:rsidR="00620B12" w:rsidRDefault="00E55AD6" w:rsidP="00764ED4">
      <w:pPr>
        <w:ind w:left="567" w:hanging="567"/>
        <w:jc w:val="both"/>
        <w:rPr>
          <w:rFonts w:ascii="Book Antiqua" w:hAnsi="Book Antiqua" w:cs="Arial"/>
        </w:rPr>
      </w:pPr>
      <w:r>
        <w:rPr>
          <w:rFonts w:ascii="Book Antiqua" w:hAnsi="Book Antiqua" w:cs="Arial"/>
        </w:rPr>
        <w:t>10</w:t>
      </w:r>
      <w:r w:rsidR="00403873">
        <w:rPr>
          <w:rFonts w:ascii="Book Antiqua" w:hAnsi="Book Antiqua" w:cs="Arial"/>
        </w:rPr>
        <w:t>.</w:t>
      </w:r>
      <w:r w:rsidR="00403873">
        <w:rPr>
          <w:rFonts w:ascii="Book Antiqua" w:hAnsi="Book Antiqua" w:cs="Arial"/>
        </w:rPr>
        <w:tab/>
      </w:r>
      <w:r w:rsidR="006C7FA6">
        <w:rPr>
          <w:rFonts w:ascii="Book Antiqua" w:hAnsi="Book Antiqua" w:cs="Arial"/>
        </w:rPr>
        <w:t>Mr Hoshi submitted that the judge considered the Appellant’s</w:t>
      </w:r>
      <w:r w:rsidR="00BE3F6D">
        <w:rPr>
          <w:rFonts w:ascii="Book Antiqua" w:hAnsi="Book Antiqua" w:cs="Arial"/>
        </w:rPr>
        <w:t xml:space="preserve"> antagonistic relationship with the police and the fact that the Respondent’s letter was speculative.  The judge was also entitled to conclude that the issues referred to in that letter had been dealt with because there had been no further offences since the Appellant</w:t>
      </w:r>
      <w:r w:rsidR="00CD5112">
        <w:rPr>
          <w:rFonts w:ascii="Book Antiqua" w:hAnsi="Book Antiqua" w:cs="Arial"/>
        </w:rPr>
        <w:t xml:space="preserve"> had</w:t>
      </w:r>
      <w:r w:rsidR="00BE3F6D">
        <w:rPr>
          <w:rFonts w:ascii="Book Antiqua" w:hAnsi="Book Antiqua" w:cs="Arial"/>
        </w:rPr>
        <w:t xml:space="preserve"> left the </w:t>
      </w:r>
      <w:r w:rsidR="006C7FA6">
        <w:rPr>
          <w:rFonts w:ascii="Book Antiqua" w:hAnsi="Book Antiqua" w:cs="Arial"/>
        </w:rPr>
        <w:t xml:space="preserve">area from which he was </w:t>
      </w:r>
      <w:r w:rsidR="006C6929">
        <w:rPr>
          <w:rFonts w:ascii="Book Antiqua" w:hAnsi="Book Antiqua" w:cs="Arial"/>
        </w:rPr>
        <w:t>excluded. In</w:t>
      </w:r>
      <w:r w:rsidR="00BE3F6D">
        <w:rPr>
          <w:rFonts w:ascii="Book Antiqua" w:hAnsi="Book Antiqua" w:cs="Arial"/>
        </w:rPr>
        <w:t xml:space="preserve"> that respect there was no error of law</w:t>
      </w:r>
      <w:r w:rsidR="006C6929">
        <w:rPr>
          <w:rFonts w:ascii="Book Antiqua" w:hAnsi="Book Antiqua" w:cs="Arial"/>
        </w:rPr>
        <w:t xml:space="preserve"> (</w:t>
      </w:r>
      <w:r w:rsidR="00BE3F6D">
        <w:rPr>
          <w:rFonts w:ascii="Book Antiqua" w:hAnsi="Book Antiqua" w:cs="Arial"/>
        </w:rPr>
        <w:t>ground 1</w:t>
      </w:r>
      <w:r w:rsidR="006C6929">
        <w:rPr>
          <w:rFonts w:ascii="Book Antiqua" w:hAnsi="Book Antiqua" w:cs="Arial"/>
        </w:rPr>
        <w:t>)</w:t>
      </w:r>
      <w:r w:rsidR="00BE3F6D">
        <w:rPr>
          <w:rFonts w:ascii="Book Antiqua" w:hAnsi="Book Antiqua" w:cs="Arial"/>
        </w:rPr>
        <w:t xml:space="preserve">.  </w:t>
      </w:r>
    </w:p>
    <w:p w:rsidR="00620B12" w:rsidRDefault="00620B12" w:rsidP="00764ED4">
      <w:pPr>
        <w:ind w:left="567" w:hanging="567"/>
        <w:jc w:val="both"/>
        <w:rPr>
          <w:rFonts w:ascii="Book Antiqua" w:hAnsi="Book Antiqua" w:cs="Arial"/>
        </w:rPr>
      </w:pPr>
    </w:p>
    <w:p w:rsidR="001E72C0" w:rsidRDefault="00E55AD6" w:rsidP="006C7FA6">
      <w:pPr>
        <w:ind w:left="567" w:hanging="567"/>
        <w:jc w:val="both"/>
        <w:rPr>
          <w:rFonts w:ascii="Book Antiqua" w:hAnsi="Book Antiqua" w:cs="Arial"/>
        </w:rPr>
      </w:pPr>
      <w:r>
        <w:rPr>
          <w:rFonts w:ascii="Book Antiqua" w:hAnsi="Book Antiqua" w:cs="Arial"/>
        </w:rPr>
        <w:t>11</w:t>
      </w:r>
      <w:r w:rsidR="00403873">
        <w:rPr>
          <w:rFonts w:ascii="Book Antiqua" w:hAnsi="Book Antiqua" w:cs="Arial"/>
        </w:rPr>
        <w:t>.</w:t>
      </w:r>
      <w:r w:rsidR="00403873">
        <w:rPr>
          <w:rFonts w:ascii="Book Antiqua" w:hAnsi="Book Antiqua" w:cs="Arial"/>
        </w:rPr>
        <w:tab/>
      </w:r>
      <w:r w:rsidR="006C7FA6">
        <w:rPr>
          <w:rFonts w:ascii="Book Antiqua" w:hAnsi="Book Antiqua" w:cs="Arial"/>
        </w:rPr>
        <w:t>The</w:t>
      </w:r>
      <w:r w:rsidR="00BE3F6D">
        <w:rPr>
          <w:rFonts w:ascii="Book Antiqua" w:hAnsi="Book Antiqua" w:cs="Arial"/>
        </w:rPr>
        <w:t xml:space="preserve"> finding that the Appellant was not a genuine, present and sufficiently serious threat meant that there was no public interest in deportation which was highly relevant to the assessment of proportionality</w:t>
      </w:r>
      <w:r w:rsidR="006C7FA6">
        <w:rPr>
          <w:rFonts w:ascii="Book Antiqua" w:hAnsi="Book Antiqua" w:cs="Arial"/>
        </w:rPr>
        <w:t>.  If</w:t>
      </w:r>
      <w:r w:rsidR="00BE3F6D">
        <w:rPr>
          <w:rFonts w:ascii="Book Antiqua" w:hAnsi="Book Antiqua" w:cs="Arial"/>
        </w:rPr>
        <w:t xml:space="preserve"> deportation was not justified it was not incumbent on the judge to give lengthy reasons as to why the decision was disproportionate</w:t>
      </w:r>
      <w:r w:rsidR="006C7FA6">
        <w:rPr>
          <w:rFonts w:ascii="Book Antiqua" w:hAnsi="Book Antiqua" w:cs="Arial"/>
        </w:rPr>
        <w:t xml:space="preserve">. </w:t>
      </w:r>
      <w:r w:rsidR="00BE3F6D">
        <w:rPr>
          <w:rFonts w:ascii="Book Antiqua" w:hAnsi="Book Antiqua" w:cs="Arial"/>
        </w:rPr>
        <w:t>Since the judge found there was no public interest</w:t>
      </w:r>
      <w:r w:rsidR="006C7FA6">
        <w:rPr>
          <w:rFonts w:ascii="Book Antiqua" w:hAnsi="Book Antiqua" w:cs="Arial"/>
        </w:rPr>
        <w:t>,</w:t>
      </w:r>
      <w:r w:rsidR="00BE3F6D">
        <w:rPr>
          <w:rFonts w:ascii="Book Antiqua" w:hAnsi="Book Antiqua" w:cs="Arial"/>
        </w:rPr>
        <w:t xml:space="preserve"> he stated his reasons on proportionality very briefly.  There was evidence referred to in the decision t</w:t>
      </w:r>
      <w:r w:rsidR="006C7FA6">
        <w:rPr>
          <w:rFonts w:ascii="Book Antiqua" w:hAnsi="Book Antiqua" w:cs="Arial"/>
        </w:rPr>
        <w:t>o support the judge’s findings.</w:t>
      </w:r>
      <w:r w:rsidR="00BE3F6D">
        <w:rPr>
          <w:rFonts w:ascii="Book Antiqua" w:hAnsi="Book Antiqua" w:cs="Arial"/>
        </w:rPr>
        <w:t xml:space="preserve"> There was not much in favour of the Appellant but</w:t>
      </w:r>
      <w:r w:rsidR="009A4E31">
        <w:rPr>
          <w:rFonts w:ascii="Book Antiqua" w:hAnsi="Book Antiqua" w:cs="Arial"/>
        </w:rPr>
        <w:t>,</w:t>
      </w:r>
      <w:r w:rsidR="00BE3F6D">
        <w:rPr>
          <w:rFonts w:ascii="Book Antiqua" w:hAnsi="Book Antiqua" w:cs="Arial"/>
        </w:rPr>
        <w:t xml:space="preserve"> given that there was no weight to be attached to the public interest</w:t>
      </w:r>
      <w:r w:rsidR="009A4E31">
        <w:rPr>
          <w:rFonts w:ascii="Book Antiqua" w:hAnsi="Book Antiqua" w:cs="Arial"/>
        </w:rPr>
        <w:t>,</w:t>
      </w:r>
      <w:r w:rsidR="006C7FA6">
        <w:rPr>
          <w:rFonts w:ascii="Book Antiqua" w:hAnsi="Book Antiqua" w:cs="Arial"/>
        </w:rPr>
        <w:t xml:space="preserve"> then the judge’s finding on </w:t>
      </w:r>
      <w:r w:rsidR="00BE3F6D">
        <w:rPr>
          <w:rFonts w:ascii="Book Antiqua" w:hAnsi="Book Antiqua" w:cs="Arial"/>
        </w:rPr>
        <w:t>p</w:t>
      </w:r>
      <w:r w:rsidR="006C7FA6">
        <w:rPr>
          <w:rFonts w:ascii="Book Antiqua" w:hAnsi="Book Antiqua" w:cs="Arial"/>
        </w:rPr>
        <w:t>roportionality was open to him.</w:t>
      </w:r>
      <w:r w:rsidR="00BE3F6D">
        <w:rPr>
          <w:rFonts w:ascii="Book Antiqua" w:hAnsi="Book Antiqua" w:cs="Arial"/>
        </w:rPr>
        <w:t xml:space="preserve"> If I found that there was an error of law and I set aside the decision the matter should be remitted to the First-tier Tribunal because I was setting aside </w:t>
      </w:r>
      <w:r w:rsidR="006C7FA6">
        <w:rPr>
          <w:rFonts w:ascii="Book Antiqua" w:hAnsi="Book Antiqua" w:cs="Arial"/>
        </w:rPr>
        <w:t>a positive credibility finding.</w:t>
      </w:r>
      <w:r w:rsidR="00BE3F6D">
        <w:rPr>
          <w:rFonts w:ascii="Book Antiqua" w:hAnsi="Book Antiqua" w:cs="Arial"/>
        </w:rPr>
        <w:t xml:space="preserve"> Ms Ahmad made no submissions in response.</w:t>
      </w:r>
    </w:p>
    <w:p w:rsidR="00CE0DD4" w:rsidRDefault="00CE0DD4" w:rsidP="00764ED4">
      <w:pPr>
        <w:ind w:left="567" w:hanging="567"/>
        <w:jc w:val="both"/>
        <w:rPr>
          <w:rFonts w:ascii="Book Antiqua" w:hAnsi="Book Antiqua" w:cs="Arial"/>
          <w:b/>
          <w:u w:val="single"/>
        </w:rPr>
      </w:pPr>
    </w:p>
    <w:p w:rsidR="002B7DA7" w:rsidRDefault="002B7DA7" w:rsidP="00764ED4">
      <w:pPr>
        <w:ind w:left="567" w:hanging="567"/>
        <w:jc w:val="both"/>
        <w:rPr>
          <w:rFonts w:ascii="Book Antiqua" w:hAnsi="Book Antiqua" w:cs="Arial"/>
          <w:b/>
          <w:u w:val="single"/>
        </w:rPr>
      </w:pPr>
    </w:p>
    <w:p w:rsidR="001E72C0" w:rsidRDefault="001E72C0" w:rsidP="00764ED4">
      <w:pPr>
        <w:ind w:left="567" w:hanging="567"/>
        <w:jc w:val="both"/>
        <w:rPr>
          <w:rFonts w:ascii="Book Antiqua" w:hAnsi="Book Antiqua" w:cs="Arial"/>
          <w:b/>
          <w:u w:val="single"/>
        </w:rPr>
      </w:pPr>
      <w:r>
        <w:rPr>
          <w:rFonts w:ascii="Book Antiqua" w:hAnsi="Book Antiqua" w:cs="Arial"/>
          <w:b/>
          <w:u w:val="single"/>
        </w:rPr>
        <w:lastRenderedPageBreak/>
        <w:t>Discussion and Conclusions</w:t>
      </w:r>
    </w:p>
    <w:p w:rsidR="00154C17" w:rsidRDefault="00154C17" w:rsidP="00764ED4">
      <w:pPr>
        <w:ind w:left="567" w:hanging="567"/>
        <w:jc w:val="both"/>
        <w:rPr>
          <w:rFonts w:ascii="Book Antiqua" w:hAnsi="Book Antiqua" w:cs="Arial"/>
          <w:b/>
          <w:u w:val="single"/>
        </w:rPr>
      </w:pPr>
    </w:p>
    <w:p w:rsidR="00154C17" w:rsidRDefault="006C7FA6" w:rsidP="00154C17">
      <w:pPr>
        <w:ind w:left="567" w:hanging="567"/>
        <w:jc w:val="both"/>
        <w:rPr>
          <w:rFonts w:ascii="Book Antiqua" w:hAnsi="Book Antiqua" w:cs="Arial"/>
        </w:rPr>
      </w:pPr>
      <w:r>
        <w:rPr>
          <w:rFonts w:ascii="Book Antiqua" w:hAnsi="Book Antiqua" w:cs="Arial"/>
        </w:rPr>
        <w:t>1</w:t>
      </w:r>
      <w:r w:rsidR="00E55AD6">
        <w:rPr>
          <w:rFonts w:ascii="Book Antiqua" w:hAnsi="Book Antiqua" w:cs="Arial"/>
        </w:rPr>
        <w:t>3</w:t>
      </w:r>
      <w:r w:rsidR="009A4E31">
        <w:rPr>
          <w:rFonts w:ascii="Book Antiqua" w:hAnsi="Book Antiqua" w:cs="Arial"/>
        </w:rPr>
        <w:t>.</w:t>
      </w:r>
      <w:r w:rsidR="009A4E31">
        <w:rPr>
          <w:rFonts w:ascii="Book Antiqua" w:hAnsi="Book Antiqua" w:cs="Arial"/>
        </w:rPr>
        <w:tab/>
        <w:t>The Respondent’s case was that there was a</w:t>
      </w:r>
      <w:r w:rsidR="00154C17">
        <w:rPr>
          <w:rFonts w:ascii="Book Antiqua" w:hAnsi="Book Antiqua" w:cs="Arial"/>
        </w:rPr>
        <w:t xml:space="preserve"> clear public interest in removing foreign criminals. The Appellant is a persistent offender and the imposition of a Section 35 </w:t>
      </w:r>
      <w:r w:rsidR="00154C17" w:rsidRPr="008072CA">
        <w:rPr>
          <w:rFonts w:ascii="Book Antiqua" w:hAnsi="Book Antiqua" w:cs="Arial"/>
        </w:rPr>
        <w:t>and CBO demonstrate</w:t>
      </w:r>
      <w:r w:rsidR="00154C17">
        <w:rPr>
          <w:rFonts w:ascii="Book Antiqua" w:hAnsi="Book Antiqua" w:cs="Arial"/>
        </w:rPr>
        <w:t xml:space="preserve"> a degree of seriousness to his offending. The inference to be drawn is that he poses a continuing risk of harm to the public.  It was further said that there was an escalation in the offences committed.  </w:t>
      </w:r>
    </w:p>
    <w:p w:rsidR="001E72C0" w:rsidRDefault="001E72C0" w:rsidP="006C7FA6">
      <w:pPr>
        <w:jc w:val="both"/>
        <w:rPr>
          <w:rFonts w:ascii="Book Antiqua" w:hAnsi="Book Antiqua" w:cs="Arial"/>
          <w:b/>
          <w:u w:val="single"/>
        </w:rPr>
      </w:pPr>
    </w:p>
    <w:p w:rsidR="00403873" w:rsidRDefault="00E55AD6" w:rsidP="00403873">
      <w:pPr>
        <w:ind w:left="567" w:hanging="567"/>
        <w:jc w:val="both"/>
        <w:rPr>
          <w:rFonts w:ascii="Book Antiqua" w:hAnsi="Book Antiqua" w:cs="Arial"/>
        </w:rPr>
      </w:pPr>
      <w:r>
        <w:rPr>
          <w:rFonts w:ascii="Book Antiqua" w:hAnsi="Book Antiqua" w:cs="Arial"/>
        </w:rPr>
        <w:t>13</w:t>
      </w:r>
      <w:r w:rsidR="00403873">
        <w:rPr>
          <w:rFonts w:ascii="Book Antiqua" w:hAnsi="Book Antiqua" w:cs="Arial"/>
        </w:rPr>
        <w:t>.</w:t>
      </w:r>
      <w:r w:rsidR="00403873">
        <w:rPr>
          <w:rFonts w:ascii="Book Antiqua" w:hAnsi="Book Antiqua" w:cs="Arial"/>
        </w:rPr>
        <w:tab/>
      </w:r>
      <w:r w:rsidR="001E72C0">
        <w:rPr>
          <w:rFonts w:ascii="Book Antiqua" w:hAnsi="Book Antiqua" w:cs="Arial"/>
        </w:rPr>
        <w:t>The judge found that the Appellant did not have permanent residence in the UK and therefore the appropriate test was whether he was a genuine, present and sufficiently serious threat to one of the fundamental interests of society.  The judge applied the appropriate test to the evidence and there was no challenge in that respect.  The judge also found that the Appellant was a credible witness and accepted his account of the circumstances of</w:t>
      </w:r>
      <w:r w:rsidR="006C7FA6">
        <w:rPr>
          <w:rFonts w:ascii="Book Antiqua" w:hAnsi="Book Antiqua" w:cs="Arial"/>
        </w:rPr>
        <w:t xml:space="preserve"> the offences he had committed.</w:t>
      </w:r>
      <w:r w:rsidR="001E72C0">
        <w:rPr>
          <w:rFonts w:ascii="Book Antiqua" w:hAnsi="Book Antiqua" w:cs="Arial"/>
        </w:rPr>
        <w:t xml:space="preserve"> Again</w:t>
      </w:r>
      <w:r w:rsidR="006C7FA6">
        <w:rPr>
          <w:rFonts w:ascii="Book Antiqua" w:hAnsi="Book Antiqua" w:cs="Arial"/>
        </w:rPr>
        <w:t>,</w:t>
      </w:r>
      <w:r w:rsidR="001E72C0">
        <w:rPr>
          <w:rFonts w:ascii="Book Antiqua" w:hAnsi="Book Antiqua" w:cs="Arial"/>
        </w:rPr>
        <w:t xml:space="preserve"> there was no challenge in the grounds of appeal to that finding.</w:t>
      </w:r>
    </w:p>
    <w:p w:rsidR="00403873" w:rsidRDefault="00403873" w:rsidP="00403873">
      <w:pPr>
        <w:ind w:left="567" w:hanging="567"/>
        <w:jc w:val="both"/>
        <w:rPr>
          <w:rFonts w:ascii="Book Antiqua" w:hAnsi="Book Antiqua" w:cs="Arial"/>
        </w:rPr>
      </w:pPr>
    </w:p>
    <w:p w:rsidR="003526AC" w:rsidRDefault="00E55AD6" w:rsidP="00403873">
      <w:pPr>
        <w:ind w:left="567" w:hanging="567"/>
        <w:jc w:val="both"/>
        <w:rPr>
          <w:rFonts w:ascii="Book Antiqua" w:hAnsi="Book Antiqua" w:cs="Arial"/>
        </w:rPr>
      </w:pPr>
      <w:r>
        <w:rPr>
          <w:rFonts w:ascii="Book Antiqua" w:hAnsi="Book Antiqua" w:cs="Arial"/>
        </w:rPr>
        <w:t>14</w:t>
      </w:r>
      <w:r w:rsidR="00403873">
        <w:rPr>
          <w:rFonts w:ascii="Book Antiqua" w:hAnsi="Book Antiqua" w:cs="Arial"/>
        </w:rPr>
        <w:t>.</w:t>
      </w:r>
      <w:r w:rsidR="00403873">
        <w:rPr>
          <w:rFonts w:ascii="Book Antiqua" w:hAnsi="Book Antiqua" w:cs="Arial"/>
        </w:rPr>
        <w:tab/>
      </w:r>
      <w:r w:rsidR="001E72C0">
        <w:rPr>
          <w:rFonts w:ascii="Book Antiqua" w:hAnsi="Book Antiqua" w:cs="Arial"/>
        </w:rPr>
        <w:t>In assessing whether the Appellant was a genuine, present and sufficiently serious threat his previous convic</w:t>
      </w:r>
      <w:r w:rsidR="006C7FA6">
        <w:rPr>
          <w:rFonts w:ascii="Book Antiqua" w:hAnsi="Book Antiqua" w:cs="Arial"/>
        </w:rPr>
        <w:t>tions alone were not sufficient.</w:t>
      </w:r>
      <w:r w:rsidR="001E72C0">
        <w:rPr>
          <w:rFonts w:ascii="Book Antiqua" w:hAnsi="Book Antiqua" w:cs="Arial"/>
        </w:rPr>
        <w:t xml:space="preserve"> I am not persuaded by Ms Ahmad’s submission that the judge failed to appreciate evidence that the Appellant was a persistent offender</w:t>
      </w:r>
      <w:r w:rsidR="006C7FA6">
        <w:rPr>
          <w:rFonts w:ascii="Book Antiqua" w:hAnsi="Book Antiqua" w:cs="Arial"/>
        </w:rPr>
        <w:t xml:space="preserve"> because the judge acknowledged</w:t>
      </w:r>
      <w:r w:rsidR="00AA70D4">
        <w:rPr>
          <w:rFonts w:ascii="Book Antiqua" w:hAnsi="Book Antiqua" w:cs="Arial"/>
        </w:rPr>
        <w:t xml:space="preserve"> each of the Appellant’s convictions and </w:t>
      </w:r>
      <w:r w:rsidR="006C7FA6">
        <w:rPr>
          <w:rFonts w:ascii="Book Antiqua" w:hAnsi="Book Antiqua" w:cs="Arial"/>
        </w:rPr>
        <w:t>considered those convictions in some detail. The judge found,</w:t>
      </w:r>
      <w:r w:rsidR="00AA70D4">
        <w:rPr>
          <w:rFonts w:ascii="Book Antiqua" w:hAnsi="Book Antiqua" w:cs="Arial"/>
        </w:rPr>
        <w:t xml:space="preserve"> at paragraph 31</w:t>
      </w:r>
      <w:r w:rsidR="006C7FA6">
        <w:rPr>
          <w:rFonts w:ascii="Book Antiqua" w:hAnsi="Book Antiqua" w:cs="Arial"/>
        </w:rPr>
        <w:t>,</w:t>
      </w:r>
      <w:r w:rsidR="00AA70D4">
        <w:rPr>
          <w:rFonts w:ascii="Book Antiqua" w:hAnsi="Book Antiqua" w:cs="Arial"/>
        </w:rPr>
        <w:t xml:space="preserve"> that at best the Respondent considered the Appellant to be a lower leve</w:t>
      </w:r>
      <w:r w:rsidR="002960A9">
        <w:rPr>
          <w:rFonts w:ascii="Book Antiqua" w:hAnsi="Book Antiqua" w:cs="Arial"/>
        </w:rPr>
        <w:t xml:space="preserve">l persistent offender, but concluded </w:t>
      </w:r>
      <w:r w:rsidR="00AA70D4">
        <w:rPr>
          <w:rFonts w:ascii="Book Antiqua" w:hAnsi="Book Antiqua" w:cs="Arial"/>
        </w:rPr>
        <w:t xml:space="preserve">that assessment was overblown and speculative.  </w:t>
      </w:r>
      <w:r w:rsidR="003809A4">
        <w:rPr>
          <w:rFonts w:ascii="Book Antiqua" w:hAnsi="Book Antiqua" w:cs="Arial"/>
        </w:rPr>
        <w:t xml:space="preserve">The fact that the Appellant has several previous convictions or that he may be a persistent offender was not in itself enough to justify deportation.  </w:t>
      </w:r>
    </w:p>
    <w:p w:rsidR="00403873" w:rsidRDefault="00403873" w:rsidP="00403873">
      <w:pPr>
        <w:ind w:left="567" w:hanging="567"/>
        <w:jc w:val="both"/>
        <w:rPr>
          <w:rFonts w:ascii="Book Antiqua" w:hAnsi="Book Antiqua" w:cs="Arial"/>
        </w:rPr>
      </w:pPr>
    </w:p>
    <w:p w:rsidR="00DC49BE" w:rsidRDefault="00E55AD6" w:rsidP="00403873">
      <w:pPr>
        <w:ind w:left="567" w:hanging="567"/>
        <w:jc w:val="both"/>
        <w:rPr>
          <w:rFonts w:ascii="Book Antiqua" w:hAnsi="Book Antiqua" w:cs="Arial"/>
        </w:rPr>
      </w:pPr>
      <w:r>
        <w:rPr>
          <w:rFonts w:ascii="Book Antiqua" w:hAnsi="Book Antiqua" w:cs="Arial"/>
        </w:rPr>
        <w:t>15</w:t>
      </w:r>
      <w:r w:rsidR="00403873">
        <w:rPr>
          <w:rFonts w:ascii="Book Antiqua" w:hAnsi="Book Antiqua" w:cs="Arial"/>
        </w:rPr>
        <w:t>.</w:t>
      </w:r>
      <w:r w:rsidR="00403873">
        <w:rPr>
          <w:rFonts w:ascii="Book Antiqua" w:hAnsi="Book Antiqua" w:cs="Arial"/>
        </w:rPr>
        <w:tab/>
      </w:r>
      <w:r w:rsidR="003809A4">
        <w:rPr>
          <w:rFonts w:ascii="Book Antiqua" w:hAnsi="Book Antiqua" w:cs="Arial"/>
        </w:rPr>
        <w:t>The judge was entitled to look at the circumstances of the of</w:t>
      </w:r>
      <w:r w:rsidR="002960A9">
        <w:rPr>
          <w:rFonts w:ascii="Book Antiqua" w:hAnsi="Book Antiqua" w:cs="Arial"/>
        </w:rPr>
        <w:t>fences.</w:t>
      </w:r>
      <w:r w:rsidR="003809A4">
        <w:rPr>
          <w:rFonts w:ascii="Book Antiqua" w:hAnsi="Book Antiqua" w:cs="Arial"/>
        </w:rPr>
        <w:t xml:space="preserve"> There was no evidence other than the PNC from the Respondent to show t</w:t>
      </w:r>
      <w:r w:rsidR="002960A9">
        <w:rPr>
          <w:rFonts w:ascii="Book Antiqua" w:hAnsi="Book Antiqua" w:cs="Arial"/>
        </w:rPr>
        <w:t xml:space="preserve">he circumstances of each </w:t>
      </w:r>
      <w:r w:rsidR="009A4E31">
        <w:rPr>
          <w:rFonts w:ascii="Book Antiqua" w:hAnsi="Book Antiqua" w:cs="Arial"/>
        </w:rPr>
        <w:t>offence</w:t>
      </w:r>
      <w:r w:rsidR="002960A9">
        <w:rPr>
          <w:rFonts w:ascii="Book Antiqua" w:hAnsi="Book Antiqua" w:cs="Arial"/>
        </w:rPr>
        <w:t>.</w:t>
      </w:r>
      <w:r w:rsidR="003809A4">
        <w:rPr>
          <w:rFonts w:ascii="Book Antiqua" w:hAnsi="Book Antiqua" w:cs="Arial"/>
        </w:rPr>
        <w:t xml:space="preserve"> The judge only had the evidence of the Appellant</w:t>
      </w:r>
      <w:r w:rsidR="002960A9">
        <w:rPr>
          <w:rFonts w:ascii="Book Antiqua" w:hAnsi="Book Antiqua" w:cs="Arial"/>
        </w:rPr>
        <w:t xml:space="preserve"> which he found to be credible.</w:t>
      </w:r>
      <w:r w:rsidR="003809A4">
        <w:rPr>
          <w:rFonts w:ascii="Book Antiqua" w:hAnsi="Book Antiqua" w:cs="Arial"/>
        </w:rPr>
        <w:t xml:space="preserve"> It was open to the judge to rely on that evidence in assessing whether the Appellant was a genuine, present and sufficiently serious threat to one of the fun</w:t>
      </w:r>
      <w:r w:rsidR="002960A9">
        <w:rPr>
          <w:rFonts w:ascii="Book Antiqua" w:hAnsi="Book Antiqua" w:cs="Arial"/>
        </w:rPr>
        <w:t xml:space="preserve">damental interests of society. </w:t>
      </w:r>
      <w:r w:rsidR="003809A4">
        <w:rPr>
          <w:rFonts w:ascii="Book Antiqua" w:hAnsi="Book Antiqua" w:cs="Arial"/>
        </w:rPr>
        <w:t xml:space="preserve">The judge recognised the pattern of offending </w:t>
      </w:r>
      <w:r w:rsidR="00B00ACE">
        <w:rPr>
          <w:rFonts w:ascii="Book Antiqua" w:hAnsi="Book Antiqua" w:cs="Arial"/>
        </w:rPr>
        <w:t>at para</w:t>
      </w:r>
      <w:r w:rsidR="002960A9">
        <w:rPr>
          <w:rFonts w:ascii="Book Antiqua" w:hAnsi="Book Antiqua" w:cs="Arial"/>
        </w:rPr>
        <w:t xml:space="preserve">graph 23 and did not seek to </w:t>
      </w:r>
      <w:r w:rsidR="00B00ACE">
        <w:rPr>
          <w:rFonts w:ascii="Book Antiqua" w:hAnsi="Book Antiqua" w:cs="Arial"/>
        </w:rPr>
        <w:t xml:space="preserve">go behind the convictions.  He concluded that the Appellant </w:t>
      </w:r>
      <w:r w:rsidR="00C07FB2">
        <w:rPr>
          <w:rFonts w:ascii="Book Antiqua" w:hAnsi="Book Antiqua" w:cs="Arial"/>
        </w:rPr>
        <w:t>had been convicted of several l</w:t>
      </w:r>
      <w:r w:rsidR="002960A9">
        <w:rPr>
          <w:rFonts w:ascii="Book Antiqua" w:hAnsi="Book Antiqua" w:cs="Arial"/>
        </w:rPr>
        <w:t>ow level public order offences.</w:t>
      </w:r>
      <w:r w:rsidR="00C07FB2">
        <w:rPr>
          <w:rFonts w:ascii="Book Antiqua" w:hAnsi="Book Antiqua" w:cs="Arial"/>
        </w:rPr>
        <w:t xml:space="preserve"> He acknowledged that his most serious offence was for assault and noted that he had complied with the restraining order imposed upon him and had not breached it.  </w:t>
      </w:r>
    </w:p>
    <w:p w:rsidR="00403873" w:rsidRDefault="00403873" w:rsidP="00403873">
      <w:pPr>
        <w:ind w:left="567" w:hanging="567"/>
        <w:jc w:val="both"/>
        <w:rPr>
          <w:rFonts w:ascii="Book Antiqua" w:hAnsi="Book Antiqua" w:cs="Arial"/>
        </w:rPr>
      </w:pPr>
    </w:p>
    <w:p w:rsidR="002960A9" w:rsidRDefault="00403873" w:rsidP="00403873">
      <w:pPr>
        <w:ind w:left="567" w:hanging="567"/>
        <w:jc w:val="both"/>
        <w:rPr>
          <w:rFonts w:ascii="Book Antiqua" w:hAnsi="Book Antiqua" w:cs="Arial"/>
        </w:rPr>
      </w:pPr>
      <w:r>
        <w:rPr>
          <w:rFonts w:ascii="Book Antiqua" w:hAnsi="Book Antiqua" w:cs="Arial"/>
        </w:rPr>
        <w:t>1</w:t>
      </w:r>
      <w:r w:rsidR="00E55AD6">
        <w:rPr>
          <w:rFonts w:ascii="Book Antiqua" w:hAnsi="Book Antiqua" w:cs="Arial"/>
        </w:rPr>
        <w:t>6</w:t>
      </w:r>
      <w:r>
        <w:rPr>
          <w:rFonts w:ascii="Book Antiqua" w:hAnsi="Book Antiqua" w:cs="Arial"/>
        </w:rPr>
        <w:t>.</w:t>
      </w:r>
      <w:r>
        <w:rPr>
          <w:rFonts w:ascii="Book Antiqua" w:hAnsi="Book Antiqua" w:cs="Arial"/>
        </w:rPr>
        <w:tab/>
      </w:r>
      <w:r w:rsidR="00C07FB2">
        <w:rPr>
          <w:rFonts w:ascii="Book Antiqua" w:hAnsi="Book Antiqua" w:cs="Arial"/>
        </w:rPr>
        <w:t>The judge accepted the Appellant’s explanation for his later offences in which he recei</w:t>
      </w:r>
      <w:r w:rsidR="002960A9">
        <w:rPr>
          <w:rFonts w:ascii="Book Antiqua" w:hAnsi="Book Antiqua" w:cs="Arial"/>
        </w:rPr>
        <w:t xml:space="preserve">ved </w:t>
      </w:r>
      <w:r w:rsidR="00C07FB2">
        <w:rPr>
          <w:rFonts w:ascii="Book Antiqua" w:hAnsi="Book Antiqua" w:cs="Arial"/>
        </w:rPr>
        <w:t xml:space="preserve">a CBO, and for which he was sentenced </w:t>
      </w:r>
      <w:r w:rsidR="00DC49BE">
        <w:rPr>
          <w:rFonts w:ascii="Book Antiqua" w:hAnsi="Book Antiqua" w:cs="Arial"/>
        </w:rPr>
        <w:t>to</w:t>
      </w:r>
      <w:r w:rsidR="00C07FB2">
        <w:rPr>
          <w:rFonts w:ascii="Book Antiqua" w:hAnsi="Book Antiqua" w:cs="Arial"/>
        </w:rPr>
        <w:t xml:space="preserve"> </w:t>
      </w:r>
      <w:r w:rsidR="009A4E31">
        <w:rPr>
          <w:rFonts w:ascii="Book Antiqua" w:hAnsi="Book Antiqua" w:cs="Arial"/>
        </w:rPr>
        <w:t xml:space="preserve">six weeks’ </w:t>
      </w:r>
      <w:r w:rsidR="00C07FB2">
        <w:rPr>
          <w:rFonts w:ascii="Book Antiqua" w:hAnsi="Book Antiqua" w:cs="Arial"/>
        </w:rPr>
        <w:t xml:space="preserve">imprisonment for breach of that order.  The judge accepted the Appellant’s evidence that </w:t>
      </w:r>
      <w:r w:rsidR="002960A9">
        <w:rPr>
          <w:rFonts w:ascii="Book Antiqua" w:hAnsi="Book Antiqua" w:cs="Arial"/>
        </w:rPr>
        <w:t xml:space="preserve">he </w:t>
      </w:r>
      <w:r w:rsidR="00C07FB2">
        <w:rPr>
          <w:rFonts w:ascii="Book Antiqua" w:hAnsi="Book Antiqua" w:cs="Arial"/>
        </w:rPr>
        <w:t>lived in the area from which the police sought to exclude him and that he did not commit any offences whilst in that area</w:t>
      </w:r>
      <w:r w:rsidR="002960A9">
        <w:rPr>
          <w:rFonts w:ascii="Book Antiqua" w:hAnsi="Book Antiqua" w:cs="Arial"/>
        </w:rPr>
        <w:t xml:space="preserve">. The Appellant </w:t>
      </w:r>
      <w:r w:rsidR="00C07FB2">
        <w:rPr>
          <w:rFonts w:ascii="Book Antiqua" w:hAnsi="Book Antiqua" w:cs="Arial"/>
        </w:rPr>
        <w:t xml:space="preserve">had returned to the area </w:t>
      </w:r>
      <w:r w:rsidR="006D65BF">
        <w:rPr>
          <w:rFonts w:ascii="Book Antiqua" w:hAnsi="Book Antiqua" w:cs="Arial"/>
        </w:rPr>
        <w:t>to collect hi</w:t>
      </w:r>
      <w:r w:rsidR="002960A9">
        <w:rPr>
          <w:rFonts w:ascii="Book Antiqua" w:hAnsi="Book Antiqua" w:cs="Arial"/>
        </w:rPr>
        <w:t>s belongings in order to leave.</w:t>
      </w:r>
      <w:r w:rsidR="006D65BF">
        <w:rPr>
          <w:rFonts w:ascii="Book Antiqua" w:hAnsi="Book Antiqua" w:cs="Arial"/>
        </w:rPr>
        <w:t xml:space="preserve"> Since the Appellant had left that area he had not </w:t>
      </w:r>
      <w:r w:rsidR="002960A9">
        <w:rPr>
          <w:rFonts w:ascii="Book Antiqua" w:hAnsi="Book Antiqua" w:cs="Arial"/>
        </w:rPr>
        <w:t>committed any further offences.</w:t>
      </w:r>
      <w:r w:rsidR="006D65BF">
        <w:rPr>
          <w:rFonts w:ascii="Book Antiqua" w:hAnsi="Book Antiqua" w:cs="Arial"/>
        </w:rPr>
        <w:t xml:space="preserve"> The judge was entitled to rely on the fact that the Appellant’s address in the PNC was within the excluded area.  The judge therefore took</w:t>
      </w:r>
      <w:r w:rsidR="009A4E31">
        <w:rPr>
          <w:rFonts w:ascii="Book Antiqua" w:hAnsi="Book Antiqua" w:cs="Arial"/>
        </w:rPr>
        <w:t xml:space="preserve"> into account </w:t>
      </w:r>
      <w:r w:rsidR="006D65BF">
        <w:rPr>
          <w:rFonts w:ascii="Book Antiqua" w:hAnsi="Book Antiqua" w:cs="Arial"/>
        </w:rPr>
        <w:t xml:space="preserve">all relevant factors in assessing whether the Appellant represented </w:t>
      </w:r>
      <w:r w:rsidR="006D65BF">
        <w:rPr>
          <w:rFonts w:ascii="Book Antiqua" w:hAnsi="Book Antiqua" w:cs="Arial"/>
        </w:rPr>
        <w:lastRenderedPageBreak/>
        <w:t>a genuine</w:t>
      </w:r>
      <w:r w:rsidR="003A3A43">
        <w:rPr>
          <w:rFonts w:ascii="Book Antiqua" w:hAnsi="Book Antiqua" w:cs="Arial"/>
        </w:rPr>
        <w:t>,</w:t>
      </w:r>
      <w:r w:rsidR="006D65BF">
        <w:rPr>
          <w:rFonts w:ascii="Book Antiqua" w:hAnsi="Book Antiqua" w:cs="Arial"/>
        </w:rPr>
        <w:t xml:space="preserve"> present and sufficiently serious threat and his conclusion that he did not do so was open to him on the evidence before him.  The Appellant had a legitimate reason to be in the excluded area and had not committed any offences since he had left that area</w:t>
      </w:r>
      <w:r w:rsidR="002960A9">
        <w:rPr>
          <w:rFonts w:ascii="Book Antiqua" w:hAnsi="Book Antiqua" w:cs="Arial"/>
        </w:rPr>
        <w:t>. T</w:t>
      </w:r>
      <w:r w:rsidR="006D65BF">
        <w:rPr>
          <w:rFonts w:ascii="Book Antiqua" w:hAnsi="Book Antiqua" w:cs="Arial"/>
        </w:rPr>
        <w:t>herefore</w:t>
      </w:r>
      <w:r w:rsidR="002960A9">
        <w:rPr>
          <w:rFonts w:ascii="Book Antiqua" w:hAnsi="Book Antiqua" w:cs="Arial"/>
        </w:rPr>
        <w:t>,</w:t>
      </w:r>
      <w:r w:rsidR="006D65BF">
        <w:rPr>
          <w:rFonts w:ascii="Book Antiqua" w:hAnsi="Book Antiqua" w:cs="Arial"/>
        </w:rPr>
        <w:t xml:space="preserve"> applying Regulation 27(5)</w:t>
      </w:r>
      <w:r w:rsidR="002960A9">
        <w:rPr>
          <w:rFonts w:ascii="Book Antiqua" w:hAnsi="Book Antiqua" w:cs="Arial"/>
        </w:rPr>
        <w:t>,</w:t>
      </w:r>
      <w:r w:rsidR="006D65BF">
        <w:rPr>
          <w:rFonts w:ascii="Book Antiqua" w:hAnsi="Book Antiqua" w:cs="Arial"/>
        </w:rPr>
        <w:t xml:space="preserve"> his deportation was not justified.  </w:t>
      </w:r>
    </w:p>
    <w:p w:rsidR="002960A9" w:rsidRDefault="002960A9" w:rsidP="00403873">
      <w:pPr>
        <w:ind w:left="567" w:hanging="567"/>
        <w:jc w:val="both"/>
        <w:rPr>
          <w:rFonts w:ascii="Book Antiqua" w:hAnsi="Book Antiqua" w:cs="Arial"/>
        </w:rPr>
      </w:pPr>
    </w:p>
    <w:p w:rsidR="00301649" w:rsidRDefault="00E55AD6" w:rsidP="00403873">
      <w:pPr>
        <w:ind w:left="567" w:hanging="567"/>
        <w:jc w:val="both"/>
        <w:rPr>
          <w:rFonts w:ascii="Book Antiqua" w:hAnsi="Book Antiqua" w:cs="Arial"/>
        </w:rPr>
      </w:pPr>
      <w:r>
        <w:rPr>
          <w:rFonts w:ascii="Book Antiqua" w:hAnsi="Book Antiqua" w:cs="Arial"/>
        </w:rPr>
        <w:t>17</w:t>
      </w:r>
      <w:r w:rsidR="002960A9">
        <w:rPr>
          <w:rFonts w:ascii="Book Antiqua" w:hAnsi="Book Antiqua" w:cs="Arial"/>
        </w:rPr>
        <w:t>.</w:t>
      </w:r>
      <w:r w:rsidR="002960A9">
        <w:rPr>
          <w:rFonts w:ascii="Book Antiqua" w:hAnsi="Book Antiqua" w:cs="Arial"/>
        </w:rPr>
        <w:tab/>
      </w:r>
      <w:r w:rsidR="006D65BF">
        <w:rPr>
          <w:rFonts w:ascii="Book Antiqua" w:hAnsi="Book Antiqua" w:cs="Arial"/>
        </w:rPr>
        <w:t xml:space="preserve">Given that finding there was no public interest to which </w:t>
      </w:r>
      <w:r w:rsidR="002960A9">
        <w:rPr>
          <w:rFonts w:ascii="Book Antiqua" w:hAnsi="Book Antiqua" w:cs="Arial"/>
        </w:rPr>
        <w:t>t</w:t>
      </w:r>
      <w:r w:rsidR="006D65BF">
        <w:rPr>
          <w:rFonts w:ascii="Book Antiqua" w:hAnsi="Book Antiqua" w:cs="Arial"/>
        </w:rPr>
        <w:t>he</w:t>
      </w:r>
      <w:r w:rsidR="002960A9">
        <w:rPr>
          <w:rFonts w:ascii="Book Antiqua" w:hAnsi="Book Antiqua" w:cs="Arial"/>
        </w:rPr>
        <w:t xml:space="preserve"> judge</w:t>
      </w:r>
      <w:r w:rsidR="006D65BF">
        <w:rPr>
          <w:rFonts w:ascii="Book Antiqua" w:hAnsi="Book Antiqua" w:cs="Arial"/>
        </w:rPr>
        <w:t xml:space="preserve"> could </w:t>
      </w:r>
      <w:r w:rsidR="002960A9">
        <w:rPr>
          <w:rFonts w:ascii="Book Antiqua" w:hAnsi="Book Antiqua" w:cs="Arial"/>
        </w:rPr>
        <w:t xml:space="preserve">attach </w:t>
      </w:r>
      <w:r w:rsidR="006D65BF">
        <w:rPr>
          <w:rFonts w:ascii="Book Antiqua" w:hAnsi="Book Antiqua" w:cs="Arial"/>
        </w:rPr>
        <w:t>weight and</w:t>
      </w:r>
      <w:r w:rsidR="002960A9">
        <w:rPr>
          <w:rFonts w:ascii="Book Antiqua" w:hAnsi="Book Antiqua" w:cs="Arial"/>
        </w:rPr>
        <w:t>,</w:t>
      </w:r>
      <w:r w:rsidR="006D65BF">
        <w:rPr>
          <w:rFonts w:ascii="Book Antiqua" w:hAnsi="Book Antiqua" w:cs="Arial"/>
        </w:rPr>
        <w:t xml:space="preserve"> although the Appellant’s circumstances did not weigh heavily in his favour</w:t>
      </w:r>
      <w:r w:rsidR="002960A9">
        <w:rPr>
          <w:rFonts w:ascii="Book Antiqua" w:hAnsi="Book Antiqua" w:cs="Arial"/>
        </w:rPr>
        <w:t>,</w:t>
      </w:r>
      <w:r w:rsidR="006D65BF">
        <w:rPr>
          <w:rFonts w:ascii="Book Antiqua" w:hAnsi="Book Antiqua" w:cs="Arial"/>
        </w:rPr>
        <w:t xml:space="preserve"> they did not harm him and</w:t>
      </w:r>
      <w:r w:rsidR="002960A9">
        <w:rPr>
          <w:rFonts w:ascii="Book Antiqua" w:hAnsi="Book Antiqua" w:cs="Arial"/>
        </w:rPr>
        <w:t>,</w:t>
      </w:r>
      <w:r w:rsidR="006D65BF">
        <w:rPr>
          <w:rFonts w:ascii="Book Antiqua" w:hAnsi="Book Antiqua" w:cs="Arial"/>
        </w:rPr>
        <w:t xml:space="preserve"> therefore</w:t>
      </w:r>
      <w:r w:rsidR="002960A9">
        <w:rPr>
          <w:rFonts w:ascii="Book Antiqua" w:hAnsi="Book Antiqua" w:cs="Arial"/>
        </w:rPr>
        <w:t>,</w:t>
      </w:r>
      <w:r w:rsidR="006D65BF">
        <w:rPr>
          <w:rFonts w:ascii="Book Antiqua" w:hAnsi="Book Antiqua" w:cs="Arial"/>
        </w:rPr>
        <w:t xml:space="preserve"> on balance the decision to deport was not proportionate.  The judge’s reasons were brief but adequate given his finding that the Appellant did not present a genuine, present and sufficiently serious threat affecting one of the fundamental interests of society.  </w:t>
      </w:r>
    </w:p>
    <w:p w:rsidR="00403873" w:rsidRDefault="00403873" w:rsidP="00403873">
      <w:pPr>
        <w:ind w:left="567" w:hanging="567"/>
        <w:jc w:val="both"/>
        <w:rPr>
          <w:rFonts w:ascii="Book Antiqua" w:hAnsi="Book Antiqua" w:cs="Arial"/>
        </w:rPr>
      </w:pPr>
    </w:p>
    <w:p w:rsidR="004C546C" w:rsidRPr="008D362D" w:rsidRDefault="00E55AD6" w:rsidP="00403873">
      <w:pPr>
        <w:ind w:left="567" w:hanging="567"/>
        <w:jc w:val="both"/>
        <w:rPr>
          <w:rFonts w:ascii="Book Antiqua" w:hAnsi="Book Antiqua" w:cs="Arial"/>
        </w:rPr>
      </w:pPr>
      <w:r>
        <w:rPr>
          <w:rFonts w:ascii="Book Antiqua" w:hAnsi="Book Antiqua" w:cs="Arial"/>
        </w:rPr>
        <w:t>18</w:t>
      </w:r>
      <w:r w:rsidR="00403873">
        <w:rPr>
          <w:rFonts w:ascii="Book Antiqua" w:hAnsi="Book Antiqua" w:cs="Arial"/>
        </w:rPr>
        <w:t>.</w:t>
      </w:r>
      <w:r w:rsidR="00403873">
        <w:rPr>
          <w:rFonts w:ascii="Book Antiqua" w:hAnsi="Book Antiqua" w:cs="Arial"/>
        </w:rPr>
        <w:tab/>
      </w:r>
      <w:r w:rsidR="006C6929">
        <w:rPr>
          <w:rFonts w:ascii="Book Antiqua" w:hAnsi="Book Antiqua" w:cs="Arial"/>
        </w:rPr>
        <w:t>Accordingly,</w:t>
      </w:r>
      <w:r w:rsidR="006D65BF">
        <w:rPr>
          <w:rFonts w:ascii="Book Antiqua" w:hAnsi="Book Antiqua" w:cs="Arial"/>
        </w:rPr>
        <w:t xml:space="preserve"> I find that there was no error of law in the judge’s decision to allow the Appellant’s appeal under the </w:t>
      </w:r>
      <w:r w:rsidR="002960A9">
        <w:rPr>
          <w:rFonts w:ascii="Book Antiqua" w:hAnsi="Book Antiqua" w:cs="Arial"/>
        </w:rPr>
        <w:t>Immigration (</w:t>
      </w:r>
      <w:r w:rsidR="006D65BF">
        <w:rPr>
          <w:rFonts w:ascii="Book Antiqua" w:hAnsi="Book Antiqua" w:cs="Arial"/>
        </w:rPr>
        <w:t>EEA</w:t>
      </w:r>
      <w:r w:rsidR="002960A9">
        <w:rPr>
          <w:rFonts w:ascii="Book Antiqua" w:hAnsi="Book Antiqua" w:cs="Arial"/>
        </w:rPr>
        <w:t>)</w:t>
      </w:r>
      <w:r w:rsidR="006D65BF">
        <w:rPr>
          <w:rFonts w:ascii="Book Antiqua" w:hAnsi="Book Antiqua" w:cs="Arial"/>
        </w:rPr>
        <w:t xml:space="preserve"> Regulations </w:t>
      </w:r>
      <w:r w:rsidR="002960A9">
        <w:rPr>
          <w:rFonts w:ascii="Book Antiqua" w:hAnsi="Book Antiqua" w:cs="Arial"/>
        </w:rPr>
        <w:t xml:space="preserve">2016 </w:t>
      </w:r>
      <w:r w:rsidR="006D65BF">
        <w:rPr>
          <w:rFonts w:ascii="Book Antiqua" w:hAnsi="Book Antiqua" w:cs="Arial"/>
        </w:rPr>
        <w:t xml:space="preserve">and I dismiss the Respondent’s appeal.  </w:t>
      </w:r>
    </w:p>
    <w:p w:rsidR="008616F5" w:rsidRDefault="008616F5" w:rsidP="00265B39">
      <w:pPr>
        <w:jc w:val="both"/>
        <w:rPr>
          <w:rFonts w:ascii="Book Antiqua" w:hAnsi="Book Antiqua" w:cs="Arial"/>
        </w:rPr>
      </w:pPr>
    </w:p>
    <w:p w:rsidR="008616F5" w:rsidRDefault="008616F5" w:rsidP="00265B39">
      <w:pPr>
        <w:jc w:val="both"/>
        <w:rPr>
          <w:rFonts w:ascii="Book Antiqua" w:hAnsi="Book Antiqua" w:cs="Arial"/>
        </w:rPr>
      </w:pPr>
    </w:p>
    <w:p w:rsidR="008616F5" w:rsidRPr="002960A9" w:rsidRDefault="002960A9"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2960A9">
        <w:rPr>
          <w:rFonts w:ascii="Book Antiqua" w:hAnsi="Book Antiqua" w:cs="Arial"/>
        </w:rPr>
        <w:t>: 16 July 2018</w:t>
      </w: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B95326" w:rsidRPr="000704BB" w:rsidRDefault="00B95326" w:rsidP="00847320">
      <w:pPr>
        <w:jc w:val="both"/>
      </w:pPr>
    </w:p>
    <w:sectPr w:rsidR="00B95326" w:rsidRPr="000704BB"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B5B" w:rsidRDefault="00F42B5B">
      <w:r>
        <w:separator/>
      </w:r>
    </w:p>
  </w:endnote>
  <w:endnote w:type="continuationSeparator" w:id="0">
    <w:p w:rsidR="00F42B5B" w:rsidRDefault="00F42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F6D" w:rsidRPr="002B7DA7" w:rsidRDefault="00BE3F6D" w:rsidP="00593795">
    <w:pPr>
      <w:pStyle w:val="Footer"/>
      <w:jc w:val="center"/>
      <w:rPr>
        <w:rFonts w:ascii="Arial" w:hAnsi="Arial" w:cs="Arial"/>
        <w:sz w:val="20"/>
        <w:szCs w:val="20"/>
      </w:rPr>
    </w:pPr>
    <w:r w:rsidRPr="002B7DA7">
      <w:rPr>
        <w:rStyle w:val="PageNumber"/>
        <w:rFonts w:ascii="Arial" w:hAnsi="Arial" w:cs="Arial"/>
        <w:sz w:val="20"/>
        <w:szCs w:val="20"/>
      </w:rPr>
      <w:fldChar w:fldCharType="begin"/>
    </w:r>
    <w:r w:rsidRPr="002B7DA7">
      <w:rPr>
        <w:rStyle w:val="PageNumber"/>
        <w:rFonts w:ascii="Arial" w:hAnsi="Arial" w:cs="Arial"/>
        <w:sz w:val="20"/>
        <w:szCs w:val="20"/>
      </w:rPr>
      <w:instrText xml:space="preserve"> PAGE </w:instrText>
    </w:r>
    <w:r w:rsidRPr="002B7DA7">
      <w:rPr>
        <w:rStyle w:val="PageNumber"/>
        <w:rFonts w:ascii="Arial" w:hAnsi="Arial" w:cs="Arial"/>
        <w:sz w:val="20"/>
        <w:szCs w:val="20"/>
      </w:rPr>
      <w:fldChar w:fldCharType="separate"/>
    </w:r>
    <w:r w:rsidR="003F5FA6">
      <w:rPr>
        <w:rStyle w:val="PageNumber"/>
        <w:rFonts w:ascii="Arial" w:hAnsi="Arial" w:cs="Arial"/>
        <w:noProof/>
        <w:sz w:val="20"/>
        <w:szCs w:val="20"/>
      </w:rPr>
      <w:t>5</w:t>
    </w:r>
    <w:r w:rsidRPr="002B7DA7">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F6D" w:rsidRPr="0042376F" w:rsidRDefault="00BE3F6D" w:rsidP="00DE5E10">
    <w:pPr>
      <w:jc w:val="center"/>
      <w:rPr>
        <w:rFonts w:ascii="Arial" w:hAnsi="Arial" w:cs="Arial"/>
        <w:b/>
      </w:rPr>
    </w:pPr>
    <w:r w:rsidRPr="0042376F">
      <w:rPr>
        <w:rFonts w:ascii="Arial" w:hAnsi="Arial" w:cs="Arial"/>
        <w:b/>
        <w:spacing w:val="-6"/>
      </w:rPr>
      <w:t>©</w:t>
    </w:r>
    <w:r w:rsidRPr="0042376F">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B5B" w:rsidRDefault="00F42B5B">
      <w:r>
        <w:separator/>
      </w:r>
    </w:p>
  </w:footnote>
  <w:footnote w:type="continuationSeparator" w:id="0">
    <w:p w:rsidR="00F42B5B" w:rsidRDefault="00F42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F6D" w:rsidRPr="002B7DA7" w:rsidRDefault="00BE3F6D" w:rsidP="00593795">
    <w:pPr>
      <w:pStyle w:val="Header"/>
      <w:jc w:val="right"/>
      <w:rPr>
        <w:rFonts w:ascii="Book Antiqua" w:hAnsi="Book Antiqua" w:cs="Arial"/>
        <w:sz w:val="20"/>
        <w:szCs w:val="20"/>
      </w:rPr>
    </w:pPr>
    <w:r w:rsidRPr="002B7DA7">
      <w:rPr>
        <w:rFonts w:ascii="Book Antiqua" w:hAnsi="Book Antiqua" w:cs="Arial"/>
        <w:sz w:val="20"/>
        <w:szCs w:val="20"/>
      </w:rPr>
      <w:t>Appeal Number: DA/00384/2017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3F6D" w:rsidRPr="000704BB" w:rsidRDefault="00BE3F6D">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8D"/>
    <w:rsid w:val="00000621"/>
    <w:rsid w:val="000036C2"/>
    <w:rsid w:val="00024D27"/>
    <w:rsid w:val="00033D3D"/>
    <w:rsid w:val="00046259"/>
    <w:rsid w:val="000472AC"/>
    <w:rsid w:val="000553C8"/>
    <w:rsid w:val="000566A2"/>
    <w:rsid w:val="00062F02"/>
    <w:rsid w:val="000704BB"/>
    <w:rsid w:val="00071A7E"/>
    <w:rsid w:val="000725EE"/>
    <w:rsid w:val="000746C0"/>
    <w:rsid w:val="00074D1D"/>
    <w:rsid w:val="00081737"/>
    <w:rsid w:val="00092580"/>
    <w:rsid w:val="00093D4D"/>
    <w:rsid w:val="000A2B4E"/>
    <w:rsid w:val="000A43C2"/>
    <w:rsid w:val="000D5D94"/>
    <w:rsid w:val="000F1A0E"/>
    <w:rsid w:val="00113556"/>
    <w:rsid w:val="001165A7"/>
    <w:rsid w:val="00117E31"/>
    <w:rsid w:val="001361F9"/>
    <w:rsid w:val="0014065D"/>
    <w:rsid w:val="0014366D"/>
    <w:rsid w:val="00144C70"/>
    <w:rsid w:val="00150C5F"/>
    <w:rsid w:val="00154C17"/>
    <w:rsid w:val="00167D3A"/>
    <w:rsid w:val="00185FD1"/>
    <w:rsid w:val="00190911"/>
    <w:rsid w:val="001946CF"/>
    <w:rsid w:val="0019518E"/>
    <w:rsid w:val="001A07E6"/>
    <w:rsid w:val="001A198F"/>
    <w:rsid w:val="001A3082"/>
    <w:rsid w:val="001A6500"/>
    <w:rsid w:val="001A68A3"/>
    <w:rsid w:val="001B186A"/>
    <w:rsid w:val="001B2F75"/>
    <w:rsid w:val="001C2D96"/>
    <w:rsid w:val="001C2FB5"/>
    <w:rsid w:val="001C5B44"/>
    <w:rsid w:val="001E72C0"/>
    <w:rsid w:val="001F2716"/>
    <w:rsid w:val="001F5B27"/>
    <w:rsid w:val="00207617"/>
    <w:rsid w:val="0021721E"/>
    <w:rsid w:val="0022369D"/>
    <w:rsid w:val="0023134B"/>
    <w:rsid w:val="002439F0"/>
    <w:rsid w:val="00264741"/>
    <w:rsid w:val="00265B39"/>
    <w:rsid w:val="00283659"/>
    <w:rsid w:val="002960A9"/>
    <w:rsid w:val="002A0895"/>
    <w:rsid w:val="002A661D"/>
    <w:rsid w:val="002A7CC7"/>
    <w:rsid w:val="002B3092"/>
    <w:rsid w:val="002B7DA7"/>
    <w:rsid w:val="002C6BD4"/>
    <w:rsid w:val="002D5312"/>
    <w:rsid w:val="002D68BF"/>
    <w:rsid w:val="002F4FF0"/>
    <w:rsid w:val="002F6B98"/>
    <w:rsid w:val="00301649"/>
    <w:rsid w:val="00305E86"/>
    <w:rsid w:val="0033240F"/>
    <w:rsid w:val="00336CBF"/>
    <w:rsid w:val="00343FE3"/>
    <w:rsid w:val="003526AC"/>
    <w:rsid w:val="00353EEB"/>
    <w:rsid w:val="003546C8"/>
    <w:rsid w:val="00356224"/>
    <w:rsid w:val="003809A4"/>
    <w:rsid w:val="003905B7"/>
    <w:rsid w:val="0039262C"/>
    <w:rsid w:val="003A194F"/>
    <w:rsid w:val="003A3A43"/>
    <w:rsid w:val="003A67A4"/>
    <w:rsid w:val="003A7CF2"/>
    <w:rsid w:val="003C5CE5"/>
    <w:rsid w:val="003E267B"/>
    <w:rsid w:val="003E530F"/>
    <w:rsid w:val="003E7CD1"/>
    <w:rsid w:val="003F5FA6"/>
    <w:rsid w:val="00402B9E"/>
    <w:rsid w:val="00403873"/>
    <w:rsid w:val="00411318"/>
    <w:rsid w:val="0042376F"/>
    <w:rsid w:val="004249CB"/>
    <w:rsid w:val="0044127D"/>
    <w:rsid w:val="004448DB"/>
    <w:rsid w:val="00446C9A"/>
    <w:rsid w:val="00452F2B"/>
    <w:rsid w:val="00462C42"/>
    <w:rsid w:val="00477193"/>
    <w:rsid w:val="00483554"/>
    <w:rsid w:val="00484F60"/>
    <w:rsid w:val="004A107D"/>
    <w:rsid w:val="004A1848"/>
    <w:rsid w:val="004A3A42"/>
    <w:rsid w:val="004A6F4A"/>
    <w:rsid w:val="004B45BF"/>
    <w:rsid w:val="004C4C42"/>
    <w:rsid w:val="004C546C"/>
    <w:rsid w:val="004C731A"/>
    <w:rsid w:val="004D5558"/>
    <w:rsid w:val="004E0F3D"/>
    <w:rsid w:val="004E4717"/>
    <w:rsid w:val="00507FEC"/>
    <w:rsid w:val="00510F0E"/>
    <w:rsid w:val="00535861"/>
    <w:rsid w:val="0054659D"/>
    <w:rsid w:val="005479E1"/>
    <w:rsid w:val="00553E0A"/>
    <w:rsid w:val="005570FD"/>
    <w:rsid w:val="005575EA"/>
    <w:rsid w:val="00573893"/>
    <w:rsid w:val="0057790C"/>
    <w:rsid w:val="00580FC5"/>
    <w:rsid w:val="00593795"/>
    <w:rsid w:val="005A75FF"/>
    <w:rsid w:val="005C2522"/>
    <w:rsid w:val="005D10AB"/>
    <w:rsid w:val="00601D8F"/>
    <w:rsid w:val="00604121"/>
    <w:rsid w:val="00620B12"/>
    <w:rsid w:val="00623569"/>
    <w:rsid w:val="0062519A"/>
    <w:rsid w:val="00643BFC"/>
    <w:rsid w:val="00647A89"/>
    <w:rsid w:val="00653E97"/>
    <w:rsid w:val="00654D67"/>
    <w:rsid w:val="006701F7"/>
    <w:rsid w:val="00684A74"/>
    <w:rsid w:val="00690B8A"/>
    <w:rsid w:val="006C6929"/>
    <w:rsid w:val="006C7FA6"/>
    <w:rsid w:val="006D3DBA"/>
    <w:rsid w:val="006D65BF"/>
    <w:rsid w:val="006D7E96"/>
    <w:rsid w:val="006E4A66"/>
    <w:rsid w:val="006F2CF1"/>
    <w:rsid w:val="006F71F9"/>
    <w:rsid w:val="007038ED"/>
    <w:rsid w:val="00703BC3"/>
    <w:rsid w:val="00704B61"/>
    <w:rsid w:val="00705292"/>
    <w:rsid w:val="00711F3F"/>
    <w:rsid w:val="0071355E"/>
    <w:rsid w:val="00715828"/>
    <w:rsid w:val="00750E2B"/>
    <w:rsid w:val="007552A9"/>
    <w:rsid w:val="00755DB2"/>
    <w:rsid w:val="00761858"/>
    <w:rsid w:val="007638E6"/>
    <w:rsid w:val="00764ED4"/>
    <w:rsid w:val="00767D59"/>
    <w:rsid w:val="00775C54"/>
    <w:rsid w:val="00776E97"/>
    <w:rsid w:val="0077715F"/>
    <w:rsid w:val="00780F86"/>
    <w:rsid w:val="007824E4"/>
    <w:rsid w:val="00787B02"/>
    <w:rsid w:val="007912AD"/>
    <w:rsid w:val="007952AC"/>
    <w:rsid w:val="00797649"/>
    <w:rsid w:val="007A259F"/>
    <w:rsid w:val="007B07BC"/>
    <w:rsid w:val="007B0824"/>
    <w:rsid w:val="007B1310"/>
    <w:rsid w:val="007B5D3C"/>
    <w:rsid w:val="007C5D27"/>
    <w:rsid w:val="007D7837"/>
    <w:rsid w:val="007F2A46"/>
    <w:rsid w:val="00806249"/>
    <w:rsid w:val="008072CA"/>
    <w:rsid w:val="00821B72"/>
    <w:rsid w:val="00823EF2"/>
    <w:rsid w:val="008303B8"/>
    <w:rsid w:val="00830442"/>
    <w:rsid w:val="00833DCE"/>
    <w:rsid w:val="008407BF"/>
    <w:rsid w:val="00847320"/>
    <w:rsid w:val="008570B6"/>
    <w:rsid w:val="008616F5"/>
    <w:rsid w:val="00871D34"/>
    <w:rsid w:val="0089397F"/>
    <w:rsid w:val="008A29F3"/>
    <w:rsid w:val="008A5D70"/>
    <w:rsid w:val="008B1ACE"/>
    <w:rsid w:val="008B270C"/>
    <w:rsid w:val="008B5078"/>
    <w:rsid w:val="008C3D3D"/>
    <w:rsid w:val="008C61E2"/>
    <w:rsid w:val="008D362D"/>
    <w:rsid w:val="008D3F7F"/>
    <w:rsid w:val="008D4131"/>
    <w:rsid w:val="008E45AC"/>
    <w:rsid w:val="008F1932"/>
    <w:rsid w:val="008F341C"/>
    <w:rsid w:val="008F548D"/>
    <w:rsid w:val="009040F7"/>
    <w:rsid w:val="00913820"/>
    <w:rsid w:val="00921062"/>
    <w:rsid w:val="00922C55"/>
    <w:rsid w:val="00946864"/>
    <w:rsid w:val="00951CD0"/>
    <w:rsid w:val="009627B4"/>
    <w:rsid w:val="00963566"/>
    <w:rsid w:val="009722BC"/>
    <w:rsid w:val="009727A3"/>
    <w:rsid w:val="00977FC0"/>
    <w:rsid w:val="009804EF"/>
    <w:rsid w:val="00987774"/>
    <w:rsid w:val="009A11E8"/>
    <w:rsid w:val="009A212B"/>
    <w:rsid w:val="009A31F5"/>
    <w:rsid w:val="009A4E31"/>
    <w:rsid w:val="009B6E76"/>
    <w:rsid w:val="009C16B5"/>
    <w:rsid w:val="009D3D00"/>
    <w:rsid w:val="009E21C5"/>
    <w:rsid w:val="009E78DF"/>
    <w:rsid w:val="009F4A7D"/>
    <w:rsid w:val="009F5220"/>
    <w:rsid w:val="00A15234"/>
    <w:rsid w:val="00A201AB"/>
    <w:rsid w:val="00A24F4E"/>
    <w:rsid w:val="00A31C8B"/>
    <w:rsid w:val="00A509FA"/>
    <w:rsid w:val="00A52AE4"/>
    <w:rsid w:val="00A71C11"/>
    <w:rsid w:val="00A845DC"/>
    <w:rsid w:val="00A85460"/>
    <w:rsid w:val="00AA70D4"/>
    <w:rsid w:val="00AD159E"/>
    <w:rsid w:val="00AE0518"/>
    <w:rsid w:val="00AE0BC7"/>
    <w:rsid w:val="00AE5D3F"/>
    <w:rsid w:val="00B0092B"/>
    <w:rsid w:val="00B00ACE"/>
    <w:rsid w:val="00B1111A"/>
    <w:rsid w:val="00B26AA2"/>
    <w:rsid w:val="00B319DC"/>
    <w:rsid w:val="00B34181"/>
    <w:rsid w:val="00B351AF"/>
    <w:rsid w:val="00B3524D"/>
    <w:rsid w:val="00B40F69"/>
    <w:rsid w:val="00B46616"/>
    <w:rsid w:val="00B50B64"/>
    <w:rsid w:val="00B53D81"/>
    <w:rsid w:val="00B65D5C"/>
    <w:rsid w:val="00B7040A"/>
    <w:rsid w:val="00B823EB"/>
    <w:rsid w:val="00B83391"/>
    <w:rsid w:val="00B84C52"/>
    <w:rsid w:val="00B95326"/>
    <w:rsid w:val="00BB4C3A"/>
    <w:rsid w:val="00BC7761"/>
    <w:rsid w:val="00BD02B4"/>
    <w:rsid w:val="00BD4196"/>
    <w:rsid w:val="00BD5EB9"/>
    <w:rsid w:val="00BE2111"/>
    <w:rsid w:val="00BE3F6D"/>
    <w:rsid w:val="00BF22CA"/>
    <w:rsid w:val="00BF23BB"/>
    <w:rsid w:val="00C033F5"/>
    <w:rsid w:val="00C07FB2"/>
    <w:rsid w:val="00C129E7"/>
    <w:rsid w:val="00C20139"/>
    <w:rsid w:val="00C2177F"/>
    <w:rsid w:val="00C24E0B"/>
    <w:rsid w:val="00C26032"/>
    <w:rsid w:val="00C30E3C"/>
    <w:rsid w:val="00C345E1"/>
    <w:rsid w:val="00C4341F"/>
    <w:rsid w:val="00C43BFD"/>
    <w:rsid w:val="00C50D86"/>
    <w:rsid w:val="00C643A0"/>
    <w:rsid w:val="00C728AE"/>
    <w:rsid w:val="00C77BDD"/>
    <w:rsid w:val="00C86051"/>
    <w:rsid w:val="00C93A95"/>
    <w:rsid w:val="00CA76FD"/>
    <w:rsid w:val="00CB5B75"/>
    <w:rsid w:val="00CB6E35"/>
    <w:rsid w:val="00CC1755"/>
    <w:rsid w:val="00CD5112"/>
    <w:rsid w:val="00CD7D0D"/>
    <w:rsid w:val="00CE0DD4"/>
    <w:rsid w:val="00CE1A46"/>
    <w:rsid w:val="00CE2D36"/>
    <w:rsid w:val="00D14641"/>
    <w:rsid w:val="00D17CC5"/>
    <w:rsid w:val="00D20757"/>
    <w:rsid w:val="00D22636"/>
    <w:rsid w:val="00D30245"/>
    <w:rsid w:val="00D32962"/>
    <w:rsid w:val="00D40FD9"/>
    <w:rsid w:val="00D41C8C"/>
    <w:rsid w:val="00D53769"/>
    <w:rsid w:val="00D6169E"/>
    <w:rsid w:val="00D85C13"/>
    <w:rsid w:val="00D90090"/>
    <w:rsid w:val="00D9111A"/>
    <w:rsid w:val="00D91BE3"/>
    <w:rsid w:val="00D94AFC"/>
    <w:rsid w:val="00DB70AE"/>
    <w:rsid w:val="00DC49BE"/>
    <w:rsid w:val="00DC4FF6"/>
    <w:rsid w:val="00DD5071"/>
    <w:rsid w:val="00DD5C39"/>
    <w:rsid w:val="00DE5E10"/>
    <w:rsid w:val="00DE62B5"/>
    <w:rsid w:val="00DE7DB7"/>
    <w:rsid w:val="00E00A0A"/>
    <w:rsid w:val="00E066DE"/>
    <w:rsid w:val="00E07F57"/>
    <w:rsid w:val="00E175BA"/>
    <w:rsid w:val="00E21F28"/>
    <w:rsid w:val="00E30683"/>
    <w:rsid w:val="00E31173"/>
    <w:rsid w:val="00E33F67"/>
    <w:rsid w:val="00E453D8"/>
    <w:rsid w:val="00E458EF"/>
    <w:rsid w:val="00E50813"/>
    <w:rsid w:val="00E50BCE"/>
    <w:rsid w:val="00E55AD6"/>
    <w:rsid w:val="00E574BF"/>
    <w:rsid w:val="00E61292"/>
    <w:rsid w:val="00E65853"/>
    <w:rsid w:val="00E745C6"/>
    <w:rsid w:val="00E77C4D"/>
    <w:rsid w:val="00E81D01"/>
    <w:rsid w:val="00EA3675"/>
    <w:rsid w:val="00EE45D8"/>
    <w:rsid w:val="00EF197E"/>
    <w:rsid w:val="00F22EDA"/>
    <w:rsid w:val="00F42B5B"/>
    <w:rsid w:val="00F517D0"/>
    <w:rsid w:val="00F613A4"/>
    <w:rsid w:val="00F77F3F"/>
    <w:rsid w:val="00F8245F"/>
    <w:rsid w:val="00F9433B"/>
    <w:rsid w:val="00FA3933"/>
    <w:rsid w:val="00FA6AAF"/>
    <w:rsid w:val="00FB791E"/>
    <w:rsid w:val="00FD7AE5"/>
    <w:rsid w:val="00FE46AA"/>
    <w:rsid w:val="00FF5128"/>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10880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2566</Words>
  <Characters>13080</Characters>
  <Application>Microsoft Office Word</Application>
  <DocSecurity>0</DocSecurity>
  <Lines>109</Lines>
  <Paragraphs>31</Paragraphs>
  <ScaleCrop>false</ScaleCrop>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2018-08-02T12:57:00Z</dcterms:created>
  <dcterms:modified xsi:type="dcterms:W3CDTF">2018-08-02T12:57:00Z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