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B65" w:rsidRPr="00D02A46" w:rsidRDefault="00D02A46" w:rsidP="00D02A46">
      <w:pPr>
        <w:jc w:val="center"/>
        <w:rPr>
          <w:rFonts w:ascii="Book Antiqua" w:hAnsi="Book Antiqua" w:cs="Arial"/>
          <w:color w:val="000000"/>
          <w:sz w:val="16"/>
          <w:szCs w:val="16"/>
        </w:rPr>
      </w:pPr>
      <w:r w:rsidRPr="00D02A46">
        <w:rPr>
          <w:noProof/>
          <w:sz w:val="16"/>
          <w:szCs w:val="16"/>
        </w:rPr>
        <w:drawing>
          <wp:inline distT="0" distB="0" distL="0" distR="0" wp14:anchorId="65A44096" wp14:editId="694EB081">
            <wp:extent cx="1495425" cy="1133475"/>
            <wp:effectExtent l="0" t="0" r="0" b="0"/>
            <wp:docPr id="1" name="Picture 1" descr="Asylum and Immigration tribunal-b&amp;w-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ylum and Immigration tribunal-b&amp;w-tif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482" b="-7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B65" w:rsidRPr="00D02A46" w:rsidRDefault="00933B65" w:rsidP="00D02A46">
      <w:pPr>
        <w:jc w:val="center"/>
        <w:rPr>
          <w:rFonts w:ascii="Book Antiqua" w:hAnsi="Book Antiqua" w:cs="Arial"/>
          <w:color w:val="000000"/>
          <w:sz w:val="16"/>
          <w:szCs w:val="16"/>
        </w:rPr>
      </w:pPr>
    </w:p>
    <w:p w:rsidR="00933B65" w:rsidRPr="00F97703" w:rsidRDefault="00933B65" w:rsidP="00933B65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Upper</w:t>
      </w:r>
      <w:r w:rsidRPr="00F97703">
        <w:rPr>
          <w:rFonts w:ascii="Book Antiqua" w:hAnsi="Book Antiqua" w:cs="Arial"/>
          <w:b/>
          <w:color w:val="000000"/>
        </w:rPr>
        <w:t xml:space="preserve"> Tribunal </w:t>
      </w:r>
    </w:p>
    <w:p w:rsidR="00933B65" w:rsidRPr="00F97703" w:rsidRDefault="00933B65" w:rsidP="008A64A7">
      <w:pPr>
        <w:tabs>
          <w:tab w:val="right" w:pos="9720"/>
        </w:tabs>
        <w:ind w:right="-82"/>
        <w:rPr>
          <w:rFonts w:ascii="Book Antiqua" w:hAnsi="Book Antiqua" w:cs="Arial"/>
          <w:color w:val="000000"/>
        </w:rPr>
      </w:pPr>
      <w:r w:rsidRPr="00F97703">
        <w:rPr>
          <w:rFonts w:ascii="Book Antiqua" w:hAnsi="Book Antiqua" w:cs="Arial"/>
          <w:b/>
          <w:color w:val="000000"/>
        </w:rPr>
        <w:t>(Immigration and Asylum Chamber)</w:t>
      </w:r>
      <w:r w:rsidRPr="00F97703">
        <w:rPr>
          <w:rFonts w:ascii="Book Antiqua" w:hAnsi="Book Antiqua" w:cs="Arial"/>
          <w:b/>
          <w:color w:val="000000"/>
        </w:rPr>
        <w:tab/>
      </w:r>
      <w:r w:rsidRPr="00F97703">
        <w:rPr>
          <w:rFonts w:ascii="Book Antiqua" w:hAnsi="Book Antiqua" w:cs="Arial"/>
          <w:color w:val="000000"/>
        </w:rPr>
        <w:t xml:space="preserve">Appeal Number: </w:t>
      </w:r>
      <w:bookmarkStart w:id="0" w:name="_Hlk524597437"/>
      <w:bookmarkStart w:id="1" w:name="_GoBack"/>
      <w:r w:rsidR="008D48F2">
        <w:rPr>
          <w:rFonts w:ascii="Book Antiqua" w:hAnsi="Book Antiqua" w:cs="Arial"/>
          <w:caps/>
          <w:color w:val="000000"/>
        </w:rPr>
        <w:t>DA/00407/2017</w:t>
      </w:r>
      <w:bookmarkEnd w:id="0"/>
      <w:bookmarkEnd w:id="1"/>
    </w:p>
    <w:p w:rsidR="00933B65" w:rsidRDefault="00933B65" w:rsidP="00933B65">
      <w:pPr>
        <w:jc w:val="center"/>
        <w:rPr>
          <w:rFonts w:ascii="Book Antiqua" w:hAnsi="Book Antiqua" w:cs="Arial"/>
          <w:color w:val="000000"/>
        </w:rPr>
      </w:pPr>
    </w:p>
    <w:p w:rsidR="00D02A46" w:rsidRPr="00F97703" w:rsidRDefault="00D02A46" w:rsidP="00933B65">
      <w:pPr>
        <w:jc w:val="center"/>
        <w:rPr>
          <w:rFonts w:ascii="Book Antiqua" w:hAnsi="Book Antiqua" w:cs="Arial"/>
          <w:color w:val="000000"/>
        </w:rPr>
      </w:pPr>
    </w:p>
    <w:p w:rsidR="00933B65" w:rsidRPr="00F97703" w:rsidRDefault="00933B65" w:rsidP="00933B65">
      <w:pPr>
        <w:jc w:val="center"/>
        <w:rPr>
          <w:rFonts w:ascii="Book Antiqua" w:hAnsi="Book Antiqua" w:cs="Arial"/>
          <w:b/>
          <w:u w:val="single"/>
        </w:rPr>
      </w:pPr>
      <w:r w:rsidRPr="00F97703">
        <w:rPr>
          <w:rFonts w:ascii="Book Antiqua" w:hAnsi="Book Antiqua" w:cs="Arial"/>
          <w:b/>
          <w:color w:val="000000"/>
          <w:u w:val="single"/>
        </w:rPr>
        <w:t>THE IMMIGRATION ACTS</w:t>
      </w:r>
    </w:p>
    <w:p w:rsidR="00933B65" w:rsidRDefault="00933B65" w:rsidP="00933B65">
      <w:pPr>
        <w:jc w:val="center"/>
        <w:rPr>
          <w:rFonts w:ascii="Book Antiqua" w:hAnsi="Book Antiqua" w:cs="Arial"/>
          <w:b/>
          <w:u w:val="single"/>
        </w:rPr>
      </w:pPr>
    </w:p>
    <w:p w:rsidR="00D02A46" w:rsidRPr="00F97703" w:rsidRDefault="00D02A46" w:rsidP="00933B65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819"/>
        <w:gridCol w:w="4819"/>
      </w:tblGrid>
      <w:tr w:rsidR="00933B65" w:rsidRPr="002154EF" w:rsidTr="00B803A1">
        <w:tc>
          <w:tcPr>
            <w:tcW w:w="2500" w:type="pct"/>
            <w:shd w:val="clear" w:color="auto" w:fill="auto"/>
          </w:tcPr>
          <w:p w:rsidR="00933B65" w:rsidRPr="002154EF" w:rsidRDefault="00933B65" w:rsidP="00B803A1">
            <w:pPr>
              <w:rPr>
                <w:rFonts w:ascii="Book Antiqua" w:hAnsi="Book Antiqua" w:cs="Arial"/>
                <w:b/>
              </w:rPr>
            </w:pPr>
            <w:r w:rsidRPr="002154EF">
              <w:rPr>
                <w:rFonts w:ascii="Book Antiqua" w:hAnsi="Book Antiqua" w:cs="Arial"/>
                <w:b/>
              </w:rPr>
              <w:t xml:space="preserve">Heard at </w:t>
            </w:r>
            <w:r w:rsidR="008B5B9B" w:rsidRPr="002154EF">
              <w:rPr>
                <w:rFonts w:ascii="Book Antiqua" w:hAnsi="Book Antiqua" w:cs="Arial"/>
                <w:b/>
              </w:rPr>
              <w:t xml:space="preserve">Glasgow </w:t>
            </w:r>
          </w:p>
        </w:tc>
        <w:tc>
          <w:tcPr>
            <w:tcW w:w="2500" w:type="pct"/>
            <w:shd w:val="clear" w:color="auto" w:fill="auto"/>
          </w:tcPr>
          <w:p w:rsidR="00933B65" w:rsidRPr="002154EF" w:rsidRDefault="00B32A9D" w:rsidP="00B803A1">
            <w:pPr>
              <w:jc w:val="right"/>
              <w:rPr>
                <w:rFonts w:ascii="Book Antiqua" w:hAnsi="Book Antiqua" w:cs="Arial"/>
                <w:b/>
                <w:color w:val="000000"/>
              </w:rPr>
            </w:pPr>
            <w:r>
              <w:rPr>
                <w:rFonts w:ascii="Book Antiqua" w:hAnsi="Book Antiqua" w:cs="Arial"/>
                <w:b/>
                <w:color w:val="000000"/>
              </w:rPr>
              <w:t>Decisions &amp; Reasons Promulgated</w:t>
            </w:r>
          </w:p>
        </w:tc>
      </w:tr>
      <w:tr w:rsidR="00933B65" w:rsidRPr="002154EF" w:rsidTr="00B803A1">
        <w:tc>
          <w:tcPr>
            <w:tcW w:w="2500" w:type="pct"/>
            <w:shd w:val="clear" w:color="auto" w:fill="auto"/>
          </w:tcPr>
          <w:p w:rsidR="00933B65" w:rsidRPr="002154EF" w:rsidRDefault="006D2D9A" w:rsidP="00B803A1">
            <w:pPr>
              <w:rPr>
                <w:rFonts w:ascii="Book Antiqua" w:hAnsi="Book Antiqua" w:cs="Arial"/>
                <w:b/>
              </w:rPr>
            </w:pPr>
            <w:r w:rsidRPr="002154EF">
              <w:rPr>
                <w:rFonts w:ascii="Book Antiqua" w:hAnsi="Book Antiqua" w:cs="Arial"/>
                <w:b/>
              </w:rPr>
              <w:t>o</w:t>
            </w:r>
            <w:r w:rsidR="00933B65" w:rsidRPr="002154EF">
              <w:rPr>
                <w:rFonts w:ascii="Book Antiqua" w:hAnsi="Book Antiqua" w:cs="Arial"/>
                <w:b/>
              </w:rPr>
              <w:t xml:space="preserve">n </w:t>
            </w:r>
            <w:r w:rsidR="0059555B">
              <w:rPr>
                <w:rFonts w:ascii="Book Antiqua" w:hAnsi="Book Antiqua" w:cs="Arial"/>
                <w:b/>
              </w:rPr>
              <w:t>7 September 2018</w:t>
            </w:r>
          </w:p>
        </w:tc>
        <w:tc>
          <w:tcPr>
            <w:tcW w:w="2500" w:type="pct"/>
            <w:shd w:val="clear" w:color="auto" w:fill="auto"/>
          </w:tcPr>
          <w:p w:rsidR="00933B65" w:rsidRPr="002154EF" w:rsidRDefault="00B32A9D" w:rsidP="00B803A1">
            <w:pPr>
              <w:jc w:val="right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on 13 September 2018 </w:t>
            </w:r>
          </w:p>
        </w:tc>
      </w:tr>
    </w:tbl>
    <w:p w:rsidR="00933B65" w:rsidRDefault="00933B65" w:rsidP="00933B65">
      <w:pPr>
        <w:jc w:val="center"/>
        <w:rPr>
          <w:rFonts w:ascii="Book Antiqua" w:hAnsi="Book Antiqua" w:cs="Arial"/>
          <w:b/>
        </w:rPr>
      </w:pPr>
    </w:p>
    <w:p w:rsidR="00B32A9D" w:rsidRDefault="00B32A9D" w:rsidP="00933B65">
      <w:pPr>
        <w:jc w:val="center"/>
        <w:rPr>
          <w:rFonts w:ascii="Book Antiqua" w:hAnsi="Book Antiqua" w:cs="Arial"/>
          <w:b/>
        </w:rPr>
      </w:pPr>
    </w:p>
    <w:p w:rsidR="00922151" w:rsidRDefault="00922151" w:rsidP="00933B65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Before</w:t>
      </w:r>
    </w:p>
    <w:p w:rsidR="00922151" w:rsidRPr="00F97703" w:rsidRDefault="00922151" w:rsidP="00933B65">
      <w:pPr>
        <w:jc w:val="center"/>
        <w:rPr>
          <w:rFonts w:ascii="Book Antiqua" w:hAnsi="Book Antiqua" w:cs="Arial"/>
          <w:b/>
        </w:rPr>
      </w:pPr>
    </w:p>
    <w:p w:rsidR="00933B65" w:rsidRPr="00F97703" w:rsidRDefault="00933B65" w:rsidP="00933B65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 xml:space="preserve">UPPER TRIBUNAL JUDGE </w:t>
      </w:r>
      <w:r w:rsidR="008B5B9B">
        <w:rPr>
          <w:rFonts w:ascii="Book Antiqua" w:hAnsi="Book Antiqua" w:cs="Arial"/>
          <w:b/>
          <w:color w:val="000000"/>
        </w:rPr>
        <w:t>MACLEMAN</w:t>
      </w:r>
    </w:p>
    <w:p w:rsidR="00933B65" w:rsidRDefault="00933B65" w:rsidP="00933B65">
      <w:pPr>
        <w:jc w:val="center"/>
        <w:rPr>
          <w:rFonts w:ascii="Book Antiqua" w:hAnsi="Book Antiqua" w:cs="Arial"/>
          <w:b/>
        </w:rPr>
      </w:pPr>
    </w:p>
    <w:p w:rsidR="00922151" w:rsidRPr="00F97703" w:rsidRDefault="00922151" w:rsidP="00933B65">
      <w:pPr>
        <w:jc w:val="center"/>
        <w:rPr>
          <w:rFonts w:ascii="Book Antiqua" w:hAnsi="Book Antiqua" w:cs="Arial"/>
          <w:b/>
        </w:rPr>
      </w:pPr>
    </w:p>
    <w:p w:rsidR="00933B65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Between</w:t>
      </w:r>
    </w:p>
    <w:p w:rsidR="00933B65" w:rsidRDefault="00933B65" w:rsidP="00933B65">
      <w:pPr>
        <w:jc w:val="center"/>
        <w:rPr>
          <w:rFonts w:ascii="Book Antiqua" w:hAnsi="Book Antiqua" w:cs="Arial"/>
          <w:b/>
        </w:rPr>
      </w:pPr>
    </w:p>
    <w:p w:rsidR="00933B65" w:rsidRPr="00F97703" w:rsidRDefault="0059555B" w:rsidP="00933B65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K A SZAPIEL</w:t>
      </w:r>
      <w:r w:rsidR="008B5B9B">
        <w:rPr>
          <w:rFonts w:ascii="Book Antiqua" w:hAnsi="Book Antiqua" w:cs="Arial"/>
          <w:b/>
        </w:rPr>
        <w:t xml:space="preserve"> </w:t>
      </w:r>
    </w:p>
    <w:p w:rsidR="00933B65" w:rsidRPr="00F97703" w:rsidRDefault="00933B65" w:rsidP="00933B65">
      <w:pPr>
        <w:jc w:val="right"/>
        <w:rPr>
          <w:rFonts w:ascii="Book Antiqua" w:hAnsi="Book Antiqua" w:cs="Arial"/>
          <w:u w:val="single"/>
        </w:rPr>
      </w:pPr>
      <w:r w:rsidRPr="00F97703">
        <w:rPr>
          <w:rFonts w:ascii="Book Antiqua" w:hAnsi="Book Antiqua" w:cs="Arial"/>
          <w:u w:val="single"/>
        </w:rPr>
        <w:t>Appellant</w:t>
      </w:r>
    </w:p>
    <w:p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t>and</w:t>
      </w:r>
    </w:p>
    <w:p w:rsidR="00933B65" w:rsidRPr="00F97703" w:rsidRDefault="00933B65" w:rsidP="00933B65">
      <w:pPr>
        <w:jc w:val="center"/>
        <w:rPr>
          <w:rFonts w:ascii="Book Antiqua" w:hAnsi="Book Antiqua" w:cs="Arial"/>
          <w:b/>
        </w:rPr>
      </w:pPr>
    </w:p>
    <w:p w:rsidR="00D44C2B" w:rsidRDefault="00933B65" w:rsidP="00933B65">
      <w:pPr>
        <w:jc w:val="center"/>
        <w:rPr>
          <w:rFonts w:ascii="Book Antiqua" w:hAnsi="Book Antiqua" w:cs="Arial"/>
          <w:b/>
        </w:rPr>
      </w:pPr>
      <w:r w:rsidRPr="00F97703">
        <w:rPr>
          <w:rFonts w:ascii="Book Antiqua" w:hAnsi="Book Antiqua" w:cs="Arial"/>
          <w:b/>
        </w:rPr>
        <w:fldChar w:fldCharType="begin">
          <w:ffData>
            <w:name w:val="Text7"/>
            <w:enabled/>
            <w:calcOnExit w:val="0"/>
            <w:textInput>
              <w:default w:val="THE SECRETARY OF STATE FOR THE HOME DEPARTMENT"/>
              <w:format w:val="UPPERCASE"/>
            </w:textInput>
          </w:ffData>
        </w:fldChar>
      </w:r>
      <w:bookmarkStart w:id="2" w:name="Text7"/>
      <w:r w:rsidRPr="00F97703">
        <w:rPr>
          <w:rFonts w:ascii="Book Antiqua" w:hAnsi="Book Antiqua" w:cs="Arial"/>
          <w:b/>
        </w:rPr>
        <w:instrText xml:space="preserve"> FORMTEXT </w:instrText>
      </w:r>
      <w:r w:rsidRPr="00F97703">
        <w:rPr>
          <w:rFonts w:ascii="Book Antiqua" w:hAnsi="Book Antiqua" w:cs="Arial"/>
          <w:b/>
        </w:rPr>
      </w:r>
      <w:r w:rsidRPr="00F97703">
        <w:rPr>
          <w:rFonts w:ascii="Book Antiqua" w:hAnsi="Book Antiqua" w:cs="Arial"/>
          <w:b/>
        </w:rPr>
        <w:fldChar w:fldCharType="separate"/>
      </w:r>
      <w:r w:rsidRPr="00F97703">
        <w:rPr>
          <w:rFonts w:ascii="Book Antiqua" w:hAnsi="Book Antiqua" w:cs="Arial"/>
          <w:b/>
          <w:noProof/>
        </w:rPr>
        <w:t>THE SECRETARY OF STATE FOR THE HOME DEPARTMENT</w:t>
      </w:r>
      <w:r w:rsidRPr="00F97703">
        <w:rPr>
          <w:rFonts w:ascii="Book Antiqua" w:hAnsi="Book Antiqua" w:cs="Arial"/>
          <w:b/>
        </w:rPr>
        <w:fldChar w:fldCharType="end"/>
      </w:r>
      <w:bookmarkEnd w:id="2"/>
    </w:p>
    <w:p w:rsidR="00933B65" w:rsidRPr="00F97703" w:rsidRDefault="00933B65" w:rsidP="008A64A7">
      <w:pPr>
        <w:jc w:val="right"/>
        <w:rPr>
          <w:rFonts w:ascii="Book Antiqua" w:hAnsi="Book Antiqua" w:cs="Arial"/>
          <w:u w:val="single"/>
        </w:rPr>
      </w:pPr>
      <w:r w:rsidRPr="00F97703">
        <w:rPr>
          <w:rFonts w:ascii="Book Antiqua" w:hAnsi="Book Antiqua" w:cs="Arial"/>
          <w:u w:val="single"/>
        </w:rPr>
        <w:t>Respondent</w:t>
      </w:r>
    </w:p>
    <w:p w:rsidR="00933B65" w:rsidRDefault="00933B65" w:rsidP="00933B65">
      <w:pPr>
        <w:rPr>
          <w:rFonts w:ascii="Book Antiqua" w:hAnsi="Book Antiqua" w:cs="Arial"/>
        </w:rPr>
      </w:pPr>
    </w:p>
    <w:p w:rsidR="00922151" w:rsidRPr="00F97703" w:rsidRDefault="00922151" w:rsidP="00933B65">
      <w:pPr>
        <w:rPr>
          <w:rFonts w:ascii="Book Antiqua" w:hAnsi="Book Antiqua" w:cs="Arial"/>
        </w:rPr>
      </w:pPr>
    </w:p>
    <w:p w:rsidR="00933B65" w:rsidRPr="00F97703" w:rsidRDefault="00933B65" w:rsidP="00933B65">
      <w:pPr>
        <w:tabs>
          <w:tab w:val="left" w:pos="2520"/>
        </w:tabs>
        <w:rPr>
          <w:rFonts w:ascii="Book Antiqua" w:hAnsi="Book Antiqua" w:cs="Arial"/>
        </w:rPr>
      </w:pPr>
      <w:r w:rsidRPr="00F97703">
        <w:rPr>
          <w:rFonts w:ascii="Book Antiqua" w:hAnsi="Book Antiqua" w:cs="Arial"/>
        </w:rPr>
        <w:t>For the Appellant:</w:t>
      </w:r>
      <w:r w:rsidRPr="00F97703">
        <w:rPr>
          <w:rFonts w:ascii="Book Antiqua" w:hAnsi="Book Antiqua" w:cs="Arial"/>
        </w:rPr>
        <w:tab/>
      </w:r>
      <w:r w:rsidR="00E22997">
        <w:rPr>
          <w:rFonts w:ascii="Book Antiqua" w:hAnsi="Book Antiqua" w:cs="Arial"/>
        </w:rPr>
        <w:t xml:space="preserve">Mr T Haddow, Advocate, instructed by </w:t>
      </w:r>
      <w:proofErr w:type="spellStart"/>
      <w:r w:rsidR="002B3AC3">
        <w:rPr>
          <w:rFonts w:ascii="Book Antiqua" w:hAnsi="Book Antiqua" w:cs="Arial"/>
        </w:rPr>
        <w:t>Latta</w:t>
      </w:r>
      <w:proofErr w:type="spellEnd"/>
      <w:r w:rsidR="002B3AC3">
        <w:rPr>
          <w:rFonts w:ascii="Book Antiqua" w:hAnsi="Book Antiqua" w:cs="Arial"/>
        </w:rPr>
        <w:t xml:space="preserve"> &amp; Co, </w:t>
      </w:r>
      <w:r w:rsidR="003D7D3D">
        <w:rPr>
          <w:rFonts w:ascii="Book Antiqua" w:hAnsi="Book Antiqua" w:cs="Arial"/>
        </w:rPr>
        <w:t>Solicitors</w:t>
      </w:r>
    </w:p>
    <w:p w:rsidR="00933B65" w:rsidRPr="00F97703" w:rsidRDefault="00933B65" w:rsidP="008A64A7">
      <w:pPr>
        <w:tabs>
          <w:tab w:val="left" w:pos="2520"/>
        </w:tabs>
        <w:rPr>
          <w:rFonts w:ascii="Book Antiqua" w:hAnsi="Book Antiqua" w:cs="Arial"/>
        </w:rPr>
      </w:pPr>
      <w:r w:rsidRPr="00F97703">
        <w:rPr>
          <w:rFonts w:ascii="Book Antiqua" w:hAnsi="Book Antiqua" w:cs="Arial"/>
        </w:rPr>
        <w:t>For the Respondent:</w:t>
      </w:r>
      <w:r w:rsidRPr="00F97703">
        <w:rPr>
          <w:rFonts w:ascii="Book Antiqua" w:hAnsi="Book Antiqua" w:cs="Arial"/>
        </w:rPr>
        <w:tab/>
      </w:r>
      <w:r w:rsidR="002B3AC3">
        <w:rPr>
          <w:rFonts w:ascii="Book Antiqua" w:hAnsi="Book Antiqua" w:cs="Arial"/>
        </w:rPr>
        <w:t xml:space="preserve">Mrs M O’Brien, </w:t>
      </w:r>
      <w:r w:rsidR="003D7D3D">
        <w:rPr>
          <w:rFonts w:ascii="Book Antiqua" w:hAnsi="Book Antiqua" w:cs="Arial"/>
        </w:rPr>
        <w:t>Senior</w:t>
      </w:r>
      <w:r>
        <w:rPr>
          <w:rFonts w:ascii="Book Antiqua" w:hAnsi="Book Antiqua" w:cs="Arial"/>
        </w:rPr>
        <w:t xml:space="preserve"> Home Office Presenting Officer</w:t>
      </w:r>
    </w:p>
    <w:p w:rsidR="00933B65" w:rsidRDefault="00933B65" w:rsidP="00933B65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922151" w:rsidRPr="00F97703" w:rsidRDefault="00922151" w:rsidP="00933B65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321C6F" w:rsidRPr="002B54F9" w:rsidRDefault="00933B65" w:rsidP="00734D2D">
      <w:pPr>
        <w:tabs>
          <w:tab w:val="left" w:pos="2520"/>
        </w:tabs>
        <w:jc w:val="center"/>
        <w:rPr>
          <w:rFonts w:ascii="Book Antiqua" w:hAnsi="Book Antiqua" w:cs="Arial"/>
          <w:sz w:val="20"/>
          <w:szCs w:val="20"/>
        </w:rPr>
      </w:pPr>
      <w:r w:rsidRPr="00F97703">
        <w:rPr>
          <w:rFonts w:ascii="Book Antiqua" w:hAnsi="Book Antiqua" w:cs="Arial"/>
          <w:b/>
          <w:u w:val="single"/>
        </w:rPr>
        <w:t>DETERMINATION AND REASONS</w:t>
      </w:r>
    </w:p>
    <w:p w:rsidR="00D31D54" w:rsidRDefault="00007BAC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</w:t>
      </w:r>
      <w:r w:rsidR="00D31D54">
        <w:rPr>
          <w:rFonts w:ascii="Book Antiqua" w:hAnsi="Book Antiqua" w:cs="Arial"/>
        </w:rPr>
        <w:t>is decision is to be read with:</w:t>
      </w:r>
    </w:p>
    <w:p w:rsidR="00007BAC" w:rsidRPr="00D31D54" w:rsidRDefault="00D31D54" w:rsidP="00224440">
      <w:pPr>
        <w:numPr>
          <w:ilvl w:val="1"/>
          <w:numId w:val="2"/>
        </w:numPr>
        <w:spacing w:before="240"/>
        <w:jc w:val="both"/>
        <w:rPr>
          <w:rFonts w:ascii="Book Antiqua" w:hAnsi="Book Antiqua" w:cs="Arial"/>
        </w:rPr>
      </w:pPr>
      <w:r w:rsidRPr="00D31D54">
        <w:rPr>
          <w:rFonts w:ascii="Book Antiqua" w:hAnsi="Book Antiqua" w:cs="Arial"/>
        </w:rPr>
        <w:t>The</w:t>
      </w:r>
      <w:r w:rsidR="00007BAC" w:rsidRPr="00D31D54">
        <w:rPr>
          <w:rFonts w:ascii="Book Antiqua" w:hAnsi="Book Antiqua" w:cs="Arial"/>
        </w:rPr>
        <w:t xml:space="preserve"> respondent</w:t>
      </w:r>
      <w:r>
        <w:rPr>
          <w:rFonts w:ascii="Book Antiqua" w:hAnsi="Book Antiqua" w:cs="Arial"/>
        </w:rPr>
        <w:t>’s decision</w:t>
      </w:r>
      <w:r w:rsidR="009E3DFE">
        <w:rPr>
          <w:rFonts w:ascii="Book Antiqua" w:hAnsi="Book Antiqua" w:cs="Arial"/>
        </w:rPr>
        <w:t>,</w:t>
      </w:r>
      <w:r>
        <w:rPr>
          <w:rFonts w:ascii="Book Antiqua" w:hAnsi="Book Antiqua" w:cs="Arial"/>
        </w:rPr>
        <w:t xml:space="preserve"> dated </w:t>
      </w:r>
      <w:r w:rsidR="002B3AC3">
        <w:rPr>
          <w:rFonts w:ascii="Book Antiqua" w:hAnsi="Book Antiqua" w:cs="Arial"/>
        </w:rPr>
        <w:t>5 July</w:t>
      </w:r>
      <w:r w:rsidR="004A46A9">
        <w:rPr>
          <w:rFonts w:ascii="Book Antiqua" w:hAnsi="Book Antiqua" w:cs="Arial"/>
        </w:rPr>
        <w:t xml:space="preserve"> 2017</w:t>
      </w:r>
      <w:r w:rsidR="009E3DFE">
        <w:rPr>
          <w:rFonts w:ascii="Book Antiqua" w:hAnsi="Book Antiqua" w:cs="Arial"/>
        </w:rPr>
        <w:t>,</w:t>
      </w:r>
      <w:r w:rsidR="004A46A9">
        <w:rPr>
          <w:rFonts w:ascii="Book Antiqua" w:hAnsi="Book Antiqua" w:cs="Arial"/>
        </w:rPr>
        <w:t xml:space="preserve"> to make a deportation order.</w:t>
      </w:r>
    </w:p>
    <w:p w:rsidR="000777B7" w:rsidRDefault="000777B7" w:rsidP="00224440">
      <w:pPr>
        <w:numPr>
          <w:ilvl w:val="1"/>
          <w:numId w:val="2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appellant’s grounds of appeal to the First-tier Tribunal</w:t>
      </w:r>
      <w:r w:rsidR="004A46A9">
        <w:rPr>
          <w:rFonts w:ascii="Book Antiqua" w:hAnsi="Book Antiqua" w:cs="Arial"/>
        </w:rPr>
        <w:t>, and his statement.</w:t>
      </w:r>
    </w:p>
    <w:p w:rsidR="00007BAC" w:rsidRDefault="000777B7" w:rsidP="00224440">
      <w:pPr>
        <w:numPr>
          <w:ilvl w:val="1"/>
          <w:numId w:val="2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decision of </w:t>
      </w:r>
      <w:proofErr w:type="spellStart"/>
      <w:r>
        <w:rPr>
          <w:rFonts w:ascii="Book Antiqua" w:hAnsi="Book Antiqua" w:cs="Arial"/>
        </w:rPr>
        <w:t>FtT</w:t>
      </w:r>
      <w:proofErr w:type="spellEnd"/>
      <w:r w:rsidR="00007BAC">
        <w:rPr>
          <w:rFonts w:ascii="Book Antiqua" w:hAnsi="Book Antiqua" w:cs="Arial"/>
        </w:rPr>
        <w:t xml:space="preserve"> Judge </w:t>
      </w:r>
      <w:r w:rsidR="004A46A9">
        <w:rPr>
          <w:rFonts w:ascii="Book Antiqua" w:hAnsi="Book Antiqua" w:cs="Arial"/>
        </w:rPr>
        <w:t xml:space="preserve">P </w:t>
      </w:r>
      <w:proofErr w:type="gramStart"/>
      <w:r w:rsidR="004A46A9">
        <w:rPr>
          <w:rFonts w:ascii="Book Antiqua" w:hAnsi="Book Antiqua" w:cs="Arial"/>
        </w:rPr>
        <w:t>A</w:t>
      </w:r>
      <w:proofErr w:type="gramEnd"/>
      <w:r w:rsidR="004A46A9">
        <w:rPr>
          <w:rFonts w:ascii="Book Antiqua" w:hAnsi="Book Antiqua" w:cs="Arial"/>
        </w:rPr>
        <w:t xml:space="preserve"> Grant-Hutchison</w:t>
      </w:r>
      <w:r w:rsidR="00BD36E3">
        <w:rPr>
          <w:rFonts w:ascii="Book Antiqua" w:hAnsi="Book Antiqua" w:cs="Arial"/>
        </w:rPr>
        <w:t>,</w:t>
      </w:r>
      <w:r w:rsidR="00007BAC">
        <w:rPr>
          <w:rFonts w:ascii="Book Antiqua" w:hAnsi="Book Antiqua" w:cs="Arial"/>
        </w:rPr>
        <w:t xml:space="preserve"> promulgated on</w:t>
      </w:r>
      <w:r w:rsidR="00BD36E3">
        <w:rPr>
          <w:rFonts w:ascii="Book Antiqua" w:hAnsi="Book Antiqua" w:cs="Arial"/>
        </w:rPr>
        <w:t xml:space="preserve"> 14 February 2018.</w:t>
      </w:r>
      <w:r w:rsidR="00007BAC">
        <w:rPr>
          <w:rFonts w:ascii="Book Antiqua" w:hAnsi="Book Antiqua" w:cs="Arial"/>
        </w:rPr>
        <w:t xml:space="preserve"> </w:t>
      </w:r>
    </w:p>
    <w:p w:rsidR="00F47052" w:rsidRDefault="00C15A7E" w:rsidP="00224440">
      <w:pPr>
        <w:numPr>
          <w:ilvl w:val="1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 w:cs="Arial"/>
        </w:rPr>
        <w:lastRenderedPageBreak/>
        <w:t xml:space="preserve">The appellant’s grounds of appeal </w:t>
      </w:r>
      <w:r w:rsidR="00F125AD">
        <w:rPr>
          <w:rFonts w:ascii="Book Antiqua" w:hAnsi="Book Antiqua" w:cs="Arial"/>
        </w:rPr>
        <w:t xml:space="preserve">to the UT, stated </w:t>
      </w:r>
      <w:r>
        <w:rPr>
          <w:rFonts w:ascii="Book Antiqua" w:hAnsi="Book Antiqua" w:cs="Arial"/>
        </w:rPr>
        <w:t xml:space="preserve">in the </w:t>
      </w:r>
      <w:r w:rsidRPr="00F1787C">
        <w:rPr>
          <w:rFonts w:ascii="Book Antiqua" w:hAnsi="Book Antiqua"/>
        </w:rPr>
        <w:t>application for permission to appeal</w:t>
      </w:r>
      <w:r w:rsidR="006E3DE1">
        <w:rPr>
          <w:rFonts w:ascii="Book Antiqua" w:hAnsi="Book Antiqua"/>
        </w:rPr>
        <w:t xml:space="preserve"> </w:t>
      </w:r>
      <w:r w:rsidR="00461DFF">
        <w:rPr>
          <w:rFonts w:ascii="Book Antiqua" w:hAnsi="Book Antiqua"/>
        </w:rPr>
        <w:t>dated 1 March 2018.</w:t>
      </w:r>
    </w:p>
    <w:p w:rsidR="00007BAC" w:rsidRDefault="00F47052" w:rsidP="00224440">
      <w:pPr>
        <w:numPr>
          <w:ilvl w:val="1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>The grant of permission</w:t>
      </w:r>
      <w:r w:rsidR="00461DFF">
        <w:rPr>
          <w:rFonts w:ascii="Book Antiqua" w:hAnsi="Book Antiqua"/>
        </w:rPr>
        <w:t xml:space="preserve"> by </w:t>
      </w:r>
      <w:proofErr w:type="spellStart"/>
      <w:r w:rsidR="00461DFF">
        <w:rPr>
          <w:rFonts w:ascii="Book Antiqua" w:hAnsi="Book Antiqua"/>
        </w:rPr>
        <w:t>FtT</w:t>
      </w:r>
      <w:proofErr w:type="spellEnd"/>
      <w:r w:rsidR="00461DFF">
        <w:rPr>
          <w:rFonts w:ascii="Book Antiqua" w:hAnsi="Book Antiqua"/>
        </w:rPr>
        <w:t xml:space="preserve"> Judge Scott Baker dated 13</w:t>
      </w:r>
      <w:r w:rsidR="00986B11">
        <w:rPr>
          <w:rFonts w:ascii="Book Antiqua" w:hAnsi="Book Antiqua"/>
        </w:rPr>
        <w:t xml:space="preserve"> March 2018.</w:t>
      </w:r>
      <w:r w:rsidR="00470675">
        <w:rPr>
          <w:rFonts w:ascii="Book Antiqua" w:hAnsi="Book Antiqua"/>
        </w:rPr>
        <w:t xml:space="preserve"> </w:t>
      </w:r>
    </w:p>
    <w:p w:rsidR="00791A10" w:rsidRDefault="00861BE8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>T</w:t>
      </w:r>
      <w:r w:rsidR="00095346">
        <w:rPr>
          <w:rFonts w:ascii="Book Antiqua" w:hAnsi="Book Antiqua"/>
        </w:rPr>
        <w:t>he</w:t>
      </w:r>
      <w:r w:rsidR="009A1BDD">
        <w:rPr>
          <w:rFonts w:ascii="Book Antiqua" w:hAnsi="Book Antiqua"/>
        </w:rPr>
        <w:t xml:space="preserve"> </w:t>
      </w:r>
      <w:r w:rsidR="00045FAB">
        <w:rPr>
          <w:rFonts w:ascii="Book Antiqua" w:hAnsi="Book Antiqua"/>
        </w:rPr>
        <w:t xml:space="preserve">relevant parts of </w:t>
      </w:r>
      <w:r>
        <w:rPr>
          <w:rFonts w:ascii="Book Antiqua" w:hAnsi="Book Antiqua"/>
        </w:rPr>
        <w:t xml:space="preserve">the </w:t>
      </w:r>
      <w:r w:rsidR="0019370C">
        <w:rPr>
          <w:rFonts w:ascii="Book Antiqua" w:hAnsi="Book Antiqua"/>
        </w:rPr>
        <w:t>Immigration (EEA) R</w:t>
      </w:r>
      <w:r>
        <w:rPr>
          <w:rFonts w:ascii="Book Antiqua" w:hAnsi="Book Antiqua"/>
        </w:rPr>
        <w:t>egulations</w:t>
      </w:r>
      <w:r w:rsidR="0019370C">
        <w:rPr>
          <w:rFonts w:ascii="Book Antiqua" w:hAnsi="Book Antiqua"/>
        </w:rPr>
        <w:t xml:space="preserve"> 2016</w:t>
      </w:r>
      <w:r w:rsidR="00E156D2">
        <w:rPr>
          <w:rFonts w:ascii="Book Antiqua" w:hAnsi="Book Antiqua"/>
        </w:rPr>
        <w:t xml:space="preserve"> are set out in the decision of the </w:t>
      </w:r>
      <w:proofErr w:type="spellStart"/>
      <w:r w:rsidR="00E156D2">
        <w:rPr>
          <w:rFonts w:ascii="Book Antiqua" w:hAnsi="Book Antiqua"/>
        </w:rPr>
        <w:t>FtT</w:t>
      </w:r>
      <w:proofErr w:type="spellEnd"/>
      <w:r w:rsidR="00E156D2">
        <w:rPr>
          <w:rFonts w:ascii="Book Antiqua" w:hAnsi="Book Antiqua"/>
        </w:rPr>
        <w:t>.</w:t>
      </w:r>
      <w:r>
        <w:rPr>
          <w:rFonts w:ascii="Book Antiqua" w:hAnsi="Book Antiqua"/>
        </w:rPr>
        <w:t xml:space="preserve"> </w:t>
      </w:r>
      <w:r w:rsidR="009A1BDD">
        <w:rPr>
          <w:rFonts w:ascii="Book Antiqua" w:hAnsi="Book Antiqua"/>
        </w:rPr>
        <w:t xml:space="preserve"> </w:t>
      </w:r>
      <w:r w:rsidR="00095346">
        <w:rPr>
          <w:rFonts w:ascii="Book Antiqua" w:hAnsi="Book Antiqua"/>
        </w:rPr>
        <w:t xml:space="preserve"> </w:t>
      </w:r>
    </w:p>
    <w:p w:rsidR="00DB6C5E" w:rsidRDefault="00FC2599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>Mr Haddow</w:t>
      </w:r>
      <w:r w:rsidR="00927447">
        <w:rPr>
          <w:rFonts w:ascii="Book Antiqua" w:hAnsi="Book Antiqua"/>
        </w:rPr>
        <w:t xml:space="preserve"> </w:t>
      </w:r>
      <w:r w:rsidR="00D86061">
        <w:rPr>
          <w:rFonts w:ascii="Book Antiqua" w:hAnsi="Book Antiqua"/>
        </w:rPr>
        <w:t>pointed out that the appellant had been legally in the UK and in employment</w:t>
      </w:r>
      <w:r w:rsidR="004E50BD">
        <w:rPr>
          <w:rFonts w:ascii="Book Antiqua" w:hAnsi="Book Antiqua"/>
        </w:rPr>
        <w:t xml:space="preserve">, exercising treaty rights, and although he had not reached the 5-year </w:t>
      </w:r>
      <w:r w:rsidR="00100A8B">
        <w:rPr>
          <w:rFonts w:ascii="Book Antiqua" w:hAnsi="Book Antiqua"/>
        </w:rPr>
        <w:t>point</w:t>
      </w:r>
      <w:r w:rsidR="004E50BD">
        <w:rPr>
          <w:rFonts w:ascii="Book Antiqua" w:hAnsi="Book Antiqua"/>
        </w:rPr>
        <w:t xml:space="preserve"> at the time of the </w:t>
      </w:r>
      <w:r w:rsidR="00100A8B">
        <w:rPr>
          <w:rFonts w:ascii="Book Antiqua" w:hAnsi="Book Antiqua"/>
        </w:rPr>
        <w:t xml:space="preserve">decisions of the respondent or the </w:t>
      </w:r>
      <w:proofErr w:type="spellStart"/>
      <w:r w:rsidR="00100A8B">
        <w:rPr>
          <w:rFonts w:ascii="Book Antiqua" w:hAnsi="Book Antiqua"/>
        </w:rPr>
        <w:t>FtT</w:t>
      </w:r>
      <w:proofErr w:type="spellEnd"/>
      <w:r w:rsidR="00100A8B">
        <w:rPr>
          <w:rFonts w:ascii="Book Antiqua" w:hAnsi="Book Antiqua"/>
        </w:rPr>
        <w:t>, he had now done so</w:t>
      </w:r>
      <w:r w:rsidR="000C69ED">
        <w:rPr>
          <w:rFonts w:ascii="Book Antiqua" w:hAnsi="Book Antiqua"/>
        </w:rPr>
        <w:t xml:space="preserve">, so that the higher threshold would not be relevant for error of law purposes, but would apply in making a fresh decision, </w:t>
      </w:r>
      <w:r w:rsidR="00DB6C5E">
        <w:rPr>
          <w:rFonts w:ascii="Book Antiqua" w:hAnsi="Book Antiqua"/>
        </w:rPr>
        <w:t xml:space="preserve">either in the UT or in the </w:t>
      </w:r>
      <w:proofErr w:type="spellStart"/>
      <w:r w:rsidR="00DB6C5E">
        <w:rPr>
          <w:rFonts w:ascii="Book Antiqua" w:hAnsi="Book Antiqua"/>
        </w:rPr>
        <w:t>FtT</w:t>
      </w:r>
      <w:proofErr w:type="spellEnd"/>
      <w:r w:rsidR="00DB6C5E">
        <w:rPr>
          <w:rFonts w:ascii="Book Antiqua" w:hAnsi="Book Antiqua"/>
        </w:rPr>
        <w:t>, or on enforcement.</w:t>
      </w:r>
      <w:r w:rsidR="00A45783">
        <w:rPr>
          <w:rFonts w:ascii="Book Antiqua" w:hAnsi="Book Antiqua"/>
        </w:rPr>
        <w:t xml:space="preserve"> </w:t>
      </w:r>
      <w:r w:rsidR="00152A0B">
        <w:rPr>
          <w:rFonts w:ascii="Book Antiqua" w:hAnsi="Book Antiqua"/>
        </w:rPr>
        <w:t xml:space="preserve"> </w:t>
      </w:r>
      <w:r w:rsidR="003066C2">
        <w:rPr>
          <w:rFonts w:ascii="Book Antiqua" w:hAnsi="Book Antiqua"/>
        </w:rPr>
        <w:t xml:space="preserve">Against that background, </w:t>
      </w:r>
      <w:r w:rsidR="0097611D">
        <w:rPr>
          <w:rFonts w:ascii="Book Antiqua" w:hAnsi="Book Antiqua"/>
        </w:rPr>
        <w:t xml:space="preserve">he said </w:t>
      </w:r>
      <w:r w:rsidR="003066C2">
        <w:rPr>
          <w:rFonts w:ascii="Book Antiqua" w:hAnsi="Book Antiqua"/>
        </w:rPr>
        <w:t>t</w:t>
      </w:r>
      <w:r w:rsidR="00152A0B">
        <w:rPr>
          <w:rFonts w:ascii="Book Antiqua" w:hAnsi="Book Antiqua"/>
        </w:rPr>
        <w:t xml:space="preserve">here were 3 elements to the argument on error of </w:t>
      </w:r>
      <w:r w:rsidR="003066C2">
        <w:rPr>
          <w:rFonts w:ascii="Book Antiqua" w:hAnsi="Book Antiqua"/>
        </w:rPr>
        <w:t>law:</w:t>
      </w:r>
    </w:p>
    <w:p w:rsidR="00A1215E" w:rsidRDefault="002E130A" w:rsidP="002E130A">
      <w:pPr>
        <w:numPr>
          <w:ilvl w:val="1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>E</w:t>
      </w:r>
      <w:r w:rsidR="00061DEC">
        <w:rPr>
          <w:rFonts w:ascii="Book Antiqua" w:hAnsi="Book Antiqua"/>
        </w:rPr>
        <w:t xml:space="preserve">rror in reaching the conclusion that the appellant presented </w:t>
      </w:r>
      <w:r w:rsidR="00D7532D">
        <w:rPr>
          <w:rFonts w:ascii="Book Antiqua" w:hAnsi="Book Antiqua"/>
        </w:rPr>
        <w:t>a “genuine</w:t>
      </w:r>
      <w:r w:rsidR="00B81632">
        <w:rPr>
          <w:rFonts w:ascii="Book Antiqua" w:hAnsi="Book Antiqua"/>
        </w:rPr>
        <w:t xml:space="preserve"> and</w:t>
      </w:r>
      <w:r w:rsidR="00D7532D">
        <w:rPr>
          <w:rFonts w:ascii="Book Antiqua" w:hAnsi="Book Antiqua"/>
        </w:rPr>
        <w:t xml:space="preserve"> present threat”</w:t>
      </w:r>
      <w:r w:rsidR="00160224">
        <w:rPr>
          <w:rFonts w:ascii="Book Antiqua" w:hAnsi="Book Antiqua"/>
        </w:rPr>
        <w:t>.</w:t>
      </w:r>
      <w:r w:rsidR="00E75BB6">
        <w:rPr>
          <w:rFonts w:ascii="Book Antiqua" w:hAnsi="Book Antiqua"/>
        </w:rPr>
        <w:t xml:space="preserve">  </w:t>
      </w:r>
      <w:r w:rsidR="00A22835">
        <w:rPr>
          <w:rFonts w:ascii="Book Antiqua" w:hAnsi="Book Antiqua"/>
        </w:rPr>
        <w:t>The judge discounted p</w:t>
      </w:r>
      <w:r w:rsidR="00E75BB6">
        <w:rPr>
          <w:rFonts w:ascii="Book Antiqua" w:hAnsi="Book Antiqua"/>
        </w:rPr>
        <w:t>revious offending in Poland</w:t>
      </w:r>
      <w:r w:rsidR="00A22835">
        <w:rPr>
          <w:rFonts w:ascii="Book Antiqua" w:hAnsi="Book Antiqua"/>
        </w:rPr>
        <w:t>.  That was followed by two fiscal fines in the UK</w:t>
      </w:r>
      <w:r w:rsidR="00E33EF3">
        <w:rPr>
          <w:rFonts w:ascii="Book Antiqua" w:hAnsi="Book Antiqua"/>
        </w:rPr>
        <w:t xml:space="preserve"> and a candid admission (in oral evidence) of still smoking cannabis</w:t>
      </w:r>
      <w:r w:rsidR="00974669">
        <w:rPr>
          <w:rFonts w:ascii="Book Antiqua" w:hAnsi="Book Antiqua"/>
        </w:rPr>
        <w:t>, t</w:t>
      </w:r>
      <w:r w:rsidR="00012D80">
        <w:rPr>
          <w:rFonts w:ascii="Book Antiqua" w:hAnsi="Book Antiqua"/>
        </w:rPr>
        <w:t xml:space="preserve">he only </w:t>
      </w:r>
      <w:r w:rsidR="007B3193">
        <w:rPr>
          <w:rFonts w:ascii="Book Antiqua" w:hAnsi="Book Antiqua"/>
        </w:rPr>
        <w:t>reason</w:t>
      </w:r>
      <w:r w:rsidR="00012D80">
        <w:rPr>
          <w:rFonts w:ascii="Book Antiqua" w:hAnsi="Book Antiqua"/>
        </w:rPr>
        <w:t xml:space="preserve">s </w:t>
      </w:r>
      <w:r w:rsidR="00F81740">
        <w:rPr>
          <w:rFonts w:ascii="Book Antiqua" w:hAnsi="Book Antiqua"/>
        </w:rPr>
        <w:t>for finding</w:t>
      </w:r>
      <w:r w:rsidR="00012D80">
        <w:rPr>
          <w:rFonts w:ascii="Book Antiqua" w:hAnsi="Book Antiqua"/>
        </w:rPr>
        <w:t xml:space="preserve"> the appellant to be a risk</w:t>
      </w:r>
      <w:r w:rsidR="007B3193">
        <w:rPr>
          <w:rFonts w:ascii="Book Antiqua" w:hAnsi="Book Antiqua"/>
        </w:rPr>
        <w:t>-</w:t>
      </w:r>
      <w:r w:rsidR="00012D80">
        <w:rPr>
          <w:rFonts w:ascii="Book Antiqua" w:hAnsi="Book Antiqua"/>
        </w:rPr>
        <w:t xml:space="preserve">taker and </w:t>
      </w:r>
      <w:r w:rsidR="00F81740">
        <w:rPr>
          <w:rFonts w:ascii="Book Antiqua" w:hAnsi="Book Antiqua"/>
        </w:rPr>
        <w:t>so likely to re-offend (paragraph 21)</w:t>
      </w:r>
      <w:r w:rsidR="004519CE">
        <w:rPr>
          <w:rFonts w:ascii="Book Antiqua" w:hAnsi="Book Antiqua"/>
        </w:rPr>
        <w:t>.  That was an inadequate basis for the</w:t>
      </w:r>
      <w:r w:rsidR="00A1215E">
        <w:rPr>
          <w:rFonts w:ascii="Book Antiqua" w:hAnsi="Book Antiqua"/>
        </w:rPr>
        <w:t xml:space="preserve"> conclusion reached.</w:t>
      </w:r>
    </w:p>
    <w:p w:rsidR="007D6249" w:rsidRDefault="002E130A" w:rsidP="002E130A">
      <w:pPr>
        <w:numPr>
          <w:ilvl w:val="1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>E</w:t>
      </w:r>
      <w:r w:rsidR="00B81632">
        <w:rPr>
          <w:rFonts w:ascii="Book Antiqua" w:hAnsi="Book Antiqua"/>
        </w:rPr>
        <w:t>rror in finding the threat “sufficiently serious”.</w:t>
      </w:r>
      <w:r w:rsidR="00EF1300">
        <w:rPr>
          <w:rFonts w:ascii="Book Antiqua" w:hAnsi="Book Antiqua"/>
        </w:rPr>
        <w:t xml:space="preserve">  </w:t>
      </w:r>
      <w:r w:rsidR="009B0FE9">
        <w:rPr>
          <w:rFonts w:ascii="Book Antiqua" w:hAnsi="Book Antiqua"/>
        </w:rPr>
        <w:t xml:space="preserve">The </w:t>
      </w:r>
      <w:proofErr w:type="spellStart"/>
      <w:r w:rsidR="009B0FE9">
        <w:rPr>
          <w:rFonts w:ascii="Book Antiqua" w:hAnsi="Book Antiqua"/>
        </w:rPr>
        <w:t>FtT</w:t>
      </w:r>
      <w:proofErr w:type="spellEnd"/>
      <w:r w:rsidR="009B0FE9">
        <w:rPr>
          <w:rFonts w:ascii="Book Antiqua" w:hAnsi="Book Antiqua"/>
        </w:rPr>
        <w:t xml:space="preserve"> had to take account of all material factors, and explain why it decided as it did.</w:t>
      </w:r>
      <w:r w:rsidR="002A3655">
        <w:rPr>
          <w:rFonts w:ascii="Book Antiqua" w:hAnsi="Book Antiqua"/>
        </w:rPr>
        <w:t xml:space="preserve">  This aspect required an assessment of proportionality, not only in terms of article 8 righ</w:t>
      </w:r>
      <w:r w:rsidR="0088657E">
        <w:rPr>
          <w:rFonts w:ascii="Book Antiqua" w:hAnsi="Book Antiqua"/>
        </w:rPr>
        <w:t>t</w:t>
      </w:r>
      <w:r w:rsidR="002A3655">
        <w:rPr>
          <w:rFonts w:ascii="Book Antiqua" w:hAnsi="Book Antiqua"/>
        </w:rPr>
        <w:t>s, but in terms of interference with treaty righ</w:t>
      </w:r>
      <w:r w:rsidR="0088657E">
        <w:rPr>
          <w:rFonts w:ascii="Book Antiqua" w:hAnsi="Book Antiqua"/>
        </w:rPr>
        <w:t>ts.  Matters on the resp</w:t>
      </w:r>
      <w:r w:rsidR="006248C2">
        <w:rPr>
          <w:rFonts w:ascii="Book Antiqua" w:hAnsi="Book Antiqua"/>
        </w:rPr>
        <w:t>on</w:t>
      </w:r>
      <w:r w:rsidR="0088657E">
        <w:rPr>
          <w:rFonts w:ascii="Book Antiqua" w:hAnsi="Book Antiqua"/>
        </w:rPr>
        <w:t>dent’s side were at paragraph</w:t>
      </w:r>
      <w:r w:rsidR="001648B3">
        <w:rPr>
          <w:rFonts w:ascii="Book Antiqua" w:hAnsi="Book Antiqua"/>
        </w:rPr>
        <w:t>s 19 – 21</w:t>
      </w:r>
      <w:r w:rsidR="006248C2">
        <w:rPr>
          <w:rFonts w:ascii="Book Antiqua" w:hAnsi="Book Antiqua"/>
        </w:rPr>
        <w:t>.</w:t>
      </w:r>
      <w:r w:rsidR="001F1025">
        <w:rPr>
          <w:rFonts w:ascii="Book Antiqua" w:hAnsi="Book Antiqua"/>
        </w:rPr>
        <w:t xml:space="preserve">  The </w:t>
      </w:r>
      <w:r w:rsidR="00DA6579">
        <w:rPr>
          <w:rFonts w:ascii="Book Antiqua" w:hAnsi="Book Antiqua"/>
        </w:rPr>
        <w:t>totality</w:t>
      </w:r>
      <w:r w:rsidR="001F1025">
        <w:rPr>
          <w:rFonts w:ascii="Book Antiqua" w:hAnsi="Book Antiqua"/>
        </w:rPr>
        <w:t xml:space="preserve"> of the assessment of matters on the appellant’s side was at paragraph 22</w:t>
      </w:r>
      <w:r w:rsidR="00A20E50">
        <w:rPr>
          <w:rFonts w:ascii="Book Antiqua" w:hAnsi="Book Antiqua"/>
        </w:rPr>
        <w:t>.</w:t>
      </w:r>
      <w:r w:rsidR="00DA6579">
        <w:rPr>
          <w:rFonts w:ascii="Book Antiqua" w:hAnsi="Book Antiqua"/>
        </w:rPr>
        <w:t xml:space="preserve">  That might be sufficient in a case on article 8 issues only, but not in relation to treaty rights of residence and working.</w:t>
      </w:r>
    </w:p>
    <w:p w:rsidR="005963D8" w:rsidRDefault="002E130A" w:rsidP="002E130A">
      <w:pPr>
        <w:numPr>
          <w:ilvl w:val="1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>E</w:t>
      </w:r>
      <w:r w:rsidR="005963D8">
        <w:rPr>
          <w:rFonts w:ascii="Book Antiqua" w:hAnsi="Book Antiqua"/>
        </w:rPr>
        <w:t xml:space="preserve">rror in finding </w:t>
      </w:r>
      <w:r w:rsidR="009644EF">
        <w:rPr>
          <w:rFonts w:ascii="Book Antiqua" w:hAnsi="Book Antiqua"/>
        </w:rPr>
        <w:t>the f</w:t>
      </w:r>
      <w:r w:rsidR="00293A0A">
        <w:rPr>
          <w:rFonts w:ascii="Book Antiqua" w:hAnsi="Book Antiqua"/>
        </w:rPr>
        <w:t xml:space="preserve">acts </w:t>
      </w:r>
      <w:r w:rsidR="00BC3FA0">
        <w:rPr>
          <w:rFonts w:ascii="Book Antiqua" w:hAnsi="Book Antiqua"/>
        </w:rPr>
        <w:t xml:space="preserve">to be such </w:t>
      </w:r>
      <w:r w:rsidR="00293A0A">
        <w:rPr>
          <w:rFonts w:ascii="Book Antiqua" w:hAnsi="Book Antiqua"/>
        </w:rPr>
        <w:t>that deportation would be proportionate.  Proportionality was a question of law.</w:t>
      </w:r>
      <w:r w:rsidR="00E12EB6">
        <w:rPr>
          <w:rFonts w:ascii="Book Antiqua" w:hAnsi="Book Antiqua"/>
        </w:rPr>
        <w:t xml:space="preserve">  On the worst view for the appellant, </w:t>
      </w:r>
      <w:r w:rsidR="00A23ACF">
        <w:rPr>
          <w:rFonts w:ascii="Book Antiqua" w:hAnsi="Book Antiqua"/>
        </w:rPr>
        <w:t>there was</w:t>
      </w:r>
      <w:r w:rsidR="00465686">
        <w:rPr>
          <w:rFonts w:ascii="Book Antiqua" w:hAnsi="Book Antiqua"/>
        </w:rPr>
        <w:t xml:space="preserve"> no threat which met the test for removal.</w:t>
      </w:r>
      <w:r w:rsidR="00B80C07">
        <w:rPr>
          <w:rFonts w:ascii="Book Antiqua" w:hAnsi="Book Antiqua"/>
        </w:rPr>
        <w:t xml:space="preserve">  </w:t>
      </w:r>
      <w:r w:rsidR="00B71E96">
        <w:rPr>
          <w:rFonts w:ascii="Book Antiqua" w:hAnsi="Book Antiqua"/>
        </w:rPr>
        <w:t>By reference to s</w:t>
      </w:r>
      <w:r w:rsidR="00B80C07">
        <w:rPr>
          <w:rFonts w:ascii="Book Antiqua" w:hAnsi="Book Antiqua"/>
        </w:rPr>
        <w:t>chedule I (3)</w:t>
      </w:r>
      <w:r w:rsidR="00B71E96">
        <w:rPr>
          <w:rFonts w:ascii="Book Antiqua" w:hAnsi="Book Antiqua"/>
        </w:rPr>
        <w:t>, there was no custodial sentence</w:t>
      </w:r>
      <w:r w:rsidR="00381986">
        <w:rPr>
          <w:rFonts w:ascii="Book Antiqua" w:hAnsi="Book Antiqua"/>
        </w:rPr>
        <w:t xml:space="preserve">, no persistent offending, and only one repetition of offending at the </w:t>
      </w:r>
      <w:r w:rsidR="00C53D21">
        <w:rPr>
          <w:rFonts w:ascii="Book Antiqua" w:hAnsi="Book Antiqua"/>
        </w:rPr>
        <w:t xml:space="preserve">lowest end of the scale.  The state had chosen to proceed by way of a fiscal fine, not by prosecution in court, </w:t>
      </w:r>
      <w:r w:rsidR="00755044">
        <w:rPr>
          <w:rFonts w:ascii="Book Antiqua" w:hAnsi="Book Antiqua"/>
        </w:rPr>
        <w:t>even on a re</w:t>
      </w:r>
      <w:r w:rsidR="00B84B26">
        <w:rPr>
          <w:rFonts w:ascii="Book Antiqua" w:hAnsi="Book Antiqua"/>
        </w:rPr>
        <w:t>-</w:t>
      </w:r>
      <w:r w:rsidR="00755044">
        <w:rPr>
          <w:rFonts w:ascii="Book Antiqua" w:hAnsi="Book Antiqua"/>
        </w:rPr>
        <w:t xml:space="preserve">occurrence. </w:t>
      </w:r>
      <w:r w:rsidR="00613782">
        <w:rPr>
          <w:rFonts w:ascii="Book Antiqua" w:hAnsi="Book Antiqua"/>
        </w:rPr>
        <w:t xml:space="preserve"> Deportation </w:t>
      </w:r>
      <w:r w:rsidR="00267F21">
        <w:rPr>
          <w:rFonts w:ascii="Book Antiqua" w:hAnsi="Book Antiqua"/>
        </w:rPr>
        <w:t>could in principle be justified as a deterrent, but</w:t>
      </w:r>
      <w:r w:rsidR="00D03F72">
        <w:rPr>
          <w:rFonts w:ascii="Book Antiqua" w:hAnsi="Book Antiqua"/>
        </w:rPr>
        <w:t>,</w:t>
      </w:r>
      <w:r w:rsidR="00267F21">
        <w:rPr>
          <w:rFonts w:ascii="Book Antiqua" w:hAnsi="Book Antiqua"/>
        </w:rPr>
        <w:t xml:space="preserve"> by comparison</w:t>
      </w:r>
      <w:r w:rsidR="00D03F72">
        <w:rPr>
          <w:rFonts w:ascii="Book Antiqua" w:hAnsi="Book Antiqua"/>
        </w:rPr>
        <w:t>,</w:t>
      </w:r>
      <w:r w:rsidR="00267F21">
        <w:rPr>
          <w:rFonts w:ascii="Book Antiqua" w:hAnsi="Book Antiqua"/>
        </w:rPr>
        <w:t xml:space="preserve"> for similar offending a UK citizen would not b</w:t>
      </w:r>
      <w:r w:rsidR="00565056">
        <w:rPr>
          <w:rFonts w:ascii="Book Antiqua" w:hAnsi="Book Antiqua"/>
        </w:rPr>
        <w:t xml:space="preserve">e threatened with loss of a place </w:t>
      </w:r>
      <w:r w:rsidR="002A571A">
        <w:rPr>
          <w:rFonts w:ascii="Book Antiqua" w:hAnsi="Book Antiqua"/>
        </w:rPr>
        <w:t xml:space="preserve">of </w:t>
      </w:r>
      <w:r w:rsidR="00565056">
        <w:rPr>
          <w:rFonts w:ascii="Book Antiqua" w:hAnsi="Book Antiqua"/>
        </w:rPr>
        <w:t>residence or of</w:t>
      </w:r>
      <w:r w:rsidR="00C53D21">
        <w:rPr>
          <w:rFonts w:ascii="Book Antiqua" w:hAnsi="Book Antiqua"/>
        </w:rPr>
        <w:t xml:space="preserve"> </w:t>
      </w:r>
      <w:r w:rsidR="00565056">
        <w:rPr>
          <w:rFonts w:ascii="Book Antiqua" w:hAnsi="Book Antiqua"/>
        </w:rPr>
        <w:t>employment.</w:t>
      </w:r>
      <w:r w:rsidR="00A47268">
        <w:rPr>
          <w:rFonts w:ascii="Book Antiqua" w:hAnsi="Book Antiqua"/>
        </w:rPr>
        <w:t xml:space="preserve">  The approach of the state implied th</w:t>
      </w:r>
      <w:r w:rsidR="00F64D76">
        <w:rPr>
          <w:rFonts w:ascii="Book Antiqua" w:hAnsi="Book Antiqua"/>
        </w:rPr>
        <w:t>at the</w:t>
      </w:r>
      <w:r w:rsidR="00A47268">
        <w:rPr>
          <w:rFonts w:ascii="Book Antiqua" w:hAnsi="Book Antiqua"/>
        </w:rPr>
        <w:t xml:space="preserve"> offending was “not very serious at all”</w:t>
      </w:r>
      <w:r w:rsidR="005963D8">
        <w:rPr>
          <w:rFonts w:ascii="Book Antiqua" w:hAnsi="Book Antiqua"/>
        </w:rPr>
        <w:t>.</w:t>
      </w:r>
    </w:p>
    <w:p w:rsidR="002969F3" w:rsidRDefault="00F27EB8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>Mr Haddow s</w:t>
      </w:r>
      <w:r w:rsidR="00835D1D">
        <w:rPr>
          <w:rFonts w:ascii="Book Antiqua" w:hAnsi="Book Antiqua"/>
        </w:rPr>
        <w:t>aid</w:t>
      </w:r>
      <w:r>
        <w:rPr>
          <w:rFonts w:ascii="Book Antiqua" w:hAnsi="Book Antiqua"/>
        </w:rPr>
        <w:t xml:space="preserve"> </w:t>
      </w:r>
      <w:r w:rsidR="006E7C43">
        <w:rPr>
          <w:rFonts w:ascii="Book Antiqua" w:hAnsi="Book Antiqua"/>
        </w:rPr>
        <w:t xml:space="preserve">finally </w:t>
      </w:r>
      <w:r>
        <w:rPr>
          <w:rFonts w:ascii="Book Antiqua" w:hAnsi="Book Antiqua"/>
        </w:rPr>
        <w:t>that if error (iii</w:t>
      </w:r>
      <w:r w:rsidR="00F45DDC">
        <w:rPr>
          <w:rFonts w:ascii="Book Antiqua" w:hAnsi="Book Antiqua"/>
        </w:rPr>
        <w:t>)</w:t>
      </w:r>
      <w:r>
        <w:rPr>
          <w:rFonts w:ascii="Book Antiqua" w:hAnsi="Book Antiqua"/>
        </w:rPr>
        <w:t xml:space="preserve"> was accepted, the </w:t>
      </w:r>
      <w:r w:rsidR="002B5B54">
        <w:rPr>
          <w:rFonts w:ascii="Book Antiqua" w:hAnsi="Book Antiqua"/>
        </w:rPr>
        <w:t>outcome should simply be reversed</w:t>
      </w:r>
      <w:r w:rsidR="00F45DDC">
        <w:rPr>
          <w:rFonts w:ascii="Book Antiqua" w:hAnsi="Book Antiqua"/>
        </w:rPr>
        <w:t>, and alternatively that (</w:t>
      </w:r>
      <w:proofErr w:type="spellStart"/>
      <w:r w:rsidR="00F45DDC">
        <w:rPr>
          <w:rFonts w:ascii="Book Antiqua" w:hAnsi="Book Antiqua"/>
        </w:rPr>
        <w:t>i</w:t>
      </w:r>
      <w:proofErr w:type="spellEnd"/>
      <w:r w:rsidR="00F45DDC">
        <w:rPr>
          <w:rFonts w:ascii="Book Antiqua" w:hAnsi="Book Antiqua"/>
        </w:rPr>
        <w:t xml:space="preserve">) and (ii) would require a remit to the </w:t>
      </w:r>
      <w:proofErr w:type="spellStart"/>
      <w:r w:rsidR="00F45DDC">
        <w:rPr>
          <w:rFonts w:ascii="Book Antiqua" w:hAnsi="Book Antiqua"/>
        </w:rPr>
        <w:t>FtT</w:t>
      </w:r>
      <w:proofErr w:type="spellEnd"/>
      <w:r w:rsidR="00F45DDC">
        <w:rPr>
          <w:rFonts w:ascii="Book Antiqua" w:hAnsi="Book Antiqua"/>
        </w:rPr>
        <w:t>.</w:t>
      </w:r>
    </w:p>
    <w:p w:rsidR="00017FC3" w:rsidRDefault="002969F3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Mrs O’Brien submitted thus.  </w:t>
      </w:r>
      <w:r w:rsidR="005E0FE9">
        <w:rPr>
          <w:rFonts w:ascii="Book Antiqua" w:hAnsi="Book Antiqua"/>
        </w:rPr>
        <w:t>The grounds in substance were only disagreement with lawful findings.  The submissions conflated law and fact.</w:t>
      </w:r>
      <w:r w:rsidR="00C94E61">
        <w:rPr>
          <w:rFonts w:ascii="Book Antiqua" w:hAnsi="Book Antiqua"/>
        </w:rPr>
        <w:t xml:space="preserve">  The judge directed himself clearly on the law at paragraphs 10 – 15 </w:t>
      </w:r>
      <w:r w:rsidR="002C041F">
        <w:rPr>
          <w:rFonts w:ascii="Book Antiqua" w:hAnsi="Book Antiqua"/>
        </w:rPr>
        <w:t>and correctly identified the issue</w:t>
      </w:r>
      <w:r w:rsidR="00507F13">
        <w:rPr>
          <w:rFonts w:ascii="Book Antiqua" w:hAnsi="Book Antiqua"/>
        </w:rPr>
        <w:t xml:space="preserve">s at paragraph </w:t>
      </w:r>
      <w:r w:rsidR="00507F13">
        <w:rPr>
          <w:rFonts w:ascii="Book Antiqua" w:hAnsi="Book Antiqua"/>
        </w:rPr>
        <w:lastRenderedPageBreak/>
        <w:t>18 in terms of the burden on the respondent and factors relevant to proportionality.</w:t>
      </w:r>
      <w:r w:rsidR="005C37C5">
        <w:rPr>
          <w:rFonts w:ascii="Book Antiqua" w:hAnsi="Book Antiqua"/>
        </w:rPr>
        <w:t xml:space="preserve">  </w:t>
      </w:r>
      <w:r w:rsidR="009E0BB6">
        <w:rPr>
          <w:rFonts w:ascii="Book Antiqua" w:hAnsi="Book Antiqua"/>
        </w:rPr>
        <w:t>Th</w:t>
      </w:r>
      <w:r w:rsidR="005C37C5">
        <w:rPr>
          <w:rFonts w:ascii="Book Antiqua" w:hAnsi="Book Antiqua"/>
        </w:rPr>
        <w:t xml:space="preserve">e judge did not agree with the </w:t>
      </w:r>
      <w:r w:rsidR="0019492B">
        <w:rPr>
          <w:rFonts w:ascii="Book Antiqua" w:hAnsi="Book Antiqua"/>
        </w:rPr>
        <w:t>respondent</w:t>
      </w:r>
      <w:r w:rsidR="005C37C5">
        <w:rPr>
          <w:rFonts w:ascii="Book Antiqua" w:hAnsi="Book Antiqua"/>
        </w:rPr>
        <w:t xml:space="preserve"> based on </w:t>
      </w:r>
      <w:r w:rsidR="0019492B">
        <w:rPr>
          <w:rFonts w:ascii="Book Antiqua" w:hAnsi="Book Antiqua"/>
        </w:rPr>
        <w:t>convictions in Poland only,</w:t>
      </w:r>
      <w:r w:rsidR="009E0BB6">
        <w:rPr>
          <w:rFonts w:ascii="Book Antiqua" w:hAnsi="Book Antiqua"/>
        </w:rPr>
        <w:t xml:space="preserve"> but those contributed to his overall finding </w:t>
      </w:r>
      <w:r w:rsidR="0095405F">
        <w:rPr>
          <w:rFonts w:ascii="Book Antiqua" w:hAnsi="Book Antiqua"/>
        </w:rPr>
        <w:t xml:space="preserve">based on recidivism and </w:t>
      </w:r>
      <w:r w:rsidR="00CD72E1">
        <w:rPr>
          <w:rFonts w:ascii="Book Antiqua" w:hAnsi="Book Antiqua"/>
        </w:rPr>
        <w:t>on all</w:t>
      </w:r>
      <w:r w:rsidR="0095405F">
        <w:rPr>
          <w:rFonts w:ascii="Book Antiqua" w:hAnsi="Book Antiqua"/>
        </w:rPr>
        <w:t xml:space="preserve"> </w:t>
      </w:r>
      <w:proofErr w:type="gramStart"/>
      <w:r w:rsidR="0095405F">
        <w:rPr>
          <w:rFonts w:ascii="Book Antiqua" w:hAnsi="Book Antiqua"/>
        </w:rPr>
        <w:t>offending</w:t>
      </w:r>
      <w:proofErr w:type="gramEnd"/>
      <w:r w:rsidR="0095405F">
        <w:rPr>
          <w:rFonts w:ascii="Book Antiqua" w:hAnsi="Book Antiqua"/>
        </w:rPr>
        <w:t xml:space="preserve"> being drug-related.</w:t>
      </w:r>
      <w:r w:rsidR="00CD72E1">
        <w:rPr>
          <w:rFonts w:ascii="Book Antiqua" w:hAnsi="Book Antiqua"/>
        </w:rPr>
        <w:t xml:space="preserve">  The evidence was that </w:t>
      </w:r>
      <w:r w:rsidR="008417CA">
        <w:rPr>
          <w:rFonts w:ascii="Book Antiqua" w:hAnsi="Book Antiqua"/>
        </w:rPr>
        <w:t>despite knowing the potential consequences, and despite being caught, the appellant re-offended in the UK and was likely to do so again.</w:t>
      </w:r>
      <w:r w:rsidR="0038250D">
        <w:rPr>
          <w:rFonts w:ascii="Book Antiqua" w:hAnsi="Book Antiqua"/>
        </w:rPr>
        <w:t xml:space="preserve">  That was why the judge accepted the </w:t>
      </w:r>
      <w:r w:rsidR="00ED3E86">
        <w:rPr>
          <w:rFonts w:ascii="Book Antiqua" w:hAnsi="Book Antiqua"/>
        </w:rPr>
        <w:t xml:space="preserve">argument of the presenting officer in the </w:t>
      </w:r>
      <w:proofErr w:type="spellStart"/>
      <w:r w:rsidR="00ED3E86">
        <w:rPr>
          <w:rFonts w:ascii="Book Antiqua" w:hAnsi="Book Antiqua"/>
        </w:rPr>
        <w:t>FtT</w:t>
      </w:r>
      <w:proofErr w:type="spellEnd"/>
      <w:r w:rsidR="00ED3E86">
        <w:rPr>
          <w:rFonts w:ascii="Book Antiqua" w:hAnsi="Book Antiqua"/>
        </w:rPr>
        <w:t xml:space="preserve"> that the appellant was a risk-taker.</w:t>
      </w:r>
      <w:r w:rsidR="00720306">
        <w:rPr>
          <w:rFonts w:ascii="Book Antiqua" w:hAnsi="Book Antiqua"/>
        </w:rPr>
        <w:t xml:space="preserve">  The decision was as long as it needed to be on matters on the appellant’s side</w:t>
      </w:r>
      <w:r w:rsidR="00C02384">
        <w:rPr>
          <w:rFonts w:ascii="Book Antiqua" w:hAnsi="Book Antiqua"/>
        </w:rPr>
        <w:t>, mentioning his skills and work history</w:t>
      </w:r>
      <w:r w:rsidR="00474DEB">
        <w:rPr>
          <w:rFonts w:ascii="Book Antiqua" w:hAnsi="Book Antiqua"/>
        </w:rPr>
        <w:t>, and obviously reflecting that he had used his right of free movement.  The appellant had not specified any factor which had been left out of account.</w:t>
      </w:r>
      <w:r w:rsidR="002860C1">
        <w:rPr>
          <w:rFonts w:ascii="Book Antiqua" w:hAnsi="Book Antiqua"/>
        </w:rPr>
        <w:t xml:space="preserve">  The fiscal fines were on record </w:t>
      </w:r>
      <w:r w:rsidR="000B194D">
        <w:rPr>
          <w:rFonts w:ascii="Book Antiqua" w:hAnsi="Book Antiqua"/>
        </w:rPr>
        <w:t xml:space="preserve">only </w:t>
      </w:r>
      <w:r w:rsidR="002860C1">
        <w:rPr>
          <w:rFonts w:ascii="Book Antiqua" w:hAnsi="Book Antiqua"/>
        </w:rPr>
        <w:t xml:space="preserve">as “pending prosecutions” at the time of the respondent’s decision and </w:t>
      </w:r>
      <w:r w:rsidR="000B194D">
        <w:rPr>
          <w:rFonts w:ascii="Book Antiqua" w:hAnsi="Book Antiqua"/>
        </w:rPr>
        <w:t xml:space="preserve">so </w:t>
      </w:r>
      <w:r w:rsidR="002860C1">
        <w:rPr>
          <w:rFonts w:ascii="Book Antiqua" w:hAnsi="Book Antiqua"/>
        </w:rPr>
        <w:t xml:space="preserve">were not </w:t>
      </w:r>
      <w:r w:rsidR="00BD2BB5">
        <w:rPr>
          <w:rFonts w:ascii="Book Antiqua" w:hAnsi="Book Antiqua"/>
        </w:rPr>
        <w:t xml:space="preserve">then </w:t>
      </w:r>
      <w:r w:rsidR="000B194D">
        <w:rPr>
          <w:rFonts w:ascii="Book Antiqua" w:hAnsi="Book Antiqua"/>
        </w:rPr>
        <w:t>considered</w:t>
      </w:r>
      <w:r w:rsidR="002860C1">
        <w:rPr>
          <w:rFonts w:ascii="Book Antiqua" w:hAnsi="Book Antiqua"/>
        </w:rPr>
        <w:t>.</w:t>
      </w:r>
      <w:r w:rsidR="00AA45D8">
        <w:rPr>
          <w:rFonts w:ascii="Book Antiqua" w:hAnsi="Book Antiqua"/>
        </w:rPr>
        <w:t xml:space="preserve">  It was not likely, even if they had by then crystallised, that such matters by themselves would have triggered a deportation decision, but </w:t>
      </w:r>
      <w:r w:rsidR="002D3B74">
        <w:rPr>
          <w:rFonts w:ascii="Book Antiqua" w:hAnsi="Book Antiqua"/>
        </w:rPr>
        <w:t xml:space="preserve">taken with past criminal history and a risk of similar re-offending, </w:t>
      </w:r>
      <w:r w:rsidR="00534F32">
        <w:rPr>
          <w:rFonts w:ascii="Book Antiqua" w:hAnsi="Book Antiqua"/>
        </w:rPr>
        <w:t>that point</w:t>
      </w:r>
      <w:r w:rsidR="000657C6">
        <w:rPr>
          <w:rFonts w:ascii="Book Antiqua" w:hAnsi="Book Antiqua"/>
        </w:rPr>
        <w:t xml:space="preserve"> was reached</w:t>
      </w:r>
      <w:r w:rsidR="00534F32">
        <w:rPr>
          <w:rFonts w:ascii="Book Antiqua" w:hAnsi="Book Antiqua"/>
        </w:rPr>
        <w:t>.</w:t>
      </w:r>
    </w:p>
    <w:p w:rsidR="003066C2" w:rsidRDefault="00017FC3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Mr Haddow in reply </w:t>
      </w:r>
      <w:r w:rsidR="00556D23">
        <w:rPr>
          <w:rFonts w:ascii="Book Antiqua" w:hAnsi="Book Antiqua"/>
        </w:rPr>
        <w:t xml:space="preserve">said </w:t>
      </w:r>
      <w:r>
        <w:rPr>
          <w:rFonts w:ascii="Book Antiqua" w:hAnsi="Book Antiqua"/>
        </w:rPr>
        <w:t xml:space="preserve">that </w:t>
      </w:r>
      <w:r w:rsidR="007603D4">
        <w:rPr>
          <w:rFonts w:ascii="Book Antiqua" w:hAnsi="Book Antiqua"/>
        </w:rPr>
        <w:t xml:space="preserve">the offending in Poland </w:t>
      </w:r>
      <w:r w:rsidR="000977D0">
        <w:rPr>
          <w:rFonts w:ascii="Book Antiqua" w:hAnsi="Book Antiqua"/>
        </w:rPr>
        <w:t>could properly only have weighed very little in the balancing exercise</w:t>
      </w:r>
      <w:r w:rsidR="00E5098D">
        <w:rPr>
          <w:rFonts w:ascii="Book Antiqua" w:hAnsi="Book Antiqua"/>
        </w:rPr>
        <w:t>;</w:t>
      </w:r>
      <w:r w:rsidR="00A874E3">
        <w:rPr>
          <w:rFonts w:ascii="Book Antiqua" w:hAnsi="Book Antiqua"/>
        </w:rPr>
        <w:t xml:space="preserve"> that all the offending related to personal use of drugs, not to supply</w:t>
      </w:r>
      <w:r w:rsidR="00E5098D">
        <w:rPr>
          <w:rFonts w:ascii="Book Antiqua" w:hAnsi="Book Antiqua"/>
        </w:rPr>
        <w:t>; and that if the decision</w:t>
      </w:r>
      <w:r w:rsidR="00BD2BB5">
        <w:rPr>
          <w:rFonts w:ascii="Book Antiqua" w:hAnsi="Book Antiqua"/>
        </w:rPr>
        <w:t xml:space="preserve"> were to be remade</w:t>
      </w:r>
      <w:r w:rsidR="00E5098D">
        <w:rPr>
          <w:rFonts w:ascii="Book Antiqua" w:hAnsi="Book Antiqua"/>
        </w:rPr>
        <w:t>, the higher threshold should apply</w:t>
      </w:r>
      <w:r w:rsidR="00663B86">
        <w:rPr>
          <w:rFonts w:ascii="Book Antiqua" w:hAnsi="Book Antiqua"/>
        </w:rPr>
        <w:t xml:space="preserve"> (which Mrs O’Brien accepted)</w:t>
      </w:r>
      <w:r w:rsidR="00E5098D">
        <w:rPr>
          <w:rFonts w:ascii="Book Antiqua" w:hAnsi="Book Antiqua"/>
        </w:rPr>
        <w:t>.</w:t>
      </w:r>
      <w:r w:rsidR="008417CA">
        <w:rPr>
          <w:rFonts w:ascii="Book Antiqua" w:hAnsi="Book Antiqua"/>
        </w:rPr>
        <w:t xml:space="preserve"> </w:t>
      </w:r>
      <w:r w:rsidR="0095405F">
        <w:rPr>
          <w:rFonts w:ascii="Book Antiqua" w:hAnsi="Book Antiqua"/>
        </w:rPr>
        <w:t xml:space="preserve">  </w:t>
      </w:r>
      <w:r w:rsidR="0019492B">
        <w:rPr>
          <w:rFonts w:ascii="Book Antiqua" w:hAnsi="Book Antiqua"/>
        </w:rPr>
        <w:t xml:space="preserve"> </w:t>
      </w:r>
      <w:r w:rsidR="00507F13">
        <w:rPr>
          <w:rFonts w:ascii="Book Antiqua" w:hAnsi="Book Antiqua"/>
        </w:rPr>
        <w:t xml:space="preserve">  </w:t>
      </w:r>
      <w:r w:rsidR="00C94E61">
        <w:rPr>
          <w:rFonts w:ascii="Book Antiqua" w:hAnsi="Book Antiqua"/>
        </w:rPr>
        <w:t xml:space="preserve"> </w:t>
      </w:r>
      <w:r w:rsidR="00381986">
        <w:rPr>
          <w:rFonts w:ascii="Book Antiqua" w:hAnsi="Book Antiqua"/>
        </w:rPr>
        <w:t xml:space="preserve"> </w:t>
      </w:r>
      <w:r w:rsidR="00B80C07">
        <w:rPr>
          <w:rFonts w:ascii="Book Antiqua" w:hAnsi="Book Antiqua"/>
        </w:rPr>
        <w:t xml:space="preserve"> </w:t>
      </w:r>
      <w:r w:rsidR="00E12EB6">
        <w:rPr>
          <w:rFonts w:ascii="Book Antiqua" w:hAnsi="Book Antiqua"/>
        </w:rPr>
        <w:t xml:space="preserve"> </w:t>
      </w:r>
      <w:r w:rsidR="00293A0A">
        <w:rPr>
          <w:rFonts w:ascii="Book Antiqua" w:hAnsi="Book Antiqua"/>
        </w:rPr>
        <w:t xml:space="preserve">    </w:t>
      </w:r>
      <w:r w:rsidR="009644EF">
        <w:rPr>
          <w:rFonts w:ascii="Book Antiqua" w:hAnsi="Book Antiqua"/>
        </w:rPr>
        <w:t xml:space="preserve"> </w:t>
      </w:r>
      <w:r w:rsidR="00B81632">
        <w:rPr>
          <w:rFonts w:ascii="Book Antiqua" w:hAnsi="Book Antiqua"/>
        </w:rPr>
        <w:t xml:space="preserve"> </w:t>
      </w:r>
    </w:p>
    <w:p w:rsidR="00AA7898" w:rsidRDefault="00F7519F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>I reserved my decision.</w:t>
      </w:r>
    </w:p>
    <w:p w:rsidR="00F07A77" w:rsidRDefault="00CB1612" w:rsidP="00CB1612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 w:rsidRPr="007D0067">
        <w:rPr>
          <w:rFonts w:ascii="Book Antiqua" w:hAnsi="Book Antiqua"/>
        </w:rPr>
        <w:t>While Mr Haddow submitted initially that proportionality was a</w:t>
      </w:r>
      <w:r>
        <w:rPr>
          <w:rFonts w:ascii="Book Antiqua" w:hAnsi="Book Antiqua"/>
        </w:rPr>
        <w:t>n issue</w:t>
      </w:r>
      <w:r w:rsidRPr="007D0067">
        <w:rPr>
          <w:rFonts w:ascii="Book Antiqua" w:hAnsi="Book Antiqua"/>
        </w:rPr>
        <w:t xml:space="preserve"> of law, I understood him to accept my observation that it is rather perhaps a question of mixed fact and law.  </w:t>
      </w:r>
      <w:r w:rsidR="00BF49F2">
        <w:rPr>
          <w:rFonts w:ascii="Book Antiqua" w:hAnsi="Book Antiqua"/>
        </w:rPr>
        <w:t>He did not go so far as to argue that the decision was irrational</w:t>
      </w:r>
      <w:r w:rsidR="00AF499B">
        <w:rPr>
          <w:rFonts w:ascii="Book Antiqua" w:hAnsi="Book Antiqua"/>
        </w:rPr>
        <w:t>, but ground (iii) at least comes close</w:t>
      </w:r>
      <w:r w:rsidR="00BF49F2">
        <w:rPr>
          <w:rFonts w:ascii="Book Antiqua" w:hAnsi="Book Antiqua"/>
        </w:rPr>
        <w:t>.</w:t>
      </w:r>
    </w:p>
    <w:p w:rsidR="00CB1612" w:rsidRPr="007D0067" w:rsidRDefault="00CB1612" w:rsidP="00CB1612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 w:rsidRPr="007D0067">
        <w:rPr>
          <w:rFonts w:ascii="Book Antiqua" w:hAnsi="Book Antiqua"/>
        </w:rPr>
        <w:t xml:space="preserve">A proportionality judgment is highly fact-sensitive, and every proportionality case turns ultimately on its own facts.  It is for a judge to give appropriate weight to the various factors involved, an exercise in which error of law may arise only on “traditional public law lines” </w:t>
      </w:r>
      <w:r w:rsidR="00944129">
        <w:rPr>
          <w:rFonts w:ascii="Book Antiqua" w:hAnsi="Book Antiqua"/>
        </w:rPr>
        <w:t xml:space="preserve">- </w:t>
      </w:r>
      <w:r w:rsidRPr="009A1805">
        <w:rPr>
          <w:rFonts w:ascii="Book Antiqua" w:hAnsi="Book Antiqua"/>
          <w:i/>
        </w:rPr>
        <w:t>R (Iran) &amp; others v SSHD</w:t>
      </w:r>
      <w:r w:rsidRPr="007D0067">
        <w:rPr>
          <w:rFonts w:ascii="Book Antiqua" w:hAnsi="Book Antiqua"/>
        </w:rPr>
        <w:t xml:space="preserve"> [2005] </w:t>
      </w:r>
      <w:proofErr w:type="spellStart"/>
      <w:r w:rsidRPr="007D0067">
        <w:rPr>
          <w:rFonts w:ascii="Book Antiqua" w:hAnsi="Book Antiqua"/>
        </w:rPr>
        <w:t>Imm</w:t>
      </w:r>
      <w:proofErr w:type="spellEnd"/>
      <w:r w:rsidRPr="007D0067">
        <w:rPr>
          <w:rFonts w:ascii="Book Antiqua" w:hAnsi="Book Antiqua"/>
        </w:rPr>
        <w:t xml:space="preserve"> AR 535</w:t>
      </w:r>
      <w:r>
        <w:rPr>
          <w:rFonts w:ascii="Book Antiqua" w:hAnsi="Book Antiqua"/>
        </w:rPr>
        <w:t>,</w:t>
      </w:r>
      <w:r w:rsidRPr="007D0067">
        <w:rPr>
          <w:rFonts w:ascii="Book Antiqua" w:hAnsi="Book Antiqua"/>
        </w:rPr>
        <w:t xml:space="preserve"> paragraphs 9</w:t>
      </w:r>
      <w:r>
        <w:rPr>
          <w:rFonts w:ascii="Book Antiqua" w:hAnsi="Book Antiqua"/>
        </w:rPr>
        <w:t xml:space="preserve"> (</w:t>
      </w:r>
      <w:proofErr w:type="spellStart"/>
      <w:r>
        <w:rPr>
          <w:rFonts w:ascii="Book Antiqua" w:hAnsi="Book Antiqua"/>
        </w:rPr>
        <w:t>i</w:t>
      </w:r>
      <w:proofErr w:type="spellEnd"/>
      <w:r>
        <w:rPr>
          <w:rFonts w:ascii="Book Antiqua" w:hAnsi="Book Antiqua"/>
        </w:rPr>
        <w:t>) – (vii)</w:t>
      </w:r>
      <w:r w:rsidRPr="007D0067">
        <w:rPr>
          <w:rFonts w:ascii="Book Antiqua" w:hAnsi="Book Antiqua"/>
        </w:rPr>
        <w:t xml:space="preserve"> and 20.</w:t>
      </w:r>
    </w:p>
    <w:p w:rsidR="009C1450" w:rsidRDefault="00AA7898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>The respondent’s decision is based on the appellant’s offending in Poland</w:t>
      </w:r>
      <w:r w:rsidR="00577D35">
        <w:rPr>
          <w:rFonts w:ascii="Book Antiqua" w:hAnsi="Book Antiqua"/>
        </w:rPr>
        <w:t xml:space="preserve">, </w:t>
      </w:r>
      <w:r w:rsidR="00C667B9">
        <w:rPr>
          <w:rFonts w:ascii="Book Antiqua" w:hAnsi="Book Antiqua"/>
        </w:rPr>
        <w:t xml:space="preserve">the </w:t>
      </w:r>
      <w:r w:rsidR="00B515D4">
        <w:rPr>
          <w:rFonts w:ascii="Book Antiqua" w:hAnsi="Book Antiqua"/>
        </w:rPr>
        <w:t>essence</w:t>
      </w:r>
      <w:r w:rsidR="00C667B9">
        <w:rPr>
          <w:rFonts w:ascii="Book Antiqua" w:hAnsi="Book Antiqua"/>
        </w:rPr>
        <w:t xml:space="preserve"> being</w:t>
      </w:r>
      <w:r w:rsidR="0045647F">
        <w:rPr>
          <w:rFonts w:ascii="Book Antiqua" w:hAnsi="Book Antiqua"/>
        </w:rPr>
        <w:t xml:space="preserve">, “You have committed serious criminal offences and there is a real risk that you may re-offend in </w:t>
      </w:r>
      <w:r w:rsidR="008E1FD4">
        <w:rPr>
          <w:rFonts w:ascii="Book Antiqua" w:hAnsi="Book Antiqua"/>
        </w:rPr>
        <w:t xml:space="preserve">the future” (page 2 of 5).  </w:t>
      </w:r>
      <w:r w:rsidR="00147A44">
        <w:rPr>
          <w:rFonts w:ascii="Book Antiqua" w:hAnsi="Book Antiqua"/>
        </w:rPr>
        <w:t>His offending was</w:t>
      </w:r>
      <w:r w:rsidR="00577D35">
        <w:rPr>
          <w:rFonts w:ascii="Book Antiqua" w:hAnsi="Book Antiqua"/>
        </w:rPr>
        <w:t xml:space="preserve"> serious </w:t>
      </w:r>
      <w:r w:rsidR="00147A44">
        <w:rPr>
          <w:rFonts w:ascii="Book Antiqua" w:hAnsi="Book Antiqua"/>
        </w:rPr>
        <w:t>but</w:t>
      </w:r>
      <w:r w:rsidR="00577D35">
        <w:rPr>
          <w:rFonts w:ascii="Book Antiqua" w:hAnsi="Book Antiqua"/>
        </w:rPr>
        <w:t xml:space="preserve"> also quite historic</w:t>
      </w:r>
      <w:r w:rsidR="00280FF2">
        <w:rPr>
          <w:rFonts w:ascii="Book Antiqua" w:hAnsi="Book Antiqua"/>
        </w:rPr>
        <w:t xml:space="preserve">.  </w:t>
      </w:r>
      <w:r w:rsidR="00F950E7">
        <w:rPr>
          <w:rFonts w:ascii="Book Antiqua" w:hAnsi="Book Antiqua"/>
        </w:rPr>
        <w:t>While t</w:t>
      </w:r>
      <w:r w:rsidR="00280FF2">
        <w:rPr>
          <w:rFonts w:ascii="Book Antiqua" w:hAnsi="Book Antiqua"/>
        </w:rPr>
        <w:t xml:space="preserve">he </w:t>
      </w:r>
      <w:r w:rsidR="003C35EB">
        <w:rPr>
          <w:rFonts w:ascii="Book Antiqua" w:hAnsi="Book Antiqua"/>
        </w:rPr>
        <w:t xml:space="preserve">dates of convictions and </w:t>
      </w:r>
      <w:r w:rsidR="00D72338">
        <w:rPr>
          <w:rFonts w:ascii="Book Antiqua" w:hAnsi="Book Antiqua"/>
        </w:rPr>
        <w:t>of</w:t>
      </w:r>
      <w:r w:rsidR="009607D2">
        <w:rPr>
          <w:rFonts w:ascii="Book Antiqua" w:hAnsi="Book Antiqua"/>
        </w:rPr>
        <w:t xml:space="preserve"> sentencing </w:t>
      </w:r>
      <w:r w:rsidR="003C35EB">
        <w:rPr>
          <w:rFonts w:ascii="Book Antiqua" w:hAnsi="Book Antiqua"/>
        </w:rPr>
        <w:t xml:space="preserve">decisions run from </w:t>
      </w:r>
      <w:r w:rsidR="006E504C">
        <w:rPr>
          <w:rFonts w:ascii="Book Antiqua" w:hAnsi="Book Antiqua"/>
        </w:rPr>
        <w:t>2005 to 2012</w:t>
      </w:r>
      <w:r w:rsidR="00F950E7">
        <w:rPr>
          <w:rFonts w:ascii="Book Antiqua" w:hAnsi="Book Antiqua"/>
        </w:rPr>
        <w:t xml:space="preserve">, </w:t>
      </w:r>
      <w:r w:rsidR="00247519">
        <w:rPr>
          <w:rFonts w:ascii="Book Antiqua" w:hAnsi="Book Antiqua"/>
        </w:rPr>
        <w:t xml:space="preserve">the dates of </w:t>
      </w:r>
      <w:r w:rsidR="00CA1B21">
        <w:rPr>
          <w:rFonts w:ascii="Book Antiqua" w:hAnsi="Book Antiqua"/>
        </w:rPr>
        <w:t xml:space="preserve">offences appear to be no later than 2006.  </w:t>
      </w:r>
      <w:r w:rsidR="006A5304">
        <w:rPr>
          <w:rFonts w:ascii="Book Antiqua" w:hAnsi="Book Antiqua"/>
        </w:rPr>
        <w:t xml:space="preserve">The </w:t>
      </w:r>
      <w:proofErr w:type="spellStart"/>
      <w:r w:rsidR="006A5304">
        <w:rPr>
          <w:rFonts w:ascii="Book Antiqua" w:hAnsi="Book Antiqua"/>
        </w:rPr>
        <w:t>FtT</w:t>
      </w:r>
      <w:proofErr w:type="spellEnd"/>
      <w:r w:rsidR="006A5304">
        <w:rPr>
          <w:rFonts w:ascii="Book Antiqua" w:hAnsi="Book Antiqua"/>
        </w:rPr>
        <w:t xml:space="preserve"> judge held at </w:t>
      </w:r>
      <w:r w:rsidR="007032DB">
        <w:rPr>
          <w:rFonts w:ascii="Book Antiqua" w:hAnsi="Book Antiqua"/>
        </w:rPr>
        <w:t xml:space="preserve">paragraph 20 that those offences did not enable the respondent to discharge the burden of proof.  </w:t>
      </w:r>
    </w:p>
    <w:p w:rsidR="001119F8" w:rsidRDefault="009C1450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crux of the </w:t>
      </w:r>
      <w:proofErr w:type="spellStart"/>
      <w:r>
        <w:rPr>
          <w:rFonts w:ascii="Book Antiqua" w:hAnsi="Book Antiqua"/>
        </w:rPr>
        <w:t>FtT’s</w:t>
      </w:r>
      <w:proofErr w:type="spellEnd"/>
      <w:r>
        <w:rPr>
          <w:rFonts w:ascii="Book Antiqua" w:hAnsi="Book Antiqua"/>
        </w:rPr>
        <w:t xml:space="preserve"> decision was that although the </w:t>
      </w:r>
      <w:r w:rsidR="0088650F">
        <w:rPr>
          <w:rFonts w:ascii="Book Antiqua" w:hAnsi="Book Antiqua"/>
        </w:rPr>
        <w:t>offending in Poland</w:t>
      </w:r>
      <w:r>
        <w:rPr>
          <w:rFonts w:ascii="Book Antiqua" w:hAnsi="Book Antiqua"/>
        </w:rPr>
        <w:t xml:space="preserve"> did not by itself justify </w:t>
      </w:r>
      <w:r w:rsidR="001266F9">
        <w:rPr>
          <w:rFonts w:ascii="Book Antiqua" w:hAnsi="Book Antiqua"/>
        </w:rPr>
        <w:t>deportation</w:t>
      </w:r>
      <w:r w:rsidR="0088650F">
        <w:rPr>
          <w:rFonts w:ascii="Book Antiqua" w:hAnsi="Book Antiqua"/>
        </w:rPr>
        <w:t xml:space="preserve">, </w:t>
      </w:r>
      <w:r w:rsidR="00A21B93">
        <w:rPr>
          <w:rFonts w:ascii="Book Antiqua" w:hAnsi="Book Antiqua"/>
        </w:rPr>
        <w:t>when</w:t>
      </w:r>
      <w:r w:rsidR="0088650F">
        <w:rPr>
          <w:rFonts w:ascii="Book Antiqua" w:hAnsi="Book Antiqua"/>
        </w:rPr>
        <w:t xml:space="preserve"> taken together with </w:t>
      </w:r>
      <w:r w:rsidR="00A21B93">
        <w:rPr>
          <w:rFonts w:ascii="Book Antiqua" w:hAnsi="Book Antiqua"/>
        </w:rPr>
        <w:t xml:space="preserve">further </w:t>
      </w:r>
      <w:r w:rsidR="0088650F">
        <w:rPr>
          <w:rFonts w:ascii="Book Antiqua" w:hAnsi="Book Antiqua"/>
        </w:rPr>
        <w:t xml:space="preserve">offending </w:t>
      </w:r>
      <w:r w:rsidR="001266F9">
        <w:rPr>
          <w:rFonts w:ascii="Book Antiqua" w:hAnsi="Book Antiqua"/>
        </w:rPr>
        <w:t xml:space="preserve">to date </w:t>
      </w:r>
      <w:r w:rsidR="0088650F">
        <w:rPr>
          <w:rFonts w:ascii="Book Antiqua" w:hAnsi="Book Antiqua"/>
        </w:rPr>
        <w:t xml:space="preserve">in UK and </w:t>
      </w:r>
      <w:r w:rsidR="00A21B93">
        <w:rPr>
          <w:rFonts w:ascii="Book Antiqua" w:hAnsi="Book Antiqua"/>
        </w:rPr>
        <w:t xml:space="preserve">a </w:t>
      </w:r>
      <w:r w:rsidR="0088650F">
        <w:rPr>
          <w:rFonts w:ascii="Book Antiqua" w:hAnsi="Book Antiqua"/>
        </w:rPr>
        <w:t xml:space="preserve">risk of </w:t>
      </w:r>
      <w:r w:rsidR="00A21B93">
        <w:rPr>
          <w:rFonts w:ascii="Book Antiqua" w:hAnsi="Book Antiqua"/>
        </w:rPr>
        <w:t xml:space="preserve">similar </w:t>
      </w:r>
      <w:r w:rsidR="0088650F">
        <w:rPr>
          <w:rFonts w:ascii="Book Antiqua" w:hAnsi="Book Antiqua"/>
        </w:rPr>
        <w:t>re-offending</w:t>
      </w:r>
      <w:r w:rsidR="00A21B93">
        <w:rPr>
          <w:rFonts w:ascii="Book Antiqua" w:hAnsi="Book Antiqua"/>
        </w:rPr>
        <w:t>, the threshold was crossed.</w:t>
      </w:r>
    </w:p>
    <w:p w:rsidR="00F45F46" w:rsidRDefault="00F45F46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>Ground (</w:t>
      </w:r>
      <w:proofErr w:type="spellStart"/>
      <w:r>
        <w:rPr>
          <w:rFonts w:ascii="Book Antiqua" w:hAnsi="Book Antiqua"/>
        </w:rPr>
        <w:t>i</w:t>
      </w:r>
      <w:proofErr w:type="spellEnd"/>
      <w:r>
        <w:rPr>
          <w:rFonts w:ascii="Book Antiqua" w:hAnsi="Book Antiqua"/>
        </w:rPr>
        <w:t xml:space="preserve">) is not made out.  It </w:t>
      </w:r>
      <w:r w:rsidR="00E5605A">
        <w:rPr>
          <w:rFonts w:ascii="Book Antiqua" w:hAnsi="Book Antiqua"/>
        </w:rPr>
        <w:t>aims</w:t>
      </w:r>
      <w:r>
        <w:rPr>
          <w:rFonts w:ascii="Book Antiqua" w:hAnsi="Book Antiqua"/>
        </w:rPr>
        <w:t xml:space="preserve"> </w:t>
      </w:r>
      <w:r w:rsidR="00E5605A">
        <w:rPr>
          <w:rFonts w:ascii="Book Antiqua" w:hAnsi="Book Antiqua"/>
        </w:rPr>
        <w:t xml:space="preserve">essentially </w:t>
      </w:r>
      <w:r>
        <w:rPr>
          <w:rFonts w:ascii="Book Antiqua" w:hAnsi="Book Antiqua"/>
        </w:rPr>
        <w:t xml:space="preserve">at the </w:t>
      </w:r>
      <w:proofErr w:type="spellStart"/>
      <w:r w:rsidR="00E94A56">
        <w:rPr>
          <w:rFonts w:ascii="Book Antiqua" w:hAnsi="Book Antiqua"/>
        </w:rPr>
        <w:t>FtT’s</w:t>
      </w:r>
      <w:proofErr w:type="spellEnd"/>
      <w:r w:rsidR="00E94A56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fi</w:t>
      </w:r>
      <w:r w:rsidR="00E5605A">
        <w:rPr>
          <w:rFonts w:ascii="Book Antiqua" w:hAnsi="Book Antiqua"/>
        </w:rPr>
        <w:t>n</w:t>
      </w:r>
      <w:r>
        <w:rPr>
          <w:rFonts w:ascii="Book Antiqua" w:hAnsi="Book Antiqua"/>
        </w:rPr>
        <w:t xml:space="preserve">ding on re-offending.  </w:t>
      </w:r>
      <w:r w:rsidR="00E5605A">
        <w:rPr>
          <w:rFonts w:ascii="Book Antiqua" w:hAnsi="Book Antiqua"/>
        </w:rPr>
        <w:t xml:space="preserve">While the report </w:t>
      </w:r>
      <w:r w:rsidR="00996E10">
        <w:rPr>
          <w:rFonts w:ascii="Book Antiqua" w:hAnsi="Book Antiqua"/>
        </w:rPr>
        <w:t xml:space="preserve">which </w:t>
      </w:r>
      <w:r w:rsidR="00E5605A">
        <w:rPr>
          <w:rFonts w:ascii="Book Antiqua" w:hAnsi="Book Antiqua"/>
        </w:rPr>
        <w:t xml:space="preserve">the appellant produced said this was unlikely, it </w:t>
      </w:r>
      <w:r w:rsidR="00E25391">
        <w:rPr>
          <w:rFonts w:ascii="Book Antiqua" w:hAnsi="Book Antiqua"/>
        </w:rPr>
        <w:t xml:space="preserve">also </w:t>
      </w:r>
      <w:r w:rsidR="00E5605A">
        <w:rPr>
          <w:rFonts w:ascii="Book Antiqua" w:hAnsi="Book Antiqua"/>
        </w:rPr>
        <w:t xml:space="preserve">left the </w:t>
      </w:r>
      <w:r w:rsidR="00E5605A">
        <w:rPr>
          <w:rFonts w:ascii="Book Antiqua" w:hAnsi="Book Antiqua"/>
        </w:rPr>
        <w:lastRenderedPageBreak/>
        <w:t xml:space="preserve">issue </w:t>
      </w:r>
      <w:r w:rsidR="00E25391">
        <w:rPr>
          <w:rFonts w:ascii="Book Antiqua" w:hAnsi="Book Antiqua"/>
        </w:rPr>
        <w:t>open</w:t>
      </w:r>
      <w:r w:rsidR="00996E10">
        <w:rPr>
          <w:rFonts w:ascii="Book Antiqua" w:hAnsi="Book Antiqua"/>
        </w:rPr>
        <w:t>.  The question</w:t>
      </w:r>
      <w:r w:rsidR="00E25391">
        <w:rPr>
          <w:rFonts w:ascii="Book Antiqua" w:hAnsi="Book Antiqua"/>
        </w:rPr>
        <w:t xml:space="preserve"> was </w:t>
      </w:r>
      <w:r w:rsidR="006A10B2">
        <w:rPr>
          <w:rFonts w:ascii="Book Antiqua" w:hAnsi="Book Antiqua"/>
        </w:rPr>
        <w:t xml:space="preserve">effectively </w:t>
      </w:r>
      <w:r w:rsidR="00E25391">
        <w:rPr>
          <w:rFonts w:ascii="Book Antiqua" w:hAnsi="Book Antiqua"/>
        </w:rPr>
        <w:t xml:space="preserve">decided by the appellant, </w:t>
      </w:r>
      <w:r w:rsidR="00FC45D1">
        <w:rPr>
          <w:rFonts w:ascii="Book Antiqua" w:hAnsi="Book Antiqua"/>
        </w:rPr>
        <w:t>whose</w:t>
      </w:r>
      <w:r w:rsidR="00E5605A">
        <w:rPr>
          <w:rFonts w:ascii="Book Antiqua" w:hAnsi="Book Antiqua"/>
        </w:rPr>
        <w:t xml:space="preserve"> evidence</w:t>
      </w:r>
      <w:r w:rsidR="00FC45D1">
        <w:rPr>
          <w:rFonts w:ascii="Book Antiqua" w:hAnsi="Book Antiqua"/>
        </w:rPr>
        <w:t xml:space="preserve"> was that he was likely to re-offend.</w:t>
      </w:r>
      <w:r w:rsidR="006A10B2">
        <w:rPr>
          <w:rFonts w:ascii="Book Antiqua" w:hAnsi="Book Antiqua"/>
        </w:rPr>
        <w:t xml:space="preserve">  </w:t>
      </w:r>
    </w:p>
    <w:p w:rsidR="001B461C" w:rsidRDefault="00CD7B24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>I do not see scope for a remit in g</w:t>
      </w:r>
      <w:r w:rsidR="00FC45D1">
        <w:rPr>
          <w:rFonts w:ascii="Book Antiqua" w:hAnsi="Book Antiqua"/>
        </w:rPr>
        <w:t>round (i</w:t>
      </w:r>
      <w:r w:rsidR="00BD516F">
        <w:rPr>
          <w:rFonts w:ascii="Book Antiqua" w:hAnsi="Book Antiqua"/>
        </w:rPr>
        <w:t>i</w:t>
      </w:r>
      <w:r w:rsidR="00FC45D1">
        <w:rPr>
          <w:rFonts w:ascii="Book Antiqua" w:hAnsi="Book Antiqua"/>
        </w:rPr>
        <w:t>)</w:t>
      </w:r>
      <w:r w:rsidR="009371B7">
        <w:rPr>
          <w:rFonts w:ascii="Book Antiqua" w:hAnsi="Book Antiqua"/>
        </w:rPr>
        <w:t xml:space="preserve">.  Like ground (iii), this calls for an assessment </w:t>
      </w:r>
      <w:r w:rsidR="00C73FFD">
        <w:rPr>
          <w:rFonts w:ascii="Book Antiqua" w:hAnsi="Book Antiqua"/>
        </w:rPr>
        <w:t xml:space="preserve">arising from the facts rather than for </w:t>
      </w:r>
      <w:r w:rsidR="00CB1612">
        <w:rPr>
          <w:rFonts w:ascii="Book Antiqua" w:hAnsi="Book Antiqua"/>
        </w:rPr>
        <w:t xml:space="preserve">any </w:t>
      </w:r>
      <w:r w:rsidR="00C73FFD">
        <w:rPr>
          <w:rFonts w:ascii="Book Antiqua" w:hAnsi="Book Antiqua"/>
        </w:rPr>
        <w:t>fresh findings of fact.  The primary facts are in no real disp</w:t>
      </w:r>
      <w:r w:rsidR="00FE2D75">
        <w:rPr>
          <w:rFonts w:ascii="Book Antiqua" w:hAnsi="Book Antiqua"/>
        </w:rPr>
        <w:t>u</w:t>
      </w:r>
      <w:r w:rsidR="00C73FFD">
        <w:rPr>
          <w:rFonts w:ascii="Book Antiqua" w:hAnsi="Book Antiqua"/>
        </w:rPr>
        <w:t>te.</w:t>
      </w:r>
    </w:p>
    <w:p w:rsidR="001237A6" w:rsidRDefault="00986F45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The appellant’s offending in the UK is not at </w:t>
      </w:r>
      <w:r w:rsidR="00B33621">
        <w:rPr>
          <w:rFonts w:ascii="Book Antiqua" w:hAnsi="Book Antiqua"/>
        </w:rPr>
        <w:t xml:space="preserve">the very lowest level, but it is </w:t>
      </w:r>
      <w:r w:rsidR="00972E3E">
        <w:rPr>
          <w:rFonts w:ascii="Book Antiqua" w:hAnsi="Book Antiqua"/>
        </w:rPr>
        <w:t xml:space="preserve">quite </w:t>
      </w:r>
      <w:r w:rsidR="00B33621">
        <w:rPr>
          <w:rFonts w:ascii="Book Antiqua" w:hAnsi="Book Antiqua"/>
        </w:rPr>
        <w:t xml:space="preserve">close.  </w:t>
      </w:r>
      <w:r w:rsidR="00B61664">
        <w:rPr>
          <w:rFonts w:ascii="Book Antiqua" w:hAnsi="Book Antiqua"/>
        </w:rPr>
        <w:t xml:space="preserve">That aspect might attract some sympathy for him, as does </w:t>
      </w:r>
      <w:r w:rsidR="00972E3E">
        <w:rPr>
          <w:rFonts w:ascii="Book Antiqua" w:hAnsi="Book Antiqua"/>
        </w:rPr>
        <w:t>his</w:t>
      </w:r>
      <w:r w:rsidR="00D378C2">
        <w:rPr>
          <w:rFonts w:ascii="Book Antiqua" w:hAnsi="Book Antiqua"/>
        </w:rPr>
        <w:t xml:space="preserve"> </w:t>
      </w:r>
      <w:r w:rsidR="00217515">
        <w:rPr>
          <w:rFonts w:ascii="Book Antiqua" w:hAnsi="Book Antiqua"/>
        </w:rPr>
        <w:t xml:space="preserve">candour (although </w:t>
      </w:r>
      <w:r w:rsidR="0084790D">
        <w:rPr>
          <w:rFonts w:ascii="Book Antiqua" w:hAnsi="Book Antiqua"/>
        </w:rPr>
        <w:t xml:space="preserve">the judge acknowledges that, and </w:t>
      </w:r>
      <w:r w:rsidR="00217515">
        <w:rPr>
          <w:rFonts w:ascii="Book Antiqua" w:hAnsi="Book Antiqua"/>
        </w:rPr>
        <w:t>a denial in absolute terms might have been treated sc</w:t>
      </w:r>
      <w:r w:rsidR="00D378C2">
        <w:rPr>
          <w:rFonts w:ascii="Book Antiqua" w:hAnsi="Book Antiqua"/>
        </w:rPr>
        <w:t>eptically)</w:t>
      </w:r>
      <w:r w:rsidR="0084790D">
        <w:rPr>
          <w:rFonts w:ascii="Book Antiqua" w:hAnsi="Book Antiqua"/>
        </w:rPr>
        <w:t>.</w:t>
      </w:r>
      <w:r w:rsidR="000C5619">
        <w:rPr>
          <w:rFonts w:ascii="Book Antiqua" w:hAnsi="Book Antiqua"/>
        </w:rPr>
        <w:t xml:space="preserve">  </w:t>
      </w:r>
      <w:r w:rsidR="0037124D">
        <w:rPr>
          <w:rFonts w:ascii="Book Antiqua" w:hAnsi="Book Antiqua"/>
        </w:rPr>
        <w:t>However, although the reference to the consequences of return to Poland is brief, the consequences of loss of employment and place of residence were obvious to the judge</w:t>
      </w:r>
      <w:r w:rsidR="00C84E5E">
        <w:rPr>
          <w:rFonts w:ascii="Book Antiqua" w:hAnsi="Book Antiqua"/>
        </w:rPr>
        <w:t xml:space="preserve"> and plainly part of his proportionality judgment.</w:t>
      </w:r>
      <w:r w:rsidR="007D5852">
        <w:rPr>
          <w:rFonts w:ascii="Book Antiqua" w:hAnsi="Book Antiqua"/>
        </w:rPr>
        <w:t xml:space="preserve">  Nothing has been mentioned for the appellant which cannot be found in the decision.  </w:t>
      </w:r>
      <w:r w:rsidR="00D87AEA">
        <w:rPr>
          <w:rFonts w:ascii="Book Antiqua" w:hAnsi="Book Antiqua"/>
        </w:rPr>
        <w:t xml:space="preserve">The judge was careful to base his decision on the terms of the </w:t>
      </w:r>
      <w:r w:rsidR="00CB58D4">
        <w:rPr>
          <w:rFonts w:ascii="Book Antiqua" w:hAnsi="Book Antiqua"/>
        </w:rPr>
        <w:t>regu</w:t>
      </w:r>
      <w:r w:rsidR="00452237">
        <w:rPr>
          <w:rFonts w:ascii="Book Antiqua" w:hAnsi="Book Antiqua"/>
        </w:rPr>
        <w:t>l</w:t>
      </w:r>
      <w:r w:rsidR="00CB58D4">
        <w:rPr>
          <w:rFonts w:ascii="Book Antiqua" w:hAnsi="Book Antiqua"/>
        </w:rPr>
        <w:t xml:space="preserve">ations, schedule I 7 </w:t>
      </w:r>
      <w:r w:rsidR="00452237">
        <w:rPr>
          <w:rFonts w:ascii="Book Antiqua" w:hAnsi="Book Antiqua"/>
        </w:rPr>
        <w:t>(c)</w:t>
      </w:r>
      <w:r w:rsidR="00CB58D4">
        <w:rPr>
          <w:rFonts w:ascii="Book Antiqua" w:hAnsi="Book Antiqua"/>
        </w:rPr>
        <w:t>, preventing social harm</w:t>
      </w:r>
      <w:r w:rsidR="00452237">
        <w:rPr>
          <w:rFonts w:ascii="Book Antiqua" w:hAnsi="Book Antiqua"/>
        </w:rPr>
        <w:t>, and (h), combating the effects of persistent offending</w:t>
      </w:r>
      <w:r w:rsidR="000B2AA5">
        <w:rPr>
          <w:rFonts w:ascii="Book Antiqua" w:hAnsi="Book Antiqua"/>
        </w:rPr>
        <w:t xml:space="preserve">.  </w:t>
      </w:r>
      <w:r w:rsidR="0037124D">
        <w:rPr>
          <w:rFonts w:ascii="Book Antiqua" w:hAnsi="Book Antiqua"/>
        </w:rPr>
        <w:t xml:space="preserve">  </w:t>
      </w:r>
      <w:r w:rsidR="004F0C90">
        <w:rPr>
          <w:rFonts w:ascii="Book Antiqua" w:hAnsi="Book Antiqua"/>
        </w:rPr>
        <w:t xml:space="preserve"> </w:t>
      </w:r>
    </w:p>
    <w:p w:rsidR="00FC2599" w:rsidRPr="00FC2599" w:rsidRDefault="00953AF1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/>
        </w:rPr>
        <w:t>This was a</w:t>
      </w:r>
      <w:r w:rsidR="007E75CA">
        <w:rPr>
          <w:rFonts w:ascii="Book Antiqua" w:hAnsi="Book Antiqua"/>
        </w:rPr>
        <w:t xml:space="preserve"> finely balanced case, in which a</w:t>
      </w:r>
      <w:r w:rsidR="00FE6820">
        <w:rPr>
          <w:rFonts w:ascii="Book Antiqua" w:hAnsi="Book Antiqua"/>
        </w:rPr>
        <w:t xml:space="preserve"> different conclusion might have been reached</w:t>
      </w:r>
      <w:r w:rsidR="00036023">
        <w:rPr>
          <w:rFonts w:ascii="Book Antiqua" w:hAnsi="Book Antiqua"/>
        </w:rPr>
        <w:t xml:space="preserve"> by a</w:t>
      </w:r>
      <w:r w:rsidR="004F0C90">
        <w:rPr>
          <w:rFonts w:ascii="Book Antiqua" w:hAnsi="Book Antiqua"/>
        </w:rPr>
        <w:t>nother judge</w:t>
      </w:r>
      <w:r w:rsidR="00036023">
        <w:rPr>
          <w:rFonts w:ascii="Book Antiqua" w:hAnsi="Book Antiqua"/>
        </w:rPr>
        <w:t>, or might readily be reached</w:t>
      </w:r>
      <w:r w:rsidR="004F0C90">
        <w:rPr>
          <w:rFonts w:ascii="Book Antiqua" w:hAnsi="Book Antiqua"/>
        </w:rPr>
        <w:t xml:space="preserve"> </w:t>
      </w:r>
      <w:r w:rsidR="00036023">
        <w:rPr>
          <w:rFonts w:ascii="Book Antiqua" w:hAnsi="Book Antiqua"/>
        </w:rPr>
        <w:t>by</w:t>
      </w:r>
      <w:r w:rsidR="00514BA7">
        <w:rPr>
          <w:rFonts w:ascii="Book Antiqua" w:hAnsi="Book Antiqua"/>
        </w:rPr>
        <w:t xml:space="preserve"> the threshold in regulation 27 (3) </w:t>
      </w:r>
      <w:r w:rsidR="0067078F">
        <w:rPr>
          <w:rFonts w:ascii="Book Antiqua" w:hAnsi="Book Antiqua"/>
        </w:rPr>
        <w:t>(</w:t>
      </w:r>
      <w:r w:rsidR="007E75CA">
        <w:rPr>
          <w:rFonts w:ascii="Book Antiqua" w:hAnsi="Book Antiqua"/>
        </w:rPr>
        <w:t>“</w:t>
      </w:r>
      <w:r w:rsidR="0067078F">
        <w:rPr>
          <w:rFonts w:ascii="Book Antiqua" w:hAnsi="Book Antiqua"/>
        </w:rPr>
        <w:t>serious grounds</w:t>
      </w:r>
      <w:r w:rsidR="007E75CA">
        <w:rPr>
          <w:rFonts w:ascii="Book Antiqua" w:hAnsi="Book Antiqua"/>
        </w:rPr>
        <w:t>”</w:t>
      </w:r>
      <w:r w:rsidR="00036023">
        <w:rPr>
          <w:rFonts w:ascii="Book Antiqua" w:hAnsi="Book Antiqua"/>
        </w:rPr>
        <w:t xml:space="preserve">) </w:t>
      </w:r>
      <w:r w:rsidR="00514BA7">
        <w:rPr>
          <w:rFonts w:ascii="Book Antiqua" w:hAnsi="Book Antiqua"/>
        </w:rPr>
        <w:t>rather than regulation 27 (1)</w:t>
      </w:r>
      <w:r w:rsidR="00036023">
        <w:rPr>
          <w:rFonts w:ascii="Book Antiqua" w:hAnsi="Book Antiqua"/>
        </w:rPr>
        <w:t>.</w:t>
      </w:r>
      <w:r w:rsidR="00E8357C">
        <w:rPr>
          <w:rFonts w:ascii="Book Antiqua" w:hAnsi="Book Antiqua"/>
        </w:rPr>
        <w:t xml:space="preserve">  However, I </w:t>
      </w:r>
      <w:r w:rsidR="001270B0">
        <w:rPr>
          <w:rFonts w:ascii="Book Antiqua" w:hAnsi="Book Antiqua"/>
        </w:rPr>
        <w:t xml:space="preserve">do not find that this was a case with only </w:t>
      </w:r>
      <w:r w:rsidR="00122DD8">
        <w:rPr>
          <w:rFonts w:ascii="Book Antiqua" w:hAnsi="Book Antiqua"/>
        </w:rPr>
        <w:t>one rational answer</w:t>
      </w:r>
      <w:r w:rsidR="007D1F67">
        <w:rPr>
          <w:rFonts w:ascii="Book Antiqua" w:hAnsi="Book Antiqua"/>
        </w:rPr>
        <w:t xml:space="preserve">, or that </w:t>
      </w:r>
      <w:r w:rsidR="00785E90">
        <w:rPr>
          <w:rFonts w:ascii="Book Antiqua" w:hAnsi="Book Antiqua"/>
        </w:rPr>
        <w:t>error in any of the relevant categories</w:t>
      </w:r>
      <w:r>
        <w:rPr>
          <w:rFonts w:ascii="Book Antiqua" w:hAnsi="Book Antiqua"/>
        </w:rPr>
        <w:t xml:space="preserve"> is made out.</w:t>
      </w:r>
      <w:r w:rsidR="00122DD8">
        <w:rPr>
          <w:rFonts w:ascii="Book Antiqua" w:hAnsi="Book Antiqua"/>
        </w:rPr>
        <w:t xml:space="preserve"> </w:t>
      </w:r>
      <w:r w:rsidR="00A836B8">
        <w:rPr>
          <w:rFonts w:ascii="Book Antiqua" w:hAnsi="Book Antiqua"/>
        </w:rPr>
        <w:t xml:space="preserve"> </w:t>
      </w:r>
      <w:r w:rsidR="008D37F5">
        <w:rPr>
          <w:rFonts w:ascii="Book Antiqua" w:hAnsi="Book Antiqua"/>
        </w:rPr>
        <w:t xml:space="preserve"> </w:t>
      </w:r>
      <w:r w:rsidR="007A04E2">
        <w:rPr>
          <w:rFonts w:ascii="Book Antiqua" w:hAnsi="Book Antiqua"/>
        </w:rPr>
        <w:t xml:space="preserve">  </w:t>
      </w:r>
      <w:r w:rsidR="001B461C">
        <w:rPr>
          <w:rFonts w:ascii="Book Antiqua" w:hAnsi="Book Antiqua"/>
        </w:rPr>
        <w:t xml:space="preserve"> </w:t>
      </w:r>
      <w:r w:rsidR="009371B7">
        <w:rPr>
          <w:rFonts w:ascii="Book Antiqua" w:hAnsi="Book Antiqua"/>
        </w:rPr>
        <w:t xml:space="preserve"> </w:t>
      </w:r>
      <w:r w:rsidR="001119F8">
        <w:rPr>
          <w:rFonts w:ascii="Book Antiqua" w:hAnsi="Book Antiqua"/>
        </w:rPr>
        <w:t xml:space="preserve">  </w:t>
      </w:r>
      <w:r w:rsidR="00D935EA">
        <w:rPr>
          <w:rFonts w:ascii="Book Antiqua" w:hAnsi="Book Antiqua"/>
        </w:rPr>
        <w:t xml:space="preserve"> </w:t>
      </w:r>
      <w:r w:rsidR="00CA1B21">
        <w:rPr>
          <w:rFonts w:ascii="Book Antiqua" w:hAnsi="Book Antiqua"/>
        </w:rPr>
        <w:t xml:space="preserve"> </w:t>
      </w:r>
      <w:r w:rsidR="00247519">
        <w:rPr>
          <w:rFonts w:ascii="Book Antiqua" w:hAnsi="Book Antiqua"/>
        </w:rPr>
        <w:t xml:space="preserve"> </w:t>
      </w:r>
      <w:r w:rsidR="004E50BD">
        <w:rPr>
          <w:rFonts w:ascii="Book Antiqua" w:hAnsi="Book Antiqua"/>
        </w:rPr>
        <w:t xml:space="preserve"> </w:t>
      </w:r>
      <w:r w:rsidR="00D86061">
        <w:rPr>
          <w:rFonts w:ascii="Book Antiqua" w:hAnsi="Book Antiqua"/>
        </w:rPr>
        <w:t xml:space="preserve"> </w:t>
      </w:r>
      <w:r w:rsidR="00B55A74">
        <w:rPr>
          <w:rFonts w:ascii="Book Antiqua" w:hAnsi="Book Antiqua"/>
        </w:rPr>
        <w:t xml:space="preserve"> </w:t>
      </w:r>
      <w:r w:rsidR="00927447">
        <w:rPr>
          <w:rFonts w:ascii="Book Antiqua" w:hAnsi="Book Antiqua"/>
        </w:rPr>
        <w:t xml:space="preserve"> </w:t>
      </w:r>
    </w:p>
    <w:p w:rsidR="00321C6F" w:rsidRPr="00321C6F" w:rsidRDefault="00321C6F" w:rsidP="00007BAC">
      <w:pPr>
        <w:numPr>
          <w:ilvl w:val="0"/>
          <w:numId w:val="2"/>
        </w:numPr>
        <w:spacing w:before="240"/>
        <w:jc w:val="both"/>
        <w:rPr>
          <w:rFonts w:ascii="Book Antiqua" w:hAnsi="Book Antiqua"/>
        </w:rPr>
      </w:pPr>
      <w:r>
        <w:rPr>
          <w:rFonts w:ascii="Book Antiqua" w:hAnsi="Book Antiqua" w:cs="Arial"/>
        </w:rPr>
        <w:t xml:space="preserve">The </w:t>
      </w:r>
      <w:r w:rsidR="008A64A7">
        <w:rPr>
          <w:rFonts w:ascii="Book Antiqua" w:hAnsi="Book Antiqua" w:cs="Arial"/>
        </w:rPr>
        <w:t>de</w:t>
      </w:r>
      <w:r w:rsidR="00DA3D04">
        <w:rPr>
          <w:rFonts w:ascii="Book Antiqua" w:hAnsi="Book Antiqua" w:cs="Arial"/>
        </w:rPr>
        <w:t>cision</w:t>
      </w:r>
      <w:r w:rsidR="008A64A7">
        <w:rPr>
          <w:rFonts w:ascii="Book Antiqua" w:hAnsi="Book Antiqua" w:cs="Arial"/>
        </w:rPr>
        <w:t xml:space="preserve"> </w:t>
      </w:r>
      <w:r>
        <w:rPr>
          <w:rFonts w:ascii="Book Antiqua" w:hAnsi="Book Antiqua" w:cs="Arial"/>
        </w:rPr>
        <w:t xml:space="preserve">of the First-tier Tribunal </w:t>
      </w:r>
      <w:r w:rsidR="008A64A7">
        <w:rPr>
          <w:rFonts w:ascii="Book Antiqua" w:hAnsi="Book Antiqua" w:cs="Arial"/>
        </w:rPr>
        <w:t>shall stand</w:t>
      </w:r>
      <w:r>
        <w:rPr>
          <w:rFonts w:ascii="Book Antiqua" w:hAnsi="Book Antiqua" w:cs="Arial"/>
        </w:rPr>
        <w:t>.</w:t>
      </w:r>
    </w:p>
    <w:p w:rsidR="00321C6F" w:rsidRPr="008D48F2" w:rsidRDefault="00321C6F" w:rsidP="00321C6F">
      <w:pPr>
        <w:numPr>
          <w:ilvl w:val="0"/>
          <w:numId w:val="2"/>
        </w:numPr>
        <w:spacing w:before="240"/>
        <w:jc w:val="both"/>
        <w:rPr>
          <w:rFonts w:ascii="Book Antiqua" w:hAnsi="Book Antiqua" w:cs="Arial"/>
        </w:rPr>
      </w:pPr>
      <w:r w:rsidRPr="008D48F2">
        <w:rPr>
          <w:rFonts w:ascii="Book Antiqua" w:hAnsi="Book Antiqua" w:cs="Arial"/>
        </w:rPr>
        <w:t>No</w:t>
      </w:r>
      <w:r w:rsidRPr="008D48F2">
        <w:rPr>
          <w:rFonts w:ascii="Book Antiqua" w:hAnsi="Book Antiqua"/>
        </w:rPr>
        <w:t xml:space="preserve"> anonymity direction has been requested or made.  </w:t>
      </w:r>
    </w:p>
    <w:p w:rsidR="00321C6F" w:rsidRPr="00A56832" w:rsidRDefault="00321C6F" w:rsidP="00321C6F">
      <w:pPr>
        <w:jc w:val="both"/>
        <w:rPr>
          <w:rFonts w:ascii="Book Antiqua" w:hAnsi="Book Antiqua" w:cs="Arial"/>
        </w:rPr>
      </w:pPr>
    </w:p>
    <w:p w:rsidR="00321C6F" w:rsidRPr="00A56832" w:rsidRDefault="00321C6F" w:rsidP="00321C6F">
      <w:pPr>
        <w:jc w:val="both"/>
        <w:rPr>
          <w:rFonts w:ascii="Book Antiqua" w:hAnsi="Book Antiqua" w:cs="Arial"/>
        </w:rPr>
      </w:pPr>
    </w:p>
    <w:p w:rsidR="00321C6F" w:rsidRPr="00A56832" w:rsidRDefault="00321C6F" w:rsidP="00321C6F">
      <w:pPr>
        <w:jc w:val="both"/>
        <w:rPr>
          <w:rFonts w:ascii="Book Antiqua" w:hAnsi="Book Antiqua" w:cs="Arial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E0046" w:rsidRPr="009445D2">
        <w:rPr>
          <w:noProof/>
          <w:sz w:val="22"/>
          <w:szCs w:val="22"/>
        </w:rPr>
        <w:drawing>
          <wp:inline distT="0" distB="0" distL="0" distR="0" wp14:anchorId="334D9F4B" wp14:editId="334D9F4C">
            <wp:extent cx="1533525" cy="57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C6F" w:rsidRPr="00A56832" w:rsidRDefault="00321C6F" w:rsidP="00321C6F">
      <w:pPr>
        <w:jc w:val="both"/>
        <w:rPr>
          <w:rFonts w:ascii="Book Antiqua" w:hAnsi="Book Antiqua" w:cs="Arial"/>
        </w:rPr>
      </w:pPr>
    </w:p>
    <w:p w:rsidR="00321C6F" w:rsidRPr="00A56832" w:rsidRDefault="00321C6F" w:rsidP="00321C6F">
      <w:pPr>
        <w:jc w:val="both"/>
        <w:rPr>
          <w:rFonts w:ascii="Book Antiqua" w:hAnsi="Book Antiqua" w:cs="Arial"/>
        </w:rPr>
      </w:pPr>
    </w:p>
    <w:p w:rsidR="00321C6F" w:rsidRPr="00A56832" w:rsidRDefault="00321C6F" w:rsidP="00321C6F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 w:rsidR="00E22997">
        <w:rPr>
          <w:rFonts w:ascii="Book Antiqua" w:hAnsi="Book Antiqua" w:cs="Arial"/>
        </w:rPr>
        <w:t>12</w:t>
      </w:r>
      <w:r w:rsidR="008D48F2">
        <w:rPr>
          <w:rFonts w:ascii="Book Antiqua" w:hAnsi="Book Antiqua" w:cs="Arial"/>
        </w:rPr>
        <w:t xml:space="preserve"> September </w:t>
      </w:r>
      <w:r w:rsidR="000B442A">
        <w:rPr>
          <w:rFonts w:ascii="Book Antiqua" w:hAnsi="Book Antiqua" w:cs="Arial"/>
        </w:rPr>
        <w:t>20</w:t>
      </w:r>
      <w:r w:rsidR="00A810D2">
        <w:rPr>
          <w:rFonts w:ascii="Book Antiqua" w:hAnsi="Book Antiqua" w:cs="Arial"/>
        </w:rPr>
        <w:t>1</w:t>
      </w:r>
      <w:r w:rsidR="00B170ED">
        <w:rPr>
          <w:rFonts w:ascii="Book Antiqua" w:hAnsi="Book Antiqua" w:cs="Arial"/>
        </w:rPr>
        <w:t>8</w:t>
      </w:r>
      <w:r>
        <w:rPr>
          <w:rFonts w:ascii="Book Antiqua" w:hAnsi="Book Antiqua" w:cs="Arial"/>
        </w:rPr>
        <w:t xml:space="preserve"> </w:t>
      </w:r>
    </w:p>
    <w:p w:rsidR="00321C6F" w:rsidRDefault="00321C6F" w:rsidP="00321C6F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  <w:t xml:space="preserve">Upper Tribunal Judge </w:t>
      </w:r>
      <w:proofErr w:type="spellStart"/>
      <w:r>
        <w:rPr>
          <w:rFonts w:ascii="Book Antiqua" w:hAnsi="Book Antiqua" w:cs="Arial"/>
        </w:rPr>
        <w:t>Macleman</w:t>
      </w:r>
      <w:proofErr w:type="spellEnd"/>
    </w:p>
    <w:p w:rsidR="00933B65" w:rsidRPr="00F97703" w:rsidRDefault="00933B65" w:rsidP="00933B65">
      <w:pPr>
        <w:tabs>
          <w:tab w:val="left" w:pos="2520"/>
        </w:tabs>
        <w:ind w:left="4508" w:hanging="539"/>
        <w:rPr>
          <w:rFonts w:ascii="Book Antiqua" w:hAnsi="Book Antiqua" w:cs="Arial"/>
          <w:color w:val="000000"/>
        </w:rPr>
      </w:pPr>
    </w:p>
    <w:p w:rsidR="00266FFE" w:rsidRDefault="00266FFE"/>
    <w:p w:rsidR="006D2D9A" w:rsidRDefault="006D2D9A"/>
    <w:sectPr w:rsidR="006D2D9A" w:rsidSect="00614E94">
      <w:headerReference w:type="default" r:id="rId10"/>
      <w:footerReference w:type="default" r:id="rId11"/>
      <w:footerReference w:type="first" r:id="rId12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3E25" w:rsidRDefault="00523E25">
      <w:r>
        <w:separator/>
      </w:r>
    </w:p>
  </w:endnote>
  <w:endnote w:type="continuationSeparator" w:id="0">
    <w:p w:rsidR="00523E25" w:rsidRDefault="00523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4782" w:rsidRPr="00593795" w:rsidRDefault="008D4782" w:rsidP="00614E94">
    <w:pPr>
      <w:pStyle w:val="Footer"/>
      <w:jc w:val="center"/>
      <w:rPr>
        <w:rFonts w:ascii="Arial" w:hAnsi="Arial" w:cs="Arial"/>
        <w:sz w:val="16"/>
        <w:szCs w:val="16"/>
      </w:rPr>
    </w:pPr>
    <w:r w:rsidRPr="00593795">
      <w:rPr>
        <w:rStyle w:val="PageNumber"/>
        <w:rFonts w:ascii="Arial" w:hAnsi="Arial" w:cs="Arial"/>
        <w:sz w:val="16"/>
        <w:szCs w:val="16"/>
      </w:rPr>
      <w:fldChar w:fldCharType="begin"/>
    </w:r>
    <w:r w:rsidRPr="00593795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593795">
      <w:rPr>
        <w:rStyle w:val="PageNumber"/>
        <w:rFonts w:ascii="Arial" w:hAnsi="Arial" w:cs="Arial"/>
        <w:sz w:val="16"/>
        <w:szCs w:val="16"/>
      </w:rPr>
      <w:fldChar w:fldCharType="separate"/>
    </w:r>
    <w:r w:rsidR="00A743AE">
      <w:rPr>
        <w:rStyle w:val="PageNumber"/>
        <w:rFonts w:ascii="Arial" w:hAnsi="Arial" w:cs="Arial"/>
        <w:noProof/>
        <w:sz w:val="16"/>
        <w:szCs w:val="16"/>
      </w:rPr>
      <w:t>4</w:t>
    </w:r>
    <w:r w:rsidRPr="00593795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4782" w:rsidRPr="00090CF9" w:rsidRDefault="008D4782" w:rsidP="00614E94">
    <w:pPr>
      <w:jc w:val="center"/>
      <w:rPr>
        <w:rFonts w:ascii="Arial" w:hAnsi="Arial" w:cs="Arial"/>
        <w:b/>
      </w:rPr>
    </w:pPr>
    <w:r w:rsidRPr="00090CF9">
      <w:rPr>
        <w:rFonts w:ascii="Arial" w:hAnsi="Arial" w:cs="Arial"/>
        <w:b/>
        <w:spacing w:val="-6"/>
      </w:rPr>
      <w:t>©</w:t>
    </w:r>
    <w:r>
      <w:rPr>
        <w:rFonts w:ascii="Arial" w:hAnsi="Arial" w:cs="Arial"/>
        <w:b/>
      </w:rPr>
      <w:t xml:space="preserve"> CROWN COPYRIGHT</w:t>
    </w:r>
    <w:r w:rsidR="00922151">
      <w:rPr>
        <w:rFonts w:ascii="Arial" w:hAnsi="Arial" w:cs="Arial"/>
        <w:b/>
      </w:rPr>
      <w:t xml:space="preserve">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3E25" w:rsidRDefault="00523E25">
      <w:r>
        <w:separator/>
      </w:r>
    </w:p>
  </w:footnote>
  <w:footnote w:type="continuationSeparator" w:id="0">
    <w:p w:rsidR="00523E25" w:rsidRDefault="00523E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4782" w:rsidRPr="003C5CE5" w:rsidRDefault="008D4782" w:rsidP="00614E94">
    <w:pPr>
      <w:pStyle w:val="Header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Appeal Number: </w:t>
    </w:r>
    <w:r w:rsidR="00B32A9D" w:rsidRPr="00B32A9D">
      <w:rPr>
        <w:rFonts w:ascii="Book Antiqua" w:hAnsi="Book Antiqua" w:cs="Arial"/>
        <w:caps/>
        <w:color w:val="000000"/>
        <w:sz w:val="16"/>
        <w:szCs w:val="16"/>
      </w:rPr>
      <w:t>DA/00407/2017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60EB8"/>
    <w:multiLevelType w:val="multilevel"/>
    <w:tmpl w:val="1B54D81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4F4250BF"/>
    <w:multiLevelType w:val="hybridMultilevel"/>
    <w:tmpl w:val="83FE4D62"/>
    <w:lvl w:ilvl="0" w:tplc="080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9A751E86-7551-422E-B25A-8058149C69E6}"/>
    <w:docVar w:name="dgnword-eventsink" w:val="416689296"/>
  </w:docVars>
  <w:rsids>
    <w:rsidRoot w:val="00933B65"/>
    <w:rsid w:val="00005159"/>
    <w:rsid w:val="00007BAC"/>
    <w:rsid w:val="00012D80"/>
    <w:rsid w:val="00017FC3"/>
    <w:rsid w:val="00036023"/>
    <w:rsid w:val="00045FAB"/>
    <w:rsid w:val="00050F40"/>
    <w:rsid w:val="00061DEC"/>
    <w:rsid w:val="000657C6"/>
    <w:rsid w:val="000777B7"/>
    <w:rsid w:val="00087C41"/>
    <w:rsid w:val="00095346"/>
    <w:rsid w:val="000977D0"/>
    <w:rsid w:val="000B194D"/>
    <w:rsid w:val="000B2AA5"/>
    <w:rsid w:val="000B442A"/>
    <w:rsid w:val="000C5619"/>
    <w:rsid w:val="000C69ED"/>
    <w:rsid w:val="000F4ED8"/>
    <w:rsid w:val="00100A8B"/>
    <w:rsid w:val="001103E2"/>
    <w:rsid w:val="001119F8"/>
    <w:rsid w:val="00117089"/>
    <w:rsid w:val="00122DD8"/>
    <w:rsid w:val="001237A6"/>
    <w:rsid w:val="001266F9"/>
    <w:rsid w:val="001270B0"/>
    <w:rsid w:val="00147A44"/>
    <w:rsid w:val="00152A0B"/>
    <w:rsid w:val="00160224"/>
    <w:rsid w:val="001648B3"/>
    <w:rsid w:val="0016717A"/>
    <w:rsid w:val="00172233"/>
    <w:rsid w:val="00184269"/>
    <w:rsid w:val="0019370C"/>
    <w:rsid w:val="0019492B"/>
    <w:rsid w:val="001A3E97"/>
    <w:rsid w:val="001B461C"/>
    <w:rsid w:val="001C6EDF"/>
    <w:rsid w:val="001D6343"/>
    <w:rsid w:val="001E0145"/>
    <w:rsid w:val="001F1025"/>
    <w:rsid w:val="001F3A81"/>
    <w:rsid w:val="002065B8"/>
    <w:rsid w:val="002135A6"/>
    <w:rsid w:val="002154EF"/>
    <w:rsid w:val="00217515"/>
    <w:rsid w:val="00224440"/>
    <w:rsid w:val="00247519"/>
    <w:rsid w:val="00266FFE"/>
    <w:rsid w:val="00267F21"/>
    <w:rsid w:val="00274F92"/>
    <w:rsid w:val="00280FF2"/>
    <w:rsid w:val="002860C1"/>
    <w:rsid w:val="00293A0A"/>
    <w:rsid w:val="002969F3"/>
    <w:rsid w:val="002A3655"/>
    <w:rsid w:val="002A571A"/>
    <w:rsid w:val="002B3AC3"/>
    <w:rsid w:val="002B3CC5"/>
    <w:rsid w:val="002B5B54"/>
    <w:rsid w:val="002C041F"/>
    <w:rsid w:val="002C683E"/>
    <w:rsid w:val="002D3B74"/>
    <w:rsid w:val="002E0AF5"/>
    <w:rsid w:val="002E130A"/>
    <w:rsid w:val="003066C2"/>
    <w:rsid w:val="00321C6F"/>
    <w:rsid w:val="0037124D"/>
    <w:rsid w:val="003812EE"/>
    <w:rsid w:val="00381986"/>
    <w:rsid w:val="0038250D"/>
    <w:rsid w:val="003C1934"/>
    <w:rsid w:val="003C35EB"/>
    <w:rsid w:val="003D7D3D"/>
    <w:rsid w:val="003D7F34"/>
    <w:rsid w:val="003E6445"/>
    <w:rsid w:val="00416621"/>
    <w:rsid w:val="004171D0"/>
    <w:rsid w:val="004227D5"/>
    <w:rsid w:val="00441640"/>
    <w:rsid w:val="004519CE"/>
    <w:rsid w:val="00452237"/>
    <w:rsid w:val="004541E5"/>
    <w:rsid w:val="0045647F"/>
    <w:rsid w:val="0046122D"/>
    <w:rsid w:val="00461DFF"/>
    <w:rsid w:val="00465686"/>
    <w:rsid w:val="00470675"/>
    <w:rsid w:val="0047227B"/>
    <w:rsid w:val="00474DEB"/>
    <w:rsid w:val="004A012D"/>
    <w:rsid w:val="004A46A9"/>
    <w:rsid w:val="004A61AC"/>
    <w:rsid w:val="004D225B"/>
    <w:rsid w:val="004E50BD"/>
    <w:rsid w:val="004F0C90"/>
    <w:rsid w:val="004F2FA5"/>
    <w:rsid w:val="00507F13"/>
    <w:rsid w:val="00513527"/>
    <w:rsid w:val="00514BA7"/>
    <w:rsid w:val="00523E25"/>
    <w:rsid w:val="00534F32"/>
    <w:rsid w:val="00546F02"/>
    <w:rsid w:val="00556D23"/>
    <w:rsid w:val="00565056"/>
    <w:rsid w:val="0057020B"/>
    <w:rsid w:val="00577D35"/>
    <w:rsid w:val="00590739"/>
    <w:rsid w:val="00590CEE"/>
    <w:rsid w:val="00594CA2"/>
    <w:rsid w:val="0059555B"/>
    <w:rsid w:val="00595C55"/>
    <w:rsid w:val="005963D8"/>
    <w:rsid w:val="005A1712"/>
    <w:rsid w:val="005C37C5"/>
    <w:rsid w:val="005D436A"/>
    <w:rsid w:val="005E0FE9"/>
    <w:rsid w:val="005F6D40"/>
    <w:rsid w:val="00613782"/>
    <w:rsid w:val="00614020"/>
    <w:rsid w:val="00614E94"/>
    <w:rsid w:val="006248C2"/>
    <w:rsid w:val="0063091E"/>
    <w:rsid w:val="0065091A"/>
    <w:rsid w:val="00657072"/>
    <w:rsid w:val="00657E4A"/>
    <w:rsid w:val="00663B86"/>
    <w:rsid w:val="0067078F"/>
    <w:rsid w:val="006A10B2"/>
    <w:rsid w:val="006A5304"/>
    <w:rsid w:val="006D2D9A"/>
    <w:rsid w:val="006D7C16"/>
    <w:rsid w:val="006E3DE1"/>
    <w:rsid w:val="006E504C"/>
    <w:rsid w:val="006E7C43"/>
    <w:rsid w:val="007032DB"/>
    <w:rsid w:val="00720306"/>
    <w:rsid w:val="00734D2D"/>
    <w:rsid w:val="007412E0"/>
    <w:rsid w:val="007513A1"/>
    <w:rsid w:val="00755044"/>
    <w:rsid w:val="007603D4"/>
    <w:rsid w:val="00774C7C"/>
    <w:rsid w:val="00785E90"/>
    <w:rsid w:val="00791A10"/>
    <w:rsid w:val="007A04E2"/>
    <w:rsid w:val="007B3193"/>
    <w:rsid w:val="007C1D7F"/>
    <w:rsid w:val="007D0067"/>
    <w:rsid w:val="007D1F67"/>
    <w:rsid w:val="007D5852"/>
    <w:rsid w:val="007D6249"/>
    <w:rsid w:val="007E75CA"/>
    <w:rsid w:val="007F7538"/>
    <w:rsid w:val="0080239D"/>
    <w:rsid w:val="00810338"/>
    <w:rsid w:val="00835D1D"/>
    <w:rsid w:val="008417CA"/>
    <w:rsid w:val="0084433E"/>
    <w:rsid w:val="0084790D"/>
    <w:rsid w:val="00861BE8"/>
    <w:rsid w:val="00861DE2"/>
    <w:rsid w:val="008832E8"/>
    <w:rsid w:val="0088650F"/>
    <w:rsid w:val="0088657E"/>
    <w:rsid w:val="008A64A7"/>
    <w:rsid w:val="008B5B9B"/>
    <w:rsid w:val="008C2761"/>
    <w:rsid w:val="008D37F5"/>
    <w:rsid w:val="008D4782"/>
    <w:rsid w:val="008D48F2"/>
    <w:rsid w:val="008E1FD4"/>
    <w:rsid w:val="008E5C5F"/>
    <w:rsid w:val="008F2CE1"/>
    <w:rsid w:val="00922151"/>
    <w:rsid w:val="00923BA9"/>
    <w:rsid w:val="00926DE2"/>
    <w:rsid w:val="00927447"/>
    <w:rsid w:val="00933B65"/>
    <w:rsid w:val="009371B7"/>
    <w:rsid w:val="00944129"/>
    <w:rsid w:val="00953AF1"/>
    <w:rsid w:val="0095405F"/>
    <w:rsid w:val="009607D2"/>
    <w:rsid w:val="009644EF"/>
    <w:rsid w:val="009701EB"/>
    <w:rsid w:val="00972E3E"/>
    <w:rsid w:val="00974669"/>
    <w:rsid w:val="0097611D"/>
    <w:rsid w:val="009811E8"/>
    <w:rsid w:val="00986B11"/>
    <w:rsid w:val="00986F45"/>
    <w:rsid w:val="00987650"/>
    <w:rsid w:val="00994ACD"/>
    <w:rsid w:val="00996AA2"/>
    <w:rsid w:val="00996E10"/>
    <w:rsid w:val="009A1805"/>
    <w:rsid w:val="009A1BDD"/>
    <w:rsid w:val="009A7222"/>
    <w:rsid w:val="009B0FE9"/>
    <w:rsid w:val="009B6262"/>
    <w:rsid w:val="009C1450"/>
    <w:rsid w:val="009E0BB6"/>
    <w:rsid w:val="009E3D21"/>
    <w:rsid w:val="009E3DFE"/>
    <w:rsid w:val="009F361B"/>
    <w:rsid w:val="00A1215E"/>
    <w:rsid w:val="00A20E50"/>
    <w:rsid w:val="00A21B93"/>
    <w:rsid w:val="00A227FA"/>
    <w:rsid w:val="00A22835"/>
    <w:rsid w:val="00A23ACF"/>
    <w:rsid w:val="00A45783"/>
    <w:rsid w:val="00A47268"/>
    <w:rsid w:val="00A743AE"/>
    <w:rsid w:val="00A810D2"/>
    <w:rsid w:val="00A836B8"/>
    <w:rsid w:val="00A86A8D"/>
    <w:rsid w:val="00A874E3"/>
    <w:rsid w:val="00AA199C"/>
    <w:rsid w:val="00AA25A1"/>
    <w:rsid w:val="00AA45D8"/>
    <w:rsid w:val="00AA5502"/>
    <w:rsid w:val="00AA7898"/>
    <w:rsid w:val="00AF499B"/>
    <w:rsid w:val="00B170ED"/>
    <w:rsid w:val="00B32A9D"/>
    <w:rsid w:val="00B33621"/>
    <w:rsid w:val="00B515D4"/>
    <w:rsid w:val="00B52844"/>
    <w:rsid w:val="00B55A74"/>
    <w:rsid w:val="00B61664"/>
    <w:rsid w:val="00B619ED"/>
    <w:rsid w:val="00B71E96"/>
    <w:rsid w:val="00B7269C"/>
    <w:rsid w:val="00B803A1"/>
    <w:rsid w:val="00B80C07"/>
    <w:rsid w:val="00B81632"/>
    <w:rsid w:val="00B84B26"/>
    <w:rsid w:val="00B86334"/>
    <w:rsid w:val="00BB2B34"/>
    <w:rsid w:val="00BB470C"/>
    <w:rsid w:val="00BB69F4"/>
    <w:rsid w:val="00BC0611"/>
    <w:rsid w:val="00BC220A"/>
    <w:rsid w:val="00BC3FA0"/>
    <w:rsid w:val="00BD22AF"/>
    <w:rsid w:val="00BD2BB5"/>
    <w:rsid w:val="00BD36E3"/>
    <w:rsid w:val="00BD516F"/>
    <w:rsid w:val="00BE34CF"/>
    <w:rsid w:val="00BF49F2"/>
    <w:rsid w:val="00C01F6A"/>
    <w:rsid w:val="00C02384"/>
    <w:rsid w:val="00C15A7E"/>
    <w:rsid w:val="00C46BC8"/>
    <w:rsid w:val="00C51B29"/>
    <w:rsid w:val="00C53D21"/>
    <w:rsid w:val="00C6098F"/>
    <w:rsid w:val="00C628F1"/>
    <w:rsid w:val="00C667B9"/>
    <w:rsid w:val="00C73FFD"/>
    <w:rsid w:val="00C7704A"/>
    <w:rsid w:val="00C84E5E"/>
    <w:rsid w:val="00C94E61"/>
    <w:rsid w:val="00CA1B21"/>
    <w:rsid w:val="00CB1612"/>
    <w:rsid w:val="00CB58D4"/>
    <w:rsid w:val="00CD5AEE"/>
    <w:rsid w:val="00CD72E1"/>
    <w:rsid w:val="00CD7B24"/>
    <w:rsid w:val="00CF0FE6"/>
    <w:rsid w:val="00D02A46"/>
    <w:rsid w:val="00D03F72"/>
    <w:rsid w:val="00D31D54"/>
    <w:rsid w:val="00D378C2"/>
    <w:rsid w:val="00D44C2B"/>
    <w:rsid w:val="00D72338"/>
    <w:rsid w:val="00D7532D"/>
    <w:rsid w:val="00D86061"/>
    <w:rsid w:val="00D87AEA"/>
    <w:rsid w:val="00D935EA"/>
    <w:rsid w:val="00DA3D04"/>
    <w:rsid w:val="00DA6579"/>
    <w:rsid w:val="00DB6C5E"/>
    <w:rsid w:val="00DC699D"/>
    <w:rsid w:val="00E12EB6"/>
    <w:rsid w:val="00E156D2"/>
    <w:rsid w:val="00E22997"/>
    <w:rsid w:val="00E25391"/>
    <w:rsid w:val="00E33EF3"/>
    <w:rsid w:val="00E507A7"/>
    <w:rsid w:val="00E5098D"/>
    <w:rsid w:val="00E5605A"/>
    <w:rsid w:val="00E60528"/>
    <w:rsid w:val="00E75BB6"/>
    <w:rsid w:val="00E8357C"/>
    <w:rsid w:val="00E94A56"/>
    <w:rsid w:val="00EA3D98"/>
    <w:rsid w:val="00ED3E86"/>
    <w:rsid w:val="00EE6CE7"/>
    <w:rsid w:val="00EF1300"/>
    <w:rsid w:val="00F07A77"/>
    <w:rsid w:val="00F125AD"/>
    <w:rsid w:val="00F27EB8"/>
    <w:rsid w:val="00F40619"/>
    <w:rsid w:val="00F45DDC"/>
    <w:rsid w:val="00F45F46"/>
    <w:rsid w:val="00F47052"/>
    <w:rsid w:val="00F648C0"/>
    <w:rsid w:val="00F64D76"/>
    <w:rsid w:val="00F7519F"/>
    <w:rsid w:val="00F81740"/>
    <w:rsid w:val="00F85C8A"/>
    <w:rsid w:val="00F950E7"/>
    <w:rsid w:val="00FA0A2E"/>
    <w:rsid w:val="00FA2A43"/>
    <w:rsid w:val="00FA7FC0"/>
    <w:rsid w:val="00FB0516"/>
    <w:rsid w:val="00FC2599"/>
    <w:rsid w:val="00FC45D1"/>
    <w:rsid w:val="00FE0046"/>
    <w:rsid w:val="00FE2D75"/>
    <w:rsid w:val="00FE6820"/>
    <w:rsid w:val="00FF48BE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9DDDC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33B65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33B6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33B6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33B65"/>
  </w:style>
  <w:style w:type="table" w:styleId="TableGrid">
    <w:name w:val="Table Grid"/>
    <w:basedOn w:val="TableNormal"/>
    <w:rsid w:val="00933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B8633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B86334"/>
    <w:rPr>
      <w:rFonts w:ascii="Segoe UI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3A294-4270-4E63-BD3C-B47EC07DB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1451</Words>
  <Characters>7074</Characters>
  <Application>Microsoft Office Word</Application>
  <DocSecurity>0</DocSecurity>
  <Lines>58</Lines>
  <Paragraphs>17</Paragraphs>
  <ScaleCrop>false</ScaleCrop>
  <Company/>
  <LinksUpToDate>false</LinksUpToDate>
  <CharactersWithSpaces>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2018-09-28T12:55:00Z</dcterms:created>
  <dcterms:modified xsi:type="dcterms:W3CDTF">2018-09-28T12:55:00Z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