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A544A8" w:rsidRDefault="00D94AFC">
      <w:pPr>
        <w:rPr>
          <w:rFonts w:ascii="Sylfaen" w:hAnsi="Sylfaen" w:cs="Arial"/>
          <w:color w:val="000000"/>
          <w:sz w:val="16"/>
          <w:szCs w:val="16"/>
        </w:rPr>
      </w:pPr>
    </w:p>
    <w:p w:rsidR="00F97703" w:rsidRPr="00A544A8" w:rsidRDefault="00FA594E" w:rsidP="00F97703">
      <w:pPr>
        <w:jc w:val="center"/>
        <w:rPr>
          <w:rFonts w:ascii="Sylfaen" w:hAnsi="Sylfaen" w:cs="Arial"/>
          <w:color w:val="000000"/>
        </w:rPr>
      </w:pPr>
      <w:r w:rsidRPr="00A544A8">
        <w:rPr>
          <w:rFonts w:ascii="Sylfaen" w:hAnsi="Sylfaen"/>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247F01">
        <w:rPr>
          <w:rFonts w:ascii="Sylfaen" w:hAnsi="Sylfaen" w:cs="Arial"/>
          <w:b/>
          <w:caps/>
          <w:color w:val="000000"/>
        </w:rPr>
        <w:t>DA</w:t>
      </w:r>
      <w:r w:rsidR="00EF2BCA">
        <w:rPr>
          <w:rFonts w:ascii="Sylfaen" w:hAnsi="Sylfaen" w:cs="Arial"/>
          <w:b/>
          <w:caps/>
          <w:color w:val="000000"/>
        </w:rPr>
        <w:t>/00430/20</w:t>
      </w:r>
      <w:r w:rsidR="00247F01">
        <w:rPr>
          <w:rFonts w:ascii="Sylfaen" w:hAnsi="Sylfaen" w:cs="Arial"/>
          <w:b/>
          <w:caps/>
          <w:color w:val="000000"/>
        </w:rPr>
        <w:t>17</w:t>
      </w:r>
      <w:bookmarkEnd w:id="0"/>
    </w:p>
    <w:p w:rsidR="00C345E1" w:rsidRPr="00A544A8" w:rsidRDefault="00C345E1" w:rsidP="00C345E1">
      <w:pPr>
        <w:jc w:val="center"/>
        <w:rPr>
          <w:rFonts w:ascii="Sylfaen" w:hAnsi="Sylfaen" w:cs="Arial"/>
          <w:color w:val="000000"/>
        </w:rPr>
      </w:pPr>
    </w:p>
    <w:p w:rsidR="003E0791" w:rsidRDefault="003E0791" w:rsidP="00C345E1">
      <w:pPr>
        <w:jc w:val="center"/>
        <w:rPr>
          <w:rFonts w:ascii="Sylfaen" w:hAnsi="Sylfaen" w:cs="Arial"/>
          <w:b/>
          <w:color w:val="000000"/>
          <w:u w:val="single"/>
        </w:rPr>
      </w:pPr>
    </w:p>
    <w:p w:rsidR="00C345E1"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3E0791" w:rsidRPr="00A544A8" w:rsidRDefault="003E0791" w:rsidP="00C345E1">
      <w:pPr>
        <w:jc w:val="center"/>
        <w:rPr>
          <w:rFonts w:ascii="Sylfaen" w:hAnsi="Sylfaen" w:cs="Arial"/>
          <w:b/>
          <w:color w:val="000000"/>
          <w:u w:val="single"/>
        </w:rPr>
      </w:pP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209"/>
        <w:gridCol w:w="4429"/>
      </w:tblGrid>
      <w:tr w:rsidR="00D22636" w:rsidRPr="00C821D6" w:rsidTr="00FA594E">
        <w:tc>
          <w:tcPr>
            <w:tcW w:w="5353" w:type="dxa"/>
            <w:shd w:val="clear" w:color="auto" w:fill="auto"/>
          </w:tcPr>
          <w:p w:rsidR="00D22636" w:rsidRPr="00C821D6" w:rsidRDefault="00FA594E" w:rsidP="00C821D6">
            <w:pPr>
              <w:ind w:left="540" w:hanging="540"/>
              <w:jc w:val="both"/>
              <w:rPr>
                <w:rFonts w:ascii="Sylfaen" w:hAnsi="Sylfaen" w:cs="Arial"/>
                <w:b/>
              </w:rPr>
            </w:pPr>
            <w:r>
              <w:rPr>
                <w:rFonts w:ascii="Sylfaen" w:hAnsi="Sylfaen" w:cs="Arial"/>
              </w:rPr>
              <w:t xml:space="preserve">Heard </w:t>
            </w:r>
            <w:r w:rsidR="00BD3A9C" w:rsidRPr="00C821D6">
              <w:rPr>
                <w:rFonts w:ascii="Sylfaen" w:hAnsi="Sylfaen" w:cs="Arial"/>
              </w:rPr>
              <w:t>At</w:t>
            </w:r>
            <w:r w:rsidR="00BD3A9C" w:rsidRPr="00C821D6">
              <w:rPr>
                <w:rFonts w:ascii="Sylfaen" w:hAnsi="Sylfaen" w:cs="Arial"/>
                <w:b/>
              </w:rPr>
              <w:t xml:space="preserve"> </w:t>
            </w:r>
            <w:bookmarkStart w:id="1" w:name="Dropdown5"/>
            <w:r w:rsidR="00206F6B" w:rsidRPr="00FA594E">
              <w:rPr>
                <w:rFonts w:ascii="Sylfaen" w:hAnsi="Sylfaen" w:cs="Arial"/>
              </w:rPr>
              <w:fldChar w:fldCharType="begin">
                <w:ffData>
                  <w:name w:val="Dropdown5"/>
                  <w:enabled/>
                  <w:calcOnExit w:val="0"/>
                  <w:ddList>
                    <w:listEntry w:val="Field House"/>
                    <w:listEntry w:val="Newport"/>
                    <w:listEntry w:val="Harmondsworth"/>
                    <w:listEntry w:val="Royal Courts of Justice"/>
                  </w:ddList>
                </w:ffData>
              </w:fldChar>
            </w:r>
            <w:r w:rsidR="00206F6B" w:rsidRPr="00FA594E">
              <w:rPr>
                <w:rFonts w:ascii="Sylfaen" w:hAnsi="Sylfaen" w:cs="Arial"/>
              </w:rPr>
              <w:instrText xml:space="preserve"> FORMDROPDOWN </w:instrText>
            </w:r>
            <w:r w:rsidR="007A6CC9">
              <w:rPr>
                <w:rFonts w:ascii="Sylfaen" w:hAnsi="Sylfaen" w:cs="Arial"/>
              </w:rPr>
            </w:r>
            <w:r w:rsidR="007A6CC9">
              <w:rPr>
                <w:rFonts w:ascii="Sylfaen" w:hAnsi="Sylfaen" w:cs="Arial"/>
              </w:rPr>
              <w:fldChar w:fldCharType="separate"/>
            </w:r>
            <w:r w:rsidR="00206F6B" w:rsidRPr="00FA594E">
              <w:rPr>
                <w:rFonts w:ascii="Sylfaen" w:hAnsi="Sylfaen" w:cs="Arial"/>
              </w:rPr>
              <w:fldChar w:fldCharType="end"/>
            </w:r>
            <w:bookmarkEnd w:id="1"/>
          </w:p>
        </w:tc>
        <w:tc>
          <w:tcPr>
            <w:tcW w:w="4475" w:type="dxa"/>
            <w:shd w:val="clear" w:color="auto" w:fill="auto"/>
          </w:tcPr>
          <w:p w:rsidR="00D22636" w:rsidRPr="00C821D6" w:rsidRDefault="00A544A8" w:rsidP="00C821D6">
            <w:pPr>
              <w:ind w:left="1872" w:hanging="1872"/>
              <w:jc w:val="both"/>
              <w:rPr>
                <w:rFonts w:ascii="Sylfaen" w:hAnsi="Sylfaen" w:cs="Arial"/>
                <w:b/>
                <w:color w:val="000000"/>
              </w:rPr>
            </w:pPr>
            <w:r w:rsidRPr="00C821D6">
              <w:rPr>
                <w:rFonts w:ascii="Sylfaen" w:hAnsi="Sylfaen" w:cs="Arial"/>
                <w:color w:val="000000"/>
              </w:rPr>
              <w:t xml:space="preserve">Decision </w:t>
            </w:r>
            <w:r w:rsidR="00FA594E">
              <w:rPr>
                <w:rFonts w:ascii="Sylfaen" w:hAnsi="Sylfaen" w:cs="Arial"/>
                <w:color w:val="000000"/>
              </w:rPr>
              <w:t>and Reasons Promulgated</w:t>
            </w:r>
            <w:r w:rsidR="00F07170" w:rsidRPr="00C821D6">
              <w:rPr>
                <w:rFonts w:ascii="Sylfaen" w:hAnsi="Sylfaen" w:cs="Arial"/>
                <w:b/>
                <w:color w:val="000000"/>
              </w:rPr>
              <w:t xml:space="preserve">   </w:t>
            </w:r>
          </w:p>
        </w:tc>
      </w:tr>
      <w:tr w:rsidR="00D22636" w:rsidRPr="00C821D6" w:rsidTr="00FA594E">
        <w:tc>
          <w:tcPr>
            <w:tcW w:w="5353" w:type="dxa"/>
            <w:shd w:val="clear" w:color="auto" w:fill="auto"/>
          </w:tcPr>
          <w:p w:rsidR="00D22636" w:rsidRPr="00C821D6" w:rsidRDefault="00FA594E" w:rsidP="00C821D6">
            <w:pPr>
              <w:jc w:val="both"/>
              <w:rPr>
                <w:rFonts w:ascii="Sylfaen" w:hAnsi="Sylfaen" w:cs="Arial"/>
                <w:b/>
              </w:rPr>
            </w:pPr>
            <w:r>
              <w:rPr>
                <w:rFonts w:ascii="Sylfaen" w:hAnsi="Sylfaen" w:cs="Arial"/>
              </w:rPr>
              <w:t>O</w:t>
            </w:r>
            <w:r w:rsidRPr="00C821D6">
              <w:rPr>
                <w:rFonts w:ascii="Sylfaen" w:hAnsi="Sylfaen" w:cs="Arial"/>
              </w:rPr>
              <w:t>n</w:t>
            </w:r>
            <w:r>
              <w:rPr>
                <w:rFonts w:ascii="Sylfaen" w:hAnsi="Sylfaen" w:cs="Arial"/>
                <w:b/>
              </w:rPr>
              <w:t xml:space="preserve"> 02</w:t>
            </w:r>
            <w:r w:rsidR="00247F01" w:rsidRPr="00FA594E">
              <w:rPr>
                <w:rFonts w:ascii="Sylfaen" w:hAnsi="Sylfaen" w:cs="Arial"/>
              </w:rPr>
              <w:t>.07.2018</w:t>
            </w:r>
          </w:p>
        </w:tc>
        <w:tc>
          <w:tcPr>
            <w:tcW w:w="4475" w:type="dxa"/>
            <w:shd w:val="clear" w:color="auto" w:fill="auto"/>
          </w:tcPr>
          <w:p w:rsidR="00D22636" w:rsidRPr="00C821D6" w:rsidRDefault="00FA594E" w:rsidP="00C821D6">
            <w:pPr>
              <w:ind w:left="1872" w:hanging="1872"/>
              <w:jc w:val="both"/>
              <w:rPr>
                <w:rFonts w:ascii="Sylfaen" w:hAnsi="Sylfaen" w:cs="Arial"/>
                <w:b/>
              </w:rPr>
            </w:pPr>
            <w:r>
              <w:rPr>
                <w:rFonts w:ascii="Sylfaen" w:hAnsi="Sylfaen" w:cs="Arial"/>
                <w:color w:val="000000"/>
              </w:rPr>
              <w:t>On</w:t>
            </w:r>
            <w:r w:rsidR="00F07170" w:rsidRPr="00C821D6">
              <w:rPr>
                <w:rFonts w:ascii="Sylfaen" w:hAnsi="Sylfaen" w:cs="Arial"/>
                <w:color w:val="000000"/>
              </w:rPr>
              <w:t xml:space="preserve"> </w:t>
            </w:r>
            <w:r w:rsidR="00C70616">
              <w:rPr>
                <w:rFonts w:ascii="Sylfaen" w:hAnsi="Sylfaen" w:cs="Arial"/>
                <w:color w:val="000000"/>
              </w:rPr>
              <w:t>26</w:t>
            </w:r>
            <w:r w:rsidRPr="00FA594E">
              <w:rPr>
                <w:rFonts w:ascii="Sylfaen" w:hAnsi="Sylfaen" w:cs="Arial"/>
                <w:color w:val="000000"/>
              </w:rPr>
              <w:t>.07.2018</w:t>
            </w:r>
          </w:p>
        </w:tc>
      </w:tr>
    </w:tbl>
    <w:p w:rsidR="00F07170" w:rsidRDefault="00F07170" w:rsidP="00BD3A9C">
      <w:pPr>
        <w:rPr>
          <w:rFonts w:ascii="Sylfaen" w:hAnsi="Sylfaen" w:cs="Arial"/>
          <w:b/>
        </w:rPr>
      </w:pPr>
    </w:p>
    <w:p w:rsidR="003E0791" w:rsidRDefault="003E0791" w:rsidP="00BD3A9C">
      <w:pPr>
        <w:rPr>
          <w:rFonts w:ascii="Sylfaen" w:hAnsi="Sylfaen" w:cs="Arial"/>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3E0791" w:rsidRDefault="003E0791"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Default="00247F01" w:rsidP="00A15234">
      <w:pPr>
        <w:jc w:val="center"/>
        <w:rPr>
          <w:rFonts w:ascii="Sylfaen" w:hAnsi="Sylfaen" w:cs="Arial"/>
          <w:b/>
        </w:rPr>
      </w:pPr>
      <w:r>
        <w:rPr>
          <w:rFonts w:ascii="Sylfaen" w:hAnsi="Sylfaen" w:cs="Arial"/>
          <w:b/>
        </w:rPr>
        <w:t xml:space="preserve">Marina </w:t>
      </w:r>
      <w:r w:rsidR="003E0791">
        <w:rPr>
          <w:rFonts w:ascii="Sylfaen" w:hAnsi="Sylfaen" w:cs="Arial"/>
          <w:b/>
        </w:rPr>
        <w:t>[</w:t>
      </w:r>
      <w:r>
        <w:rPr>
          <w:rFonts w:ascii="Sylfaen" w:hAnsi="Sylfaen" w:cs="Arial"/>
          <w:b/>
        </w:rPr>
        <w:t>U</w:t>
      </w:r>
      <w:r w:rsidR="003E0791">
        <w:rPr>
          <w:rFonts w:ascii="Sylfaen" w:hAnsi="Sylfaen" w:cs="Arial"/>
          <w:b/>
        </w:rPr>
        <w:t>]</w:t>
      </w:r>
    </w:p>
    <w:p w:rsidR="00FA594E" w:rsidRPr="00A544A8" w:rsidRDefault="00FA594E" w:rsidP="00A15234">
      <w:pPr>
        <w:jc w:val="center"/>
        <w:rPr>
          <w:rFonts w:ascii="Sylfaen" w:hAnsi="Sylfaen" w:cs="Arial"/>
          <w:b/>
        </w:rPr>
      </w:pPr>
      <w:r>
        <w:rPr>
          <w:rFonts w:ascii="Sylfaen" w:hAnsi="Sylfaen" w:cs="Arial"/>
          <w:b/>
        </w:rPr>
        <w:t xml:space="preserve">(anonymity direction not made) </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2"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7A6CC9">
        <w:rPr>
          <w:rFonts w:ascii="Sylfaen" w:hAnsi="Sylfaen" w:cs="Arial"/>
          <w:b/>
        </w:rPr>
      </w:r>
      <w:r w:rsidR="007A6CC9">
        <w:rPr>
          <w:rFonts w:ascii="Sylfaen" w:hAnsi="Sylfaen" w:cs="Arial"/>
          <w:b/>
        </w:rPr>
        <w:fldChar w:fldCharType="separate"/>
      </w:r>
      <w:r w:rsidRPr="00A544A8">
        <w:rPr>
          <w:rFonts w:ascii="Sylfaen" w:hAnsi="Sylfaen" w:cs="Arial"/>
          <w:b/>
        </w:rPr>
        <w:fldChar w:fldCharType="end"/>
      </w:r>
      <w:bookmarkEnd w:id="2"/>
    </w:p>
    <w:p w:rsidR="00DD5071" w:rsidRPr="003860CF" w:rsidRDefault="00BD3A9C" w:rsidP="00DD5071">
      <w:pPr>
        <w:jc w:val="right"/>
        <w:rPr>
          <w:rFonts w:ascii="Sylfaen" w:hAnsi="Sylfaen" w:cs="Arial"/>
        </w:rPr>
      </w:pPr>
      <w:r w:rsidRPr="003860CF">
        <w:rPr>
          <w:rFonts w:ascii="Sylfaen" w:hAnsi="Sylfaen" w:cs="Arial"/>
        </w:rPr>
        <w:t>respondent</w:t>
      </w:r>
    </w:p>
    <w:p w:rsidR="003E0791" w:rsidRDefault="003E0791"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247F01"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247F01">
        <w:rPr>
          <w:rFonts w:ascii="Sylfaen" w:hAnsi="Sylfaen" w:cs="Arial"/>
          <w:i/>
        </w:rPr>
        <w:t xml:space="preserve">Bernadette Smith </w:t>
      </w:r>
      <w:r w:rsidR="00247F01">
        <w:rPr>
          <w:rFonts w:ascii="Sylfaen" w:hAnsi="Sylfaen" w:cs="Arial"/>
        </w:rPr>
        <w:t xml:space="preserve">(counsel instructed by IR </w:t>
      </w:r>
      <w:r w:rsidR="00482836">
        <w:rPr>
          <w:rFonts w:ascii="Sylfaen" w:hAnsi="Sylfaen" w:cs="Arial"/>
        </w:rPr>
        <w:t>Immigration Law LLP)</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482836">
        <w:rPr>
          <w:rFonts w:ascii="Sylfaen" w:hAnsi="Sylfaen" w:cs="Arial"/>
        </w:rPr>
        <w:t xml:space="preserve">Mr Stefan </w:t>
      </w:r>
      <w:proofErr w:type="spellStart"/>
      <w:r w:rsidR="00482836">
        <w:rPr>
          <w:rFonts w:ascii="Sylfaen" w:hAnsi="Sylfaen" w:cs="Arial"/>
        </w:rPr>
        <w:t>Kotas</w:t>
      </w:r>
      <w:proofErr w:type="spellEnd"/>
    </w:p>
    <w:p w:rsidR="00DE7DB7" w:rsidRPr="00A544A8" w:rsidRDefault="00DE7DB7" w:rsidP="00402B9E">
      <w:pPr>
        <w:tabs>
          <w:tab w:val="left" w:pos="2520"/>
        </w:tabs>
        <w:jc w:val="center"/>
        <w:rPr>
          <w:rFonts w:ascii="Sylfaen" w:hAnsi="Sylfaen" w:cs="Arial"/>
        </w:rPr>
      </w:pPr>
    </w:p>
    <w:p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rsidR="003E0791" w:rsidRDefault="003E0791" w:rsidP="00BD3A9C">
      <w:pPr>
        <w:tabs>
          <w:tab w:val="left" w:pos="567"/>
        </w:tabs>
        <w:spacing w:after="120"/>
        <w:ind w:left="567" w:hanging="567"/>
        <w:jc w:val="both"/>
        <w:rPr>
          <w:rFonts w:ascii="Sylfaen" w:hAnsi="Sylfaen" w:cs="Arial"/>
        </w:rPr>
      </w:pP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3" w:name="Dropdown4"/>
      <w:r w:rsidR="00482836">
        <w:rPr>
          <w:rFonts w:ascii="Sylfaen" w:hAnsi="Sylfaen" w:cs="Arial"/>
        </w:rPr>
        <w:fldChar w:fldCharType="begin">
          <w:ffData>
            <w:name w:val="Dropdown4"/>
            <w:enabled/>
            <w:calcOnExit w:val="0"/>
            <w:ddList>
              <w:listEntry w:val="respondent to the original appeal"/>
              <w:listEntry w:val="appellant"/>
              <w:listEntry w:val="appellants"/>
            </w:ddList>
          </w:ffData>
        </w:fldChar>
      </w:r>
      <w:r w:rsidR="00482836">
        <w:rPr>
          <w:rFonts w:ascii="Sylfaen" w:hAnsi="Sylfaen" w:cs="Arial"/>
        </w:rPr>
        <w:instrText xml:space="preserve"> FORMDROPDOWN </w:instrText>
      </w:r>
      <w:r w:rsidR="007A6CC9">
        <w:rPr>
          <w:rFonts w:ascii="Sylfaen" w:hAnsi="Sylfaen" w:cs="Arial"/>
        </w:rPr>
      </w:r>
      <w:r w:rsidR="007A6CC9">
        <w:rPr>
          <w:rFonts w:ascii="Sylfaen" w:hAnsi="Sylfaen" w:cs="Arial"/>
        </w:rPr>
        <w:fldChar w:fldCharType="separate"/>
      </w:r>
      <w:r w:rsidR="00482836">
        <w:rPr>
          <w:rFonts w:ascii="Sylfaen" w:hAnsi="Sylfaen" w:cs="Arial"/>
        </w:rPr>
        <w:fldChar w:fldCharType="end"/>
      </w:r>
      <w:bookmarkEnd w:id="3"/>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482836">
        <w:rPr>
          <w:rFonts w:ascii="Sylfaen" w:hAnsi="Sylfaen" w:cs="Arial"/>
        </w:rPr>
        <w:t xml:space="preserve">Steven Lloyd), </w:t>
      </w:r>
      <w:r w:rsidR="00FE4D99">
        <w:rPr>
          <w:rFonts w:ascii="Sylfaen" w:hAnsi="Sylfaen" w:cs="Arial"/>
        </w:rPr>
        <w:t xml:space="preserve">sitting at </w:t>
      </w:r>
      <w:r w:rsidR="00482836">
        <w:rPr>
          <w:rFonts w:ascii="Sylfaen" w:hAnsi="Sylfaen" w:cs="Arial"/>
        </w:rPr>
        <w:t>Birmingham</w:t>
      </w:r>
      <w:r w:rsidR="00FE4D99">
        <w:rPr>
          <w:rFonts w:ascii="Sylfaen" w:hAnsi="Sylfaen" w:cs="Arial"/>
        </w:rPr>
        <w:t xml:space="preserve"> on </w:t>
      </w:r>
      <w:r w:rsidR="00482836">
        <w:rPr>
          <w:rFonts w:ascii="Sylfaen" w:hAnsi="Sylfaen" w:cs="Arial"/>
        </w:rPr>
        <w:t>13 December 2017</w:t>
      </w:r>
      <w:r w:rsidR="00FE4D99">
        <w:rPr>
          <w:rFonts w:ascii="Sylfaen" w:hAnsi="Sylfaen" w:cs="Arial"/>
        </w:rPr>
        <w:t xml:space="preserve">, to </w:t>
      </w:r>
      <w:bookmarkStart w:id="4" w:name="Dropdown2"/>
      <w:r w:rsidR="00482836">
        <w:rPr>
          <w:rFonts w:ascii="Sylfaen" w:hAnsi="Sylfaen" w:cs="Arial"/>
        </w:rPr>
        <w:fldChar w:fldCharType="begin">
          <w:ffData>
            <w:name w:val="Dropdown2"/>
            <w:enabled/>
            <w:calcOnExit w:val="0"/>
            <w:ddList>
              <w:listEntry w:val="allow"/>
              <w:listEntry w:val="dismiss"/>
            </w:ddList>
          </w:ffData>
        </w:fldChar>
      </w:r>
      <w:r w:rsidR="00482836">
        <w:rPr>
          <w:rFonts w:ascii="Sylfaen" w:hAnsi="Sylfaen" w:cs="Arial"/>
        </w:rPr>
        <w:instrText xml:space="preserve"> FORMDROPDOWN </w:instrText>
      </w:r>
      <w:r w:rsidR="007A6CC9">
        <w:rPr>
          <w:rFonts w:ascii="Sylfaen" w:hAnsi="Sylfaen" w:cs="Arial"/>
        </w:rPr>
      </w:r>
      <w:r w:rsidR="007A6CC9">
        <w:rPr>
          <w:rFonts w:ascii="Sylfaen" w:hAnsi="Sylfaen" w:cs="Arial"/>
        </w:rPr>
        <w:fldChar w:fldCharType="separate"/>
      </w:r>
      <w:r w:rsidR="00482836">
        <w:rPr>
          <w:rFonts w:ascii="Sylfaen" w:hAnsi="Sylfaen" w:cs="Arial"/>
        </w:rPr>
        <w:fldChar w:fldCharType="end"/>
      </w:r>
      <w:bookmarkEnd w:id="4"/>
      <w:r w:rsidR="00FE4D99">
        <w:rPr>
          <w:rFonts w:ascii="Sylfaen" w:hAnsi="Sylfaen" w:cs="Arial"/>
        </w:rPr>
        <w:t xml:space="preserve"> </w:t>
      </w:r>
      <w:r w:rsidR="00482836">
        <w:rPr>
          <w:rFonts w:ascii="Sylfaen" w:hAnsi="Sylfaen" w:cs="Arial"/>
        </w:rPr>
        <w:t>a deportation</w:t>
      </w:r>
      <w:r w:rsidR="00FE4D99">
        <w:rPr>
          <w:rFonts w:ascii="Sylfaen" w:hAnsi="Sylfaen" w:cs="Arial"/>
        </w:rPr>
        <w:t xml:space="preserve"> appeal by a citizen of </w:t>
      </w:r>
      <w:r w:rsidR="00482836">
        <w:rPr>
          <w:rFonts w:ascii="Sylfaen" w:hAnsi="Sylfaen" w:cs="Arial"/>
        </w:rPr>
        <w:t>Latvia</w:t>
      </w:r>
      <w:r w:rsidR="00102EBC">
        <w:rPr>
          <w:rFonts w:ascii="Sylfaen" w:hAnsi="Sylfaen" w:cs="Arial"/>
        </w:rPr>
        <w:t xml:space="preserve">, born </w:t>
      </w:r>
      <w:r w:rsidR="00482836">
        <w:rPr>
          <w:rFonts w:ascii="Sylfaen" w:hAnsi="Sylfaen" w:cs="Arial"/>
        </w:rPr>
        <w:t>1983</w:t>
      </w:r>
      <w:r w:rsidR="00FE4D99">
        <w:rPr>
          <w:rFonts w:ascii="Sylfaen" w:hAnsi="Sylfaen" w:cs="Arial"/>
        </w:rPr>
        <w:t>.</w:t>
      </w:r>
      <w:r w:rsidR="0055673C">
        <w:rPr>
          <w:rFonts w:ascii="Sylfaen" w:hAnsi="Sylfaen" w:cs="Arial"/>
        </w:rPr>
        <w:t xml:space="preserve"> The applicant has a son, O, born 23 October 2005, and they arrived here in 2008. On 15 March 2013 she was involved in a fatal road traffic accident, and arrested for possession of </w:t>
      </w:r>
      <w:r w:rsidR="0055673C" w:rsidRPr="0055673C">
        <w:rPr>
          <w:rFonts w:ascii="Sylfaen" w:hAnsi="Sylfaen" w:cs="Arial"/>
        </w:rPr>
        <w:t xml:space="preserve">class ‘A’ </w:t>
      </w:r>
      <w:r w:rsidR="0055673C">
        <w:rPr>
          <w:rFonts w:ascii="Sylfaen" w:hAnsi="Sylfaen" w:cs="Arial"/>
        </w:rPr>
        <w:t xml:space="preserve">and ‘C’ </w:t>
      </w:r>
      <w:r w:rsidR="0055673C" w:rsidRPr="0055673C">
        <w:rPr>
          <w:rFonts w:ascii="Sylfaen" w:hAnsi="Sylfaen" w:cs="Arial"/>
        </w:rPr>
        <w:t>drugs</w:t>
      </w:r>
      <w:r w:rsidR="005600D4">
        <w:rPr>
          <w:rFonts w:ascii="Sylfaen" w:hAnsi="Sylfaen" w:cs="Arial"/>
        </w:rPr>
        <w:t xml:space="preserve"> in her house and </w:t>
      </w:r>
      <w:r w:rsidR="005600D4">
        <w:rPr>
          <w:rFonts w:ascii="Sylfaen" w:hAnsi="Sylfaen" w:cs="Arial"/>
        </w:rPr>
        <w:lastRenderedPageBreak/>
        <w:t>car</w:t>
      </w:r>
      <w:r w:rsidR="0055673C">
        <w:rPr>
          <w:rFonts w:ascii="Sylfaen" w:hAnsi="Sylfaen" w:cs="Arial"/>
        </w:rPr>
        <w:t xml:space="preserve">; but there was no suggestion that her driving had been affected by drug use. For the drugs offences she received, on 20 March 2014, a sentence of 18 months’ imprisonment, suspended for 18 months. </w:t>
      </w:r>
    </w:p>
    <w:p w:rsidR="004617F0" w:rsidRDefault="0055673C" w:rsidP="00BD3A9C">
      <w:pPr>
        <w:numPr>
          <w:ilvl w:val="0"/>
          <w:numId w:val="1"/>
        </w:numPr>
        <w:tabs>
          <w:tab w:val="clear" w:pos="757"/>
        </w:tabs>
        <w:spacing w:after="120"/>
        <w:ind w:left="540" w:hanging="540"/>
        <w:jc w:val="both"/>
        <w:rPr>
          <w:rFonts w:ascii="Sylfaen" w:hAnsi="Sylfaen" w:cs="Arial"/>
        </w:rPr>
      </w:pPr>
      <w:r>
        <w:rPr>
          <w:rFonts w:ascii="Sylfaen" w:hAnsi="Sylfaen" w:cs="Arial"/>
        </w:rPr>
        <w:t>The particularly serious offence of which the appellant was convicted was causing death by dangerous driving: mobile phone records show that she had</w:t>
      </w:r>
      <w:r w:rsidR="00235EDD">
        <w:rPr>
          <w:rFonts w:ascii="Sylfaen" w:hAnsi="Sylfaen" w:cs="Arial"/>
        </w:rPr>
        <w:t xml:space="preserve"> sent</w:t>
      </w:r>
      <w:r>
        <w:rPr>
          <w:rFonts w:ascii="Sylfaen" w:hAnsi="Sylfaen" w:cs="Arial"/>
        </w:rPr>
        <w:t xml:space="preserve"> and received both text messages and vo</w:t>
      </w:r>
      <w:r w:rsidR="00235EDD">
        <w:rPr>
          <w:rFonts w:ascii="Sylfaen" w:hAnsi="Sylfaen" w:cs="Arial"/>
        </w:rPr>
        <w:t xml:space="preserve">ice calls during her journey, though the records didn’t cover the six minutes before the crash. The </w:t>
      </w:r>
      <w:r w:rsidR="00235EDD" w:rsidRPr="00235EDD">
        <w:rPr>
          <w:rFonts w:ascii="Sylfaen" w:hAnsi="Sylfaen" w:cs="Arial"/>
        </w:rPr>
        <w:t>sentencing judge</w:t>
      </w:r>
      <w:r w:rsidR="00235EDD">
        <w:rPr>
          <w:rFonts w:ascii="Sylfaen" w:hAnsi="Sylfaen" w:cs="Arial"/>
        </w:rPr>
        <w:t xml:space="preserve"> took the view that there was a very strong inference that she was distracted in some way by her phones (she had two with her) at the time: she had two relatively recent </w:t>
      </w:r>
      <w:r w:rsidR="00235EDD" w:rsidRPr="00235EDD">
        <w:rPr>
          <w:rFonts w:ascii="Sylfaen" w:hAnsi="Sylfaen" w:cs="Arial"/>
        </w:rPr>
        <w:t>conviction</w:t>
      </w:r>
      <w:r w:rsidR="00235EDD">
        <w:rPr>
          <w:rFonts w:ascii="Sylfaen" w:hAnsi="Sylfaen" w:cs="Arial"/>
        </w:rPr>
        <w:t xml:space="preserve">s for using them while driving. The judge described the victim as a kind and generous young man with great unfulfilled potential, much missed by his large and caring family: he had not contributed in any way to the crash, and it was the appellant who had had to brake hard on a wet road. The judge took into account </w:t>
      </w:r>
      <w:r w:rsidR="00026B51">
        <w:rPr>
          <w:rFonts w:ascii="Sylfaen" w:hAnsi="Sylfaen" w:cs="Arial"/>
        </w:rPr>
        <w:t xml:space="preserve">both </w:t>
      </w:r>
      <w:r w:rsidR="00235EDD">
        <w:rPr>
          <w:rFonts w:ascii="Sylfaen" w:hAnsi="Sylfaen" w:cs="Arial"/>
        </w:rPr>
        <w:t>her late guilty plea</w:t>
      </w:r>
      <w:r w:rsidR="00026B51">
        <w:rPr>
          <w:rFonts w:ascii="Sylfaen" w:hAnsi="Sylfaen" w:cs="Arial"/>
        </w:rPr>
        <w:t xml:space="preserve"> (he found she had “… not a scrap of remorse”</w:t>
      </w:r>
      <w:r w:rsidR="003E0791">
        <w:rPr>
          <w:rFonts w:ascii="Sylfaen" w:hAnsi="Sylfaen" w:cs="Arial"/>
        </w:rPr>
        <w:t>)</w:t>
      </w:r>
      <w:r w:rsidR="00235EDD">
        <w:rPr>
          <w:rFonts w:ascii="Sylfaen" w:hAnsi="Sylfaen" w:cs="Arial"/>
        </w:rPr>
        <w:t>, and the likely effect of her imprisonment on O; as he pointed out, this was a case where the interests of society as a whole must take precedence.</w:t>
      </w:r>
      <w:r w:rsidR="005600D4">
        <w:rPr>
          <w:rFonts w:ascii="Sylfaen" w:hAnsi="Sylfaen" w:cs="Arial"/>
        </w:rPr>
        <w:t xml:space="preserve"> The appellant was also disqualified from driving for eight years: this and the period of imprisonment were upheld by the Court of Appeal (Criminal Division).</w:t>
      </w:r>
    </w:p>
    <w:p w:rsidR="005600D4" w:rsidRDefault="005600D4"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Permission to appeal was granted in the present case on the basis that the judge had arguably given too little weight to the interests of society: the OASys assessment found that the appellant had tended to minimize her </w:t>
      </w:r>
      <w:proofErr w:type="spellStart"/>
      <w:r>
        <w:rPr>
          <w:rFonts w:ascii="Sylfaen" w:hAnsi="Sylfaen" w:cs="Arial"/>
        </w:rPr>
        <w:t>rôle</w:t>
      </w:r>
      <w:proofErr w:type="spellEnd"/>
      <w:r>
        <w:rPr>
          <w:rFonts w:ascii="Sylfaen" w:hAnsi="Sylfaen" w:cs="Arial"/>
        </w:rPr>
        <w:t xml:space="preserve"> in the crash, and that she presented a medium risk of serious harm to the public. On the other hand, she had been a model prisoner, and responded well to supervision on licence. </w:t>
      </w:r>
    </w:p>
    <w:p w:rsidR="00DE1748" w:rsidRDefault="00DE1748"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grounds refer to the relevant provisions of the </w:t>
      </w:r>
      <w:hyperlink r:id="rId8" w:history="1">
        <w:r w:rsidRPr="00DE1748">
          <w:rPr>
            <w:rFonts w:ascii="Sylfaen" w:hAnsi="Sylfaen" w:cs="Arial"/>
            <w:color w:val="000000"/>
          </w:rPr>
          <w:t>Immigration (European Economic Area) Regulations 2016</w:t>
        </w:r>
      </w:hyperlink>
      <w:r w:rsidR="002B1E0E">
        <w:rPr>
          <w:rFonts w:ascii="Sylfaen" w:hAnsi="Sylfaen" w:cs="Arial"/>
          <w:color w:val="000000"/>
        </w:rPr>
        <w:t>, which the judge had not expressly mentioned</w:t>
      </w:r>
      <w:r>
        <w:rPr>
          <w:rFonts w:ascii="Sylfaen" w:hAnsi="Sylfaen" w:cs="Arial"/>
        </w:rPr>
        <w:t xml:space="preserve">: it was agreed that the appellant had not been exercising </w:t>
      </w:r>
      <w:r w:rsidRPr="00DE1748">
        <w:rPr>
          <w:rFonts w:ascii="Sylfaen" w:hAnsi="Sylfaen" w:cs="Arial"/>
        </w:rPr>
        <w:t>Treaty rights</w:t>
      </w:r>
      <w:r>
        <w:rPr>
          <w:rFonts w:ascii="Sylfaen" w:hAnsi="Sylfaen" w:cs="Arial"/>
        </w:rPr>
        <w:t xml:space="preserve"> for long enough to have acquired a permanent right of residence. </w:t>
      </w:r>
      <w:r w:rsidR="002B1E0E">
        <w:rPr>
          <w:rFonts w:ascii="Sylfaen" w:hAnsi="Sylfaen" w:cs="Arial"/>
        </w:rPr>
        <w:t xml:space="preserve">The basic </w:t>
      </w:r>
      <w:r w:rsidR="00026B51">
        <w:rPr>
          <w:rFonts w:ascii="Sylfaen" w:hAnsi="Sylfaen" w:cs="Arial"/>
        </w:rPr>
        <w:t xml:space="preserve">rules </w:t>
      </w:r>
      <w:r w:rsidR="002B1E0E">
        <w:rPr>
          <w:rFonts w:ascii="Sylfaen" w:hAnsi="Sylfaen" w:cs="Arial"/>
        </w:rPr>
        <w:t>are in reg. 27:</w:t>
      </w:r>
    </w:p>
    <w:p w:rsidR="002B1E0E" w:rsidRPr="002B1E0E" w:rsidRDefault="002B1E0E" w:rsidP="002B1E0E">
      <w:pPr>
        <w:pStyle w:val="legp2paratext1"/>
        <w:spacing w:after="0" w:line="240" w:lineRule="auto"/>
        <w:ind w:left="1080" w:hanging="300"/>
        <w:rPr>
          <w:rFonts w:ascii="Sylfaen" w:hAnsi="Sylfaen" w:cs="Arial"/>
          <w:sz w:val="22"/>
          <w:szCs w:val="22"/>
          <w:lang w:val="en"/>
        </w:rPr>
      </w:pPr>
      <w:r w:rsidRPr="002B1E0E">
        <w:rPr>
          <w:rFonts w:ascii="Sylfaen" w:hAnsi="Sylfaen" w:cs="Arial"/>
          <w:sz w:val="22"/>
          <w:szCs w:val="22"/>
          <w:lang w:val="en"/>
        </w:rPr>
        <w:t xml:space="preserve">(5) The public policy and public security requirements of the </w:t>
      </w:r>
      <w:smartTag w:uri="urn:schemas-microsoft-com:office:smarttags" w:element="country-region">
        <w:smartTag w:uri="urn:schemas-microsoft-com:office:smarttags" w:element="place">
          <w:r w:rsidRPr="002B1E0E">
            <w:rPr>
              <w:rFonts w:ascii="Sylfaen" w:hAnsi="Sylfaen" w:cs="Arial"/>
              <w:sz w:val="22"/>
              <w:szCs w:val="22"/>
              <w:lang w:val="en"/>
            </w:rPr>
            <w:t>United Kingdom</w:t>
          </w:r>
        </w:smartTag>
      </w:smartTag>
      <w:r w:rsidRPr="002B1E0E">
        <w:rPr>
          <w:rFonts w:ascii="Sylfaen" w:hAnsi="Sylfaen" w:cs="Arial"/>
          <w:sz w:val="22"/>
          <w:szCs w:val="22"/>
          <w:lang w:val="en"/>
        </w:rPr>
        <w:t xml:space="preserve"> include restricting rights otherwise conferred by these Regulations </w:t>
      </w:r>
      <w:proofErr w:type="gramStart"/>
      <w:r w:rsidRPr="002B1E0E">
        <w:rPr>
          <w:rFonts w:ascii="Sylfaen" w:hAnsi="Sylfaen" w:cs="Arial"/>
          <w:sz w:val="22"/>
          <w:szCs w:val="22"/>
          <w:lang w:val="en"/>
        </w:rPr>
        <w:t>in order to</w:t>
      </w:r>
      <w:proofErr w:type="gramEnd"/>
      <w:r w:rsidRPr="002B1E0E">
        <w:rPr>
          <w:rFonts w:ascii="Sylfaen" w:hAnsi="Sylfaen" w:cs="Arial"/>
          <w:sz w:val="22"/>
          <w:szCs w:val="22"/>
          <w:lang w:val="en"/>
        </w:rPr>
        <w:t xml:space="preserve"> protect the fundamental interests of society, and where a relevant decision is taken on grounds of public policy or public security it must also be taken in accordance with the following principles— </w:t>
      </w:r>
    </w:p>
    <w:p w:rsidR="002B1E0E" w:rsidRPr="002B1E0E" w:rsidRDefault="002B1E0E" w:rsidP="002B1E0E">
      <w:pPr>
        <w:shd w:val="clear" w:color="auto" w:fill="FFFFFF"/>
        <w:ind w:left="1440" w:hanging="360"/>
        <w:jc w:val="both"/>
        <w:rPr>
          <w:rFonts w:ascii="Sylfaen" w:hAnsi="Sylfaen" w:cs="Arial"/>
          <w:color w:val="494949"/>
          <w:sz w:val="22"/>
          <w:szCs w:val="22"/>
          <w:lang w:val="en"/>
        </w:rPr>
      </w:pPr>
      <w:r w:rsidRPr="002B1E0E">
        <w:rPr>
          <w:rStyle w:val="legdsleglhslegp3no"/>
          <w:rFonts w:ascii="Sylfaen" w:hAnsi="Sylfaen" w:cs="Arial"/>
          <w:color w:val="494949"/>
          <w:sz w:val="22"/>
          <w:szCs w:val="22"/>
          <w:lang w:val="en"/>
        </w:rPr>
        <w:t>(a)</w:t>
      </w:r>
      <w:r>
        <w:rPr>
          <w:rStyle w:val="legdsleglhslegp3no"/>
          <w:rFonts w:ascii="Sylfaen" w:hAnsi="Sylfaen" w:cs="Arial"/>
          <w:color w:val="494949"/>
          <w:sz w:val="22"/>
          <w:szCs w:val="22"/>
          <w:lang w:val="en"/>
        </w:rPr>
        <w:tab/>
      </w:r>
      <w:r w:rsidRPr="002B1E0E">
        <w:rPr>
          <w:rStyle w:val="legdslegrhslegp3text"/>
          <w:rFonts w:ascii="Sylfaen" w:hAnsi="Sylfaen" w:cs="Arial"/>
          <w:color w:val="494949"/>
          <w:sz w:val="22"/>
          <w:szCs w:val="22"/>
          <w:lang w:val="en"/>
        </w:rPr>
        <w:t>the decision must comply with the principle of proportionality;</w:t>
      </w:r>
      <w:r w:rsidRPr="002B1E0E">
        <w:rPr>
          <w:rFonts w:ascii="Sylfaen" w:hAnsi="Sylfaen" w:cs="Arial"/>
          <w:color w:val="494949"/>
          <w:sz w:val="22"/>
          <w:szCs w:val="22"/>
          <w:lang w:val="en"/>
        </w:rPr>
        <w:t xml:space="preserve"> </w:t>
      </w:r>
    </w:p>
    <w:p w:rsidR="002B1E0E" w:rsidRPr="002B1E0E" w:rsidRDefault="002B1E0E" w:rsidP="002B1E0E">
      <w:pPr>
        <w:shd w:val="clear" w:color="auto" w:fill="FFFFFF"/>
        <w:ind w:left="1440" w:hanging="360"/>
        <w:jc w:val="both"/>
        <w:rPr>
          <w:rFonts w:ascii="Sylfaen" w:hAnsi="Sylfaen" w:cs="Arial"/>
          <w:color w:val="494949"/>
          <w:sz w:val="22"/>
          <w:szCs w:val="22"/>
          <w:lang w:val="en"/>
        </w:rPr>
      </w:pPr>
      <w:r w:rsidRPr="002B1E0E">
        <w:rPr>
          <w:rStyle w:val="legdsleglhslegp3no"/>
          <w:rFonts w:ascii="Sylfaen" w:hAnsi="Sylfaen" w:cs="Arial"/>
          <w:color w:val="494949"/>
          <w:sz w:val="22"/>
          <w:szCs w:val="22"/>
          <w:lang w:val="en"/>
        </w:rPr>
        <w:t>(b)</w:t>
      </w:r>
      <w:r>
        <w:rPr>
          <w:rStyle w:val="legdsleglhslegp3no"/>
          <w:rFonts w:ascii="Sylfaen" w:hAnsi="Sylfaen" w:cs="Arial"/>
          <w:color w:val="494949"/>
          <w:sz w:val="22"/>
          <w:szCs w:val="22"/>
          <w:lang w:val="en"/>
        </w:rPr>
        <w:tab/>
      </w:r>
      <w:r w:rsidRPr="002B1E0E">
        <w:rPr>
          <w:rStyle w:val="legdslegrhslegp3text"/>
          <w:rFonts w:ascii="Sylfaen" w:hAnsi="Sylfaen" w:cs="Arial"/>
          <w:color w:val="494949"/>
          <w:sz w:val="22"/>
          <w:szCs w:val="22"/>
          <w:lang w:val="en"/>
        </w:rPr>
        <w:t>the decision must be based exclusively on the personal conduct of the person concerned;</w:t>
      </w:r>
      <w:r w:rsidRPr="002B1E0E">
        <w:rPr>
          <w:rFonts w:ascii="Sylfaen" w:hAnsi="Sylfaen" w:cs="Arial"/>
          <w:color w:val="494949"/>
          <w:sz w:val="22"/>
          <w:szCs w:val="22"/>
          <w:lang w:val="en"/>
        </w:rPr>
        <w:t xml:space="preserve"> </w:t>
      </w:r>
    </w:p>
    <w:p w:rsidR="002B1E0E" w:rsidRPr="002B1E0E" w:rsidRDefault="002B1E0E" w:rsidP="002B1E0E">
      <w:pPr>
        <w:shd w:val="clear" w:color="auto" w:fill="FFFFFF"/>
        <w:ind w:left="1440" w:hanging="360"/>
        <w:jc w:val="both"/>
        <w:rPr>
          <w:rFonts w:ascii="Sylfaen" w:hAnsi="Sylfaen" w:cs="Arial"/>
          <w:color w:val="494949"/>
          <w:sz w:val="22"/>
          <w:szCs w:val="22"/>
          <w:lang w:val="en"/>
        </w:rPr>
      </w:pPr>
      <w:r w:rsidRPr="002B1E0E">
        <w:rPr>
          <w:rStyle w:val="legdsleglhslegp3no"/>
          <w:rFonts w:ascii="Sylfaen" w:hAnsi="Sylfaen" w:cs="Arial"/>
          <w:color w:val="494949"/>
          <w:sz w:val="22"/>
          <w:szCs w:val="22"/>
          <w:lang w:val="en"/>
        </w:rPr>
        <w:t>(c)</w:t>
      </w:r>
      <w:r>
        <w:rPr>
          <w:rStyle w:val="legdsleglhslegp3no"/>
          <w:rFonts w:ascii="Sylfaen" w:hAnsi="Sylfaen" w:cs="Arial"/>
          <w:color w:val="494949"/>
          <w:sz w:val="22"/>
          <w:szCs w:val="22"/>
          <w:lang w:val="en"/>
        </w:rPr>
        <w:tab/>
      </w:r>
      <w:r w:rsidRPr="002B1E0E">
        <w:rPr>
          <w:rStyle w:val="legdslegrhslegp3text"/>
          <w:rFonts w:ascii="Sylfaen" w:hAnsi="Sylfaen" w:cs="Arial"/>
          <w:color w:val="494949"/>
          <w:sz w:val="22"/>
          <w:szCs w:val="22"/>
          <w:lang w:val="en"/>
        </w:rPr>
        <w:t xml:space="preserve">the personal conduct of the person must represent a genuine, present and sufficiently serious threat affecting one of the fundamental interests of society, </w:t>
      </w:r>
      <w:proofErr w:type="gramStart"/>
      <w:r w:rsidRPr="002B1E0E">
        <w:rPr>
          <w:rStyle w:val="legdslegrhslegp3text"/>
          <w:rFonts w:ascii="Sylfaen" w:hAnsi="Sylfaen" w:cs="Arial"/>
          <w:color w:val="494949"/>
          <w:sz w:val="22"/>
          <w:szCs w:val="22"/>
          <w:lang w:val="en"/>
        </w:rPr>
        <w:t>taking into account</w:t>
      </w:r>
      <w:proofErr w:type="gramEnd"/>
      <w:r w:rsidRPr="002B1E0E">
        <w:rPr>
          <w:rStyle w:val="legdslegrhslegp3text"/>
          <w:rFonts w:ascii="Sylfaen" w:hAnsi="Sylfaen" w:cs="Arial"/>
          <w:color w:val="494949"/>
          <w:sz w:val="22"/>
          <w:szCs w:val="22"/>
          <w:lang w:val="en"/>
        </w:rPr>
        <w:t xml:space="preserve"> past conduct of the person and that the threat does not need to be imminent;</w:t>
      </w:r>
      <w:r w:rsidRPr="002B1E0E">
        <w:rPr>
          <w:rFonts w:ascii="Sylfaen" w:hAnsi="Sylfaen" w:cs="Arial"/>
          <w:color w:val="494949"/>
          <w:sz w:val="22"/>
          <w:szCs w:val="22"/>
          <w:lang w:val="en"/>
        </w:rPr>
        <w:t xml:space="preserve"> </w:t>
      </w:r>
    </w:p>
    <w:p w:rsidR="002B1E0E" w:rsidRPr="002B1E0E" w:rsidRDefault="002B1E0E" w:rsidP="002B1E0E">
      <w:pPr>
        <w:shd w:val="clear" w:color="auto" w:fill="FFFFFF"/>
        <w:ind w:left="1440" w:hanging="360"/>
        <w:jc w:val="both"/>
        <w:rPr>
          <w:rFonts w:ascii="Sylfaen" w:hAnsi="Sylfaen" w:cs="Arial"/>
          <w:color w:val="494949"/>
          <w:sz w:val="22"/>
          <w:szCs w:val="22"/>
          <w:lang w:val="en"/>
        </w:rPr>
      </w:pPr>
      <w:r w:rsidRPr="002B1E0E">
        <w:rPr>
          <w:rStyle w:val="legdsleglhslegp3no"/>
          <w:rFonts w:ascii="Sylfaen" w:hAnsi="Sylfaen" w:cs="Arial"/>
          <w:color w:val="494949"/>
          <w:sz w:val="22"/>
          <w:szCs w:val="22"/>
          <w:lang w:val="en"/>
        </w:rPr>
        <w:t>(d)</w:t>
      </w:r>
      <w:r>
        <w:rPr>
          <w:rStyle w:val="legdsleglhslegp3no"/>
          <w:rFonts w:ascii="Sylfaen" w:hAnsi="Sylfaen" w:cs="Arial"/>
          <w:color w:val="494949"/>
          <w:sz w:val="22"/>
          <w:szCs w:val="22"/>
          <w:lang w:val="en"/>
        </w:rPr>
        <w:tab/>
      </w:r>
      <w:r w:rsidRPr="002B1E0E">
        <w:rPr>
          <w:rStyle w:val="legdslegrhslegp3text"/>
          <w:rFonts w:ascii="Sylfaen" w:hAnsi="Sylfaen" w:cs="Arial"/>
          <w:color w:val="494949"/>
          <w:sz w:val="22"/>
          <w:szCs w:val="22"/>
          <w:lang w:val="en"/>
        </w:rPr>
        <w:t xml:space="preserve">matters isolated from the </w:t>
      </w:r>
      <w:proofErr w:type="gramStart"/>
      <w:r w:rsidRPr="002B1E0E">
        <w:rPr>
          <w:rStyle w:val="legdslegrhslegp3text"/>
          <w:rFonts w:ascii="Sylfaen" w:hAnsi="Sylfaen" w:cs="Arial"/>
          <w:color w:val="494949"/>
          <w:sz w:val="22"/>
          <w:szCs w:val="22"/>
          <w:lang w:val="en"/>
        </w:rPr>
        <w:t>particulars of</w:t>
      </w:r>
      <w:proofErr w:type="gramEnd"/>
      <w:r w:rsidRPr="002B1E0E">
        <w:rPr>
          <w:rStyle w:val="legdslegrhslegp3text"/>
          <w:rFonts w:ascii="Sylfaen" w:hAnsi="Sylfaen" w:cs="Arial"/>
          <w:color w:val="494949"/>
          <w:sz w:val="22"/>
          <w:szCs w:val="22"/>
          <w:lang w:val="en"/>
        </w:rPr>
        <w:t xml:space="preserve"> the case or which relate to considerations of general prevention do not justify the decision;</w:t>
      </w:r>
      <w:r w:rsidRPr="002B1E0E">
        <w:rPr>
          <w:rFonts w:ascii="Sylfaen" w:hAnsi="Sylfaen" w:cs="Arial"/>
          <w:color w:val="494949"/>
          <w:sz w:val="22"/>
          <w:szCs w:val="22"/>
          <w:lang w:val="en"/>
        </w:rPr>
        <w:t xml:space="preserve"> </w:t>
      </w:r>
    </w:p>
    <w:p w:rsidR="002B1E0E" w:rsidRPr="002B1E0E" w:rsidRDefault="002B1E0E" w:rsidP="002B1E0E">
      <w:pPr>
        <w:shd w:val="clear" w:color="auto" w:fill="FFFFFF"/>
        <w:ind w:left="1434" w:hanging="357"/>
        <w:jc w:val="both"/>
        <w:rPr>
          <w:rFonts w:ascii="Sylfaen" w:hAnsi="Sylfaen" w:cs="Arial"/>
          <w:color w:val="494949"/>
          <w:sz w:val="22"/>
          <w:szCs w:val="22"/>
          <w:lang w:val="en"/>
        </w:rPr>
      </w:pPr>
      <w:r w:rsidRPr="002B1E0E">
        <w:rPr>
          <w:rStyle w:val="legdsleglhslegp3no"/>
          <w:rFonts w:ascii="Sylfaen" w:hAnsi="Sylfaen" w:cs="Arial"/>
          <w:color w:val="494949"/>
          <w:sz w:val="22"/>
          <w:szCs w:val="22"/>
          <w:lang w:val="en"/>
        </w:rPr>
        <w:t>(e)</w:t>
      </w:r>
      <w:r>
        <w:rPr>
          <w:rStyle w:val="legdsleglhslegp3no"/>
          <w:rFonts w:ascii="Sylfaen" w:hAnsi="Sylfaen" w:cs="Arial"/>
          <w:color w:val="494949"/>
          <w:sz w:val="22"/>
          <w:szCs w:val="22"/>
          <w:lang w:val="en"/>
        </w:rPr>
        <w:tab/>
      </w:r>
      <w:r w:rsidRPr="002B1E0E">
        <w:rPr>
          <w:rStyle w:val="legdslegrhslegp3text"/>
          <w:rFonts w:ascii="Sylfaen" w:hAnsi="Sylfaen" w:cs="Arial"/>
          <w:color w:val="494949"/>
          <w:sz w:val="22"/>
          <w:szCs w:val="22"/>
          <w:lang w:val="en"/>
        </w:rPr>
        <w:t>a person’s previous criminal convictions do not in themselves justify the decision;</w:t>
      </w:r>
      <w:r w:rsidRPr="002B1E0E">
        <w:rPr>
          <w:rFonts w:ascii="Sylfaen" w:hAnsi="Sylfaen" w:cs="Arial"/>
          <w:color w:val="494949"/>
          <w:sz w:val="22"/>
          <w:szCs w:val="22"/>
          <w:lang w:val="en"/>
        </w:rPr>
        <w:t xml:space="preserve"> </w:t>
      </w:r>
    </w:p>
    <w:p w:rsidR="002B1E0E" w:rsidRPr="002B1E0E" w:rsidRDefault="002B1E0E" w:rsidP="002B1E0E">
      <w:pPr>
        <w:shd w:val="clear" w:color="auto" w:fill="FFFFFF"/>
        <w:spacing w:after="120"/>
        <w:ind w:left="1440" w:hanging="360"/>
        <w:rPr>
          <w:rFonts w:ascii="Sylfaen" w:hAnsi="Sylfaen" w:cs="Arial"/>
          <w:color w:val="494949"/>
          <w:sz w:val="22"/>
          <w:szCs w:val="22"/>
          <w:lang w:val="en"/>
        </w:rPr>
      </w:pPr>
      <w:r w:rsidRPr="002B1E0E">
        <w:rPr>
          <w:rStyle w:val="legdsleglhslegp3no"/>
          <w:rFonts w:ascii="Sylfaen" w:hAnsi="Sylfaen" w:cs="Arial"/>
          <w:color w:val="494949"/>
          <w:sz w:val="22"/>
          <w:szCs w:val="22"/>
          <w:lang w:val="en"/>
        </w:rPr>
        <w:t>(f)</w:t>
      </w:r>
      <w:r>
        <w:rPr>
          <w:rStyle w:val="legdsleglhslegp3no"/>
          <w:rFonts w:ascii="Sylfaen" w:hAnsi="Sylfaen" w:cs="Arial"/>
          <w:color w:val="494949"/>
          <w:sz w:val="22"/>
          <w:szCs w:val="22"/>
          <w:lang w:val="en"/>
        </w:rPr>
        <w:tab/>
      </w:r>
      <w:r w:rsidRPr="002B1E0E">
        <w:rPr>
          <w:rStyle w:val="legdslegrhslegp3text"/>
          <w:rFonts w:ascii="Sylfaen" w:hAnsi="Sylfaen" w:cs="Arial"/>
          <w:color w:val="494949"/>
          <w:sz w:val="22"/>
          <w:szCs w:val="22"/>
          <w:lang w:val="en"/>
        </w:rPr>
        <w:t>the decision may be taken on preventative grounds, even in the absence of a previous criminal conviction, provided the grounds are specific to the person.</w:t>
      </w:r>
      <w:r w:rsidRPr="002B1E0E">
        <w:rPr>
          <w:rFonts w:ascii="Sylfaen" w:hAnsi="Sylfaen" w:cs="Arial"/>
          <w:color w:val="494949"/>
          <w:sz w:val="22"/>
          <w:szCs w:val="22"/>
          <w:lang w:val="en"/>
        </w:rPr>
        <w:t xml:space="preserve"> </w:t>
      </w:r>
    </w:p>
    <w:p w:rsidR="002B1E0E" w:rsidRPr="002B1E0E" w:rsidRDefault="002B1E0E" w:rsidP="002B1E0E">
      <w:pPr>
        <w:pStyle w:val="legp2paratext1"/>
        <w:spacing w:line="240" w:lineRule="auto"/>
        <w:ind w:left="1080" w:hanging="300"/>
        <w:rPr>
          <w:rFonts w:ascii="Sylfaen" w:hAnsi="Sylfaen" w:cs="Arial"/>
          <w:sz w:val="22"/>
          <w:szCs w:val="22"/>
          <w:lang w:val="en"/>
        </w:rPr>
      </w:pPr>
      <w:r w:rsidRPr="002B1E0E">
        <w:rPr>
          <w:rFonts w:ascii="Sylfaen" w:hAnsi="Sylfaen" w:cs="Arial"/>
          <w:sz w:val="22"/>
          <w:szCs w:val="22"/>
          <w:lang w:val="en"/>
        </w:rPr>
        <w:t xml:space="preserve">(6) Before taking a relevant decision on the grounds of public policy and public security in relation to a person (“P”) who is resident in the United Kingdom, the decision maker must take account of considerations such as the age, state of health, family and economic situation of P, P’s length </w:t>
      </w:r>
      <w:r w:rsidRPr="002B1E0E">
        <w:rPr>
          <w:rFonts w:ascii="Sylfaen" w:hAnsi="Sylfaen" w:cs="Arial"/>
          <w:sz w:val="22"/>
          <w:szCs w:val="22"/>
          <w:lang w:val="en"/>
        </w:rPr>
        <w:lastRenderedPageBreak/>
        <w:t xml:space="preserve">of residence in the United Kingdom, P’s social and cultural integration into the United Kingdom and the extent of P’s links with P’s country of origin. </w:t>
      </w:r>
    </w:p>
    <w:p w:rsidR="002B1E0E" w:rsidRDefault="002B1E0E"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There are further provisions in schedule 1: </w:t>
      </w:r>
    </w:p>
    <w:p w:rsidR="002B1E0E" w:rsidRPr="00395A7E" w:rsidRDefault="002B1E0E" w:rsidP="00395A7E">
      <w:pPr>
        <w:pStyle w:val="legp1paratext1"/>
        <w:spacing w:line="240" w:lineRule="atLeast"/>
        <w:ind w:left="1077" w:hanging="357"/>
        <w:rPr>
          <w:rFonts w:ascii="Sylfaen" w:hAnsi="Sylfaen" w:cs="Arial"/>
          <w:sz w:val="22"/>
          <w:szCs w:val="22"/>
          <w:lang w:val="en"/>
        </w:rPr>
      </w:pPr>
      <w:r w:rsidRPr="00395A7E">
        <w:rPr>
          <w:rStyle w:val="legp1no3"/>
          <w:rFonts w:ascii="Sylfaen" w:hAnsi="Sylfaen" w:cs="Arial"/>
          <w:sz w:val="22"/>
          <w:szCs w:val="22"/>
          <w:lang w:val="en"/>
        </w:rPr>
        <w:t>3.</w:t>
      </w:r>
      <w:r w:rsidRPr="00395A7E">
        <w:rPr>
          <w:rFonts w:ascii="Sylfaen" w:hAnsi="Sylfaen" w:cs="Arial"/>
          <w:sz w:val="22"/>
          <w:szCs w:val="22"/>
          <w:lang w:val="en"/>
        </w:rPr>
        <w:t xml:space="preserve">  Where an EEA national or the family member of an EEA national has received a custodial sentence, or is a persistent offender, the longer the sentence, or the more numerous the convictions, the greater the likelihood that the individual’s continued presence in the United Kingdom represents a genuine, present and sufficiently serious threat affecting of the fundamental interests of society. </w:t>
      </w:r>
    </w:p>
    <w:p w:rsidR="002B1E0E" w:rsidRPr="002B1E0E" w:rsidRDefault="00395A7E" w:rsidP="00026B51">
      <w:pPr>
        <w:spacing w:after="120"/>
        <w:ind w:left="540"/>
        <w:jc w:val="both"/>
        <w:rPr>
          <w:rFonts w:ascii="Sylfaen" w:hAnsi="Sylfaen" w:cs="Arial"/>
          <w:lang w:val="en"/>
        </w:rPr>
      </w:pPr>
      <w:r>
        <w:rPr>
          <w:rFonts w:ascii="Sylfaen" w:hAnsi="Sylfaen" w:cs="Arial"/>
          <w:lang w:val="en"/>
        </w:rPr>
        <w:t xml:space="preserve">Paragraph 7 refers to the fundamental interests of society as involving both the protection of the public, and acting in the best interests of a child. </w:t>
      </w:r>
      <w:hyperlink r:id="rId9" w:history="1">
        <w:proofErr w:type="spellStart"/>
        <w:r w:rsidRPr="00395A7E">
          <w:rPr>
            <w:rFonts w:ascii="Sylfaen" w:hAnsi="Sylfaen"/>
            <w:i/>
            <w:color w:val="000000"/>
          </w:rPr>
          <w:t>Kamki</w:t>
        </w:r>
        <w:proofErr w:type="spellEnd"/>
        <w:r w:rsidRPr="00395A7E">
          <w:rPr>
            <w:rFonts w:ascii="Sylfaen" w:hAnsi="Sylfaen"/>
            <w:color w:val="000000"/>
          </w:rPr>
          <w:t xml:space="preserve"> [2017] EWCA </w:t>
        </w:r>
        <w:proofErr w:type="spellStart"/>
        <w:r w:rsidRPr="00395A7E">
          <w:rPr>
            <w:rFonts w:ascii="Sylfaen" w:hAnsi="Sylfaen"/>
            <w:color w:val="000000"/>
          </w:rPr>
          <w:t>Civ</w:t>
        </w:r>
        <w:proofErr w:type="spellEnd"/>
        <w:r w:rsidRPr="00395A7E">
          <w:rPr>
            <w:rFonts w:ascii="Sylfaen" w:hAnsi="Sylfaen"/>
            <w:color w:val="000000"/>
          </w:rPr>
          <w:t xml:space="preserve"> 1715</w:t>
        </w:r>
      </w:hyperlink>
      <w:r>
        <w:rPr>
          <w:rFonts w:ascii="Sylfaen" w:hAnsi="Sylfaen"/>
          <w:color w:val="000000"/>
        </w:rPr>
        <w:t xml:space="preserve"> makes it clear (if it was not already) that it is legitimate to take the seriousness of the risk to the public together with the likelihood of its occurring.</w:t>
      </w:r>
    </w:p>
    <w:p w:rsidR="00306254" w:rsidRDefault="00395A7E"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judge accepted the appellant’s evidence that she would never drive again: as he pointed out, even if she had wished to when her period of disqualification ran out, she would have needed to pass an extended driving test. </w:t>
      </w:r>
      <w:r w:rsidR="00026B51">
        <w:rPr>
          <w:rFonts w:ascii="Sylfaen" w:hAnsi="Sylfaen" w:cs="Arial"/>
        </w:rPr>
        <w:t xml:space="preserve">He referred to the risk of further offending as low, which was contrary to the OASys assessment (made in 2014, but re-issued in the same terms on 9 March 2017); but he accepted that the appellant had “… fully embraced every opportunity for rehabilitation that has been presented to her”. </w:t>
      </w:r>
    </w:p>
    <w:p w:rsidR="00026B51" w:rsidRDefault="00026B51"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basis for this was a detailed letter dated 14 August 2017 from the appellant’s </w:t>
      </w:r>
      <w:r w:rsidRPr="00026B51">
        <w:rPr>
          <w:rFonts w:ascii="Sylfaen" w:hAnsi="Sylfaen" w:cs="Arial"/>
          <w:szCs w:val="28"/>
        </w:rPr>
        <w:t>‘offender manager’</w:t>
      </w:r>
      <w:r>
        <w:rPr>
          <w:rFonts w:ascii="Sylfaen" w:hAnsi="Sylfaen" w:cs="Arial"/>
        </w:rPr>
        <w:t>, to which the judge referred at length at 19.</w:t>
      </w:r>
      <w:r w:rsidR="00306254">
        <w:rPr>
          <w:rFonts w:ascii="Sylfaen" w:hAnsi="Sylfaen" w:cs="Arial"/>
        </w:rPr>
        <w:t xml:space="preserve"> </w:t>
      </w:r>
      <w:r>
        <w:rPr>
          <w:rFonts w:ascii="Sylfaen" w:hAnsi="Sylfaen" w:cs="Arial"/>
        </w:rPr>
        <w:t xml:space="preserve">On that basis, the judge found that the appellant did not present the ‘genuine, present and sufficiently serious threat’ to the public required to justify her deportation in the first place; </w:t>
      </w:r>
      <w:proofErr w:type="gramStart"/>
      <w:r>
        <w:rPr>
          <w:rFonts w:ascii="Sylfaen" w:hAnsi="Sylfaen" w:cs="Arial"/>
        </w:rPr>
        <w:t>so</w:t>
      </w:r>
      <w:proofErr w:type="gramEnd"/>
      <w:r>
        <w:rPr>
          <w:rFonts w:ascii="Sylfaen" w:hAnsi="Sylfaen" w:cs="Arial"/>
        </w:rPr>
        <w:t xml:space="preserve"> he did not go on to consider the proportionality of removing her.</w:t>
      </w:r>
    </w:p>
    <w:p w:rsidR="00306254" w:rsidRDefault="00306254" w:rsidP="00BD3A9C">
      <w:pPr>
        <w:numPr>
          <w:ilvl w:val="0"/>
          <w:numId w:val="1"/>
        </w:numPr>
        <w:tabs>
          <w:tab w:val="clear" w:pos="757"/>
        </w:tabs>
        <w:spacing w:after="120"/>
        <w:ind w:left="540" w:hanging="540"/>
        <w:jc w:val="both"/>
        <w:rPr>
          <w:rFonts w:ascii="Sylfaen" w:hAnsi="Sylfaen" w:cs="Arial"/>
        </w:rPr>
      </w:pPr>
      <w:r w:rsidRPr="00306254">
        <w:rPr>
          <w:rFonts w:ascii="Sylfaen" w:hAnsi="Sylfaen" w:cs="Arial"/>
        </w:rPr>
        <w:t xml:space="preserve">Mr </w:t>
      </w:r>
      <w:proofErr w:type="spellStart"/>
      <w:r w:rsidRPr="00306254">
        <w:rPr>
          <w:rFonts w:ascii="Sylfaen" w:hAnsi="Sylfaen" w:cs="Arial"/>
        </w:rPr>
        <w:t>Kotas</w:t>
      </w:r>
      <w:proofErr w:type="spellEnd"/>
      <w:r>
        <w:rPr>
          <w:rFonts w:ascii="Sylfaen" w:hAnsi="Sylfaen" w:cs="Arial"/>
        </w:rPr>
        <w:t xml:space="preserve"> suggested that the judge had focussed purely on factors in the appellant’s favour, such as her efforts towards rehabilitation. As Miss Smith pointed out, the judge had </w:t>
      </w:r>
      <w:r w:rsidR="00BC626D">
        <w:rPr>
          <w:rFonts w:ascii="Sylfaen" w:hAnsi="Sylfaen" w:cs="Arial"/>
        </w:rPr>
        <w:t xml:space="preserve">mentioned her previous convictions for using a phone, not only in his summary of the respondent’s case at 9, but in his own conclusions at 23. The letter referred to at </w:t>
      </w:r>
      <w:r w:rsidR="00BC626D">
        <w:rPr>
          <w:rFonts w:ascii="Sylfaen" w:hAnsi="Sylfaen" w:cs="Arial"/>
          <w:b/>
        </w:rPr>
        <w:t xml:space="preserve">7 </w:t>
      </w:r>
      <w:r w:rsidR="00BC626D">
        <w:rPr>
          <w:rFonts w:ascii="Sylfaen" w:hAnsi="Sylfaen" w:cs="Arial"/>
        </w:rPr>
        <w:t xml:space="preserve">showed how the appellant had changed since her </w:t>
      </w:r>
      <w:r w:rsidR="00BC626D" w:rsidRPr="00BC626D">
        <w:rPr>
          <w:rFonts w:ascii="Sylfaen" w:hAnsi="Sylfaen" w:cs="Arial"/>
        </w:rPr>
        <w:t>conviction</w:t>
      </w:r>
      <w:r w:rsidR="00BC626D">
        <w:rPr>
          <w:rFonts w:ascii="Sylfaen" w:hAnsi="Sylfaen" w:cs="Arial"/>
        </w:rPr>
        <w:t xml:space="preserve">, and the original OASys assessment, not to mention the </w:t>
      </w:r>
      <w:r w:rsidR="00BC626D" w:rsidRPr="00BC626D">
        <w:rPr>
          <w:rFonts w:ascii="Sylfaen" w:hAnsi="Sylfaen" w:cs="Arial"/>
        </w:rPr>
        <w:t>sentencing judge</w:t>
      </w:r>
      <w:r w:rsidR="00BC626D">
        <w:rPr>
          <w:rFonts w:ascii="Sylfaen" w:hAnsi="Sylfaen" w:cs="Arial"/>
        </w:rPr>
        <w:t>’s view of her attitude to her offence. The notes which formed part of the current assessment (at p 32) made it clear that a ‘medium risk of serious harm’ covered a case where “The offender has the potential to cause serious harm but is unlikely to do so unless there is a change of circumstances”. That was the position with this appellant, who had given up driving.</w:t>
      </w:r>
    </w:p>
    <w:p w:rsidR="00BC626D" w:rsidRPr="00BC626D" w:rsidRDefault="00BC626D" w:rsidP="00BC626D">
      <w:pPr>
        <w:spacing w:after="120"/>
        <w:jc w:val="both"/>
        <w:rPr>
          <w:rFonts w:ascii="Sylfaen" w:hAnsi="Sylfaen" w:cs="Arial"/>
          <w:b/>
          <w:u w:val="single"/>
        </w:rPr>
      </w:pPr>
      <w:r>
        <w:rPr>
          <w:rFonts w:ascii="Sylfaen" w:hAnsi="Sylfaen" w:cs="Arial"/>
          <w:b/>
          <w:u w:val="single"/>
        </w:rPr>
        <w:t>CONCLUSIONS</w:t>
      </w:r>
    </w:p>
    <w:p w:rsidR="00BC626D" w:rsidRDefault="00BC626D"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This appellant committed a very serious offence, which brought her a very serious sentence, particularly for the mother of a young child, who had never been sent to prison before. For once it seems to have </w:t>
      </w:r>
      <w:r w:rsidR="003C4872">
        <w:rPr>
          <w:rFonts w:ascii="Sylfaen" w:hAnsi="Sylfaen" w:cs="Arial"/>
        </w:rPr>
        <w:t xml:space="preserve">reformed her: her previous convictions for using a phone while driving very clearly showed she was a menace to the public behind the wheel, with tragic consequences in the crash. However, the judge was entitled to accept that her attitude had changed, and that she would never drive again, and to regard her ties with her son and her mother (who had been looking after him here while she was in prison) as another reason </w:t>
      </w:r>
      <w:r w:rsidR="003C4872">
        <w:rPr>
          <w:rFonts w:ascii="Sylfaen" w:hAnsi="Sylfaen" w:cs="Arial"/>
        </w:rPr>
        <w:lastRenderedPageBreak/>
        <w:t>for her not to offend again. On that basis he was entitled to take the view that, by the date of the hearing, she no longer presented the ‘genuine, present and sufficiently serious threat’ required to justify her deportation.</w:t>
      </w:r>
    </w:p>
    <w:p w:rsidR="003C4872" w:rsidRPr="00A544A8" w:rsidRDefault="003C4872" w:rsidP="00BD3A9C">
      <w:pPr>
        <w:numPr>
          <w:ilvl w:val="0"/>
          <w:numId w:val="1"/>
        </w:numPr>
        <w:tabs>
          <w:tab w:val="clear" w:pos="757"/>
        </w:tabs>
        <w:spacing w:after="120"/>
        <w:ind w:left="540" w:hanging="540"/>
        <w:jc w:val="both"/>
        <w:rPr>
          <w:rFonts w:ascii="Sylfaen" w:hAnsi="Sylfaen" w:cs="Arial"/>
        </w:rPr>
      </w:pPr>
      <w:r>
        <w:rPr>
          <w:rFonts w:ascii="Sylfaen" w:hAnsi="Sylfaen" w:cs="Arial"/>
        </w:rPr>
        <w:t>It follows that the Home Office appeal is dismissed; but</w:t>
      </w:r>
      <w:r w:rsidR="00077D83">
        <w:rPr>
          <w:rFonts w:ascii="Sylfaen" w:hAnsi="Sylfaen" w:cs="Arial"/>
        </w:rPr>
        <w:t xml:space="preserve"> they</w:t>
      </w:r>
      <w:r>
        <w:rPr>
          <w:rFonts w:ascii="Sylfaen" w:hAnsi="Sylfaen" w:cs="Arial"/>
        </w:rPr>
        <w:t xml:space="preserve"> should send </w:t>
      </w:r>
      <w:r w:rsidR="00077D83">
        <w:rPr>
          <w:rFonts w:ascii="Sylfaen" w:hAnsi="Sylfaen" w:cs="Arial"/>
        </w:rPr>
        <w:t xml:space="preserve">a copy of my decision to the DVLA, just in case the appellant </w:t>
      </w:r>
      <w:proofErr w:type="gramStart"/>
      <w:r w:rsidR="00077D83">
        <w:rPr>
          <w:rFonts w:ascii="Sylfaen" w:hAnsi="Sylfaen" w:cs="Arial"/>
        </w:rPr>
        <w:t>were</w:t>
      </w:r>
      <w:proofErr w:type="gramEnd"/>
      <w:r w:rsidR="00077D83">
        <w:rPr>
          <w:rFonts w:ascii="Sylfaen" w:hAnsi="Sylfaen" w:cs="Arial"/>
        </w:rPr>
        <w:t xml:space="preserve"> ever to be tempted to drive again.</w:t>
      </w:r>
    </w:p>
    <w:p w:rsidR="009F5220" w:rsidRPr="008F23F4" w:rsidRDefault="00077D83" w:rsidP="00780F86">
      <w:pPr>
        <w:ind w:left="540" w:hanging="540"/>
        <w:jc w:val="both"/>
        <w:rPr>
          <w:rFonts w:ascii="Sylfaen" w:hAnsi="Sylfaen" w:cs="Arial"/>
          <w:b/>
        </w:rPr>
      </w:pPr>
      <w:r>
        <w:rPr>
          <w:rFonts w:ascii="Sylfaen" w:hAnsi="Sylfaen" w:cs="Arial"/>
          <w:b/>
        </w:rPr>
        <w:t xml:space="preserve">Respondent’s appeal </w:t>
      </w:r>
      <w:bookmarkStart w:id="5" w:name="Dropdown3"/>
      <w:r w:rsidR="008F23F4">
        <w:rPr>
          <w:rFonts w:ascii="Sylfaen" w:hAnsi="Sylfaen" w:cs="Arial"/>
          <w:b/>
        </w:rPr>
        <w:fldChar w:fldCharType="begin">
          <w:ffData>
            <w:name w:val="Dropdown3"/>
            <w:enabled/>
            <w:calcOnExit w:val="0"/>
            <w:ddList>
              <w:listEntry w:val="dismissed"/>
              <w:listEntry w:val="allowed"/>
            </w:ddList>
          </w:ffData>
        </w:fldChar>
      </w:r>
      <w:r w:rsidR="008F23F4">
        <w:rPr>
          <w:rFonts w:ascii="Sylfaen" w:hAnsi="Sylfaen" w:cs="Arial"/>
          <w:b/>
        </w:rPr>
        <w:instrText xml:space="preserve"> FORMDROPDOWN </w:instrText>
      </w:r>
      <w:r w:rsidR="007A6CC9">
        <w:rPr>
          <w:rFonts w:ascii="Sylfaen" w:hAnsi="Sylfaen" w:cs="Arial"/>
          <w:b/>
        </w:rPr>
      </w:r>
      <w:r w:rsidR="007A6CC9">
        <w:rPr>
          <w:rFonts w:ascii="Sylfaen" w:hAnsi="Sylfaen" w:cs="Arial"/>
          <w:b/>
        </w:rPr>
        <w:fldChar w:fldCharType="separate"/>
      </w:r>
      <w:r w:rsidR="008F23F4">
        <w:rPr>
          <w:rFonts w:ascii="Sylfaen" w:hAnsi="Sylfaen" w:cs="Arial"/>
          <w:b/>
        </w:rPr>
        <w:fldChar w:fldCharType="end"/>
      </w:r>
      <w:bookmarkEnd w:id="5"/>
    </w:p>
    <w:p w:rsidR="00B95326" w:rsidRDefault="00FA594E" w:rsidP="00F07170">
      <w:pPr>
        <w:ind w:left="4508" w:hanging="539"/>
        <w:rPr>
          <w:rFonts w:ascii="Sylfaen" w:hAnsi="Sylfaen" w:cs="Arial"/>
          <w:color w:val="000000"/>
        </w:rPr>
      </w:pPr>
      <w:r w:rsidRPr="00A544A8">
        <w:rPr>
          <w:rFonts w:ascii="Sylfaen" w:hAnsi="Sylfaen" w:cs="Arial"/>
          <w:b/>
          <w:noProof/>
        </w:rPr>
        <w:drawing>
          <wp:inline distT="0" distB="0" distL="0" distR="0">
            <wp:extent cx="2139950"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104140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 xml:space="preserve">of the </w:t>
      </w:r>
      <w:smartTag w:uri="urn:schemas-microsoft-com:office:smarttags" w:element="PersonName">
        <w:r w:rsidR="00A544A8">
          <w:rPr>
            <w:rFonts w:ascii="Sylfaen" w:hAnsi="Sylfaen" w:cs="Arial"/>
            <w:color w:val="000000"/>
          </w:rPr>
          <w:t>Upper Tribunal</w:t>
        </w:r>
      </w:smartTag>
      <w:r w:rsidR="00A544A8">
        <w:rPr>
          <w:rFonts w:ascii="Sylfaen" w:hAnsi="Sylfaen" w:cs="Arial"/>
          <w:color w:val="000000"/>
        </w:rPr>
        <w:t>)</w:t>
      </w:r>
    </w:p>
    <w:p w:rsidR="00A035D5" w:rsidRPr="00A544A8" w:rsidRDefault="00A035D5" w:rsidP="00F07170">
      <w:pPr>
        <w:ind w:left="4508" w:hanging="539"/>
        <w:rPr>
          <w:rFonts w:ascii="Sylfaen" w:hAnsi="Sylfaen" w:cs="Arial"/>
          <w:color w:val="000000"/>
        </w:rPr>
      </w:pPr>
      <w:r>
        <w:rPr>
          <w:rFonts w:ascii="Sylfaen" w:hAnsi="Sylfaen" w:cs="Arial"/>
          <w:b/>
          <w:noProof/>
        </w:rPr>
        <w:t xml:space="preserve">Dated </w:t>
      </w:r>
      <w:r w:rsidRPr="00A035D5">
        <w:rPr>
          <w:rFonts w:ascii="Sylfaen" w:hAnsi="Sylfaen" w:cs="Arial"/>
          <w:b/>
          <w:noProof/>
        </w:rPr>
        <w:t>19 July 2018</w:t>
      </w:r>
    </w:p>
    <w:sectPr w:rsidR="00A035D5" w:rsidRPr="00A544A8"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1D6" w:rsidRDefault="00C821D6">
      <w:r>
        <w:separator/>
      </w:r>
    </w:p>
  </w:endnote>
  <w:endnote w:type="continuationSeparator" w:id="0">
    <w:p w:rsidR="00C821D6" w:rsidRDefault="00C8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6B058B" w:rsidRDefault="0037498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7A6CC9">
      <w:rPr>
        <w:rStyle w:val="PageNumber"/>
        <w:rFonts w:ascii="Sylfaen" w:hAnsi="Sylfaen" w:cs="Arial"/>
        <w:noProof/>
        <w:sz w:val="22"/>
        <w:szCs w:val="22"/>
      </w:rPr>
      <w:t>4</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D56EF6" w:rsidRDefault="00D56EF6" w:rsidP="00090CF9">
    <w:pPr>
      <w:jc w:val="center"/>
      <w:rPr>
        <w:rFonts w:ascii="Sylfaen" w:hAnsi="Sylfaen" w:cs="Arial"/>
        <w:i/>
        <w:spacing w:val="-6"/>
        <w:sz w:val="22"/>
        <w:szCs w:val="22"/>
      </w:rPr>
    </w:pPr>
  </w:p>
  <w:p w:rsidR="00374981" w:rsidRPr="00686C0C" w:rsidRDefault="00374981" w:rsidP="00090CF9">
    <w:pPr>
      <w:jc w:val="center"/>
      <w:rPr>
        <w:rFonts w:ascii="Sylfaen" w:hAnsi="Sylfaen" w:cs="Arial"/>
        <w:i/>
        <w:sz w:val="22"/>
        <w:szCs w:val="22"/>
      </w:rPr>
    </w:pPr>
    <w:r w:rsidRPr="00686C0C">
      <w:rPr>
        <w:rFonts w:ascii="Sylfaen" w:hAnsi="Sylfaen" w:cs="Arial"/>
        <w:i/>
        <w:spacing w:val="-6"/>
        <w:sz w:val="22"/>
        <w:szCs w:val="22"/>
      </w:rPr>
      <w:t>©</w:t>
    </w:r>
    <w:r w:rsidRPr="00686C0C">
      <w:rPr>
        <w:rFonts w:ascii="Sylfaen" w:hAnsi="Sylfaen" w:cs="Arial"/>
        <w:i/>
        <w:sz w:val="22"/>
        <w:szCs w:val="22"/>
      </w:rPr>
      <w:t xml:space="preserve"> CROWN COPYRIGHT 201</w:t>
    </w:r>
    <w:r w:rsidR="00057E2B">
      <w:rPr>
        <w:rFonts w:ascii="Sylfaen" w:hAnsi="Sylfaen" w:cs="Arial"/>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1D6" w:rsidRDefault="00C821D6">
      <w:r>
        <w:separator/>
      </w:r>
    </w:p>
  </w:footnote>
  <w:footnote w:type="continuationSeparator" w:id="0">
    <w:p w:rsidR="00C821D6" w:rsidRDefault="00C82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CA" w:rsidRPr="00EF2BCA" w:rsidRDefault="00FA594E" w:rsidP="00EF2BCA">
    <w:pPr>
      <w:pStyle w:val="Header"/>
      <w:jc w:val="right"/>
      <w:rPr>
        <w:sz w:val="22"/>
        <w:szCs w:val="22"/>
      </w:rPr>
    </w:pPr>
    <w:r>
      <w:rPr>
        <w:sz w:val="22"/>
        <w:szCs w:val="22"/>
      </w:rPr>
      <w:t xml:space="preserve">Appeal number: </w:t>
    </w:r>
    <w:r w:rsidR="00EF2BCA" w:rsidRPr="00EF2BCA">
      <w:rPr>
        <w:sz w:val="22"/>
        <w:szCs w:val="22"/>
      </w:rPr>
      <w:t>DA/00430/2017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01"/>
    <w:rsid w:val="00000621"/>
    <w:rsid w:val="000036C2"/>
    <w:rsid w:val="00026B51"/>
    <w:rsid w:val="00033D3D"/>
    <w:rsid w:val="00057601"/>
    <w:rsid w:val="00057E2B"/>
    <w:rsid w:val="00062F02"/>
    <w:rsid w:val="00071A7E"/>
    <w:rsid w:val="000746C0"/>
    <w:rsid w:val="00074D1D"/>
    <w:rsid w:val="00077D83"/>
    <w:rsid w:val="000857AF"/>
    <w:rsid w:val="00090CF9"/>
    <w:rsid w:val="00092580"/>
    <w:rsid w:val="00093D4D"/>
    <w:rsid w:val="000A1210"/>
    <w:rsid w:val="000B2183"/>
    <w:rsid w:val="000D5D94"/>
    <w:rsid w:val="000F1A0E"/>
    <w:rsid w:val="00102EBC"/>
    <w:rsid w:val="001165A7"/>
    <w:rsid w:val="00117FD8"/>
    <w:rsid w:val="001401BB"/>
    <w:rsid w:val="001435AF"/>
    <w:rsid w:val="00144DBC"/>
    <w:rsid w:val="00167D3A"/>
    <w:rsid w:val="00194E6E"/>
    <w:rsid w:val="001A3082"/>
    <w:rsid w:val="001A5D86"/>
    <w:rsid w:val="001B186A"/>
    <w:rsid w:val="001B2F75"/>
    <w:rsid w:val="001E6DE8"/>
    <w:rsid w:val="001F114E"/>
    <w:rsid w:val="001F2716"/>
    <w:rsid w:val="00206F6B"/>
    <w:rsid w:val="00207617"/>
    <w:rsid w:val="0023134B"/>
    <w:rsid w:val="00235EDD"/>
    <w:rsid w:val="00247F01"/>
    <w:rsid w:val="0026015E"/>
    <w:rsid w:val="002667BE"/>
    <w:rsid w:val="00270E13"/>
    <w:rsid w:val="00275FFC"/>
    <w:rsid w:val="00283659"/>
    <w:rsid w:val="002B1E0E"/>
    <w:rsid w:val="002B5149"/>
    <w:rsid w:val="002C6BD4"/>
    <w:rsid w:val="002D68BF"/>
    <w:rsid w:val="002F6B98"/>
    <w:rsid w:val="00306254"/>
    <w:rsid w:val="00310B90"/>
    <w:rsid w:val="00336CBF"/>
    <w:rsid w:val="00343FE3"/>
    <w:rsid w:val="003546C8"/>
    <w:rsid w:val="00374981"/>
    <w:rsid w:val="003860CF"/>
    <w:rsid w:val="00395A7E"/>
    <w:rsid w:val="003A3DA7"/>
    <w:rsid w:val="003A7CF2"/>
    <w:rsid w:val="003C4872"/>
    <w:rsid w:val="003C5CE5"/>
    <w:rsid w:val="003E0791"/>
    <w:rsid w:val="003E267B"/>
    <w:rsid w:val="003E5773"/>
    <w:rsid w:val="003E7CD1"/>
    <w:rsid w:val="003F2E3F"/>
    <w:rsid w:val="00402B9E"/>
    <w:rsid w:val="004040BF"/>
    <w:rsid w:val="00420643"/>
    <w:rsid w:val="004249CB"/>
    <w:rsid w:val="0044127D"/>
    <w:rsid w:val="004448DB"/>
    <w:rsid w:val="00446C9A"/>
    <w:rsid w:val="00452F2B"/>
    <w:rsid w:val="004617F0"/>
    <w:rsid w:val="00473EEA"/>
    <w:rsid w:val="00477193"/>
    <w:rsid w:val="00480D87"/>
    <w:rsid w:val="00482836"/>
    <w:rsid w:val="004A1848"/>
    <w:rsid w:val="004A6F4A"/>
    <w:rsid w:val="004C5C63"/>
    <w:rsid w:val="004E4717"/>
    <w:rsid w:val="005035E7"/>
    <w:rsid w:val="00507FEC"/>
    <w:rsid w:val="00510F0E"/>
    <w:rsid w:val="00531929"/>
    <w:rsid w:val="005479E1"/>
    <w:rsid w:val="00553E0A"/>
    <w:rsid w:val="0055673C"/>
    <w:rsid w:val="005570FD"/>
    <w:rsid w:val="005575EA"/>
    <w:rsid w:val="005600D4"/>
    <w:rsid w:val="00574E42"/>
    <w:rsid w:val="0057790C"/>
    <w:rsid w:val="005829AB"/>
    <w:rsid w:val="00593795"/>
    <w:rsid w:val="00593821"/>
    <w:rsid w:val="00597008"/>
    <w:rsid w:val="005A549B"/>
    <w:rsid w:val="005A75FF"/>
    <w:rsid w:val="005D10AB"/>
    <w:rsid w:val="005D721A"/>
    <w:rsid w:val="005F1F19"/>
    <w:rsid w:val="00601D8F"/>
    <w:rsid w:val="00611011"/>
    <w:rsid w:val="00653E97"/>
    <w:rsid w:val="00655341"/>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912AD"/>
    <w:rsid w:val="007A37E8"/>
    <w:rsid w:val="007A6CC9"/>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F0697"/>
    <w:rsid w:val="008F1932"/>
    <w:rsid w:val="008F23F4"/>
    <w:rsid w:val="00921062"/>
    <w:rsid w:val="00923B15"/>
    <w:rsid w:val="00925AB2"/>
    <w:rsid w:val="009722BC"/>
    <w:rsid w:val="009727A3"/>
    <w:rsid w:val="00977EB3"/>
    <w:rsid w:val="00987774"/>
    <w:rsid w:val="00996FBB"/>
    <w:rsid w:val="009A11E8"/>
    <w:rsid w:val="009C5F92"/>
    <w:rsid w:val="009E30EE"/>
    <w:rsid w:val="009F3381"/>
    <w:rsid w:val="009F5220"/>
    <w:rsid w:val="00A035D5"/>
    <w:rsid w:val="00A11F19"/>
    <w:rsid w:val="00A15234"/>
    <w:rsid w:val="00A201AB"/>
    <w:rsid w:val="00A240AA"/>
    <w:rsid w:val="00A253BF"/>
    <w:rsid w:val="00A31C8B"/>
    <w:rsid w:val="00A509FA"/>
    <w:rsid w:val="00A544A8"/>
    <w:rsid w:val="00A845DC"/>
    <w:rsid w:val="00A8721C"/>
    <w:rsid w:val="00AE226C"/>
    <w:rsid w:val="00B20636"/>
    <w:rsid w:val="00B26AA2"/>
    <w:rsid w:val="00B3524D"/>
    <w:rsid w:val="00B40F69"/>
    <w:rsid w:val="00B46616"/>
    <w:rsid w:val="00B7040A"/>
    <w:rsid w:val="00B83391"/>
    <w:rsid w:val="00B95326"/>
    <w:rsid w:val="00BA334F"/>
    <w:rsid w:val="00BB3FC4"/>
    <w:rsid w:val="00BB7997"/>
    <w:rsid w:val="00BC481C"/>
    <w:rsid w:val="00BC4DE5"/>
    <w:rsid w:val="00BC626D"/>
    <w:rsid w:val="00BD2083"/>
    <w:rsid w:val="00BD3A9C"/>
    <w:rsid w:val="00BD4196"/>
    <w:rsid w:val="00BF22CA"/>
    <w:rsid w:val="00BF23BB"/>
    <w:rsid w:val="00C12F97"/>
    <w:rsid w:val="00C217AF"/>
    <w:rsid w:val="00C26032"/>
    <w:rsid w:val="00C345E1"/>
    <w:rsid w:val="00C43BFD"/>
    <w:rsid w:val="00C45496"/>
    <w:rsid w:val="00C5704E"/>
    <w:rsid w:val="00C70616"/>
    <w:rsid w:val="00C821D6"/>
    <w:rsid w:val="00CB6E35"/>
    <w:rsid w:val="00CC0CC9"/>
    <w:rsid w:val="00CE1A46"/>
    <w:rsid w:val="00D20757"/>
    <w:rsid w:val="00D22636"/>
    <w:rsid w:val="00D40FD9"/>
    <w:rsid w:val="00D50A21"/>
    <w:rsid w:val="00D53769"/>
    <w:rsid w:val="00D56EF6"/>
    <w:rsid w:val="00D85C13"/>
    <w:rsid w:val="00D9111A"/>
    <w:rsid w:val="00D91BE3"/>
    <w:rsid w:val="00D94AFC"/>
    <w:rsid w:val="00DB1EA9"/>
    <w:rsid w:val="00DB70AE"/>
    <w:rsid w:val="00DD5071"/>
    <w:rsid w:val="00DD5C39"/>
    <w:rsid w:val="00DD6918"/>
    <w:rsid w:val="00DE1748"/>
    <w:rsid w:val="00DE20CE"/>
    <w:rsid w:val="00DE65C8"/>
    <w:rsid w:val="00DE7DB7"/>
    <w:rsid w:val="00DF2161"/>
    <w:rsid w:val="00DF392C"/>
    <w:rsid w:val="00E00A0A"/>
    <w:rsid w:val="00E024EB"/>
    <w:rsid w:val="00E066DE"/>
    <w:rsid w:val="00E07F57"/>
    <w:rsid w:val="00E30683"/>
    <w:rsid w:val="00E418CE"/>
    <w:rsid w:val="00E453D8"/>
    <w:rsid w:val="00E50BCE"/>
    <w:rsid w:val="00E574BF"/>
    <w:rsid w:val="00E61292"/>
    <w:rsid w:val="00E74B5A"/>
    <w:rsid w:val="00E77294"/>
    <w:rsid w:val="00E77C4D"/>
    <w:rsid w:val="00E80AD9"/>
    <w:rsid w:val="00E81D01"/>
    <w:rsid w:val="00E862ED"/>
    <w:rsid w:val="00EE366F"/>
    <w:rsid w:val="00EE43F3"/>
    <w:rsid w:val="00EE45D8"/>
    <w:rsid w:val="00EF2BCA"/>
    <w:rsid w:val="00F07170"/>
    <w:rsid w:val="00F118C6"/>
    <w:rsid w:val="00F22EDA"/>
    <w:rsid w:val="00F556F2"/>
    <w:rsid w:val="00F9140E"/>
    <w:rsid w:val="00F97703"/>
    <w:rsid w:val="00FA48DC"/>
    <w:rsid w:val="00FA594E"/>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2D8326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paragraph" w:customStyle="1" w:styleId="legp2paratext1">
    <w:name w:val="legp2paratext1"/>
    <w:basedOn w:val="Normal"/>
    <w:rsid w:val="002B1E0E"/>
    <w:pPr>
      <w:shd w:val="clear" w:color="auto" w:fill="FFFFFF"/>
      <w:spacing w:after="120" w:line="360" w:lineRule="atLeast"/>
      <w:ind w:firstLine="240"/>
      <w:jc w:val="both"/>
    </w:pPr>
    <w:rPr>
      <w:color w:val="494949"/>
      <w:sz w:val="19"/>
      <w:szCs w:val="19"/>
    </w:rPr>
  </w:style>
  <w:style w:type="character" w:customStyle="1" w:styleId="legdsleglhslegp3no">
    <w:name w:val="legds leglhs legp3no"/>
    <w:basedOn w:val="DefaultParagraphFont"/>
    <w:rsid w:val="002B1E0E"/>
  </w:style>
  <w:style w:type="character" w:customStyle="1" w:styleId="legdslegrhslegp3text">
    <w:name w:val="legds legrhs legp3text"/>
    <w:basedOn w:val="DefaultParagraphFont"/>
    <w:rsid w:val="002B1E0E"/>
  </w:style>
  <w:style w:type="paragraph" w:customStyle="1" w:styleId="legp1paratext1">
    <w:name w:val="legp1paratext1"/>
    <w:basedOn w:val="Normal"/>
    <w:rsid w:val="002B1E0E"/>
    <w:pPr>
      <w:shd w:val="clear" w:color="auto" w:fill="FFFFFF"/>
      <w:spacing w:after="120" w:line="360" w:lineRule="atLeast"/>
      <w:ind w:firstLine="240"/>
      <w:jc w:val="both"/>
    </w:pPr>
    <w:rPr>
      <w:color w:val="494949"/>
      <w:sz w:val="19"/>
      <w:szCs w:val="19"/>
    </w:rPr>
  </w:style>
  <w:style w:type="character" w:customStyle="1" w:styleId="legp1no3">
    <w:name w:val="legp1no3"/>
    <w:rsid w:val="002B1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532848">
      <w:bodyDiv w:val="1"/>
      <w:marLeft w:val="0"/>
      <w:marRight w:val="0"/>
      <w:marTop w:val="0"/>
      <w:marBottom w:val="0"/>
      <w:divBdr>
        <w:top w:val="none" w:sz="0" w:space="0" w:color="auto"/>
        <w:left w:val="none" w:sz="0" w:space="0" w:color="auto"/>
        <w:bottom w:val="none" w:sz="0" w:space="0" w:color="auto"/>
        <w:right w:val="none" w:sz="0" w:space="0" w:color="auto"/>
      </w:divBdr>
      <w:divsChild>
        <w:div w:id="2126266050">
          <w:marLeft w:val="0"/>
          <w:marRight w:val="0"/>
          <w:marTop w:val="0"/>
          <w:marBottom w:val="0"/>
          <w:divBdr>
            <w:top w:val="none" w:sz="0" w:space="0" w:color="auto"/>
            <w:left w:val="none" w:sz="0" w:space="0" w:color="auto"/>
            <w:bottom w:val="none" w:sz="0" w:space="0" w:color="auto"/>
            <w:right w:val="none" w:sz="0" w:space="0" w:color="auto"/>
          </w:divBdr>
          <w:divsChild>
            <w:div w:id="1125197696">
              <w:marLeft w:val="0"/>
              <w:marRight w:val="0"/>
              <w:marTop w:val="0"/>
              <w:marBottom w:val="0"/>
              <w:divBdr>
                <w:top w:val="single" w:sz="2" w:space="0" w:color="FFFFFF"/>
                <w:left w:val="single" w:sz="4" w:space="0" w:color="FFFFFF"/>
                <w:bottom w:val="single" w:sz="4" w:space="0" w:color="FFFFFF"/>
                <w:right w:val="single" w:sz="4" w:space="0" w:color="FFFFFF"/>
              </w:divBdr>
              <w:divsChild>
                <w:div w:id="1344670469">
                  <w:marLeft w:val="0"/>
                  <w:marRight w:val="0"/>
                  <w:marTop w:val="0"/>
                  <w:marBottom w:val="0"/>
                  <w:divBdr>
                    <w:top w:val="single" w:sz="4" w:space="1" w:color="D3D3D3"/>
                    <w:left w:val="none" w:sz="0" w:space="0" w:color="auto"/>
                    <w:bottom w:val="none" w:sz="0" w:space="0" w:color="auto"/>
                    <w:right w:val="none" w:sz="0" w:space="0" w:color="auto"/>
                  </w:divBdr>
                  <w:divsChild>
                    <w:div w:id="1406146944">
                      <w:marLeft w:val="0"/>
                      <w:marRight w:val="0"/>
                      <w:marTop w:val="0"/>
                      <w:marBottom w:val="0"/>
                      <w:divBdr>
                        <w:top w:val="none" w:sz="0" w:space="0" w:color="auto"/>
                        <w:left w:val="none" w:sz="0" w:space="0" w:color="auto"/>
                        <w:bottom w:val="none" w:sz="0" w:space="0" w:color="auto"/>
                        <w:right w:val="none" w:sz="0" w:space="0" w:color="auto"/>
                      </w:divBdr>
                      <w:divsChild>
                        <w:div w:id="9048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834703">
      <w:bodyDiv w:val="1"/>
      <w:marLeft w:val="0"/>
      <w:marRight w:val="0"/>
      <w:marTop w:val="0"/>
      <w:marBottom w:val="0"/>
      <w:divBdr>
        <w:top w:val="none" w:sz="0" w:space="0" w:color="auto"/>
        <w:left w:val="none" w:sz="0" w:space="0" w:color="auto"/>
        <w:bottom w:val="none" w:sz="0" w:space="0" w:color="auto"/>
        <w:right w:val="none" w:sz="0" w:space="0" w:color="auto"/>
      </w:divBdr>
      <w:divsChild>
        <w:div w:id="985358102">
          <w:marLeft w:val="0"/>
          <w:marRight w:val="0"/>
          <w:marTop w:val="0"/>
          <w:marBottom w:val="0"/>
          <w:divBdr>
            <w:top w:val="none" w:sz="0" w:space="0" w:color="auto"/>
            <w:left w:val="none" w:sz="0" w:space="0" w:color="auto"/>
            <w:bottom w:val="none" w:sz="0" w:space="0" w:color="auto"/>
            <w:right w:val="none" w:sz="0" w:space="0" w:color="auto"/>
          </w:divBdr>
          <w:divsChild>
            <w:div w:id="1284727920">
              <w:marLeft w:val="0"/>
              <w:marRight w:val="0"/>
              <w:marTop w:val="0"/>
              <w:marBottom w:val="0"/>
              <w:divBdr>
                <w:top w:val="single" w:sz="2" w:space="0" w:color="FFFFFF"/>
                <w:left w:val="single" w:sz="4" w:space="0" w:color="FFFFFF"/>
                <w:bottom w:val="single" w:sz="4" w:space="0" w:color="FFFFFF"/>
                <w:right w:val="single" w:sz="4" w:space="0" w:color="FFFFFF"/>
              </w:divBdr>
              <w:divsChild>
                <w:div w:id="1142385036">
                  <w:marLeft w:val="0"/>
                  <w:marRight w:val="0"/>
                  <w:marTop w:val="0"/>
                  <w:marBottom w:val="0"/>
                  <w:divBdr>
                    <w:top w:val="single" w:sz="4" w:space="1" w:color="D3D3D3"/>
                    <w:left w:val="none" w:sz="0" w:space="0" w:color="auto"/>
                    <w:bottom w:val="none" w:sz="0" w:space="0" w:color="auto"/>
                    <w:right w:val="none" w:sz="0" w:space="0" w:color="auto"/>
                  </w:divBdr>
                  <w:divsChild>
                    <w:div w:id="1575697724">
                      <w:marLeft w:val="0"/>
                      <w:marRight w:val="0"/>
                      <w:marTop w:val="0"/>
                      <w:marBottom w:val="0"/>
                      <w:divBdr>
                        <w:top w:val="none" w:sz="0" w:space="0" w:color="auto"/>
                        <w:left w:val="none" w:sz="0" w:space="0" w:color="auto"/>
                        <w:bottom w:val="none" w:sz="0" w:space="0" w:color="auto"/>
                        <w:right w:val="none" w:sz="0" w:space="0" w:color="auto"/>
                      </w:divBdr>
                      <w:divsChild>
                        <w:div w:id="4468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t&amp;rct=j&amp;q=&amp;esrc=s&amp;source=web&amp;cd=3&amp;cad=rja&amp;uact=8&amp;ved=0ahUKEwjK3PDPuv3YAhUFW8AKHTznCYMQFggyMAI&amp;url=http%3A%2F%2Fwww.legislation.gov.uk%2Fuksi%2F2016%2F1052%2Fmade&amp;usg=AOvVaw3Y6h6-jJhVgKtP7KOqc4tQ"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format.cgi?doc=/ew/cases/EWCA/Civ/2017/1715.html&amp;query=%28title:%28+kamki+%29%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1412</Words>
  <Characters>7320</Characters>
  <Application>Microsoft Office Word</Application>
  <DocSecurity>0</DocSecurity>
  <Lines>61</Lines>
  <Paragraphs>17</Paragraphs>
  <ScaleCrop>false</ScaleCrop>
  <Company/>
  <LinksUpToDate>false</LinksUpToDate>
  <CharactersWithSpaces>8715</CharactersWithSpaces>
  <SharedDoc>false</SharedDoc>
  <HLinks>
    <vt:vector size="12" baseType="variant">
      <vt:variant>
        <vt:i4>7405621</vt:i4>
      </vt:variant>
      <vt:variant>
        <vt:i4>14</vt:i4>
      </vt:variant>
      <vt:variant>
        <vt:i4>0</vt:i4>
      </vt:variant>
      <vt:variant>
        <vt:i4>5</vt:i4>
      </vt:variant>
      <vt:variant>
        <vt:lpwstr>http://www.bailii.org/cgi-bin/format.cgi?doc=/ew/cases/EWCA/Civ/2017/1715.html&amp;query=%28title:%28+kamki+%29%29</vt:lpwstr>
      </vt:variant>
      <vt:variant>
        <vt:lpwstr/>
      </vt:variant>
      <vt:variant>
        <vt:i4>2883644</vt:i4>
      </vt:variant>
      <vt:variant>
        <vt:i4>11</vt:i4>
      </vt:variant>
      <vt:variant>
        <vt:i4>0</vt:i4>
      </vt:variant>
      <vt:variant>
        <vt:i4>5</vt:i4>
      </vt:variant>
      <vt:variant>
        <vt:lpwstr>https://www.google.co.uk/url?sa=t&amp;rct=j&amp;q=&amp;esrc=s&amp;source=web&amp;cd=3&amp;cad=rja&amp;uact=8&amp;ved=0ahUKEwjK3PDPuv3YAhUFW8AKHTznCYMQFggyMAI&amp;url=http%3A%2F%2Fwww.legislation.gov.uk%2Fuksi%2F2016%2F1052%2Fmade&amp;usg=AOvVaw3Y6h6-jJhVgKtP7KOqc4tQ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2018-08-09T13:24:00Z</dcterms:created>
  <dcterms:modified xsi:type="dcterms:W3CDTF">2018-08-09T13:24:00Z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