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4E2A69" w:rsidRDefault="00E56BAA" w:rsidP="00933B65">
      <w:pPr>
        <w:jc w:val="center"/>
        <w:rPr>
          <w:rFonts w:ascii="Book Antiqua" w:hAnsi="Book Antiqua" w:cs="Arial"/>
          <w:color w:val="000000"/>
          <w:sz w:val="16"/>
          <w:szCs w:val="16"/>
        </w:rPr>
      </w:pPr>
      <w:r w:rsidRPr="004E2A69">
        <w:rPr>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4E2A69" w:rsidRPr="004E2A69" w:rsidRDefault="004E2A69" w:rsidP="004E2A69">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1D5B39">
        <w:rPr>
          <w:rFonts w:ascii="Book Antiqua" w:hAnsi="Book Antiqua" w:cs="Arial"/>
          <w:color w:val="000000"/>
        </w:rPr>
        <w:t>DA/00451/2016</w:t>
      </w:r>
    </w:p>
    <w:p w:rsidR="00933B65" w:rsidRPr="00F97703" w:rsidRDefault="00933B65" w:rsidP="00933B65">
      <w:pPr>
        <w:jc w:val="center"/>
        <w:rPr>
          <w:rFonts w:ascii="Book Antiqua" w:hAnsi="Book Antiqua" w:cs="Arial"/>
          <w:color w:val="000000"/>
        </w:rPr>
      </w:pPr>
    </w:p>
    <w:p w:rsidR="002712F0" w:rsidRDefault="002712F0"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2712F0" w:rsidRPr="00F97703" w:rsidRDefault="002712F0" w:rsidP="00933B65">
      <w:pPr>
        <w:jc w:val="center"/>
        <w:rPr>
          <w:rFonts w:ascii="Book Antiqua" w:hAnsi="Book Antiqua" w:cs="Arial"/>
          <w:b/>
          <w:color w:val="000000"/>
          <w:u w:val="single"/>
        </w:rPr>
      </w:pPr>
    </w:p>
    <w:p w:rsidR="00405694" w:rsidRPr="00F97703" w:rsidRDefault="00405694" w:rsidP="00405694">
      <w:pPr>
        <w:jc w:val="center"/>
        <w:rPr>
          <w:rFonts w:ascii="Book Antiqua" w:hAnsi="Book Antiqua" w:cs="Arial"/>
          <w:b/>
          <w:u w:val="single"/>
        </w:rPr>
      </w:pPr>
    </w:p>
    <w:tbl>
      <w:tblPr>
        <w:tblW w:w="0" w:type="auto"/>
        <w:tblLook w:val="01E0" w:firstRow="1" w:lastRow="1" w:firstColumn="1" w:lastColumn="1" w:noHBand="0" w:noVBand="0"/>
      </w:tblPr>
      <w:tblGrid>
        <w:gridCol w:w="4548"/>
        <w:gridCol w:w="5090"/>
      </w:tblGrid>
      <w:tr w:rsidR="00405694" w:rsidRPr="00AB1DC6" w:rsidTr="00461777">
        <w:tc>
          <w:tcPr>
            <w:tcW w:w="4644"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5184" w:type="dxa"/>
            <w:shd w:val="clear" w:color="auto" w:fill="auto"/>
          </w:tcPr>
          <w:p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w:t>
            </w:r>
            <w:r w:rsidR="00E56BAA">
              <w:rPr>
                <w:rFonts w:ascii="Book Antiqua" w:hAnsi="Book Antiqua" w:cs="Arial"/>
                <w:b/>
                <w:color w:val="000000"/>
              </w:rPr>
              <w:t xml:space="preserve"> &amp; Reasons</w:t>
            </w:r>
            <w:r w:rsidRPr="00AB1DC6">
              <w:rPr>
                <w:rFonts w:ascii="Book Antiqua" w:hAnsi="Book Antiqua" w:cs="Arial"/>
                <w:b/>
                <w:color w:val="000000"/>
              </w:rPr>
              <w:t xml:space="preserve"> Promulgated</w:t>
            </w:r>
          </w:p>
        </w:tc>
      </w:tr>
      <w:tr w:rsidR="00405694" w:rsidRPr="00AB1DC6" w:rsidTr="00461777">
        <w:tc>
          <w:tcPr>
            <w:tcW w:w="4644"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1D5B39">
              <w:rPr>
                <w:rFonts w:ascii="Book Antiqua" w:hAnsi="Book Antiqua" w:cs="Arial"/>
                <w:b/>
              </w:rPr>
              <w:t>20 August 2018</w:t>
            </w:r>
          </w:p>
        </w:tc>
        <w:tc>
          <w:tcPr>
            <w:tcW w:w="5184" w:type="dxa"/>
            <w:shd w:val="clear" w:color="auto" w:fill="auto"/>
          </w:tcPr>
          <w:p w:rsidR="00405694" w:rsidRPr="00AB1DC6" w:rsidRDefault="00E56BAA" w:rsidP="00AB1DC6">
            <w:pPr>
              <w:jc w:val="both"/>
              <w:rPr>
                <w:rFonts w:ascii="Book Antiqua" w:hAnsi="Book Antiqua" w:cs="Arial"/>
                <w:b/>
              </w:rPr>
            </w:pPr>
            <w:r>
              <w:rPr>
                <w:rFonts w:ascii="Book Antiqua" w:hAnsi="Book Antiqua" w:cs="Arial"/>
                <w:b/>
              </w:rPr>
              <w:t>On 29 August 2018</w:t>
            </w:r>
          </w:p>
        </w:tc>
      </w:tr>
      <w:tr w:rsidR="00405694" w:rsidRPr="00AB1DC6" w:rsidTr="00461777">
        <w:tc>
          <w:tcPr>
            <w:tcW w:w="4644" w:type="dxa"/>
            <w:shd w:val="clear" w:color="auto" w:fill="auto"/>
          </w:tcPr>
          <w:p w:rsidR="00405694" w:rsidRPr="00AB1DC6" w:rsidRDefault="00405694" w:rsidP="00AB1DC6">
            <w:pPr>
              <w:jc w:val="both"/>
              <w:rPr>
                <w:rFonts w:ascii="Book Antiqua" w:hAnsi="Book Antiqua" w:cs="Arial"/>
                <w:b/>
              </w:rPr>
            </w:pPr>
          </w:p>
        </w:tc>
        <w:tc>
          <w:tcPr>
            <w:tcW w:w="5184" w:type="dxa"/>
            <w:shd w:val="clear" w:color="auto" w:fill="auto"/>
          </w:tcPr>
          <w:p w:rsidR="00405694" w:rsidRPr="00AB1DC6" w:rsidRDefault="00405694" w:rsidP="00AB1DC6">
            <w:pPr>
              <w:jc w:val="both"/>
              <w:rPr>
                <w:rFonts w:ascii="Book Antiqua" w:hAnsi="Book Antiqua" w:cs="Arial"/>
                <w:b/>
              </w:rPr>
            </w:pPr>
          </w:p>
        </w:tc>
      </w:tr>
    </w:tbl>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294F41" w:rsidRDefault="007255B7"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0"/>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294F41" w:rsidRPr="00F97703" w:rsidRDefault="00294F41" w:rsidP="00933B65">
      <w:pPr>
        <w:jc w:val="center"/>
        <w:rPr>
          <w:rFonts w:ascii="Book Antiqua" w:hAnsi="Book Antiqua" w:cs="Arial"/>
          <w:b/>
        </w:rPr>
      </w:pPr>
    </w:p>
    <w:p w:rsidR="007255B7" w:rsidRPr="00F97703" w:rsidRDefault="007255B7" w:rsidP="00933B65">
      <w:pPr>
        <w:jc w:val="center"/>
        <w:rPr>
          <w:rFonts w:ascii="Book Antiqua" w:hAnsi="Book Antiqua" w:cs="Arial"/>
          <w:b/>
        </w:rPr>
      </w:pPr>
      <w:r>
        <w:rPr>
          <w:rFonts w:ascii="Book Antiqua" w:hAnsi="Book Antiqua" w:cs="Arial"/>
          <w:b/>
        </w:rPr>
        <w:t>JOSÉ MARIA VEIGA VAS DE-PINA</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2712F0" w:rsidRPr="00F97703" w:rsidRDefault="002712F0"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AC2F81">
        <w:rPr>
          <w:rFonts w:ascii="Book Antiqua" w:hAnsi="Book Antiqua" w:cs="Arial"/>
        </w:rPr>
        <w:t xml:space="preserve">Ms A. Fijiwala, Senior Home Office Presenting Officer </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AC2F81">
        <w:rPr>
          <w:rFonts w:ascii="Book Antiqua" w:hAnsi="Book Antiqua" w:cs="Arial"/>
        </w:rPr>
        <w:t xml:space="preserve">Mr F. </w:t>
      </w:r>
      <w:proofErr w:type="spellStart"/>
      <w:r w:rsidR="00AC2F81">
        <w:rPr>
          <w:rFonts w:ascii="Book Antiqua" w:hAnsi="Book Antiqua" w:cs="Arial"/>
        </w:rPr>
        <w:t>Habtemariam</w:t>
      </w:r>
      <w:proofErr w:type="spellEnd"/>
      <w:r w:rsidR="00AC2F81">
        <w:rPr>
          <w:rFonts w:ascii="Book Antiqua" w:hAnsi="Book Antiqua" w:cs="Arial"/>
        </w:rPr>
        <w:t xml:space="preserve"> of </w:t>
      </w:r>
      <w:r w:rsidR="0028055A">
        <w:rPr>
          <w:rFonts w:ascii="Book Antiqua" w:hAnsi="Book Antiqua" w:cs="Arial"/>
        </w:rPr>
        <w:t xml:space="preserve">Anglia Immigration Law </w:t>
      </w:r>
    </w:p>
    <w:p w:rsidR="00405694" w:rsidRDefault="00405694" w:rsidP="00933B65">
      <w:pPr>
        <w:rPr>
          <w:rFonts w:ascii="Book Antiqua" w:hAnsi="Book Antiqua" w:cs="Arial"/>
        </w:rPr>
      </w:pPr>
    </w:p>
    <w:p w:rsidR="002712F0" w:rsidRDefault="002712F0" w:rsidP="00933B65">
      <w:pPr>
        <w:rPr>
          <w:rFonts w:ascii="Book Antiqua" w:hAnsi="Book Antiqua" w:cs="Arial"/>
        </w:rPr>
      </w:pPr>
    </w:p>
    <w:p w:rsidR="007255B7" w:rsidRDefault="00405694" w:rsidP="007255B7">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7255B7" w:rsidRDefault="007255B7" w:rsidP="001D5B39">
      <w:pPr>
        <w:tabs>
          <w:tab w:val="left" w:pos="567"/>
        </w:tabs>
        <w:ind w:left="564" w:hanging="564"/>
        <w:jc w:val="both"/>
        <w:rPr>
          <w:rFonts w:ascii="Book Antiqua" w:hAnsi="Book Antiqua" w:cs="Arial"/>
        </w:rPr>
      </w:pPr>
    </w:p>
    <w:p w:rsidR="007255B7" w:rsidRDefault="007255B7" w:rsidP="001D5B39">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For the sake of </w:t>
      </w:r>
      <w:r w:rsidR="00B9065F">
        <w:rPr>
          <w:rFonts w:ascii="Book Antiqua" w:hAnsi="Book Antiqua" w:cs="Arial"/>
        </w:rPr>
        <w:t>continuity,</w:t>
      </w:r>
      <w:r>
        <w:rPr>
          <w:rFonts w:ascii="Book Antiqua" w:hAnsi="Book Antiqua" w:cs="Arial"/>
        </w:rPr>
        <w:t xml:space="preserve"> I will refer to the parties as they were before the First-tier Tribunal although technically the Secretary of State is the appellant in the appeal before the Upper Tribunal. </w:t>
      </w:r>
    </w:p>
    <w:p w:rsidR="007255B7" w:rsidRDefault="007255B7" w:rsidP="001D5B39">
      <w:pPr>
        <w:tabs>
          <w:tab w:val="left" w:pos="567"/>
        </w:tabs>
        <w:ind w:left="564" w:hanging="564"/>
        <w:jc w:val="both"/>
        <w:rPr>
          <w:rFonts w:ascii="Book Antiqua" w:hAnsi="Book Antiqua" w:cs="Arial"/>
        </w:rPr>
      </w:pPr>
    </w:p>
    <w:p w:rsidR="00405694" w:rsidRDefault="007255B7" w:rsidP="001D5B39">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r>
      <w:r w:rsidR="001D5B39">
        <w:rPr>
          <w:rFonts w:ascii="Book Antiqua" w:hAnsi="Book Antiqua" w:cs="Arial"/>
        </w:rPr>
        <w:t xml:space="preserve">The appellant is a Portuguese national who appealed the respondent’s decision dated 07 September 2016 to remove him from the UK on public policy grounds with </w:t>
      </w:r>
      <w:r w:rsidR="001D5B39">
        <w:rPr>
          <w:rFonts w:ascii="Book Antiqua" w:hAnsi="Book Antiqua" w:cs="Arial"/>
        </w:rPr>
        <w:lastRenderedPageBreak/>
        <w:t xml:space="preserve">reference to the Immigration (European Economic Area) Regulations 2006 (“the EEA Regulations 2006”). </w:t>
      </w:r>
    </w:p>
    <w:p w:rsidR="007255B7" w:rsidRDefault="007255B7" w:rsidP="001D5B39">
      <w:pPr>
        <w:tabs>
          <w:tab w:val="left" w:pos="567"/>
        </w:tabs>
        <w:ind w:left="564" w:hanging="564"/>
        <w:jc w:val="both"/>
        <w:rPr>
          <w:rFonts w:ascii="Book Antiqua" w:hAnsi="Book Antiqua" w:cs="Arial"/>
        </w:rPr>
      </w:pPr>
    </w:p>
    <w:p w:rsidR="001D5B39" w:rsidRDefault="007255B7" w:rsidP="00B9065F">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 xml:space="preserve">First-tier Tribunal Judge Abebrese (“the judge”) allowed the appeal in a decision dated 22 January 2018. </w:t>
      </w:r>
      <w:r w:rsidR="00EB2814">
        <w:rPr>
          <w:rFonts w:ascii="Book Antiqua" w:hAnsi="Book Antiqua" w:cs="Arial"/>
        </w:rPr>
        <w:t>He noted that the Secretary of State accepted that the appellant had been lawfully resident in the UK since his arrival (in or around 2007) and that he was socially and culturally integrated [15]. He summarised the appellant’s conv</w:t>
      </w:r>
      <w:r w:rsidR="00C45E66">
        <w:rPr>
          <w:rFonts w:ascii="Book Antiqua" w:hAnsi="Book Antiqua" w:cs="Arial"/>
        </w:rPr>
        <w:t>ictions, which included six convictions between 2007 and 2016 for relatively minor public order and drug offences, which did not attract custodial sentences [5]. The judge had regard to the most recent offence, which was of a more serious nature. The appellant was convicted of a</w:t>
      </w:r>
      <w:r w:rsidR="00867D8D">
        <w:rPr>
          <w:rFonts w:ascii="Book Antiqua" w:hAnsi="Book Antiqua" w:cs="Arial"/>
        </w:rPr>
        <w:t>ssault</w:t>
      </w:r>
      <w:r w:rsidR="00C45E66">
        <w:rPr>
          <w:rFonts w:ascii="Book Antiqua" w:hAnsi="Book Antiqua" w:cs="Arial"/>
        </w:rPr>
        <w:t xml:space="preserve"> occasioning actual bodily harm on 04 January 2015 and was sentenced to 16 months’ imprisonment [6]. </w:t>
      </w:r>
    </w:p>
    <w:p w:rsidR="001D5B39" w:rsidRDefault="001D5B39" w:rsidP="00933B65">
      <w:pPr>
        <w:tabs>
          <w:tab w:val="left" w:pos="567"/>
        </w:tabs>
        <w:jc w:val="both"/>
        <w:rPr>
          <w:rFonts w:ascii="Book Antiqua" w:hAnsi="Book Antiqua" w:cs="Arial"/>
        </w:rPr>
      </w:pPr>
    </w:p>
    <w:p w:rsidR="009B7A11" w:rsidRDefault="009B7A11" w:rsidP="009B7A11">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Upper Tribunal Judge Jackson granted the Secretary of State permission to appeal in the following terms:</w:t>
      </w:r>
    </w:p>
    <w:p w:rsidR="009B7A11" w:rsidRDefault="009B7A11" w:rsidP="00933B65">
      <w:pPr>
        <w:tabs>
          <w:tab w:val="left" w:pos="567"/>
        </w:tabs>
        <w:jc w:val="both"/>
        <w:rPr>
          <w:rFonts w:ascii="Book Antiqua" w:hAnsi="Book Antiqua" w:cs="Arial"/>
        </w:rPr>
      </w:pPr>
    </w:p>
    <w:p w:rsidR="009B7A11" w:rsidRPr="009B7A11" w:rsidRDefault="009B7A11" w:rsidP="009B7A11">
      <w:pPr>
        <w:tabs>
          <w:tab w:val="left" w:pos="567"/>
        </w:tabs>
        <w:ind w:left="1440"/>
        <w:jc w:val="both"/>
        <w:rPr>
          <w:rFonts w:ascii="Book Antiqua" w:hAnsi="Book Antiqua" w:cs="Arial"/>
          <w:sz w:val="20"/>
          <w:szCs w:val="20"/>
        </w:rPr>
      </w:pPr>
      <w:r w:rsidRPr="009B7A11">
        <w:rPr>
          <w:rFonts w:ascii="Book Antiqua" w:hAnsi="Book Antiqua" w:cs="Arial"/>
          <w:sz w:val="20"/>
          <w:szCs w:val="20"/>
        </w:rPr>
        <w:t>“The grounds of appeal are that that the First-tier Tribunal has materially erred in law in (</w:t>
      </w:r>
      <w:proofErr w:type="spellStart"/>
      <w:r w:rsidRPr="009B7A11">
        <w:rPr>
          <w:rFonts w:ascii="Book Antiqua" w:hAnsi="Book Antiqua" w:cs="Arial"/>
          <w:sz w:val="20"/>
          <w:szCs w:val="20"/>
        </w:rPr>
        <w:t>i</w:t>
      </w:r>
      <w:proofErr w:type="spellEnd"/>
      <w:r w:rsidRPr="009B7A11">
        <w:rPr>
          <w:rFonts w:ascii="Book Antiqua" w:hAnsi="Book Antiqua" w:cs="Arial"/>
          <w:sz w:val="20"/>
          <w:szCs w:val="20"/>
        </w:rPr>
        <w:t xml:space="preserve">) failing to adequately explain the finding that the Appellant does not pose a risk in view of the escalation in his criminal offending shown in the sentencing remarks; (ii) failing to consider both the likelihood of reoffending and the seriousness of consequences if he does in accordance with </w:t>
      </w:r>
      <w:proofErr w:type="spellStart"/>
      <w:r w:rsidRPr="009B7A11">
        <w:rPr>
          <w:rFonts w:ascii="Book Antiqua" w:hAnsi="Book Antiqua" w:cs="Arial"/>
          <w:sz w:val="20"/>
          <w:szCs w:val="20"/>
          <w:u w:val="single"/>
        </w:rPr>
        <w:t>Kamki</w:t>
      </w:r>
      <w:proofErr w:type="spellEnd"/>
      <w:r w:rsidRPr="009B7A11">
        <w:rPr>
          <w:rFonts w:ascii="Book Antiqua" w:hAnsi="Book Antiqua" w:cs="Arial"/>
          <w:sz w:val="20"/>
          <w:szCs w:val="20"/>
        </w:rPr>
        <w:t xml:space="preserve"> [2017] EWCA </w:t>
      </w:r>
      <w:proofErr w:type="spellStart"/>
      <w:r w:rsidRPr="009B7A11">
        <w:rPr>
          <w:rFonts w:ascii="Book Antiqua" w:hAnsi="Book Antiqua" w:cs="Arial"/>
          <w:sz w:val="20"/>
          <w:szCs w:val="20"/>
        </w:rPr>
        <w:t>Civ</w:t>
      </w:r>
      <w:proofErr w:type="spellEnd"/>
      <w:r w:rsidRPr="009B7A11">
        <w:rPr>
          <w:rFonts w:ascii="Book Antiqua" w:hAnsi="Book Antiqua" w:cs="Arial"/>
          <w:sz w:val="20"/>
          <w:szCs w:val="20"/>
        </w:rPr>
        <w:t xml:space="preserve"> 1715; (iii) failing to give adequate reasons for finding the Appellant has shown remorse and is unlikely to reoffend, as well as why it is accepted that the Appellant is not facing prosecution in Portugal; and, (iv) failing to give adequate reasons and instead listing the facts that are accepted from the Appellant’s appeal. </w:t>
      </w:r>
    </w:p>
    <w:p w:rsidR="009B7A11" w:rsidRPr="009B7A11" w:rsidRDefault="009B7A11" w:rsidP="009B7A11">
      <w:pPr>
        <w:tabs>
          <w:tab w:val="left" w:pos="567"/>
        </w:tabs>
        <w:ind w:left="1440"/>
        <w:jc w:val="both"/>
        <w:rPr>
          <w:rFonts w:ascii="Book Antiqua" w:hAnsi="Book Antiqua" w:cs="Arial"/>
          <w:sz w:val="20"/>
          <w:szCs w:val="20"/>
        </w:rPr>
      </w:pPr>
    </w:p>
    <w:p w:rsidR="009B7A11" w:rsidRPr="009B7A11" w:rsidRDefault="009B7A11" w:rsidP="009B7A11">
      <w:pPr>
        <w:tabs>
          <w:tab w:val="left" w:pos="567"/>
        </w:tabs>
        <w:ind w:left="1440"/>
        <w:jc w:val="both"/>
        <w:rPr>
          <w:rFonts w:ascii="Book Antiqua" w:hAnsi="Book Antiqua" w:cs="Arial"/>
          <w:sz w:val="20"/>
          <w:szCs w:val="20"/>
        </w:rPr>
      </w:pPr>
      <w:r w:rsidRPr="009B7A11">
        <w:rPr>
          <w:rFonts w:ascii="Book Antiqua" w:hAnsi="Book Antiqua" w:cs="Arial"/>
          <w:sz w:val="20"/>
          <w:szCs w:val="20"/>
        </w:rPr>
        <w:t>It is arguable that the findings, in the main, are a restatement of the Appellant’s evidence which has been accepted and arguably contain inadequate reasons generally and specifically as to future risk of re-offending to conclude on the evidence that the risk is low, and a lack of consideration of the risk of harm. Permission is granted on all grounds.”</w:t>
      </w:r>
    </w:p>
    <w:p w:rsidR="00405694" w:rsidRDefault="00405694" w:rsidP="00933B65">
      <w:pPr>
        <w:tabs>
          <w:tab w:val="left" w:pos="567"/>
        </w:tabs>
        <w:jc w:val="both"/>
        <w:rPr>
          <w:rFonts w:ascii="Book Antiqua" w:hAnsi="Book Antiqua" w:cs="Arial"/>
        </w:rPr>
      </w:pP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9C3D02" w:rsidRDefault="009C3D02" w:rsidP="00933B65">
      <w:pPr>
        <w:tabs>
          <w:tab w:val="left" w:pos="567"/>
        </w:tabs>
        <w:jc w:val="both"/>
        <w:rPr>
          <w:rFonts w:ascii="Book Antiqua" w:hAnsi="Book Antiqua" w:cs="Arial"/>
        </w:rPr>
      </w:pPr>
    </w:p>
    <w:p w:rsidR="009C3D02" w:rsidRDefault="009C3D02" w:rsidP="009C3D02">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t xml:space="preserve">The grounds of appeal do not seek to argue that the judge erred in his application of the law. The judge made correct reference to the relevant threshold under regulation 21 of the EEA Regulations 2006. The Secretary of State accepted that the appellant had acquired a right of permanent residence and the higher threshold of ‘serious grounds of public policy’ therefore applied [7]. The judge correctly identified that the “critical issue” was whether the appellant represented </w:t>
      </w:r>
      <w:r w:rsidR="0043690B">
        <w:rPr>
          <w:rFonts w:ascii="Book Antiqua" w:hAnsi="Book Antiqua" w:cs="Arial"/>
        </w:rPr>
        <w:t>risk of reoffending</w:t>
      </w:r>
      <w:r w:rsidR="00A94B9A">
        <w:rPr>
          <w:rFonts w:ascii="Book Antiqua" w:hAnsi="Book Antiqua" w:cs="Arial"/>
        </w:rPr>
        <w:t xml:space="preserve"> [9]. He noted that he would need to consider the issue of rehabilitation [10].</w:t>
      </w:r>
    </w:p>
    <w:p w:rsidR="009C3D02" w:rsidRDefault="009C3D02" w:rsidP="00933B65">
      <w:pPr>
        <w:tabs>
          <w:tab w:val="left" w:pos="567"/>
        </w:tabs>
        <w:jc w:val="both"/>
        <w:rPr>
          <w:rFonts w:ascii="Book Antiqua" w:hAnsi="Book Antiqua" w:cs="Arial"/>
        </w:rPr>
      </w:pPr>
    </w:p>
    <w:p w:rsidR="00A94B9A" w:rsidRDefault="00A94B9A" w:rsidP="00A94B9A">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r>
      <w:r>
        <w:rPr>
          <w:rFonts w:ascii="Book Antiqua" w:hAnsi="Book Antiqua" w:cs="Arial"/>
        </w:rPr>
        <w:tab/>
      </w:r>
      <w:r w:rsidR="00867D8D">
        <w:rPr>
          <w:rFonts w:ascii="Book Antiqua" w:hAnsi="Book Antiqua" w:cs="Arial"/>
        </w:rPr>
        <w:t>The</w:t>
      </w:r>
      <w:r w:rsidR="00CB1396">
        <w:rPr>
          <w:rFonts w:ascii="Book Antiqua" w:hAnsi="Book Antiqua" w:cs="Arial"/>
        </w:rPr>
        <w:t xml:space="preserve"> heart of the Secretary of State’s appeal is a reasons challenge. </w:t>
      </w:r>
      <w:r w:rsidR="001E3D2B">
        <w:rPr>
          <w:rFonts w:ascii="Book Antiqua" w:hAnsi="Book Antiqua" w:cs="Arial"/>
        </w:rPr>
        <w:t>It is argued that the judge failed to make adequate findings relating to the public interest considerations including (</w:t>
      </w:r>
      <w:proofErr w:type="spellStart"/>
      <w:r w:rsidR="001E3D2B">
        <w:rPr>
          <w:rFonts w:ascii="Book Antiqua" w:hAnsi="Book Antiqua" w:cs="Arial"/>
        </w:rPr>
        <w:t>i</w:t>
      </w:r>
      <w:proofErr w:type="spellEnd"/>
      <w:r w:rsidR="001E3D2B">
        <w:rPr>
          <w:rFonts w:ascii="Book Antiqua" w:hAnsi="Book Antiqua" w:cs="Arial"/>
        </w:rPr>
        <w:t xml:space="preserve">) the escalation in seriousness of the appellant’s offending behaviour; (ii) the </w:t>
      </w:r>
      <w:r w:rsidR="009A5B3C">
        <w:rPr>
          <w:rFonts w:ascii="Book Antiqua" w:hAnsi="Book Antiqua" w:cs="Arial"/>
        </w:rPr>
        <w:t>OASy</w:t>
      </w:r>
      <w:r w:rsidR="001E3D2B">
        <w:rPr>
          <w:rFonts w:ascii="Book Antiqua" w:hAnsi="Book Antiqua" w:cs="Arial"/>
        </w:rPr>
        <w:t xml:space="preserve">s assessment that the risk of serious harm was </w:t>
      </w:r>
      <w:r w:rsidR="00972E90">
        <w:rPr>
          <w:rFonts w:ascii="Book Antiqua" w:hAnsi="Book Antiqua" w:cs="Arial"/>
        </w:rPr>
        <w:t>‘</w:t>
      </w:r>
      <w:r w:rsidR="001E3D2B">
        <w:rPr>
          <w:rFonts w:ascii="Book Antiqua" w:hAnsi="Book Antiqua" w:cs="Arial"/>
        </w:rPr>
        <w:t>medium</w:t>
      </w:r>
      <w:r w:rsidR="00972E90">
        <w:rPr>
          <w:rFonts w:ascii="Book Antiqua" w:hAnsi="Book Antiqua" w:cs="Arial"/>
        </w:rPr>
        <w:t>’</w:t>
      </w:r>
      <w:r w:rsidR="001E3D2B">
        <w:rPr>
          <w:rFonts w:ascii="Book Antiqua" w:hAnsi="Book Antiqua" w:cs="Arial"/>
        </w:rPr>
        <w:t>;</w:t>
      </w:r>
      <w:r w:rsidR="009A5B3C">
        <w:rPr>
          <w:rFonts w:ascii="Book Antiqua" w:hAnsi="Book Antiqua" w:cs="Arial"/>
        </w:rPr>
        <w:t xml:space="preserve"> (iii) the judge’s sentencing </w:t>
      </w:r>
      <w:r w:rsidR="00972E90">
        <w:rPr>
          <w:rFonts w:ascii="Book Antiqua" w:hAnsi="Book Antiqua" w:cs="Arial"/>
        </w:rPr>
        <w:t>remarks</w:t>
      </w:r>
      <w:r w:rsidR="009A5B3C">
        <w:rPr>
          <w:rFonts w:ascii="Book Antiqua" w:hAnsi="Book Antiqua" w:cs="Arial"/>
        </w:rPr>
        <w:t>; and (iv</w:t>
      </w:r>
      <w:r w:rsidR="001E3D2B">
        <w:rPr>
          <w:rFonts w:ascii="Book Antiqua" w:hAnsi="Book Antiqua" w:cs="Arial"/>
        </w:rPr>
        <w:t xml:space="preserve">) the cumulative effect of a previous conviction in Portugal. </w:t>
      </w:r>
      <w:r w:rsidR="00CB1396">
        <w:rPr>
          <w:rFonts w:ascii="Book Antiqua" w:hAnsi="Book Antiqua" w:cs="Arial"/>
        </w:rPr>
        <w:t xml:space="preserve"> </w:t>
      </w:r>
    </w:p>
    <w:p w:rsidR="00A94B9A" w:rsidRDefault="00A94B9A" w:rsidP="00A94B9A">
      <w:pPr>
        <w:tabs>
          <w:tab w:val="left" w:pos="567"/>
        </w:tabs>
        <w:ind w:left="564" w:hanging="564"/>
        <w:jc w:val="both"/>
        <w:rPr>
          <w:rFonts w:ascii="Book Antiqua" w:hAnsi="Book Antiqua" w:cs="Arial"/>
        </w:rPr>
      </w:pPr>
    </w:p>
    <w:p w:rsidR="00972E90" w:rsidRDefault="00A94B9A" w:rsidP="00A94B9A">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r>
      <w:r w:rsidR="008145BE">
        <w:rPr>
          <w:rFonts w:ascii="Book Antiqua" w:hAnsi="Book Antiqua" w:cs="Arial"/>
        </w:rPr>
        <w:t xml:space="preserve">The judge considered the appellant’s offending history in full </w:t>
      </w:r>
      <w:r>
        <w:rPr>
          <w:rFonts w:ascii="Book Antiqua" w:hAnsi="Book Antiqua" w:cs="Arial"/>
        </w:rPr>
        <w:t>at an early stage of th</w:t>
      </w:r>
      <w:r w:rsidR="008145BE">
        <w:rPr>
          <w:rFonts w:ascii="Book Antiqua" w:hAnsi="Book Antiqua" w:cs="Arial"/>
        </w:rPr>
        <w:t xml:space="preserve">e decision and was clearly aware of the more serious nature of the last offence, which </w:t>
      </w:r>
      <w:r w:rsidR="008145BE">
        <w:rPr>
          <w:rFonts w:ascii="Book Antiqua" w:hAnsi="Book Antiqua" w:cs="Arial"/>
        </w:rPr>
        <w:lastRenderedPageBreak/>
        <w:t xml:space="preserve">prompted the </w:t>
      </w:r>
      <w:r>
        <w:rPr>
          <w:rFonts w:ascii="Book Antiqua" w:hAnsi="Book Antiqua" w:cs="Arial"/>
        </w:rPr>
        <w:t>Secretary of State’s decision [5-6]. The Secretary of State correctly notes</w:t>
      </w:r>
      <w:r w:rsidR="008145BE">
        <w:rPr>
          <w:rFonts w:ascii="Book Antiqua" w:hAnsi="Book Antiqua" w:cs="Arial"/>
        </w:rPr>
        <w:t xml:space="preserve"> that the last offence was an escalation from the </w:t>
      </w:r>
      <w:r>
        <w:rPr>
          <w:rFonts w:ascii="Book Antiqua" w:hAnsi="Book Antiqua" w:cs="Arial"/>
        </w:rPr>
        <w:t>appellant’s previous</w:t>
      </w:r>
      <w:r w:rsidR="008145BE">
        <w:rPr>
          <w:rFonts w:ascii="Book Antiqua" w:hAnsi="Book Antiqua" w:cs="Arial"/>
        </w:rPr>
        <w:t xml:space="preserve"> convictions</w:t>
      </w:r>
      <w:r>
        <w:rPr>
          <w:rFonts w:ascii="Book Antiqua" w:hAnsi="Book Antiqua" w:cs="Arial"/>
        </w:rPr>
        <w:t xml:space="preserve"> in the UK</w:t>
      </w:r>
      <w:r w:rsidR="009A5B3C">
        <w:rPr>
          <w:rFonts w:ascii="Book Antiqua" w:hAnsi="Book Antiqua" w:cs="Arial"/>
        </w:rPr>
        <w:t>. This</w:t>
      </w:r>
      <w:r w:rsidR="008145BE">
        <w:rPr>
          <w:rFonts w:ascii="Book Antiqua" w:hAnsi="Book Antiqua" w:cs="Arial"/>
        </w:rPr>
        <w:t xml:space="preserve"> was the appellant’s first offence for which he</w:t>
      </w:r>
      <w:r w:rsidR="009A5B3C">
        <w:rPr>
          <w:rFonts w:ascii="Book Antiqua" w:hAnsi="Book Antiqua" w:cs="Arial"/>
        </w:rPr>
        <w:t xml:space="preserve"> received a custodial sentence. </w:t>
      </w:r>
    </w:p>
    <w:p w:rsidR="00972E90" w:rsidRDefault="00972E90" w:rsidP="00A94B9A">
      <w:pPr>
        <w:tabs>
          <w:tab w:val="left" w:pos="567"/>
        </w:tabs>
        <w:ind w:left="564" w:hanging="564"/>
        <w:jc w:val="both"/>
        <w:rPr>
          <w:rFonts w:ascii="Book Antiqua" w:hAnsi="Book Antiqua" w:cs="Arial"/>
        </w:rPr>
      </w:pPr>
    </w:p>
    <w:p w:rsidR="00A94B9A" w:rsidRDefault="00A94B9A" w:rsidP="00A94B9A">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r>
      <w:r w:rsidR="00972E90">
        <w:rPr>
          <w:rFonts w:ascii="Book Antiqua" w:hAnsi="Book Antiqua" w:cs="Arial"/>
        </w:rPr>
        <w:t xml:space="preserve">However, it was open to the judge to assess the credibility and sincerity of the appellant as a witness and he also had the benefit of hearing from the appellant’s wife. </w:t>
      </w:r>
      <w:r w:rsidR="008145BE">
        <w:rPr>
          <w:rFonts w:ascii="Book Antiqua" w:hAnsi="Book Antiqua" w:cs="Arial"/>
        </w:rPr>
        <w:t xml:space="preserve">The appellant’s evidence at the hearing was that he had </w:t>
      </w:r>
      <w:r>
        <w:rPr>
          <w:rFonts w:ascii="Book Antiqua" w:hAnsi="Book Antiqua" w:cs="Arial"/>
        </w:rPr>
        <w:t>learned</w:t>
      </w:r>
      <w:r w:rsidR="009A5B3C">
        <w:rPr>
          <w:rFonts w:ascii="Book Antiqua" w:hAnsi="Book Antiqua" w:cs="Arial"/>
        </w:rPr>
        <w:t xml:space="preserve"> from this</w:t>
      </w:r>
      <w:r w:rsidR="008145BE">
        <w:rPr>
          <w:rFonts w:ascii="Book Antiqua" w:hAnsi="Book Antiqua" w:cs="Arial"/>
        </w:rPr>
        <w:t xml:space="preserve"> period of imprisonment. It seems that he </w:t>
      </w:r>
      <w:r>
        <w:rPr>
          <w:rFonts w:ascii="Book Antiqua" w:hAnsi="Book Antiqua" w:cs="Arial"/>
        </w:rPr>
        <w:t>had</w:t>
      </w:r>
      <w:r w:rsidR="008145BE">
        <w:rPr>
          <w:rFonts w:ascii="Book Antiqua" w:hAnsi="Book Antiqua" w:cs="Arial"/>
        </w:rPr>
        <w:t xml:space="preserve"> time to reflect on his behaviour and the effect that it had on his wife and children. He </w:t>
      </w:r>
      <w:r>
        <w:rPr>
          <w:rFonts w:ascii="Book Antiqua" w:hAnsi="Book Antiqua" w:cs="Arial"/>
        </w:rPr>
        <w:t>acknowledged</w:t>
      </w:r>
      <w:r w:rsidR="008145BE">
        <w:rPr>
          <w:rFonts w:ascii="Book Antiqua" w:hAnsi="Book Antiqua" w:cs="Arial"/>
        </w:rPr>
        <w:t xml:space="preserve"> that his drinking was the root cause of his criminal behaviour. </w:t>
      </w:r>
      <w:r>
        <w:rPr>
          <w:rFonts w:ascii="Book Antiqua" w:hAnsi="Book Antiqua" w:cs="Arial"/>
        </w:rPr>
        <w:t>This was consisten</w:t>
      </w:r>
      <w:r w:rsidR="009A5B3C">
        <w:rPr>
          <w:rFonts w:ascii="Book Antiqua" w:hAnsi="Book Antiqua" w:cs="Arial"/>
        </w:rPr>
        <w:t>t with what was said in the OASy</w:t>
      </w:r>
      <w:r>
        <w:rPr>
          <w:rFonts w:ascii="Book Antiqua" w:hAnsi="Book Antiqua" w:cs="Arial"/>
        </w:rPr>
        <w:t xml:space="preserve">s assessment. </w:t>
      </w:r>
      <w:r w:rsidR="008145BE">
        <w:rPr>
          <w:rFonts w:ascii="Book Antiqua" w:hAnsi="Book Antiqua" w:cs="Arial"/>
        </w:rPr>
        <w:t xml:space="preserve">The evidence of the appellant and his wife was consistent in saying that he had now stopped drinking. </w:t>
      </w:r>
      <w:r>
        <w:rPr>
          <w:rFonts w:ascii="Book Antiqua" w:hAnsi="Book Antiqua" w:cs="Arial"/>
        </w:rPr>
        <w:t xml:space="preserve">Having heard from the witnesses it was open to the </w:t>
      </w:r>
      <w:r w:rsidR="0043690B">
        <w:rPr>
          <w:rFonts w:ascii="Book Antiqua" w:hAnsi="Book Antiqua" w:cs="Arial"/>
        </w:rPr>
        <w:t xml:space="preserve">judge to accept the credibility and sincerity of their evidence. It was sufficient for him to say that the appellant’s evidence was “consistent and credible” having assessed the appellant during the hearing. </w:t>
      </w:r>
    </w:p>
    <w:p w:rsidR="00A94B9A" w:rsidRDefault="00A94B9A" w:rsidP="00A94B9A">
      <w:pPr>
        <w:tabs>
          <w:tab w:val="left" w:pos="567"/>
        </w:tabs>
        <w:ind w:left="564" w:hanging="564"/>
        <w:jc w:val="both"/>
        <w:rPr>
          <w:rFonts w:ascii="Book Antiqua" w:hAnsi="Book Antiqua" w:cs="Arial"/>
        </w:rPr>
      </w:pPr>
    </w:p>
    <w:p w:rsidR="00015311" w:rsidRDefault="0043690B" w:rsidP="0043690B">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r>
      <w:r>
        <w:rPr>
          <w:rFonts w:ascii="Book Antiqua" w:hAnsi="Book Antiqua" w:cs="Arial"/>
        </w:rPr>
        <w:tab/>
      </w:r>
      <w:r w:rsidR="008145BE">
        <w:rPr>
          <w:rFonts w:ascii="Book Antiqua" w:hAnsi="Book Antiqua" w:cs="Arial"/>
        </w:rPr>
        <w:t xml:space="preserve">It was open to the judge to </w:t>
      </w:r>
      <w:r>
        <w:rPr>
          <w:rFonts w:ascii="Book Antiqua" w:hAnsi="Book Antiqua" w:cs="Arial"/>
        </w:rPr>
        <w:t>consider</w:t>
      </w:r>
      <w:r w:rsidR="008145BE">
        <w:rPr>
          <w:rFonts w:ascii="Book Antiqua" w:hAnsi="Book Antiqua" w:cs="Arial"/>
        </w:rPr>
        <w:t xml:space="preserve"> </w:t>
      </w:r>
      <w:r w:rsidR="0028055A">
        <w:rPr>
          <w:rFonts w:ascii="Book Antiqua" w:hAnsi="Book Antiqua" w:cs="Arial"/>
        </w:rPr>
        <w:t>the evidence contained in the OASys report and the appellant’s antecedents contained in the PNC print out</w:t>
      </w:r>
      <w:r w:rsidR="008145BE">
        <w:rPr>
          <w:rFonts w:ascii="Book Antiqua" w:hAnsi="Book Antiqua" w:cs="Arial"/>
        </w:rPr>
        <w:t xml:space="preserve">. </w:t>
      </w:r>
      <w:r w:rsidR="00015311">
        <w:rPr>
          <w:rFonts w:ascii="Book Antiqua" w:hAnsi="Book Antiqua" w:cs="Arial"/>
        </w:rPr>
        <w:t>The</w:t>
      </w:r>
      <w:r w:rsidR="008145BE">
        <w:rPr>
          <w:rFonts w:ascii="Book Antiqua" w:hAnsi="Book Antiqua" w:cs="Arial"/>
        </w:rPr>
        <w:t xml:space="preserve"> report acknowledged that if he did offend the risk of serious harm was </w:t>
      </w:r>
      <w:r>
        <w:rPr>
          <w:rFonts w:ascii="Book Antiqua" w:hAnsi="Book Antiqua" w:cs="Arial"/>
        </w:rPr>
        <w:t>‘</w:t>
      </w:r>
      <w:r w:rsidR="008145BE">
        <w:rPr>
          <w:rFonts w:ascii="Book Antiqua" w:hAnsi="Book Antiqua" w:cs="Arial"/>
        </w:rPr>
        <w:t>medium</w:t>
      </w:r>
      <w:r>
        <w:rPr>
          <w:rFonts w:ascii="Book Antiqua" w:hAnsi="Book Antiqua" w:cs="Arial"/>
        </w:rPr>
        <w:t>’</w:t>
      </w:r>
      <w:r w:rsidR="008145BE">
        <w:rPr>
          <w:rFonts w:ascii="Book Antiqua" w:hAnsi="Book Antiqua" w:cs="Arial"/>
        </w:rPr>
        <w:t xml:space="preserve">, </w:t>
      </w:r>
      <w:r w:rsidR="00015311">
        <w:rPr>
          <w:rFonts w:ascii="Book Antiqua" w:hAnsi="Book Antiqua" w:cs="Arial"/>
        </w:rPr>
        <w:t xml:space="preserve">but that reflected the </w:t>
      </w:r>
      <w:r w:rsidR="008145BE">
        <w:rPr>
          <w:rFonts w:ascii="Book Antiqua" w:hAnsi="Book Antiqua" w:cs="Arial"/>
        </w:rPr>
        <w:t xml:space="preserve">nature of the offence the appellant committed, which was a serious assault. </w:t>
      </w:r>
      <w:r w:rsidR="00015311">
        <w:rPr>
          <w:rFonts w:ascii="Book Antiqua" w:hAnsi="Book Antiqua" w:cs="Arial"/>
        </w:rPr>
        <w:t xml:space="preserve">However, the </w:t>
      </w:r>
      <w:r w:rsidR="0028055A">
        <w:rPr>
          <w:rFonts w:ascii="Book Antiqua" w:hAnsi="Book Antiqua" w:cs="Arial"/>
        </w:rPr>
        <w:t xml:space="preserve">OASys </w:t>
      </w:r>
      <w:r w:rsidR="00015311">
        <w:rPr>
          <w:rFonts w:ascii="Book Antiqua" w:hAnsi="Book Antiqua" w:cs="Arial"/>
        </w:rPr>
        <w:t>report defines a ‘medium risk of serious harm’ as</w:t>
      </w:r>
      <w:r w:rsidR="00972E90">
        <w:rPr>
          <w:rFonts w:ascii="Book Antiqua" w:hAnsi="Book Antiqua" w:cs="Arial"/>
        </w:rPr>
        <w:t xml:space="preserve"> follows</w:t>
      </w:r>
      <w:r w:rsidR="00015311">
        <w:rPr>
          <w:rFonts w:ascii="Book Antiqua" w:hAnsi="Book Antiqua" w:cs="Arial"/>
        </w:rPr>
        <w:t xml:space="preserve">: “an offender has the potential to cause serious harm but is unlikely to do so unless there is a change in circumstances, for example, … drug or alcohol misuse.” </w:t>
      </w:r>
      <w:r w:rsidR="009A5B3C">
        <w:rPr>
          <w:rFonts w:ascii="Book Antiqua" w:hAnsi="Book Antiqua" w:cs="Arial"/>
        </w:rPr>
        <w:t>The decision letter states that the offender manager assessed the appellant to pose a 39% ri</w:t>
      </w:r>
      <w:r w:rsidR="005B29C5">
        <w:rPr>
          <w:rFonts w:ascii="Book Antiqua" w:hAnsi="Book Antiqua" w:cs="Arial"/>
        </w:rPr>
        <w:t>sk of general offending within one</w:t>
      </w:r>
      <w:r w:rsidR="009A5B3C">
        <w:rPr>
          <w:rFonts w:ascii="Book Antiqua" w:hAnsi="Book Antiqua" w:cs="Arial"/>
        </w:rPr>
        <w:t xml:space="preserve"> year of community sentence/discharge. </w:t>
      </w:r>
      <w:r w:rsidR="00EB4C37">
        <w:rPr>
          <w:rFonts w:ascii="Book Antiqua" w:hAnsi="Book Antiqua" w:cs="Arial"/>
        </w:rPr>
        <w:t xml:space="preserve">At the date of the hearing, </w:t>
      </w:r>
      <w:r w:rsidR="005B29C5">
        <w:rPr>
          <w:rFonts w:ascii="Book Antiqua" w:hAnsi="Book Antiqua" w:cs="Arial"/>
        </w:rPr>
        <w:t>a year and a half</w:t>
      </w:r>
      <w:r w:rsidR="0028055A">
        <w:rPr>
          <w:rFonts w:ascii="Book Antiqua" w:hAnsi="Book Antiqua" w:cs="Arial"/>
        </w:rPr>
        <w:t xml:space="preserve"> after his release from prison, the appellant had not reoffended.</w:t>
      </w:r>
    </w:p>
    <w:p w:rsidR="00DA30D6" w:rsidRDefault="00DA30D6" w:rsidP="0043690B">
      <w:pPr>
        <w:tabs>
          <w:tab w:val="left" w:pos="567"/>
        </w:tabs>
        <w:ind w:left="564" w:hanging="564"/>
        <w:jc w:val="both"/>
        <w:rPr>
          <w:rFonts w:ascii="Book Antiqua" w:hAnsi="Book Antiqua" w:cs="Arial"/>
        </w:rPr>
      </w:pPr>
    </w:p>
    <w:p w:rsidR="00B52037" w:rsidRDefault="00DA30D6" w:rsidP="00B52037">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t>The judge</w:t>
      </w:r>
      <w:r w:rsidR="008145BE">
        <w:rPr>
          <w:rFonts w:ascii="Book Antiqua" w:hAnsi="Book Antiqua" w:cs="Arial"/>
        </w:rPr>
        <w:t xml:space="preserve"> could have conducted a more detailed analysis of the OASYs report, but I conclude that it </w:t>
      </w:r>
      <w:r>
        <w:rPr>
          <w:rFonts w:ascii="Book Antiqua" w:hAnsi="Book Antiqua" w:cs="Arial"/>
        </w:rPr>
        <w:t>would have made no material difference to the outcome of the appeal in</w:t>
      </w:r>
      <w:r w:rsidR="008145BE">
        <w:rPr>
          <w:rFonts w:ascii="Book Antiqua" w:hAnsi="Book Antiqua" w:cs="Arial"/>
        </w:rPr>
        <w:t xml:space="preserve"> circumstances where the evidence showed that the risk of reoffending was </w:t>
      </w:r>
      <w:r w:rsidR="00EB4C37">
        <w:rPr>
          <w:rFonts w:ascii="Book Antiqua" w:hAnsi="Book Antiqua" w:cs="Arial"/>
        </w:rPr>
        <w:t>likely to be low</w:t>
      </w:r>
      <w:r w:rsidR="00972E90" w:rsidRPr="00972E90">
        <w:rPr>
          <w:rFonts w:ascii="Book Antiqua" w:hAnsi="Book Antiqua" w:cs="Arial"/>
        </w:rPr>
        <w:t xml:space="preserve"> </w:t>
      </w:r>
      <w:r w:rsidR="00972E90">
        <w:rPr>
          <w:rFonts w:ascii="Book Antiqua" w:hAnsi="Book Antiqua" w:cs="Arial"/>
        </w:rPr>
        <w:t>at the date of the hearing</w:t>
      </w:r>
      <w:r w:rsidR="00EB4C37">
        <w:rPr>
          <w:rFonts w:ascii="Book Antiqua" w:hAnsi="Book Antiqua" w:cs="Arial"/>
        </w:rPr>
        <w:t>. After having heard</w:t>
      </w:r>
      <w:r w:rsidR="008145BE">
        <w:rPr>
          <w:rFonts w:ascii="Book Antiqua" w:hAnsi="Book Antiqua" w:cs="Arial"/>
        </w:rPr>
        <w:t xml:space="preserve"> from the appellant that he had addressed one of the root causes of his offending</w:t>
      </w:r>
      <w:r w:rsidR="00EB4C37">
        <w:rPr>
          <w:rFonts w:ascii="Book Antiqua" w:hAnsi="Book Antiqua" w:cs="Arial"/>
        </w:rPr>
        <w:t>,</w:t>
      </w:r>
      <w:r w:rsidR="008145BE">
        <w:rPr>
          <w:rFonts w:ascii="Book Antiqua" w:hAnsi="Book Antiqua" w:cs="Arial"/>
        </w:rPr>
        <w:t xml:space="preserve"> and in circumstances wher</w:t>
      </w:r>
      <w:r w:rsidR="00972E90">
        <w:rPr>
          <w:rFonts w:ascii="Book Antiqua" w:hAnsi="Book Antiqua" w:cs="Arial"/>
        </w:rPr>
        <w:t>e the appellant had not</w:t>
      </w:r>
      <w:r w:rsidR="008145BE">
        <w:rPr>
          <w:rFonts w:ascii="Book Antiqua" w:hAnsi="Book Antiqua" w:cs="Arial"/>
        </w:rPr>
        <w:t xml:space="preserve"> </w:t>
      </w:r>
      <w:r w:rsidR="00972E90">
        <w:rPr>
          <w:rFonts w:ascii="Book Antiqua" w:hAnsi="Book Antiqua" w:cs="Arial"/>
        </w:rPr>
        <w:t>as a matter of fact</w:t>
      </w:r>
      <w:r>
        <w:rPr>
          <w:rFonts w:ascii="Book Antiqua" w:hAnsi="Book Antiqua" w:cs="Arial"/>
        </w:rPr>
        <w:t xml:space="preserve"> </w:t>
      </w:r>
      <w:r w:rsidR="0028055A">
        <w:rPr>
          <w:rFonts w:ascii="Book Antiqua" w:hAnsi="Book Antiqua" w:cs="Arial"/>
        </w:rPr>
        <w:t>reoffended</w:t>
      </w:r>
      <w:r w:rsidR="008145BE">
        <w:rPr>
          <w:rFonts w:ascii="Book Antiqua" w:hAnsi="Book Antiqua" w:cs="Arial"/>
        </w:rPr>
        <w:t xml:space="preserve">, it was open to the judge to conclude that </w:t>
      </w:r>
      <w:r w:rsidR="0028055A">
        <w:rPr>
          <w:rFonts w:ascii="Book Antiqua" w:hAnsi="Book Antiqua" w:cs="Arial"/>
        </w:rPr>
        <w:t xml:space="preserve">the risk he posed was not sufficiently serious to justify his removal on grounds of public policy. </w:t>
      </w:r>
    </w:p>
    <w:p w:rsidR="00B52037" w:rsidRDefault="00B52037" w:rsidP="00B52037">
      <w:pPr>
        <w:tabs>
          <w:tab w:val="left" w:pos="567"/>
        </w:tabs>
        <w:ind w:left="564" w:hanging="564"/>
        <w:jc w:val="both"/>
        <w:rPr>
          <w:rFonts w:ascii="Book Antiqua" w:hAnsi="Book Antiqua" w:cs="Arial"/>
        </w:rPr>
      </w:pPr>
    </w:p>
    <w:p w:rsidR="00DA30D6" w:rsidRDefault="00B52037" w:rsidP="00B52037">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r>
      <w:r w:rsidR="00B02674">
        <w:rPr>
          <w:rFonts w:ascii="Book Antiqua" w:hAnsi="Book Antiqua" w:cs="Arial"/>
        </w:rPr>
        <w:t xml:space="preserve">The sentencing judge described the offence as a “vicious and violent street offence”. Undoubtedly it </w:t>
      </w:r>
      <w:r w:rsidR="0028055A">
        <w:rPr>
          <w:rFonts w:ascii="Book Antiqua" w:hAnsi="Book Antiqua" w:cs="Arial"/>
        </w:rPr>
        <w:t xml:space="preserve">was; </w:t>
      </w:r>
      <w:r w:rsidR="00B02674">
        <w:rPr>
          <w:rFonts w:ascii="Book Antiqua" w:hAnsi="Book Antiqua" w:cs="Arial"/>
        </w:rPr>
        <w:t xml:space="preserve">this was reflected in a custodial sentence. </w:t>
      </w:r>
      <w:r w:rsidR="008145BE">
        <w:rPr>
          <w:rFonts w:ascii="Book Antiqua" w:hAnsi="Book Antiqua" w:cs="Arial"/>
        </w:rPr>
        <w:t xml:space="preserve">In so far as there was an indication of a previous conviction </w:t>
      </w:r>
      <w:r>
        <w:rPr>
          <w:rFonts w:ascii="Book Antiqua" w:hAnsi="Book Antiqua" w:cs="Arial"/>
        </w:rPr>
        <w:t xml:space="preserve">for common assault </w:t>
      </w:r>
      <w:r w:rsidR="008145BE">
        <w:rPr>
          <w:rFonts w:ascii="Book Antiqua" w:hAnsi="Book Antiqua" w:cs="Arial"/>
        </w:rPr>
        <w:t xml:space="preserve">in Portugal, it seems that the evidence relating to that conviction was </w:t>
      </w:r>
      <w:r>
        <w:rPr>
          <w:rFonts w:ascii="Book Antiqua" w:hAnsi="Book Antiqua" w:cs="Arial"/>
        </w:rPr>
        <w:t>vague</w:t>
      </w:r>
      <w:r w:rsidR="00DA30D6">
        <w:rPr>
          <w:rFonts w:ascii="Book Antiqua" w:hAnsi="Book Antiqua" w:cs="Arial"/>
        </w:rPr>
        <w:t>,</w:t>
      </w:r>
      <w:r w:rsidR="008145BE">
        <w:rPr>
          <w:rFonts w:ascii="Book Antiqua" w:hAnsi="Book Antiqua" w:cs="Arial"/>
        </w:rPr>
        <w:t xml:space="preserve"> albeit </w:t>
      </w:r>
      <w:r w:rsidR="00DA30D6">
        <w:rPr>
          <w:rFonts w:ascii="Book Antiqua" w:hAnsi="Book Antiqua" w:cs="Arial"/>
        </w:rPr>
        <w:t xml:space="preserve">I am told that it </w:t>
      </w:r>
      <w:r w:rsidR="008145BE">
        <w:rPr>
          <w:rFonts w:ascii="Book Antiqua" w:hAnsi="Book Antiqua" w:cs="Arial"/>
        </w:rPr>
        <w:t xml:space="preserve">was not denied by the appellant. It appears that the sentencing judge placed little weight on that conviction when he considered the most recent sentence, not only because it was historical, but also because there was little evidence of the circumstances of that offence. </w:t>
      </w:r>
      <w:r w:rsidR="00EB4C37">
        <w:rPr>
          <w:rFonts w:ascii="Book Antiqua" w:hAnsi="Book Antiqua" w:cs="Arial"/>
        </w:rPr>
        <w:t xml:space="preserve">Ms Fijiwala was unable to point me to any other evidence relating to the conviction in Portugal. </w:t>
      </w:r>
      <w:r w:rsidR="00B02674">
        <w:rPr>
          <w:rFonts w:ascii="Book Antiqua" w:hAnsi="Book Antiqua" w:cs="Arial"/>
        </w:rPr>
        <w:t xml:space="preserve">The sentencing judge </w:t>
      </w:r>
      <w:r>
        <w:rPr>
          <w:rFonts w:ascii="Book Antiqua" w:hAnsi="Book Antiqua" w:cs="Arial"/>
        </w:rPr>
        <w:t>took into account</w:t>
      </w:r>
      <w:r w:rsidR="008145BE">
        <w:rPr>
          <w:rFonts w:ascii="Book Antiqua" w:hAnsi="Book Antiqua" w:cs="Arial"/>
        </w:rPr>
        <w:t xml:space="preserve"> positive factors</w:t>
      </w:r>
      <w:r w:rsidR="00DA30D6">
        <w:rPr>
          <w:rFonts w:ascii="Book Antiqua" w:hAnsi="Book Antiqua" w:cs="Arial"/>
        </w:rPr>
        <w:t xml:space="preserve"> in </w:t>
      </w:r>
      <w:r w:rsidR="00DA30D6">
        <w:rPr>
          <w:rFonts w:ascii="Book Antiqua" w:hAnsi="Book Antiqua" w:cs="Arial"/>
        </w:rPr>
        <w:lastRenderedPageBreak/>
        <w:t>mitigation</w:t>
      </w:r>
      <w:r w:rsidR="008145BE">
        <w:rPr>
          <w:rFonts w:ascii="Book Antiqua" w:hAnsi="Book Antiqua" w:cs="Arial"/>
        </w:rPr>
        <w:t xml:space="preserve">, which </w:t>
      </w:r>
      <w:r>
        <w:rPr>
          <w:rFonts w:ascii="Book Antiqua" w:hAnsi="Book Antiqua" w:cs="Arial"/>
        </w:rPr>
        <w:t>included</w:t>
      </w:r>
      <w:r w:rsidR="008145BE">
        <w:rPr>
          <w:rFonts w:ascii="Book Antiqua" w:hAnsi="Book Antiqua" w:cs="Arial"/>
        </w:rPr>
        <w:t xml:space="preserve"> </w:t>
      </w:r>
      <w:r w:rsidR="00DA30D6">
        <w:rPr>
          <w:rFonts w:ascii="Book Antiqua" w:hAnsi="Book Antiqua" w:cs="Arial"/>
        </w:rPr>
        <w:t xml:space="preserve">the fact that the appellant </w:t>
      </w:r>
      <w:r>
        <w:rPr>
          <w:rFonts w:ascii="Book Antiqua" w:hAnsi="Book Antiqua" w:cs="Arial"/>
        </w:rPr>
        <w:t>was in a</w:t>
      </w:r>
      <w:r w:rsidR="00DA30D6">
        <w:rPr>
          <w:rFonts w:ascii="Book Antiqua" w:hAnsi="Book Antiqua" w:cs="Arial"/>
        </w:rPr>
        <w:t xml:space="preserve"> steady relationship with his wife. </w:t>
      </w:r>
    </w:p>
    <w:p w:rsidR="00DA30D6" w:rsidRDefault="00DA30D6" w:rsidP="00DA30D6">
      <w:pPr>
        <w:tabs>
          <w:tab w:val="left" w:pos="567"/>
        </w:tabs>
        <w:ind w:left="564" w:hanging="564"/>
        <w:jc w:val="both"/>
        <w:rPr>
          <w:rFonts w:ascii="Book Antiqua" w:hAnsi="Book Antiqua" w:cs="Arial"/>
        </w:rPr>
      </w:pPr>
    </w:p>
    <w:p w:rsidR="00AC2F81" w:rsidRDefault="00AC2F81" w:rsidP="00AC2F81">
      <w:pPr>
        <w:tabs>
          <w:tab w:val="left" w:pos="567"/>
        </w:tabs>
        <w:ind w:left="564" w:hanging="564"/>
        <w:jc w:val="both"/>
        <w:rPr>
          <w:rFonts w:ascii="Book Antiqua" w:hAnsi="Book Antiqua" w:cs="Arial"/>
        </w:rPr>
      </w:pPr>
      <w:r>
        <w:rPr>
          <w:rFonts w:ascii="Book Antiqua" w:hAnsi="Book Antiqua" w:cs="Arial"/>
        </w:rPr>
        <w:t>12.</w:t>
      </w:r>
      <w:r>
        <w:rPr>
          <w:rFonts w:ascii="Book Antiqua" w:hAnsi="Book Antiqua" w:cs="Arial"/>
        </w:rPr>
        <w:tab/>
      </w:r>
      <w:r w:rsidR="00B02674">
        <w:rPr>
          <w:rFonts w:ascii="Book Antiqua" w:hAnsi="Book Antiqua" w:cs="Arial"/>
        </w:rPr>
        <w:t>Although</w:t>
      </w:r>
      <w:r w:rsidR="008145BE">
        <w:rPr>
          <w:rFonts w:ascii="Book Antiqua" w:hAnsi="Book Antiqua" w:cs="Arial"/>
        </w:rPr>
        <w:t xml:space="preserve"> the judge could </w:t>
      </w:r>
      <w:r w:rsidR="00B02674">
        <w:rPr>
          <w:rFonts w:ascii="Book Antiqua" w:hAnsi="Book Antiqua" w:cs="Arial"/>
        </w:rPr>
        <w:t>have conducted a more detailed analysis of the evidence</w:t>
      </w:r>
      <w:r w:rsidR="008145BE">
        <w:rPr>
          <w:rFonts w:ascii="Book Antiqua" w:hAnsi="Book Antiqua" w:cs="Arial"/>
        </w:rPr>
        <w:t>, what he did say was adequate and sustainable</w:t>
      </w:r>
      <w:r>
        <w:rPr>
          <w:rFonts w:ascii="Book Antiqua" w:hAnsi="Book Antiqua" w:cs="Arial"/>
        </w:rPr>
        <w:t xml:space="preserve"> on the facts of this case</w:t>
      </w:r>
      <w:r w:rsidR="008145BE">
        <w:rPr>
          <w:rFonts w:ascii="Book Antiqua" w:hAnsi="Book Antiqua" w:cs="Arial"/>
        </w:rPr>
        <w:t>.</w:t>
      </w:r>
      <w:r w:rsidR="002D4F8A" w:rsidRPr="002D4F8A">
        <w:rPr>
          <w:rFonts w:ascii="Book Antiqua" w:hAnsi="Book Antiqua" w:cs="Arial"/>
        </w:rPr>
        <w:t xml:space="preserve"> </w:t>
      </w:r>
      <w:r w:rsidR="002D4F8A">
        <w:rPr>
          <w:rFonts w:ascii="Book Antiqua" w:hAnsi="Book Antiqua" w:cs="Arial"/>
        </w:rPr>
        <w:t xml:space="preserve">Albeit there was an escalation in the seriousness of the appellant’s offending, there was little evidence to indicate that he continued to present a risk at the date of the hearing or that it was of such a serious nature to overcome the higher threshold required in cases involving EEA nationals with permanent residence. </w:t>
      </w:r>
      <w:r w:rsidR="008145BE">
        <w:rPr>
          <w:rFonts w:ascii="Book Antiqua" w:hAnsi="Book Antiqua" w:cs="Arial"/>
        </w:rPr>
        <w:t xml:space="preserve"> </w:t>
      </w:r>
      <w:r w:rsidR="00B02674">
        <w:rPr>
          <w:rFonts w:ascii="Book Antiqua" w:hAnsi="Book Antiqua" w:cs="Arial"/>
        </w:rPr>
        <w:t>The evidence showed that the appellant had not reoffended in the period since his release and the judge was satisfied that he had given credible evidence to indicate that he had addressed the main cause of his violent behaviour, which was rooted i</w:t>
      </w:r>
      <w:r>
        <w:rPr>
          <w:rFonts w:ascii="Book Antiqua" w:hAnsi="Book Antiqua" w:cs="Arial"/>
        </w:rPr>
        <w:t>n his use of alcohol.</w:t>
      </w:r>
      <w:r w:rsidR="002D4F8A">
        <w:rPr>
          <w:rFonts w:ascii="Book Antiqua" w:hAnsi="Book Antiqua" w:cs="Arial"/>
        </w:rPr>
        <w:t xml:space="preserve"> The judge took into account the fact that the appellant had shown remorse and was entitled to conclude that it was unlikely that he would reoffend. The judge also considered the appellant’s family circumstances and the likely effect of his removal on his wife and children, which were relevant to the proportionality of the decision. </w:t>
      </w:r>
    </w:p>
    <w:p w:rsidR="002D4F8A" w:rsidRDefault="002D4F8A" w:rsidP="00AC2F81">
      <w:pPr>
        <w:tabs>
          <w:tab w:val="left" w:pos="567"/>
        </w:tabs>
        <w:ind w:left="564" w:hanging="564"/>
        <w:jc w:val="both"/>
        <w:rPr>
          <w:rFonts w:ascii="Book Antiqua" w:hAnsi="Book Antiqua" w:cs="Arial"/>
        </w:rPr>
      </w:pPr>
    </w:p>
    <w:p w:rsidR="00B52037" w:rsidRDefault="00AC2F81" w:rsidP="00AC2F81">
      <w:pPr>
        <w:tabs>
          <w:tab w:val="left" w:pos="567"/>
        </w:tabs>
        <w:ind w:left="564" w:hanging="564"/>
        <w:jc w:val="both"/>
        <w:rPr>
          <w:rFonts w:ascii="Book Antiqua" w:hAnsi="Book Antiqua" w:cs="Arial"/>
        </w:rPr>
      </w:pPr>
      <w:r>
        <w:rPr>
          <w:rFonts w:ascii="Book Antiqua" w:hAnsi="Book Antiqua" w:cs="Arial"/>
        </w:rPr>
        <w:t>13.</w:t>
      </w:r>
      <w:r>
        <w:rPr>
          <w:rFonts w:ascii="Book Antiqua" w:hAnsi="Book Antiqua" w:cs="Arial"/>
        </w:rPr>
        <w:tab/>
        <w:t xml:space="preserve">Even if the judge erred in failing to give sufficient reasons, it is not arguable that the factors highlighted by the respondent would have made any material difference to the outcome of the appeal given that ‘serious grounds of public policy’ would need to be shown to remove the appellant from the UK. </w:t>
      </w:r>
      <w:r w:rsidR="00B52037">
        <w:rPr>
          <w:rFonts w:ascii="Book Antiqua" w:hAnsi="Book Antiqua" w:cs="Arial"/>
        </w:rPr>
        <w:t xml:space="preserve">Arguably, his antecedents might have justified removal on grounds of public policy, but even with the most recent conviction, his criminal history was </w:t>
      </w:r>
      <w:r w:rsidR="00972E90">
        <w:rPr>
          <w:rFonts w:ascii="Book Antiqua" w:hAnsi="Book Antiqua" w:cs="Arial"/>
        </w:rPr>
        <w:t>not</w:t>
      </w:r>
      <w:r w:rsidR="00B52037">
        <w:rPr>
          <w:rFonts w:ascii="Book Antiqua" w:hAnsi="Book Antiqua" w:cs="Arial"/>
        </w:rPr>
        <w:t xml:space="preserve"> sufficiently serious to overcome the higher threshold. For these reasons I conclude that i</w:t>
      </w:r>
      <w:r>
        <w:rPr>
          <w:rFonts w:ascii="Book Antiqua" w:hAnsi="Book Antiqua" w:cs="Arial"/>
        </w:rPr>
        <w:t xml:space="preserve">t was open to the judge to find that the appellant did not ‘represent a genuine, present and sufficiently serious threat to one of the fundamental interests of society’ at the date of the hearing. </w:t>
      </w:r>
    </w:p>
    <w:p w:rsidR="00B52037" w:rsidRDefault="00B52037" w:rsidP="00AC2F81">
      <w:pPr>
        <w:tabs>
          <w:tab w:val="left" w:pos="567"/>
        </w:tabs>
        <w:ind w:left="564" w:hanging="564"/>
        <w:jc w:val="both"/>
        <w:rPr>
          <w:rFonts w:ascii="Book Antiqua" w:hAnsi="Book Antiqua" w:cs="Arial"/>
        </w:rPr>
      </w:pPr>
    </w:p>
    <w:p w:rsidR="00405694" w:rsidRDefault="00B52037" w:rsidP="00AC2F81">
      <w:pPr>
        <w:tabs>
          <w:tab w:val="left" w:pos="567"/>
        </w:tabs>
        <w:ind w:left="564" w:hanging="564"/>
        <w:jc w:val="both"/>
        <w:rPr>
          <w:rFonts w:ascii="Book Antiqua" w:hAnsi="Book Antiqua" w:cs="Arial"/>
        </w:rPr>
      </w:pPr>
      <w:r>
        <w:rPr>
          <w:rFonts w:ascii="Book Antiqua" w:hAnsi="Book Antiqua" w:cs="Arial"/>
        </w:rPr>
        <w:t>14.</w:t>
      </w:r>
      <w:r>
        <w:rPr>
          <w:rFonts w:ascii="Book Antiqua" w:hAnsi="Book Antiqua" w:cs="Arial"/>
        </w:rPr>
        <w:tab/>
      </w:r>
      <w:r w:rsidR="00AC2F81">
        <w:rPr>
          <w:rFonts w:ascii="Book Antiqua" w:hAnsi="Book Antiqua" w:cs="Arial"/>
        </w:rPr>
        <w:t xml:space="preserve">I conclude that the First-tier Tribunal decision did not involve the making of an error on a point of law. </w:t>
      </w:r>
    </w:p>
    <w:p w:rsidR="002D4F8A" w:rsidRDefault="002D4F8A" w:rsidP="00AC2F81">
      <w:pPr>
        <w:tabs>
          <w:tab w:val="left" w:pos="567"/>
        </w:tabs>
        <w:ind w:left="564" w:hanging="564"/>
        <w:jc w:val="both"/>
        <w:rPr>
          <w:rFonts w:ascii="Book Antiqua" w:hAnsi="Book Antiqua" w:cs="Arial"/>
        </w:rPr>
      </w:pPr>
    </w:p>
    <w:p w:rsidR="002D4F8A" w:rsidRDefault="002D4F8A" w:rsidP="00AC2F81">
      <w:pPr>
        <w:tabs>
          <w:tab w:val="left" w:pos="567"/>
        </w:tabs>
        <w:ind w:left="564" w:hanging="564"/>
        <w:jc w:val="both"/>
        <w:rPr>
          <w:rFonts w:ascii="Book Antiqua" w:hAnsi="Book Antiqua" w:cs="Arial"/>
        </w:rPr>
      </w:pPr>
      <w:r>
        <w:rPr>
          <w:rFonts w:ascii="Book Antiqua" w:hAnsi="Book Antiqua" w:cs="Arial"/>
        </w:rPr>
        <w:t>15.</w:t>
      </w:r>
      <w:r>
        <w:rPr>
          <w:rFonts w:ascii="Book Antiqua" w:hAnsi="Book Antiqua" w:cs="Arial"/>
        </w:rPr>
        <w:tab/>
        <w:t xml:space="preserve">The appellant succeeded in his appeal on this occasion, but he should be aware that if he commits any further offences in the UK it </w:t>
      </w:r>
      <w:r w:rsidR="004A4602">
        <w:rPr>
          <w:rFonts w:ascii="Book Antiqua" w:hAnsi="Book Antiqua" w:cs="Arial"/>
        </w:rPr>
        <w:t>would be</w:t>
      </w:r>
      <w:r>
        <w:rPr>
          <w:rFonts w:ascii="Book Antiqua" w:hAnsi="Book Antiqua" w:cs="Arial"/>
        </w:rPr>
        <w:t xml:space="preserve"> open to the Secretary of State to consider whether his behaviour </w:t>
      </w:r>
      <w:r w:rsidR="004A4602">
        <w:rPr>
          <w:rFonts w:ascii="Book Antiqua" w:hAnsi="Book Antiqua" w:cs="Arial"/>
        </w:rPr>
        <w:t xml:space="preserve">might justify his removal on another occasion. </w:t>
      </w:r>
    </w:p>
    <w:p w:rsidR="00B52037" w:rsidRDefault="00B52037" w:rsidP="00A94B9A">
      <w:pPr>
        <w:tabs>
          <w:tab w:val="left" w:pos="567"/>
        </w:tabs>
        <w:jc w:val="both"/>
        <w:rPr>
          <w:rFonts w:ascii="Book Antiqua" w:hAnsi="Book Antiqua" w:cs="Arial"/>
        </w:rPr>
      </w:pPr>
    </w:p>
    <w:p w:rsidR="00AC2F81" w:rsidRPr="00AC2F81" w:rsidRDefault="00AC2F81" w:rsidP="00A94B9A">
      <w:pPr>
        <w:tabs>
          <w:tab w:val="left" w:pos="567"/>
        </w:tabs>
        <w:jc w:val="both"/>
        <w:rPr>
          <w:rFonts w:ascii="Book Antiqua" w:hAnsi="Book Antiqua" w:cs="Arial"/>
          <w:u w:val="single"/>
        </w:rPr>
      </w:pPr>
      <w:r w:rsidRPr="00AC2F81">
        <w:rPr>
          <w:rFonts w:ascii="Book Antiqua" w:hAnsi="Book Antiqua" w:cs="Arial"/>
          <w:u w:val="single"/>
        </w:rPr>
        <w:t>DECISION</w:t>
      </w:r>
    </w:p>
    <w:p w:rsidR="00AC2F81" w:rsidRDefault="00AC2F81" w:rsidP="00A94B9A">
      <w:pPr>
        <w:tabs>
          <w:tab w:val="left" w:pos="567"/>
        </w:tabs>
        <w:jc w:val="both"/>
        <w:rPr>
          <w:rFonts w:ascii="Book Antiqua" w:hAnsi="Book Antiqua" w:cs="Arial"/>
        </w:rPr>
      </w:pPr>
    </w:p>
    <w:p w:rsidR="00AC2F81" w:rsidRDefault="00AC2F81" w:rsidP="00A94B9A">
      <w:pPr>
        <w:tabs>
          <w:tab w:val="left" w:pos="567"/>
        </w:tabs>
        <w:jc w:val="both"/>
        <w:rPr>
          <w:rFonts w:ascii="Book Antiqua" w:hAnsi="Book Antiqua" w:cs="Arial"/>
        </w:rPr>
      </w:pPr>
      <w:r>
        <w:rPr>
          <w:rFonts w:ascii="Book Antiqua" w:hAnsi="Book Antiqua" w:cs="Arial"/>
        </w:rPr>
        <w:t>The First-tier Tribunal decision did not involve the making of an error on a point of law</w:t>
      </w:r>
    </w:p>
    <w:p w:rsidR="00405694" w:rsidRDefault="00405694" w:rsidP="00933B65">
      <w:pPr>
        <w:tabs>
          <w:tab w:val="left" w:pos="567"/>
        </w:tabs>
        <w:jc w:val="both"/>
        <w:rPr>
          <w:rFonts w:ascii="Book Antiqua" w:hAnsi="Book Antiqua" w:cs="Arial"/>
        </w:rPr>
      </w:pPr>
      <w:bookmarkStart w:id="1" w:name="_GoBack"/>
      <w:bookmarkEnd w:id="1"/>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E56BAA" w:rsidRPr="000A38E1">
        <w:rPr>
          <w:rFonts w:ascii="Book Antiqua" w:hAnsi="Book Antiqua" w:cs="Arial"/>
          <w:noProof/>
        </w:rPr>
        <w:drawing>
          <wp:inline distT="0" distB="0" distL="0" distR="0">
            <wp:extent cx="1379855" cy="3727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855" cy="372745"/>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9B7A11">
        <w:rPr>
          <w:rFonts w:ascii="Book Antiqua" w:hAnsi="Book Antiqua" w:cs="Arial"/>
        </w:rPr>
        <w:t xml:space="preserve">  20 August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sectPr w:rsidR="00546523"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450" w:rsidRDefault="00266450">
      <w:r>
        <w:separator/>
      </w:r>
    </w:p>
  </w:endnote>
  <w:endnote w:type="continuationSeparator" w:id="0">
    <w:p w:rsidR="00266450" w:rsidRDefault="00266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F70A9">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450" w:rsidRDefault="00266450">
      <w:r>
        <w:separator/>
      </w:r>
    </w:p>
  </w:footnote>
  <w:footnote w:type="continuationSeparator" w:id="0">
    <w:p w:rsidR="00266450" w:rsidRDefault="00266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B39" w:rsidRPr="00F97703" w:rsidRDefault="00F75541" w:rsidP="001D5B39">
    <w:pPr>
      <w:tabs>
        <w:tab w:val="right" w:pos="9720"/>
      </w:tabs>
      <w:ind w:right="-82"/>
      <w:jc w:val="right"/>
      <w:rPr>
        <w:rFonts w:ascii="Book Antiqua" w:hAnsi="Book Antiqua" w:cs="Arial"/>
        <w:color w:val="000000"/>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1D5B39" w:rsidRPr="001D5B39">
      <w:rPr>
        <w:rFonts w:ascii="Book Antiqua" w:hAnsi="Book Antiqua" w:cs="Arial"/>
        <w:color w:val="000000"/>
        <w:sz w:val="16"/>
        <w:szCs w:val="16"/>
      </w:rPr>
      <w:t>DA/00451/2016</w:t>
    </w:r>
  </w:p>
  <w:p w:rsidR="00CF2453" w:rsidRPr="00CF2453" w:rsidRDefault="00CF2453"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3E"/>
    <w:multiLevelType w:val="hybridMultilevel"/>
    <w:tmpl w:val="26088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15311"/>
    <w:rsid w:val="00047060"/>
    <w:rsid w:val="00056E7C"/>
    <w:rsid w:val="000644CE"/>
    <w:rsid w:val="000D0603"/>
    <w:rsid w:val="00115648"/>
    <w:rsid w:val="00194FB4"/>
    <w:rsid w:val="001A14A2"/>
    <w:rsid w:val="001A373D"/>
    <w:rsid w:val="001C2435"/>
    <w:rsid w:val="001D5B39"/>
    <w:rsid w:val="001E3D2B"/>
    <w:rsid w:val="00200671"/>
    <w:rsid w:val="00266450"/>
    <w:rsid w:val="00266FFE"/>
    <w:rsid w:val="00270D89"/>
    <w:rsid w:val="002712F0"/>
    <w:rsid w:val="00272712"/>
    <w:rsid w:val="0028055A"/>
    <w:rsid w:val="00294F41"/>
    <w:rsid w:val="002D4F8A"/>
    <w:rsid w:val="002F6D78"/>
    <w:rsid w:val="003049FE"/>
    <w:rsid w:val="00345182"/>
    <w:rsid w:val="00396F7B"/>
    <w:rsid w:val="003B36AE"/>
    <w:rsid w:val="004044E6"/>
    <w:rsid w:val="00405694"/>
    <w:rsid w:val="00407E66"/>
    <w:rsid w:val="004171D0"/>
    <w:rsid w:val="00426F9F"/>
    <w:rsid w:val="0043690B"/>
    <w:rsid w:val="00461777"/>
    <w:rsid w:val="00497CC7"/>
    <w:rsid w:val="004A012D"/>
    <w:rsid w:val="004A4602"/>
    <w:rsid w:val="004E2A69"/>
    <w:rsid w:val="004F4BE7"/>
    <w:rsid w:val="00546523"/>
    <w:rsid w:val="0057020B"/>
    <w:rsid w:val="005819E4"/>
    <w:rsid w:val="005907D8"/>
    <w:rsid w:val="005B29C5"/>
    <w:rsid w:val="00614E94"/>
    <w:rsid w:val="00631E34"/>
    <w:rsid w:val="00662048"/>
    <w:rsid w:val="0068059E"/>
    <w:rsid w:val="00681E9F"/>
    <w:rsid w:val="006A364A"/>
    <w:rsid w:val="0070468F"/>
    <w:rsid w:val="007255B7"/>
    <w:rsid w:val="00731039"/>
    <w:rsid w:val="0073630A"/>
    <w:rsid w:val="007B09CD"/>
    <w:rsid w:val="008145BE"/>
    <w:rsid w:val="00816668"/>
    <w:rsid w:val="00821972"/>
    <w:rsid w:val="00867D8D"/>
    <w:rsid w:val="008832E8"/>
    <w:rsid w:val="008A3B24"/>
    <w:rsid w:val="008E01FB"/>
    <w:rsid w:val="008F0F73"/>
    <w:rsid w:val="008F4D88"/>
    <w:rsid w:val="00933B65"/>
    <w:rsid w:val="0094479E"/>
    <w:rsid w:val="009701EB"/>
    <w:rsid w:val="00972E90"/>
    <w:rsid w:val="009942DD"/>
    <w:rsid w:val="009A5B3C"/>
    <w:rsid w:val="009B7A11"/>
    <w:rsid w:val="009C3D02"/>
    <w:rsid w:val="009D5EB6"/>
    <w:rsid w:val="00A03E4C"/>
    <w:rsid w:val="00A472B6"/>
    <w:rsid w:val="00A57676"/>
    <w:rsid w:val="00A621AC"/>
    <w:rsid w:val="00A7051D"/>
    <w:rsid w:val="00A70F8E"/>
    <w:rsid w:val="00A86A8D"/>
    <w:rsid w:val="00A94B9A"/>
    <w:rsid w:val="00AB1DC6"/>
    <w:rsid w:val="00AB703E"/>
    <w:rsid w:val="00AC2F81"/>
    <w:rsid w:val="00AF70A9"/>
    <w:rsid w:val="00B02674"/>
    <w:rsid w:val="00B52037"/>
    <w:rsid w:val="00B9065F"/>
    <w:rsid w:val="00BB40C3"/>
    <w:rsid w:val="00C442C1"/>
    <w:rsid w:val="00C45E66"/>
    <w:rsid w:val="00C56E05"/>
    <w:rsid w:val="00C57F9A"/>
    <w:rsid w:val="00C61D30"/>
    <w:rsid w:val="00C91E16"/>
    <w:rsid w:val="00CB1396"/>
    <w:rsid w:val="00CE5C94"/>
    <w:rsid w:val="00CF2453"/>
    <w:rsid w:val="00D25C76"/>
    <w:rsid w:val="00D3274C"/>
    <w:rsid w:val="00D36F32"/>
    <w:rsid w:val="00D40718"/>
    <w:rsid w:val="00DA30D6"/>
    <w:rsid w:val="00DA52F3"/>
    <w:rsid w:val="00DE3D56"/>
    <w:rsid w:val="00E15512"/>
    <w:rsid w:val="00E2527C"/>
    <w:rsid w:val="00E309EE"/>
    <w:rsid w:val="00E468D9"/>
    <w:rsid w:val="00E56BAA"/>
    <w:rsid w:val="00E63B55"/>
    <w:rsid w:val="00E95C29"/>
    <w:rsid w:val="00E96B33"/>
    <w:rsid w:val="00EB2814"/>
    <w:rsid w:val="00EB4C37"/>
    <w:rsid w:val="00ED1E61"/>
    <w:rsid w:val="00F648C0"/>
    <w:rsid w:val="00F66C52"/>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1664</Words>
  <Characters>8371</Characters>
  <Application>Microsoft Office Word</Application>
  <DocSecurity>0</DocSecurity>
  <Lines>69</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2018-09-12T11:48:00Z</dcterms:created>
  <dcterms:modified xsi:type="dcterms:W3CDTF">2018-09-12T11:48:00Z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