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9AFB1" w14:textId="15FC14F6" w:rsidR="00B705D9" w:rsidRDefault="008E24CF" w:rsidP="00C321B5">
      <w:pPr>
        <w:jc w:val="center"/>
        <w:rPr>
          <w:rFonts w:ascii="Book Antiqua" w:hAnsi="Book Antiqua" w:cs="Arial"/>
          <w:sz w:val="16"/>
          <w:szCs w:val="16"/>
        </w:rPr>
      </w:pPr>
      <w:r>
        <w:rPr>
          <w:noProof/>
        </w:rPr>
        <w:drawing>
          <wp:inline distT="0" distB="0" distL="0" distR="0" wp14:anchorId="5B05867E" wp14:editId="3886FDB5">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14:paraId="1CC5D7CB" w14:textId="77777777"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6CF44CF4" w14:textId="30AC5317" w:rsidR="00B705D9" w:rsidRPr="005433AC" w:rsidRDefault="00B705D9" w:rsidP="00B626FA">
      <w:pPr>
        <w:tabs>
          <w:tab w:val="right" w:pos="9639"/>
        </w:tabs>
        <w:rPr>
          <w:rFonts w:ascii="Book Antiqua" w:hAnsi="Book Antiqua" w:cs="Arial"/>
          <w:b/>
          <w:caps/>
        </w:rPr>
      </w:pPr>
      <w:r w:rsidRPr="00F5664C">
        <w:rPr>
          <w:rFonts w:ascii="Book Antiqua" w:hAnsi="Book Antiqua" w:cs="Arial"/>
          <w:b/>
        </w:rPr>
        <w:t>(</w:t>
      </w:r>
      <w:r w:rsidR="005433AC">
        <w:rPr>
          <w:rFonts w:ascii="Book Antiqua" w:hAnsi="Book Antiqua" w:cs="Arial"/>
          <w:b/>
        </w:rPr>
        <w:t xml:space="preserve">Immigration and Asylum </w:t>
      </w:r>
      <w:proofErr w:type="gramStart"/>
      <w:r w:rsidR="005433AC">
        <w:rPr>
          <w:rFonts w:ascii="Book Antiqua" w:hAnsi="Book Antiqua" w:cs="Arial"/>
          <w:b/>
        </w:rPr>
        <w:t xml:space="preserve">Chamber)   </w:t>
      </w:r>
      <w:proofErr w:type="gramEnd"/>
      <w:r w:rsidR="005433AC">
        <w:rPr>
          <w:rFonts w:ascii="Book Antiqua" w:hAnsi="Book Antiqua" w:cs="Arial"/>
          <w:b/>
        </w:rPr>
        <w:t xml:space="preserve">                  </w:t>
      </w:r>
      <w:r w:rsidRPr="005433AC">
        <w:rPr>
          <w:rFonts w:ascii="Book Antiqua" w:hAnsi="Book Antiqua" w:cs="Arial"/>
          <w:b/>
        </w:rPr>
        <w:t xml:space="preserve">Appeal Number: </w:t>
      </w:r>
      <w:r w:rsidR="006C1F6C" w:rsidRPr="005433AC">
        <w:rPr>
          <w:rFonts w:ascii="Book Antiqua" w:hAnsi="Book Antiqua" w:cs="Arial"/>
          <w:b/>
          <w:caps/>
        </w:rPr>
        <w:t>DA/00487/2017</w:t>
      </w:r>
    </w:p>
    <w:p w14:paraId="73390E0B" w14:textId="77777777" w:rsidR="00B705D9" w:rsidRPr="00F5664C" w:rsidRDefault="00B705D9" w:rsidP="00C345E1">
      <w:pPr>
        <w:jc w:val="center"/>
        <w:rPr>
          <w:rFonts w:ascii="Book Antiqua" w:hAnsi="Book Antiqua" w:cs="Arial"/>
        </w:rPr>
      </w:pPr>
    </w:p>
    <w:p w14:paraId="25F0397B" w14:textId="77777777"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14:paraId="0BD9F86E" w14:textId="77777777"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F5664C" w14:paraId="4353FE01" w14:textId="77777777" w:rsidTr="005433AC">
        <w:tc>
          <w:tcPr>
            <w:tcW w:w="5103" w:type="dxa"/>
          </w:tcPr>
          <w:p w14:paraId="0E6E6886" w14:textId="77777777"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905" w:type="dxa"/>
          </w:tcPr>
          <w:p w14:paraId="3CAC916E" w14:textId="03CBF792" w:rsidR="00B705D9" w:rsidRPr="00321493" w:rsidRDefault="005433AC" w:rsidP="00321493">
            <w:pPr>
              <w:jc w:val="both"/>
              <w:rPr>
                <w:rFonts w:ascii="Book Antiqua" w:hAnsi="Book Antiqua" w:cs="Arial"/>
                <w:b/>
              </w:rPr>
            </w:pPr>
            <w:r>
              <w:rPr>
                <w:rFonts w:ascii="Book Antiqua" w:hAnsi="Book Antiqua" w:cs="Arial"/>
                <w:b/>
              </w:rPr>
              <w:t xml:space="preserve">  </w:t>
            </w:r>
            <w:r w:rsidR="00B705D9" w:rsidRPr="00321493">
              <w:rPr>
                <w:rFonts w:ascii="Book Antiqua" w:hAnsi="Book Antiqua" w:cs="Arial"/>
                <w:b/>
              </w:rPr>
              <w:t>Decision sent to parties on</w:t>
            </w:r>
          </w:p>
        </w:tc>
      </w:tr>
      <w:tr w:rsidR="00B705D9" w:rsidRPr="00F5664C" w14:paraId="60E464A0" w14:textId="77777777" w:rsidTr="005433AC">
        <w:tc>
          <w:tcPr>
            <w:tcW w:w="5103" w:type="dxa"/>
          </w:tcPr>
          <w:p w14:paraId="08444C6D" w14:textId="77777777"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6C1F6C">
              <w:rPr>
                <w:rFonts w:ascii="Book Antiqua" w:hAnsi="Book Antiqua" w:cs="Arial"/>
                <w:b/>
              </w:rPr>
              <w:t>5</w:t>
            </w:r>
            <w:r w:rsidR="006C1F6C" w:rsidRPr="006C1F6C">
              <w:rPr>
                <w:rFonts w:ascii="Book Antiqua" w:hAnsi="Book Antiqua" w:cs="Arial"/>
                <w:b/>
                <w:vertAlign w:val="superscript"/>
              </w:rPr>
              <w:t>th</w:t>
            </w:r>
            <w:r w:rsidR="006C1F6C">
              <w:rPr>
                <w:rFonts w:ascii="Book Antiqua" w:hAnsi="Book Antiqua" w:cs="Arial"/>
                <w:b/>
              </w:rPr>
              <w:t xml:space="preserve"> July 2018 </w:t>
            </w:r>
          </w:p>
        </w:tc>
        <w:tc>
          <w:tcPr>
            <w:tcW w:w="4905" w:type="dxa"/>
          </w:tcPr>
          <w:p w14:paraId="3F349FD4" w14:textId="3A84BDAD" w:rsidR="00B705D9" w:rsidRPr="00321493" w:rsidRDefault="005433AC" w:rsidP="00321493">
            <w:pPr>
              <w:jc w:val="both"/>
              <w:rPr>
                <w:rFonts w:ascii="Book Antiqua" w:hAnsi="Book Antiqua" w:cs="Arial"/>
                <w:b/>
              </w:rPr>
            </w:pPr>
            <w:r>
              <w:rPr>
                <w:rFonts w:ascii="Book Antiqua" w:hAnsi="Book Antiqua" w:cs="Arial"/>
                <w:b/>
              </w:rPr>
              <w:t xml:space="preserve">  </w:t>
            </w:r>
            <w:r w:rsidR="00036B63" w:rsidRPr="00036B63">
              <w:rPr>
                <w:rFonts w:ascii="Book Antiqua" w:hAnsi="Book Antiqua" w:cs="Arial"/>
                <w:b/>
              </w:rPr>
              <w:t>On 16</w:t>
            </w:r>
            <w:r w:rsidR="00036B63" w:rsidRPr="00036B63">
              <w:rPr>
                <w:rFonts w:ascii="Book Antiqua" w:hAnsi="Book Antiqua" w:cs="Arial"/>
                <w:b/>
                <w:vertAlign w:val="superscript"/>
              </w:rPr>
              <w:t>th</w:t>
            </w:r>
            <w:r w:rsidR="00036B63" w:rsidRPr="00036B63">
              <w:rPr>
                <w:rFonts w:ascii="Book Antiqua" w:hAnsi="Book Antiqua" w:cs="Arial"/>
                <w:b/>
              </w:rPr>
              <w:t xml:space="preserve"> August 2018</w:t>
            </w:r>
          </w:p>
        </w:tc>
      </w:tr>
      <w:tr w:rsidR="00B705D9" w:rsidRPr="00F5664C" w14:paraId="0C9ED462" w14:textId="77777777" w:rsidTr="005433AC">
        <w:tc>
          <w:tcPr>
            <w:tcW w:w="5103" w:type="dxa"/>
          </w:tcPr>
          <w:p w14:paraId="34F53B72" w14:textId="77777777" w:rsidR="00B705D9" w:rsidRPr="00321493" w:rsidRDefault="00B705D9" w:rsidP="00321493">
            <w:pPr>
              <w:jc w:val="both"/>
              <w:rPr>
                <w:rFonts w:ascii="Book Antiqua" w:hAnsi="Book Antiqua" w:cs="Arial"/>
                <w:b/>
              </w:rPr>
            </w:pPr>
          </w:p>
        </w:tc>
        <w:tc>
          <w:tcPr>
            <w:tcW w:w="4905" w:type="dxa"/>
          </w:tcPr>
          <w:p w14:paraId="3EF65EC7" w14:textId="77777777" w:rsidR="00B705D9" w:rsidRPr="00321493" w:rsidRDefault="00B705D9" w:rsidP="00321493">
            <w:pPr>
              <w:jc w:val="both"/>
              <w:rPr>
                <w:rFonts w:ascii="Book Antiqua" w:hAnsi="Book Antiqua" w:cs="Arial"/>
                <w:b/>
              </w:rPr>
            </w:pPr>
          </w:p>
        </w:tc>
      </w:tr>
    </w:tbl>
    <w:p w14:paraId="44467025" w14:textId="77777777" w:rsidR="00B705D9" w:rsidRPr="00F5664C" w:rsidRDefault="00B705D9" w:rsidP="00A15234">
      <w:pPr>
        <w:jc w:val="center"/>
        <w:rPr>
          <w:rFonts w:ascii="Book Antiqua" w:hAnsi="Book Antiqua" w:cs="Arial"/>
        </w:rPr>
      </w:pPr>
    </w:p>
    <w:p w14:paraId="5D490C4A" w14:textId="77777777" w:rsidR="00B705D9" w:rsidRPr="00F5664C" w:rsidRDefault="00B705D9" w:rsidP="00A15234">
      <w:pPr>
        <w:jc w:val="center"/>
        <w:rPr>
          <w:rFonts w:ascii="Book Antiqua" w:hAnsi="Book Antiqua" w:cs="Arial"/>
          <w:b/>
        </w:rPr>
      </w:pPr>
      <w:r w:rsidRPr="00F5664C">
        <w:rPr>
          <w:rFonts w:ascii="Book Antiqua" w:hAnsi="Book Antiqua" w:cs="Arial"/>
          <w:b/>
        </w:rPr>
        <w:t>Before</w:t>
      </w:r>
    </w:p>
    <w:p w14:paraId="56694C59" w14:textId="77777777" w:rsidR="00B705D9" w:rsidRPr="00F5664C" w:rsidRDefault="00B705D9" w:rsidP="00A15234">
      <w:pPr>
        <w:jc w:val="center"/>
        <w:rPr>
          <w:rFonts w:ascii="Book Antiqua" w:hAnsi="Book Antiqua" w:cs="Arial"/>
          <w:b/>
        </w:rPr>
      </w:pPr>
    </w:p>
    <w:p w14:paraId="20A2C787" w14:textId="77777777"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14:paraId="5C4D3B8D" w14:textId="77777777" w:rsidR="00C917D6" w:rsidRDefault="00C917D6" w:rsidP="00A15234">
      <w:pPr>
        <w:jc w:val="center"/>
        <w:rPr>
          <w:rFonts w:ascii="Book Antiqua" w:hAnsi="Book Antiqua" w:cs="Arial"/>
          <w:b/>
        </w:rPr>
      </w:pPr>
    </w:p>
    <w:p w14:paraId="2229B234" w14:textId="68067F44" w:rsidR="00B705D9" w:rsidRPr="00F5664C" w:rsidRDefault="00B705D9" w:rsidP="00A15234">
      <w:pPr>
        <w:jc w:val="center"/>
        <w:rPr>
          <w:rFonts w:ascii="Book Antiqua" w:hAnsi="Book Antiqua" w:cs="Arial"/>
          <w:b/>
        </w:rPr>
      </w:pPr>
      <w:r w:rsidRPr="00F5664C">
        <w:rPr>
          <w:rFonts w:ascii="Book Antiqua" w:hAnsi="Book Antiqua" w:cs="Arial"/>
          <w:b/>
        </w:rPr>
        <w:t>Between</w:t>
      </w:r>
    </w:p>
    <w:p w14:paraId="34A62BE4" w14:textId="77777777" w:rsidR="00B705D9" w:rsidRPr="00F5664C" w:rsidRDefault="00B705D9" w:rsidP="00A15234">
      <w:pPr>
        <w:jc w:val="center"/>
        <w:rPr>
          <w:rFonts w:ascii="Book Antiqua" w:hAnsi="Book Antiqua" w:cs="Arial"/>
          <w:b/>
        </w:rPr>
      </w:pPr>
    </w:p>
    <w:p w14:paraId="65EE89BD" w14:textId="77777777" w:rsidR="00B705D9" w:rsidRPr="00F5664C" w:rsidRDefault="006C1F6C" w:rsidP="00742A8D">
      <w:pPr>
        <w:jc w:val="center"/>
        <w:rPr>
          <w:rFonts w:ascii="Book Antiqua" w:hAnsi="Book Antiqua" w:cs="Arial"/>
          <w:b/>
          <w:caps/>
        </w:rPr>
      </w:pPr>
      <w:r>
        <w:rPr>
          <w:rFonts w:ascii="Book Antiqua" w:hAnsi="Book Antiqua" w:cs="Arial"/>
          <w:b/>
          <w:caps/>
        </w:rPr>
        <w:t>the Secretary of State for the Home Department</w:t>
      </w:r>
    </w:p>
    <w:p w14:paraId="0B27158B" w14:textId="77777777"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14:paraId="25201F1C" w14:textId="77777777" w:rsidR="005433AC" w:rsidRDefault="005433AC" w:rsidP="00704B61">
      <w:pPr>
        <w:jc w:val="center"/>
        <w:rPr>
          <w:rFonts w:ascii="Book Antiqua" w:hAnsi="Book Antiqua" w:cs="Arial"/>
          <w:b/>
        </w:rPr>
      </w:pPr>
    </w:p>
    <w:p w14:paraId="38809FC9" w14:textId="2445CEED" w:rsidR="00B705D9" w:rsidRPr="00F5664C" w:rsidRDefault="00B705D9" w:rsidP="00704B61">
      <w:pPr>
        <w:jc w:val="center"/>
        <w:rPr>
          <w:rFonts w:ascii="Book Antiqua" w:hAnsi="Book Antiqua" w:cs="Arial"/>
          <w:b/>
        </w:rPr>
      </w:pPr>
      <w:r w:rsidRPr="00F5664C">
        <w:rPr>
          <w:rFonts w:ascii="Book Antiqua" w:hAnsi="Book Antiqua" w:cs="Arial"/>
          <w:b/>
        </w:rPr>
        <w:t>and</w:t>
      </w:r>
    </w:p>
    <w:p w14:paraId="397EA4C8" w14:textId="77777777" w:rsidR="00B705D9" w:rsidRPr="00F5664C" w:rsidRDefault="00B705D9" w:rsidP="00704B61">
      <w:pPr>
        <w:jc w:val="center"/>
        <w:rPr>
          <w:rFonts w:ascii="Book Antiqua" w:hAnsi="Book Antiqua" w:cs="Arial"/>
          <w:b/>
        </w:rPr>
      </w:pPr>
    </w:p>
    <w:p w14:paraId="4A84606D" w14:textId="77777777" w:rsidR="006C1F6C" w:rsidRPr="006C1F6C" w:rsidRDefault="006C1F6C" w:rsidP="006C1F6C">
      <w:pPr>
        <w:jc w:val="center"/>
        <w:rPr>
          <w:rFonts w:ascii="Book Antiqua" w:hAnsi="Book Antiqua" w:cs="Arial"/>
          <w:b/>
          <w:caps/>
        </w:rPr>
      </w:pPr>
      <w:r w:rsidRPr="006C1F6C">
        <w:rPr>
          <w:rFonts w:ascii="Book Antiqua" w:hAnsi="Book Antiqua" w:cs="Arial"/>
          <w:b/>
          <w:caps/>
        </w:rPr>
        <w:t>Mateusz</w:t>
      </w:r>
      <w:r>
        <w:rPr>
          <w:rFonts w:ascii="Book Antiqua" w:hAnsi="Book Antiqua" w:cs="Arial"/>
          <w:b/>
          <w:caps/>
        </w:rPr>
        <w:t xml:space="preserve"> sura</w:t>
      </w:r>
    </w:p>
    <w:p w14:paraId="53741248" w14:textId="77777777" w:rsidR="00B705D9" w:rsidRPr="005433AC" w:rsidRDefault="006C1F6C" w:rsidP="006C1F6C">
      <w:pPr>
        <w:jc w:val="center"/>
        <w:rPr>
          <w:rFonts w:ascii="Book Antiqua" w:hAnsi="Book Antiqua" w:cs="Arial"/>
          <w:caps/>
        </w:rPr>
      </w:pPr>
      <w:r w:rsidRPr="005433AC">
        <w:rPr>
          <w:rFonts w:ascii="Book Antiqua" w:hAnsi="Book Antiqua" w:cs="Arial"/>
          <w:caps/>
        </w:rPr>
        <w:t>(no anonymity order made)</w:t>
      </w:r>
    </w:p>
    <w:p w14:paraId="26EE4872" w14:textId="77777777"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14:paraId="1E5E13A9" w14:textId="45554222" w:rsidR="00B705D9" w:rsidRDefault="00B705D9" w:rsidP="00DD5071">
      <w:pPr>
        <w:rPr>
          <w:rFonts w:ascii="Book Antiqua" w:hAnsi="Book Antiqua" w:cs="Arial"/>
          <w:u w:val="single"/>
        </w:rPr>
      </w:pPr>
    </w:p>
    <w:p w14:paraId="162AF129" w14:textId="1861F336" w:rsidR="00B705D9" w:rsidRDefault="00B705D9"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00BC20A2" w14:textId="77777777" w:rsidR="005433AC" w:rsidRPr="00F5664C" w:rsidRDefault="005433AC" w:rsidP="00DD5071">
      <w:pPr>
        <w:rPr>
          <w:rFonts w:ascii="Book Antiqua" w:hAnsi="Book Antiqua" w:cs="Arial"/>
        </w:rPr>
      </w:pPr>
    </w:p>
    <w:p w14:paraId="08726E24"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C1F6C">
        <w:rPr>
          <w:rFonts w:ascii="Book Antiqua" w:hAnsi="Book Antiqua" w:cs="Arial"/>
        </w:rPr>
        <w:t>Mr P</w:t>
      </w:r>
      <w:r w:rsidR="002A4476">
        <w:rPr>
          <w:rFonts w:ascii="Book Antiqua" w:hAnsi="Book Antiqua" w:cs="Arial"/>
        </w:rPr>
        <w:t>aul</w:t>
      </w:r>
      <w:r w:rsidR="006C1F6C">
        <w:rPr>
          <w:rFonts w:ascii="Book Antiqua" w:hAnsi="Book Antiqua" w:cs="Arial"/>
        </w:rPr>
        <w:t xml:space="preserve"> Duffy, Home Office Presenting Officer </w:t>
      </w:r>
    </w:p>
    <w:p w14:paraId="28F8100E"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C1F6C">
        <w:rPr>
          <w:rFonts w:ascii="Book Antiqua" w:hAnsi="Book Antiqua" w:cs="Arial"/>
        </w:rPr>
        <w:t xml:space="preserve">Mr </w:t>
      </w:r>
      <w:proofErr w:type="spellStart"/>
      <w:r w:rsidR="006C1F6C">
        <w:rPr>
          <w:rFonts w:ascii="Book Antiqua" w:hAnsi="Book Antiqua" w:cs="Arial"/>
        </w:rPr>
        <w:t>F</w:t>
      </w:r>
      <w:r w:rsidR="002A4476">
        <w:rPr>
          <w:rFonts w:ascii="Book Antiqua" w:hAnsi="Book Antiqua" w:cs="Arial"/>
        </w:rPr>
        <w:t>arhad</w:t>
      </w:r>
      <w:proofErr w:type="spellEnd"/>
      <w:r w:rsidR="006C1F6C">
        <w:rPr>
          <w:rFonts w:ascii="Book Antiqua" w:hAnsi="Book Antiqua" w:cs="Arial"/>
        </w:rPr>
        <w:t xml:space="preserve"> Ansari, Duncan Lewis &amp; Co Solicitors (Harrow Office)</w:t>
      </w:r>
    </w:p>
    <w:p w14:paraId="4F8CACAC" w14:textId="635604D7" w:rsidR="00B705D9" w:rsidRDefault="00B705D9" w:rsidP="00402B9E">
      <w:pPr>
        <w:tabs>
          <w:tab w:val="left" w:pos="2520"/>
        </w:tabs>
        <w:jc w:val="center"/>
        <w:rPr>
          <w:rFonts w:ascii="Book Antiqua" w:hAnsi="Book Antiqua" w:cs="Arial"/>
        </w:rPr>
      </w:pPr>
    </w:p>
    <w:p w14:paraId="76049E12" w14:textId="77777777" w:rsidR="00C917D6" w:rsidRPr="00F5664C" w:rsidRDefault="00C917D6" w:rsidP="00402B9E">
      <w:pPr>
        <w:tabs>
          <w:tab w:val="left" w:pos="2520"/>
        </w:tabs>
        <w:jc w:val="center"/>
        <w:rPr>
          <w:rFonts w:ascii="Book Antiqua" w:hAnsi="Book Antiqua" w:cs="Arial"/>
        </w:rPr>
      </w:pPr>
    </w:p>
    <w:p w14:paraId="62C9162D" w14:textId="77777777"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4E042602" w14:textId="77777777" w:rsidR="00B705D9" w:rsidRDefault="006C1F6C" w:rsidP="00284307">
      <w:pPr>
        <w:numPr>
          <w:ilvl w:val="0"/>
          <w:numId w:val="3"/>
        </w:numPr>
        <w:spacing w:before="240"/>
        <w:jc w:val="both"/>
        <w:rPr>
          <w:rFonts w:ascii="Book Antiqua" w:hAnsi="Book Antiqua" w:cs="Arial"/>
        </w:rPr>
      </w:pPr>
      <w:r>
        <w:rPr>
          <w:rFonts w:ascii="Book Antiqua" w:hAnsi="Book Antiqua" w:cs="Arial"/>
        </w:rPr>
        <w:t xml:space="preserve">The Secretary of State appeals with permission against the decision of First-tier Judge </w:t>
      </w:r>
      <w:proofErr w:type="spellStart"/>
      <w:r>
        <w:rPr>
          <w:rFonts w:ascii="Book Antiqua" w:hAnsi="Book Antiqua" w:cs="Arial"/>
        </w:rPr>
        <w:t>Devittie</w:t>
      </w:r>
      <w:proofErr w:type="spellEnd"/>
      <w:r>
        <w:rPr>
          <w:rFonts w:ascii="Book Antiqua" w:hAnsi="Book Antiqua" w:cs="Arial"/>
        </w:rPr>
        <w:t xml:space="preserve"> allowing the appellant’s appeal against his decision to make a deportation order against the appellant in accordance with Regulation 23(b) of the 2016 EEA Regulations.  The appellant is a national of </w:t>
      </w:r>
      <w:smartTag w:uri="urn:schemas-microsoft-com:office:smarttags" w:element="country-region">
        <w:smartTag w:uri="urn:schemas-microsoft-com:office:smarttags" w:element="place">
          <w:r>
            <w:rPr>
              <w:rFonts w:ascii="Book Antiqua" w:hAnsi="Book Antiqua" w:cs="Arial"/>
            </w:rPr>
            <w:t>Poland</w:t>
          </w:r>
        </w:smartTag>
      </w:smartTag>
      <w:r>
        <w:rPr>
          <w:rFonts w:ascii="Book Antiqua" w:hAnsi="Book Antiqua" w:cs="Arial"/>
        </w:rPr>
        <w:t xml:space="preserve"> born on 1</w:t>
      </w:r>
      <w:r w:rsidRPr="006C1F6C">
        <w:rPr>
          <w:rFonts w:ascii="Book Antiqua" w:hAnsi="Book Antiqua" w:cs="Arial"/>
          <w:vertAlign w:val="superscript"/>
        </w:rPr>
        <w:t>st</w:t>
      </w:r>
      <w:r>
        <w:rPr>
          <w:rFonts w:ascii="Book Antiqua" w:hAnsi="Book Antiqua" w:cs="Arial"/>
        </w:rPr>
        <w:t xml:space="preserve"> September 1992.  </w:t>
      </w:r>
    </w:p>
    <w:p w14:paraId="1032F099" w14:textId="77777777" w:rsidR="002A4476" w:rsidRDefault="006C1F6C" w:rsidP="00284307">
      <w:pPr>
        <w:numPr>
          <w:ilvl w:val="0"/>
          <w:numId w:val="3"/>
        </w:numPr>
        <w:spacing w:before="240"/>
        <w:jc w:val="both"/>
        <w:rPr>
          <w:rFonts w:ascii="Book Antiqua" w:hAnsi="Book Antiqua" w:cs="Arial"/>
        </w:rPr>
      </w:pPr>
      <w:r>
        <w:rPr>
          <w:rFonts w:ascii="Book Antiqua" w:hAnsi="Book Antiqua" w:cs="Arial"/>
        </w:rPr>
        <w:t>The index offence was a conviction on 20</w:t>
      </w:r>
      <w:r w:rsidRPr="006C1F6C">
        <w:rPr>
          <w:rFonts w:ascii="Book Antiqua" w:hAnsi="Book Antiqua" w:cs="Arial"/>
          <w:vertAlign w:val="superscript"/>
        </w:rPr>
        <w:t>th</w:t>
      </w:r>
      <w:r>
        <w:rPr>
          <w:rFonts w:ascii="Book Antiqua" w:hAnsi="Book Antiqua" w:cs="Arial"/>
        </w:rPr>
        <w:t xml:space="preserve"> February 2017 at North London Magistrates’ Court on two counts of sexual assault with no penetration and battery</w:t>
      </w:r>
      <w:r w:rsidR="002A4476">
        <w:rPr>
          <w:rFonts w:ascii="Book Antiqua" w:hAnsi="Book Antiqua" w:cs="Arial"/>
        </w:rPr>
        <w:t>,</w:t>
      </w:r>
      <w:r>
        <w:rPr>
          <w:rFonts w:ascii="Book Antiqua" w:hAnsi="Book Antiqua" w:cs="Arial"/>
        </w:rPr>
        <w:t xml:space="preserve"> for which the claimant was sentenced to six weeks’ imprisonment and required to register on the Sex Offenders Notice for seven years and pay a victims surcharge of £115.  He had, while extremely drunk, committed sexual offences against a doctor and </w:t>
      </w:r>
      <w:r>
        <w:rPr>
          <w:rFonts w:ascii="Book Antiqua" w:hAnsi="Book Antiqua" w:cs="Arial"/>
        </w:rPr>
        <w:lastRenderedPageBreak/>
        <w:t>a paramedic while being taken to and when at hospital and he was sentenced without</w:t>
      </w:r>
      <w:bookmarkStart w:id="0" w:name="_GoBack"/>
      <w:bookmarkEnd w:id="0"/>
      <w:r>
        <w:rPr>
          <w:rFonts w:ascii="Book Antiqua" w:hAnsi="Book Antiqua" w:cs="Arial"/>
        </w:rPr>
        <w:t xml:space="preserve"> a pre-</w:t>
      </w:r>
      <w:r w:rsidR="00E04BDB">
        <w:rPr>
          <w:rFonts w:ascii="Book Antiqua" w:hAnsi="Book Antiqua" w:cs="Arial"/>
        </w:rPr>
        <w:t>sentence</w:t>
      </w:r>
      <w:r>
        <w:rPr>
          <w:rFonts w:ascii="Book Antiqua" w:hAnsi="Book Antiqua" w:cs="Arial"/>
        </w:rPr>
        <w:t xml:space="preserve"> report</w:t>
      </w:r>
      <w:r w:rsidR="002A4476">
        <w:rPr>
          <w:rFonts w:ascii="Book Antiqua" w:hAnsi="Book Antiqua" w:cs="Arial"/>
        </w:rPr>
        <w:t xml:space="preserve">.  </w:t>
      </w:r>
    </w:p>
    <w:p w14:paraId="0D44D735" w14:textId="77777777" w:rsidR="006C1F6C" w:rsidRDefault="002A4476" w:rsidP="00284307">
      <w:pPr>
        <w:numPr>
          <w:ilvl w:val="0"/>
          <w:numId w:val="3"/>
        </w:numPr>
        <w:spacing w:before="240"/>
        <w:jc w:val="both"/>
        <w:rPr>
          <w:rFonts w:ascii="Book Antiqua" w:hAnsi="Book Antiqua" w:cs="Arial"/>
        </w:rPr>
      </w:pPr>
      <w:r>
        <w:rPr>
          <w:rFonts w:ascii="Book Antiqua" w:hAnsi="Book Antiqua" w:cs="Arial"/>
        </w:rPr>
        <w:t xml:space="preserve">The </w:t>
      </w:r>
      <w:r w:rsidR="006C1F6C">
        <w:rPr>
          <w:rFonts w:ascii="Book Antiqua" w:hAnsi="Book Antiqua" w:cs="Arial"/>
        </w:rPr>
        <w:t xml:space="preserve">only </w:t>
      </w:r>
      <w:r>
        <w:rPr>
          <w:rFonts w:ascii="Book Antiqua" w:hAnsi="Book Antiqua" w:cs="Arial"/>
        </w:rPr>
        <w:t xml:space="preserve">relevant </w:t>
      </w:r>
      <w:r w:rsidR="006C1F6C">
        <w:rPr>
          <w:rFonts w:ascii="Book Antiqua" w:hAnsi="Book Antiqua" w:cs="Arial"/>
        </w:rPr>
        <w:t xml:space="preserve">evidence before </w:t>
      </w:r>
      <w:r>
        <w:rPr>
          <w:rFonts w:ascii="Book Antiqua" w:hAnsi="Book Antiqua" w:cs="Arial"/>
        </w:rPr>
        <w:t>the First-tier Tribunal</w:t>
      </w:r>
      <w:r w:rsidR="006C1F6C">
        <w:rPr>
          <w:rFonts w:ascii="Book Antiqua" w:hAnsi="Book Antiqua" w:cs="Arial"/>
        </w:rPr>
        <w:t xml:space="preserve"> was the OASys Report o</w:t>
      </w:r>
      <w:r>
        <w:rPr>
          <w:rFonts w:ascii="Book Antiqua" w:hAnsi="Book Antiqua" w:cs="Arial"/>
        </w:rPr>
        <w:t>f</w:t>
      </w:r>
      <w:r w:rsidR="006C1F6C">
        <w:rPr>
          <w:rFonts w:ascii="Book Antiqua" w:hAnsi="Book Antiqua" w:cs="Arial"/>
        </w:rPr>
        <w:t xml:space="preserve"> 1</w:t>
      </w:r>
      <w:r>
        <w:rPr>
          <w:rFonts w:ascii="Book Antiqua" w:hAnsi="Book Antiqua" w:cs="Arial"/>
          <w:vertAlign w:val="superscript"/>
        </w:rPr>
        <w:t xml:space="preserve"> </w:t>
      </w:r>
      <w:r w:rsidR="006C1F6C">
        <w:rPr>
          <w:rFonts w:ascii="Book Antiqua" w:hAnsi="Book Antiqua" w:cs="Arial"/>
        </w:rPr>
        <w:t xml:space="preserve">August 2017.  This appeal was heard in the First-tier Tribunal on 15 March 2018 by which time the OASys assessment was seven months old.  There was and is no updated evidence from the Probation Service following the OASys assessment.  </w:t>
      </w:r>
      <w:r>
        <w:rPr>
          <w:rFonts w:ascii="Book Antiqua" w:hAnsi="Book Antiqua" w:cs="Arial"/>
        </w:rPr>
        <w:t>The Judge</w:t>
      </w:r>
      <w:r w:rsidR="006C1F6C">
        <w:rPr>
          <w:rFonts w:ascii="Book Antiqua" w:hAnsi="Book Antiqua" w:cs="Arial"/>
        </w:rPr>
        <w:t xml:space="preserve"> considered the OASys assessment at length in his decision and also the oral evidence which was given by the claimant and his mother and a summary of the evidence can be found </w:t>
      </w:r>
      <w:r w:rsidR="00AE33EE">
        <w:rPr>
          <w:rFonts w:ascii="Book Antiqua" w:hAnsi="Book Antiqua" w:cs="Arial"/>
        </w:rPr>
        <w:t xml:space="preserve">at paragraph 8 of the decision.  </w:t>
      </w:r>
    </w:p>
    <w:p w14:paraId="2500B385" w14:textId="77777777" w:rsidR="002A4476" w:rsidRDefault="002A4476" w:rsidP="00284307">
      <w:pPr>
        <w:numPr>
          <w:ilvl w:val="0"/>
          <w:numId w:val="3"/>
        </w:numPr>
        <w:spacing w:before="240"/>
        <w:jc w:val="both"/>
        <w:rPr>
          <w:rFonts w:ascii="Book Antiqua" w:hAnsi="Book Antiqua" w:cs="Arial"/>
        </w:rPr>
      </w:pPr>
      <w:r>
        <w:rPr>
          <w:rFonts w:ascii="Book Antiqua" w:hAnsi="Book Antiqua" w:cs="Arial"/>
        </w:rPr>
        <w:t>The First-tier Tribunal</w:t>
      </w:r>
      <w:r w:rsidR="00AE33EE">
        <w:rPr>
          <w:rFonts w:ascii="Book Antiqua" w:hAnsi="Book Antiqua" w:cs="Arial"/>
        </w:rPr>
        <w:t xml:space="preserve"> noted that the offender manager had made observations entirely consistent with the conclusion that the appellant did pose a genuine and </w:t>
      </w:r>
      <w:r w:rsidR="00E04BDB">
        <w:rPr>
          <w:rFonts w:ascii="Book Antiqua" w:hAnsi="Book Antiqua" w:cs="Arial"/>
        </w:rPr>
        <w:t>sufficiently</w:t>
      </w:r>
      <w:r w:rsidR="00AE33EE">
        <w:rPr>
          <w:rFonts w:ascii="Book Antiqua" w:hAnsi="Book Antiqua" w:cs="Arial"/>
        </w:rPr>
        <w:t xml:space="preserve"> serious threat to society, but that at the end of the OASys Report in a carefully assessed conclusion (paragraph 8(3)) the same offender manager found that the risk of the appellant reoffending was low and gave reasons for so finding.  </w:t>
      </w:r>
    </w:p>
    <w:p w14:paraId="26F3AFB0" w14:textId="77777777" w:rsidR="00AE33EE" w:rsidRDefault="00AE33EE" w:rsidP="00284307">
      <w:pPr>
        <w:numPr>
          <w:ilvl w:val="0"/>
          <w:numId w:val="3"/>
        </w:numPr>
        <w:spacing w:before="240"/>
        <w:jc w:val="both"/>
        <w:rPr>
          <w:rFonts w:ascii="Book Antiqua" w:hAnsi="Book Antiqua" w:cs="Arial"/>
        </w:rPr>
      </w:pPr>
      <w:r>
        <w:rPr>
          <w:rFonts w:ascii="Book Antiqua" w:hAnsi="Book Antiqua" w:cs="Arial"/>
        </w:rPr>
        <w:t xml:space="preserve">At paragraph 8(4) </w:t>
      </w:r>
      <w:r w:rsidR="002A4476">
        <w:rPr>
          <w:rFonts w:ascii="Book Antiqua" w:hAnsi="Book Antiqua" w:cs="Arial"/>
        </w:rPr>
        <w:t>the First-tier Tribunal</w:t>
      </w:r>
      <w:r>
        <w:rPr>
          <w:rFonts w:ascii="Book Antiqua" w:hAnsi="Book Antiqua" w:cs="Arial"/>
        </w:rPr>
        <w:t xml:space="preserve"> </w:t>
      </w:r>
      <w:r w:rsidR="002A4476">
        <w:rPr>
          <w:rFonts w:ascii="Book Antiqua" w:hAnsi="Book Antiqua" w:cs="Arial"/>
        </w:rPr>
        <w:t xml:space="preserve">Judge </w:t>
      </w:r>
      <w:r>
        <w:rPr>
          <w:rFonts w:ascii="Book Antiqua" w:hAnsi="Book Antiqua" w:cs="Arial"/>
        </w:rPr>
        <w:t>said this:</w:t>
      </w:r>
    </w:p>
    <w:p w14:paraId="6DA7B984" w14:textId="77777777" w:rsidR="00AE33EE" w:rsidRDefault="00AE33EE" w:rsidP="00AE33EE">
      <w:pPr>
        <w:spacing w:before="240"/>
        <w:ind w:left="1985" w:hanging="851"/>
        <w:jc w:val="both"/>
        <w:rPr>
          <w:rFonts w:ascii="Book Antiqua" w:hAnsi="Book Antiqua" w:cs="Arial"/>
        </w:rPr>
      </w:pPr>
      <w:r>
        <w:rPr>
          <w:rFonts w:ascii="Book Antiqua" w:hAnsi="Book Antiqua" w:cs="Arial"/>
        </w:rPr>
        <w:t>“</w:t>
      </w:r>
      <w:r w:rsidRPr="005F2DD2">
        <w:rPr>
          <w:rFonts w:ascii="Book Antiqua" w:hAnsi="Book Antiqua" w:cs="Arial"/>
          <w:sz w:val="22"/>
          <w:szCs w:val="22"/>
        </w:rPr>
        <w:t>8.(4)</w:t>
      </w:r>
      <w:r w:rsidRPr="005F2DD2">
        <w:rPr>
          <w:rFonts w:ascii="Book Antiqua" w:hAnsi="Book Antiqua" w:cs="Arial"/>
          <w:sz w:val="22"/>
          <w:szCs w:val="22"/>
        </w:rPr>
        <w:tab/>
        <w:t>It is clear therefore that the offender manager has taken into account the fact that the Appellant’s mother had show</w:t>
      </w:r>
      <w:r w:rsidR="003F4D54">
        <w:rPr>
          <w:rFonts w:ascii="Book Antiqua" w:hAnsi="Book Antiqua" w:cs="Arial"/>
          <w:sz w:val="22"/>
          <w:szCs w:val="22"/>
        </w:rPr>
        <w:t>n</w:t>
      </w:r>
      <w:r w:rsidRPr="005F2DD2">
        <w:rPr>
          <w:rFonts w:ascii="Book Antiqua" w:hAnsi="Book Antiqua" w:cs="Arial"/>
          <w:sz w:val="22"/>
          <w:szCs w:val="22"/>
        </w:rPr>
        <w:t xml:space="preserve"> active support for him and that this was likely to operate to reduce the risk.  Furthermore, the offender manager put in place sessions where the probation officer would address with the Appellant, the causative factors, including his attitudes to women, thinking skills and his alcohol consumption.  I do not have any doubt that the offender manager did undertake these sessions with the Appellant.  The report indicates that the Appellant was punctual in attending all his appointments with the probation officers and related agencies.  This does point to him responding in a positive way to processes that will reduce the risk of reoffending.  His mother gave evidence in this hearing, she was very emotional and clearly very supportive of the Appellant.  I have no doubt that she will play a role in reducing the risk of him reoffending.</w:t>
      </w:r>
      <w:r>
        <w:rPr>
          <w:rFonts w:ascii="Book Antiqua" w:hAnsi="Book Antiqua" w:cs="Arial"/>
        </w:rPr>
        <w:t>”</w:t>
      </w:r>
    </w:p>
    <w:p w14:paraId="56850133" w14:textId="77777777" w:rsidR="002A4476" w:rsidRDefault="00F14A4B" w:rsidP="00467291">
      <w:pPr>
        <w:numPr>
          <w:ilvl w:val="0"/>
          <w:numId w:val="3"/>
        </w:numPr>
        <w:spacing w:before="240"/>
        <w:jc w:val="both"/>
        <w:rPr>
          <w:rFonts w:ascii="Book Antiqua" w:hAnsi="Book Antiqua" w:cs="Arial"/>
        </w:rPr>
      </w:pPr>
      <w:r>
        <w:rPr>
          <w:rFonts w:ascii="Book Antiqua" w:hAnsi="Book Antiqua" w:cs="Arial"/>
        </w:rPr>
        <w:t xml:space="preserve">At sub-paragraphs 8(5) and 8(6) </w:t>
      </w:r>
      <w:r w:rsidR="002A4476">
        <w:rPr>
          <w:rFonts w:ascii="Book Antiqua" w:hAnsi="Book Antiqua" w:cs="Arial"/>
        </w:rPr>
        <w:t>of his decision, the First-tier Tribunal Judge</w:t>
      </w:r>
      <w:r>
        <w:rPr>
          <w:rFonts w:ascii="Book Antiqua" w:hAnsi="Book Antiqua" w:cs="Arial"/>
        </w:rPr>
        <w:t xml:space="preserve"> noted that a letter from Care UK in October 2017 confirmed that </w:t>
      </w:r>
      <w:r w:rsidR="002A4476">
        <w:rPr>
          <w:rFonts w:ascii="Book Antiqua" w:hAnsi="Book Antiqua" w:cs="Arial"/>
        </w:rPr>
        <w:t>the claimant</w:t>
      </w:r>
      <w:r>
        <w:rPr>
          <w:rFonts w:ascii="Book Antiqua" w:hAnsi="Book Antiqua" w:cs="Arial"/>
        </w:rPr>
        <w:t xml:space="preserve"> was addressing his past alcohol abuse</w:t>
      </w:r>
      <w:r w:rsidR="002A4476">
        <w:rPr>
          <w:rFonts w:ascii="Book Antiqua" w:hAnsi="Book Antiqua" w:cs="Arial"/>
        </w:rPr>
        <w:t>,</w:t>
      </w:r>
      <w:r>
        <w:rPr>
          <w:rFonts w:ascii="Book Antiqua" w:hAnsi="Book Antiqua" w:cs="Arial"/>
        </w:rPr>
        <w:t xml:space="preserve"> attending all appointments and completing the work to a high standard</w:t>
      </w:r>
      <w:r w:rsidR="002A4476">
        <w:rPr>
          <w:rFonts w:ascii="Book Antiqua" w:hAnsi="Book Antiqua" w:cs="Arial"/>
        </w:rPr>
        <w:t>; that</w:t>
      </w:r>
      <w:r>
        <w:rPr>
          <w:rFonts w:ascii="Book Antiqua" w:hAnsi="Book Antiqua" w:cs="Arial"/>
        </w:rPr>
        <w:t xml:space="preserve"> a certificate </w:t>
      </w:r>
      <w:r w:rsidR="00467291">
        <w:rPr>
          <w:rFonts w:ascii="Book Antiqua" w:hAnsi="Book Antiqua" w:cs="Arial"/>
        </w:rPr>
        <w:t xml:space="preserve">in September 2017 from the Drug and </w:t>
      </w:r>
      <w:r w:rsidR="00E04BDB">
        <w:rPr>
          <w:rFonts w:ascii="Book Antiqua" w:hAnsi="Book Antiqua" w:cs="Arial"/>
        </w:rPr>
        <w:t>Alcohol</w:t>
      </w:r>
      <w:r w:rsidR="00467291">
        <w:rPr>
          <w:rFonts w:ascii="Book Antiqua" w:hAnsi="Book Antiqua" w:cs="Arial"/>
        </w:rPr>
        <w:t xml:space="preserve"> Awareness Services </w:t>
      </w:r>
      <w:r w:rsidR="002A4476">
        <w:rPr>
          <w:rFonts w:ascii="Book Antiqua" w:hAnsi="Book Antiqua" w:cs="Arial"/>
        </w:rPr>
        <w:t>stated</w:t>
      </w:r>
      <w:r w:rsidR="00467291">
        <w:rPr>
          <w:rFonts w:ascii="Book Antiqua" w:hAnsi="Book Antiqua" w:cs="Arial"/>
        </w:rPr>
        <w:t xml:space="preserve"> that he had successfully completed a course whose objectives were to enable him to consider how the use of alcohol affects others and him, identifying problems with drinking alcohol to excess and thinking about the issues associated with alcohol abuse.  </w:t>
      </w:r>
    </w:p>
    <w:p w14:paraId="478BF24B" w14:textId="77777777" w:rsidR="00AE33EE" w:rsidRDefault="002A4476" w:rsidP="00467291">
      <w:pPr>
        <w:numPr>
          <w:ilvl w:val="0"/>
          <w:numId w:val="3"/>
        </w:numPr>
        <w:spacing w:before="240"/>
        <w:jc w:val="both"/>
        <w:rPr>
          <w:rFonts w:ascii="Book Antiqua" w:hAnsi="Book Antiqua" w:cs="Arial"/>
        </w:rPr>
      </w:pPr>
      <w:r>
        <w:rPr>
          <w:rFonts w:ascii="Book Antiqua" w:hAnsi="Book Antiqua" w:cs="Arial"/>
        </w:rPr>
        <w:t>The First-tier Tribunal</w:t>
      </w:r>
      <w:r w:rsidR="00467291">
        <w:rPr>
          <w:rFonts w:ascii="Book Antiqua" w:hAnsi="Book Antiqua" w:cs="Arial"/>
        </w:rPr>
        <w:t xml:space="preserve"> </w:t>
      </w:r>
      <w:r>
        <w:rPr>
          <w:rFonts w:ascii="Book Antiqua" w:hAnsi="Book Antiqua" w:cs="Arial"/>
        </w:rPr>
        <w:t xml:space="preserve">Judge’s decision </w:t>
      </w:r>
      <w:r w:rsidR="00467291">
        <w:rPr>
          <w:rFonts w:ascii="Book Antiqua" w:hAnsi="Book Antiqua" w:cs="Arial"/>
        </w:rPr>
        <w:t>conclude</w:t>
      </w:r>
      <w:r>
        <w:rPr>
          <w:rFonts w:ascii="Book Antiqua" w:hAnsi="Book Antiqua" w:cs="Arial"/>
        </w:rPr>
        <w:t>d</w:t>
      </w:r>
      <w:r w:rsidR="00467291">
        <w:rPr>
          <w:rFonts w:ascii="Book Antiqua" w:hAnsi="Book Antiqua" w:cs="Arial"/>
        </w:rPr>
        <w:t xml:space="preserve"> as follows:-</w:t>
      </w:r>
    </w:p>
    <w:p w14:paraId="5EDB0F3F" w14:textId="77777777" w:rsidR="00467291" w:rsidRPr="00467291" w:rsidRDefault="00467291" w:rsidP="00467291">
      <w:pPr>
        <w:spacing w:before="240"/>
        <w:ind w:left="1701" w:hanging="567"/>
        <w:jc w:val="both"/>
        <w:rPr>
          <w:rFonts w:ascii="Book Antiqua" w:hAnsi="Book Antiqua" w:cs="Arial"/>
          <w:sz w:val="22"/>
          <w:szCs w:val="22"/>
        </w:rPr>
      </w:pPr>
      <w:r>
        <w:rPr>
          <w:rFonts w:ascii="Book Antiqua" w:hAnsi="Book Antiqua" w:cs="Arial"/>
        </w:rPr>
        <w:t>“</w:t>
      </w:r>
      <w:r w:rsidRPr="00467291">
        <w:rPr>
          <w:rFonts w:ascii="Book Antiqua" w:hAnsi="Book Antiqua" w:cs="Arial"/>
          <w:sz w:val="22"/>
          <w:szCs w:val="22"/>
        </w:rPr>
        <w:t>(9)</w:t>
      </w:r>
      <w:r w:rsidRPr="00467291">
        <w:rPr>
          <w:rFonts w:ascii="Book Antiqua" w:hAnsi="Book Antiqua" w:cs="Arial"/>
          <w:sz w:val="22"/>
          <w:szCs w:val="22"/>
        </w:rPr>
        <w:tab/>
        <w:t xml:space="preserve">It is not contended by the respondent that the appellant has acquired the right to permanent residence.  Accordingly, his deportation may be justified on grounds of public policy.  In applying the principle of proportionality as I am required to do, under regulation 27(5), I take into account that the appellant’s prospects of rehabilitation are much higher in the United Kingdom because of the practical commitment that his mother has demonstrated to his rehabilitation and the close </w:t>
      </w:r>
      <w:r w:rsidRPr="00467291">
        <w:rPr>
          <w:rFonts w:ascii="Book Antiqua" w:hAnsi="Book Antiqua" w:cs="Arial"/>
          <w:sz w:val="22"/>
          <w:szCs w:val="22"/>
        </w:rPr>
        <w:lastRenderedPageBreak/>
        <w:t xml:space="preserve">bond that he has with her.  I have found that the appellant’s conduct is not a present, genuine and </w:t>
      </w:r>
      <w:r w:rsidR="00E04BDB" w:rsidRPr="00467291">
        <w:rPr>
          <w:rFonts w:ascii="Book Antiqua" w:hAnsi="Book Antiqua" w:cs="Arial"/>
          <w:sz w:val="22"/>
          <w:szCs w:val="22"/>
        </w:rPr>
        <w:t>sufficiently</w:t>
      </w:r>
      <w:r w:rsidRPr="00467291">
        <w:rPr>
          <w:rFonts w:ascii="Book Antiqua" w:hAnsi="Book Antiqua" w:cs="Arial"/>
          <w:sz w:val="22"/>
          <w:szCs w:val="22"/>
        </w:rPr>
        <w:t xml:space="preserve"> serious threat to the fundamental interests of society.  I come to the conclusion that the respondent has </w:t>
      </w:r>
      <w:r w:rsidR="00F1324D">
        <w:rPr>
          <w:rFonts w:ascii="Book Antiqua" w:hAnsi="Book Antiqua" w:cs="Arial"/>
          <w:sz w:val="22"/>
          <w:szCs w:val="22"/>
        </w:rPr>
        <w:t xml:space="preserve">not </w:t>
      </w:r>
      <w:r w:rsidRPr="00467291">
        <w:rPr>
          <w:rFonts w:ascii="Book Antiqua" w:hAnsi="Book Antiqua" w:cs="Arial"/>
          <w:sz w:val="22"/>
          <w:szCs w:val="22"/>
        </w:rPr>
        <w:t xml:space="preserve"> discharged the burden of showing that the appellant’s deportation is justified on grounds of public policy.</w:t>
      </w:r>
      <w:r w:rsidRPr="00467291">
        <w:rPr>
          <w:rFonts w:ascii="Book Antiqua" w:hAnsi="Book Antiqua" w:cs="Arial"/>
        </w:rPr>
        <w:t>”</w:t>
      </w:r>
    </w:p>
    <w:p w14:paraId="14E4C239" w14:textId="77777777" w:rsidR="002A4476" w:rsidRDefault="00E04BDB" w:rsidP="002A4476">
      <w:pPr>
        <w:numPr>
          <w:ilvl w:val="0"/>
          <w:numId w:val="3"/>
        </w:numPr>
        <w:spacing w:before="240"/>
        <w:jc w:val="both"/>
        <w:rPr>
          <w:rFonts w:ascii="Book Antiqua" w:hAnsi="Book Antiqua" w:cs="Arial"/>
        </w:rPr>
      </w:pPr>
      <w:r>
        <w:rPr>
          <w:rFonts w:ascii="Book Antiqua" w:hAnsi="Book Antiqua" w:cs="Arial"/>
        </w:rPr>
        <w:t>The Secretary of State appealed</w:t>
      </w:r>
      <w:r w:rsidR="002A4476">
        <w:rPr>
          <w:rFonts w:ascii="Book Antiqua" w:hAnsi="Book Antiqua" w:cs="Arial"/>
        </w:rPr>
        <w:t>,</w:t>
      </w:r>
      <w:r>
        <w:rPr>
          <w:rFonts w:ascii="Book Antiqua" w:hAnsi="Book Antiqua" w:cs="Arial"/>
        </w:rPr>
        <w:t xml:space="preserve"> arguing that </w:t>
      </w:r>
      <w:r w:rsidR="002A4476">
        <w:rPr>
          <w:rFonts w:ascii="Book Antiqua" w:hAnsi="Book Antiqua" w:cs="Arial"/>
        </w:rPr>
        <w:t>the First-tier Tribunal</w:t>
      </w:r>
      <w:r>
        <w:rPr>
          <w:rFonts w:ascii="Book Antiqua" w:hAnsi="Book Antiqua" w:cs="Arial"/>
        </w:rPr>
        <w:t>’s findings were internally inconsistent and that weight should not have been given to the numerical scoring of the probation report.  When granting permission</w:t>
      </w:r>
      <w:r w:rsidR="002A4476">
        <w:rPr>
          <w:rFonts w:ascii="Book Antiqua" w:hAnsi="Book Antiqua" w:cs="Arial"/>
        </w:rPr>
        <w:t>, First-tier Tribunal</w:t>
      </w:r>
      <w:r>
        <w:rPr>
          <w:rFonts w:ascii="Book Antiqua" w:hAnsi="Book Antiqua" w:cs="Arial"/>
        </w:rPr>
        <w:t xml:space="preserve"> Judge Boyes considered that the claimed misunderstanding was arguable with regard to the conclusions extrapolated from the report.  </w:t>
      </w:r>
      <w:r w:rsidR="002A4476" w:rsidRPr="002A4476">
        <w:rPr>
          <w:rFonts w:ascii="Book Antiqua" w:hAnsi="Book Antiqua" w:cs="Arial"/>
        </w:rPr>
        <w:t xml:space="preserve">Permission to appeal was granted on the basis that the First-tier Tribunal had arguably misunderstood the probation report and concluded wrongly that the appellant was a low threat and risk.  </w:t>
      </w:r>
    </w:p>
    <w:p w14:paraId="26FBD27C" w14:textId="77777777" w:rsidR="002A4476" w:rsidRDefault="00E04BDB" w:rsidP="00284307">
      <w:pPr>
        <w:numPr>
          <w:ilvl w:val="0"/>
          <w:numId w:val="3"/>
        </w:numPr>
        <w:spacing w:before="240"/>
        <w:jc w:val="both"/>
        <w:rPr>
          <w:rFonts w:ascii="Book Antiqua" w:hAnsi="Book Antiqua" w:cs="Arial"/>
        </w:rPr>
      </w:pPr>
      <w:r>
        <w:rPr>
          <w:rFonts w:ascii="Book Antiqua" w:hAnsi="Book Antiqua" w:cs="Arial"/>
        </w:rPr>
        <w:t xml:space="preserve">I have heard submissions from both parties and I must now consider whether there is irrationality in the First-tier Tribunal Judge’s conclusions or whether the probation evidence has been properly weighed and </w:t>
      </w:r>
      <w:r w:rsidR="002A4476">
        <w:rPr>
          <w:rFonts w:ascii="Book Antiqua" w:hAnsi="Book Antiqua" w:cs="Arial"/>
        </w:rPr>
        <w:t>the Judge’s</w:t>
      </w:r>
      <w:r>
        <w:rPr>
          <w:rFonts w:ascii="Book Antiqua" w:hAnsi="Book Antiqua" w:cs="Arial"/>
        </w:rPr>
        <w:t xml:space="preserve"> conclusions were open to him.  I have been taken to the relevant passages in the probation report and I am quite satisfied that </w:t>
      </w:r>
      <w:r w:rsidR="002A4476">
        <w:rPr>
          <w:rFonts w:ascii="Book Antiqua" w:hAnsi="Book Antiqua" w:cs="Arial"/>
        </w:rPr>
        <w:t>the First-tier Tribunal</w:t>
      </w:r>
      <w:r>
        <w:rPr>
          <w:rFonts w:ascii="Book Antiqua" w:hAnsi="Book Antiqua" w:cs="Arial"/>
        </w:rPr>
        <w:t xml:space="preserve"> has considered the report properly and that the conclusion reached, albeit not one which perhaps every judge would reach, was open to this judge on this evidence.  </w:t>
      </w:r>
    </w:p>
    <w:p w14:paraId="25C6A75B" w14:textId="77777777" w:rsidR="00E04BDB" w:rsidRDefault="00E04BDB" w:rsidP="00284307">
      <w:pPr>
        <w:numPr>
          <w:ilvl w:val="0"/>
          <w:numId w:val="3"/>
        </w:numPr>
        <w:spacing w:before="240"/>
        <w:jc w:val="both"/>
        <w:rPr>
          <w:rFonts w:ascii="Book Antiqua" w:hAnsi="Book Antiqua" w:cs="Arial"/>
        </w:rPr>
      </w:pPr>
      <w:r>
        <w:rPr>
          <w:rFonts w:ascii="Book Antiqua" w:hAnsi="Book Antiqua" w:cs="Arial"/>
        </w:rPr>
        <w:t xml:space="preserve">Neither party has produced any later probation evidence which gives any better information as to whether at the date of decision by the First-tier Tribunal this appellant was a genuine, present and serious risk to the community of the United Kingdom, but on the basis of the probation report and the passages to which I have been taken I consider that it was open to </w:t>
      </w:r>
      <w:r w:rsidR="002A4476">
        <w:rPr>
          <w:rFonts w:ascii="Book Antiqua" w:hAnsi="Book Antiqua" w:cs="Arial"/>
        </w:rPr>
        <w:t>the First-tier Tribunal</w:t>
      </w:r>
      <w:r>
        <w:rPr>
          <w:rFonts w:ascii="Book Antiqua" w:hAnsi="Book Antiqua" w:cs="Arial"/>
        </w:rPr>
        <w:t xml:space="preserve"> to find that, with the assistance of his mother and the various probation activities he had undertaken, the risk was reduced below that level.  </w:t>
      </w:r>
    </w:p>
    <w:p w14:paraId="510F0C66" w14:textId="77777777" w:rsidR="00B705D9" w:rsidRDefault="00B705D9" w:rsidP="00284307">
      <w:pPr>
        <w:spacing w:before="240"/>
        <w:jc w:val="both"/>
        <w:rPr>
          <w:rFonts w:ascii="Book Antiqua" w:hAnsi="Book Antiqua" w:cs="Arial"/>
        </w:rPr>
      </w:pPr>
      <w:r>
        <w:rPr>
          <w:rFonts w:ascii="Book Antiqua" w:hAnsi="Book Antiqua" w:cs="Arial"/>
          <w:b/>
          <w:u w:val="single"/>
        </w:rPr>
        <w:t>Conclusions</w:t>
      </w:r>
    </w:p>
    <w:p w14:paraId="495B83B0" w14:textId="77777777" w:rsidR="00B705D9" w:rsidRDefault="00E04BDB" w:rsidP="001F2A30">
      <w:pPr>
        <w:spacing w:before="240"/>
        <w:jc w:val="both"/>
        <w:rPr>
          <w:rFonts w:ascii="Book Antiqua" w:hAnsi="Book Antiqua" w:cs="Arial"/>
        </w:rPr>
      </w:pPr>
      <w:r>
        <w:rPr>
          <w:rFonts w:ascii="Book Antiqua" w:hAnsi="Book Antiqua" w:cs="Arial"/>
        </w:rPr>
        <w:t>I therefore dismiss the appeal of the Secretary of State against the First-tier Tribunal’s decision and the decision of the First-tier Tribunal stands</w:t>
      </w:r>
      <w:r w:rsidR="00B705D9">
        <w:rPr>
          <w:rFonts w:ascii="Book Antiqua" w:hAnsi="Book Antiqua" w:cs="Arial"/>
        </w:rPr>
        <w:t>.</w:t>
      </w:r>
    </w:p>
    <w:p w14:paraId="053DBD67" w14:textId="77777777" w:rsidR="005B748C" w:rsidRDefault="005B748C" w:rsidP="002A4476">
      <w:pPr>
        <w:tabs>
          <w:tab w:val="left" w:pos="567"/>
        </w:tabs>
        <w:spacing w:before="240"/>
        <w:jc w:val="both"/>
        <w:rPr>
          <w:rFonts w:ascii="Book Antiqua" w:hAnsi="Book Antiqua" w:cs="Arial"/>
        </w:rPr>
      </w:pPr>
    </w:p>
    <w:p w14:paraId="56D7E096" w14:textId="7AC8D26E" w:rsidR="002A4476" w:rsidRDefault="002A4476" w:rsidP="002A4476">
      <w:pPr>
        <w:tabs>
          <w:tab w:val="left" w:pos="567"/>
        </w:tabs>
        <w:spacing w:before="240"/>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t>7 August 2018</w:t>
      </w:r>
    </w:p>
    <w:p w14:paraId="32CFB8AE" w14:textId="77777777" w:rsidR="002A4476" w:rsidRPr="009B6C7D" w:rsidRDefault="002A4476" w:rsidP="002A4476">
      <w:pPr>
        <w:tabs>
          <w:tab w:val="left" w:pos="567"/>
        </w:tabs>
        <w:jc w:val="both"/>
        <w:rPr>
          <w:rFonts w:ascii="Book Antiqua" w:hAnsi="Book Antiqua" w:cs="Arial"/>
        </w:rPr>
      </w:pPr>
      <w:r>
        <w:rPr>
          <w:rFonts w:ascii="Book Antiqua" w:hAnsi="Book Antiqua" w:cs="Arial"/>
        </w:rPr>
        <w:tab/>
      </w:r>
      <w:r>
        <w:rPr>
          <w:rFonts w:ascii="Book Antiqua" w:hAnsi="Book Antiqua" w:cs="Arial"/>
        </w:rPr>
        <w:tab/>
        <w:t xml:space="preserve">Upper Tribunal Judge Gleeson </w:t>
      </w:r>
    </w:p>
    <w:p w14:paraId="65ECAB0C" w14:textId="77777777" w:rsidR="00B705D9" w:rsidRPr="00F5664C" w:rsidRDefault="00B705D9" w:rsidP="000369F5">
      <w:pPr>
        <w:tabs>
          <w:tab w:val="left" w:pos="2520"/>
        </w:tabs>
        <w:jc w:val="both"/>
        <w:rPr>
          <w:rFonts w:ascii="Book Antiqua" w:hAnsi="Book Antiqua" w:cs="Arial"/>
        </w:rPr>
        <w:sectPr w:rsidR="00B705D9" w:rsidRPr="00F5664C" w:rsidSect="00C9368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p>
    <w:p w14:paraId="436AE245" w14:textId="77777777" w:rsidR="00B705D9" w:rsidRPr="00F5664C" w:rsidRDefault="00B705D9" w:rsidP="005B7789">
      <w:pPr>
        <w:rPr>
          <w:rFonts w:ascii="Book Antiqua" w:hAnsi="Book Antiqua" w:cs="Arial"/>
          <w:sz w:val="22"/>
          <w:szCs w:val="22"/>
        </w:rPr>
      </w:pPr>
    </w:p>
    <w:p w14:paraId="76775505" w14:textId="77777777" w:rsidR="00B705D9" w:rsidRPr="00F5664C" w:rsidRDefault="00B705D9" w:rsidP="005B7789">
      <w:pPr>
        <w:tabs>
          <w:tab w:val="left" w:pos="2520"/>
        </w:tabs>
        <w:ind w:left="540" w:hanging="540"/>
        <w:jc w:val="both"/>
        <w:rPr>
          <w:rFonts w:ascii="Book Antiqua" w:hAnsi="Book Antiqua" w:cs="Arial"/>
        </w:rPr>
      </w:pPr>
    </w:p>
    <w:sectPr w:rsidR="00B705D9" w:rsidRPr="00F5664C" w:rsidSect="00036B63">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621B0" w14:textId="77777777" w:rsidR="002D2BDB" w:rsidRDefault="002D2BDB">
      <w:r>
        <w:separator/>
      </w:r>
    </w:p>
  </w:endnote>
  <w:endnote w:type="continuationSeparator" w:id="0">
    <w:p w14:paraId="29B40945" w14:textId="77777777" w:rsidR="002D2BDB" w:rsidRDefault="002D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F369" w14:textId="4061BCC4" w:rsidR="00B705D9" w:rsidRPr="00CD79D9" w:rsidRDefault="00B705D9" w:rsidP="00593795">
    <w:pPr>
      <w:pStyle w:val="Footer"/>
      <w:jc w:val="center"/>
      <w:rPr>
        <w:rFonts w:ascii="Book Antiqua" w:hAnsi="Book Antiqua" w:cs="Arial"/>
      </w:rPr>
    </w:pPr>
    <w:r w:rsidRPr="00CD79D9">
      <w:rPr>
        <w:rStyle w:val="PageNumber"/>
        <w:rFonts w:ascii="Book Antiqua" w:hAnsi="Book Antiqua" w:cs="Arial"/>
      </w:rPr>
      <w:fldChar w:fldCharType="begin"/>
    </w:r>
    <w:r w:rsidRPr="00CD79D9">
      <w:rPr>
        <w:rStyle w:val="PageNumber"/>
        <w:rFonts w:ascii="Book Antiqua" w:hAnsi="Book Antiqua" w:cs="Arial"/>
      </w:rPr>
      <w:instrText xml:space="preserve"> PAGE </w:instrText>
    </w:r>
    <w:r w:rsidRPr="00CD79D9">
      <w:rPr>
        <w:rStyle w:val="PageNumber"/>
        <w:rFonts w:ascii="Book Antiqua" w:hAnsi="Book Antiqua" w:cs="Arial"/>
      </w:rPr>
      <w:fldChar w:fldCharType="separate"/>
    </w:r>
    <w:r w:rsidR="00166DDC">
      <w:rPr>
        <w:rStyle w:val="PageNumber"/>
        <w:rFonts w:ascii="Book Antiqua" w:hAnsi="Book Antiqua" w:cs="Arial"/>
        <w:noProof/>
      </w:rPr>
      <w:t>3</w:t>
    </w:r>
    <w:r w:rsidRPr="00CD79D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76B03" w14:textId="77777777"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FD3F0" w14:textId="77777777" w:rsidR="002D2BDB" w:rsidRDefault="002D2BDB">
      <w:r>
        <w:separator/>
      </w:r>
    </w:p>
  </w:footnote>
  <w:footnote w:type="continuationSeparator" w:id="0">
    <w:p w14:paraId="6ECA7B54" w14:textId="77777777" w:rsidR="002D2BDB" w:rsidRDefault="002D2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EA91" w14:textId="5D6E0FB6"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C1F6C" w:rsidRPr="006C1F6C">
      <w:rPr>
        <w:rFonts w:ascii="Book Antiqua" w:hAnsi="Book Antiqua" w:cs="Arial"/>
        <w:sz w:val="16"/>
        <w:szCs w:val="16"/>
      </w:rPr>
      <w:t>DA/00487/2017</w:t>
    </w:r>
  </w:p>
  <w:p w14:paraId="625DA324" w14:textId="77777777" w:rsidR="00CD79D9" w:rsidRPr="006C1F6C" w:rsidRDefault="00CD79D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104F4" w14:textId="77777777"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FD"/>
    <w:rsid w:val="00000621"/>
    <w:rsid w:val="000036C2"/>
    <w:rsid w:val="0002205B"/>
    <w:rsid w:val="00033D3D"/>
    <w:rsid w:val="000369F5"/>
    <w:rsid w:val="00036B63"/>
    <w:rsid w:val="00071A7E"/>
    <w:rsid w:val="000746C0"/>
    <w:rsid w:val="00074D1D"/>
    <w:rsid w:val="00092580"/>
    <w:rsid w:val="000A68E1"/>
    <w:rsid w:val="000D5D94"/>
    <w:rsid w:val="000E6D26"/>
    <w:rsid w:val="000F3EC5"/>
    <w:rsid w:val="001165A7"/>
    <w:rsid w:val="00120604"/>
    <w:rsid w:val="00146D9C"/>
    <w:rsid w:val="00151BB7"/>
    <w:rsid w:val="0016457F"/>
    <w:rsid w:val="00166DDC"/>
    <w:rsid w:val="00167D3A"/>
    <w:rsid w:val="001A1E2C"/>
    <w:rsid w:val="001A3F2E"/>
    <w:rsid w:val="001B2B9C"/>
    <w:rsid w:val="001F2716"/>
    <w:rsid w:val="001F2A30"/>
    <w:rsid w:val="0020133A"/>
    <w:rsid w:val="00207617"/>
    <w:rsid w:val="002153CC"/>
    <w:rsid w:val="00267403"/>
    <w:rsid w:val="00282D33"/>
    <w:rsid w:val="00283659"/>
    <w:rsid w:val="00284307"/>
    <w:rsid w:val="00284DB6"/>
    <w:rsid w:val="002964CE"/>
    <w:rsid w:val="002A4476"/>
    <w:rsid w:val="002B0512"/>
    <w:rsid w:val="002C4E73"/>
    <w:rsid w:val="002D2BDB"/>
    <w:rsid w:val="002D68BF"/>
    <w:rsid w:val="002F26A8"/>
    <w:rsid w:val="003126B9"/>
    <w:rsid w:val="00321493"/>
    <w:rsid w:val="00324C78"/>
    <w:rsid w:val="00336CBF"/>
    <w:rsid w:val="00341AC8"/>
    <w:rsid w:val="003546C8"/>
    <w:rsid w:val="003A7CF2"/>
    <w:rsid w:val="003B0789"/>
    <w:rsid w:val="003C5CE5"/>
    <w:rsid w:val="003E267B"/>
    <w:rsid w:val="003E5936"/>
    <w:rsid w:val="003E7CD1"/>
    <w:rsid w:val="003F4D54"/>
    <w:rsid w:val="00401098"/>
    <w:rsid w:val="00402B9E"/>
    <w:rsid w:val="00410DA5"/>
    <w:rsid w:val="00423932"/>
    <w:rsid w:val="004249CB"/>
    <w:rsid w:val="0044127D"/>
    <w:rsid w:val="004448DB"/>
    <w:rsid w:val="00446C9A"/>
    <w:rsid w:val="00467291"/>
    <w:rsid w:val="00477193"/>
    <w:rsid w:val="004A1848"/>
    <w:rsid w:val="004D3FEF"/>
    <w:rsid w:val="00507FEC"/>
    <w:rsid w:val="00510F0E"/>
    <w:rsid w:val="00511FD6"/>
    <w:rsid w:val="005433AC"/>
    <w:rsid w:val="005479E1"/>
    <w:rsid w:val="005570FD"/>
    <w:rsid w:val="005575EA"/>
    <w:rsid w:val="0057790C"/>
    <w:rsid w:val="00593795"/>
    <w:rsid w:val="00596910"/>
    <w:rsid w:val="005A2625"/>
    <w:rsid w:val="005A75FF"/>
    <w:rsid w:val="005A7AF3"/>
    <w:rsid w:val="005B748C"/>
    <w:rsid w:val="005B7789"/>
    <w:rsid w:val="005F2DD2"/>
    <w:rsid w:val="00612745"/>
    <w:rsid w:val="00653924"/>
    <w:rsid w:val="0065791C"/>
    <w:rsid w:val="0067439B"/>
    <w:rsid w:val="00690B8A"/>
    <w:rsid w:val="006C1F6C"/>
    <w:rsid w:val="006D1DFA"/>
    <w:rsid w:val="006D506B"/>
    <w:rsid w:val="006E3C90"/>
    <w:rsid w:val="00704B61"/>
    <w:rsid w:val="007416B4"/>
    <w:rsid w:val="00742A8D"/>
    <w:rsid w:val="007552A9"/>
    <w:rsid w:val="00757C67"/>
    <w:rsid w:val="00761858"/>
    <w:rsid w:val="00767D59"/>
    <w:rsid w:val="00771861"/>
    <w:rsid w:val="00776E97"/>
    <w:rsid w:val="00780FD7"/>
    <w:rsid w:val="00781544"/>
    <w:rsid w:val="007912AD"/>
    <w:rsid w:val="007A1F28"/>
    <w:rsid w:val="007B0824"/>
    <w:rsid w:val="008303B8"/>
    <w:rsid w:val="00833DCE"/>
    <w:rsid w:val="00841426"/>
    <w:rsid w:val="00842418"/>
    <w:rsid w:val="00871D34"/>
    <w:rsid w:val="008B270C"/>
    <w:rsid w:val="008B7675"/>
    <w:rsid w:val="008C3D3D"/>
    <w:rsid w:val="008D2D39"/>
    <w:rsid w:val="008D4131"/>
    <w:rsid w:val="008D72EE"/>
    <w:rsid w:val="008E24CF"/>
    <w:rsid w:val="008E42BD"/>
    <w:rsid w:val="008F1932"/>
    <w:rsid w:val="008F294D"/>
    <w:rsid w:val="008F3478"/>
    <w:rsid w:val="00916597"/>
    <w:rsid w:val="00921062"/>
    <w:rsid w:val="00923213"/>
    <w:rsid w:val="0093083E"/>
    <w:rsid w:val="00966ECF"/>
    <w:rsid w:val="009727A3"/>
    <w:rsid w:val="0098507A"/>
    <w:rsid w:val="00987774"/>
    <w:rsid w:val="00997F3F"/>
    <w:rsid w:val="009A11E8"/>
    <w:rsid w:val="009C5A94"/>
    <w:rsid w:val="009E4E62"/>
    <w:rsid w:val="009F5220"/>
    <w:rsid w:val="009F73A5"/>
    <w:rsid w:val="009F7C4D"/>
    <w:rsid w:val="00A15234"/>
    <w:rsid w:val="00A201AB"/>
    <w:rsid w:val="00A31BD8"/>
    <w:rsid w:val="00A31C8B"/>
    <w:rsid w:val="00A53BE8"/>
    <w:rsid w:val="00A845DC"/>
    <w:rsid w:val="00A97AEE"/>
    <w:rsid w:val="00AA2E5B"/>
    <w:rsid w:val="00AC01D5"/>
    <w:rsid w:val="00AC5CF6"/>
    <w:rsid w:val="00AE33EE"/>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D1E13"/>
    <w:rsid w:val="00BD4196"/>
    <w:rsid w:val="00BD74C9"/>
    <w:rsid w:val="00BF22CA"/>
    <w:rsid w:val="00C005C1"/>
    <w:rsid w:val="00C25034"/>
    <w:rsid w:val="00C26032"/>
    <w:rsid w:val="00C265B0"/>
    <w:rsid w:val="00C321B5"/>
    <w:rsid w:val="00C345E1"/>
    <w:rsid w:val="00C457BC"/>
    <w:rsid w:val="00C871FD"/>
    <w:rsid w:val="00C917D6"/>
    <w:rsid w:val="00C9368D"/>
    <w:rsid w:val="00C977BA"/>
    <w:rsid w:val="00CB6E35"/>
    <w:rsid w:val="00CD79D9"/>
    <w:rsid w:val="00CE1A46"/>
    <w:rsid w:val="00CF253F"/>
    <w:rsid w:val="00CF56B4"/>
    <w:rsid w:val="00D20F09"/>
    <w:rsid w:val="00D22636"/>
    <w:rsid w:val="00D40FD9"/>
    <w:rsid w:val="00D527C9"/>
    <w:rsid w:val="00D53769"/>
    <w:rsid w:val="00D70775"/>
    <w:rsid w:val="00D85C13"/>
    <w:rsid w:val="00D91BE3"/>
    <w:rsid w:val="00D94AFC"/>
    <w:rsid w:val="00DA53F9"/>
    <w:rsid w:val="00DB1CA2"/>
    <w:rsid w:val="00DB70AE"/>
    <w:rsid w:val="00DB7231"/>
    <w:rsid w:val="00DD5071"/>
    <w:rsid w:val="00DD5C39"/>
    <w:rsid w:val="00DD6305"/>
    <w:rsid w:val="00DE26AF"/>
    <w:rsid w:val="00DE279E"/>
    <w:rsid w:val="00DE3F1C"/>
    <w:rsid w:val="00DE7DB7"/>
    <w:rsid w:val="00DF41E9"/>
    <w:rsid w:val="00E00A0A"/>
    <w:rsid w:val="00E04BDB"/>
    <w:rsid w:val="00E05FCF"/>
    <w:rsid w:val="00E0621D"/>
    <w:rsid w:val="00E07F57"/>
    <w:rsid w:val="00E50BCE"/>
    <w:rsid w:val="00E51D71"/>
    <w:rsid w:val="00E61292"/>
    <w:rsid w:val="00E76309"/>
    <w:rsid w:val="00E77C4D"/>
    <w:rsid w:val="00E81D01"/>
    <w:rsid w:val="00EA4E94"/>
    <w:rsid w:val="00ED6C2F"/>
    <w:rsid w:val="00EE45D8"/>
    <w:rsid w:val="00F004CD"/>
    <w:rsid w:val="00F1324D"/>
    <w:rsid w:val="00F14A4B"/>
    <w:rsid w:val="00F22EDA"/>
    <w:rsid w:val="00F3224D"/>
    <w:rsid w:val="00F33E0E"/>
    <w:rsid w:val="00F436BD"/>
    <w:rsid w:val="00F5664C"/>
    <w:rsid w:val="00F82A85"/>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40B35F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5708</Characters>
  <Application>Microsoft Office Word</Application>
  <DocSecurity>0</DocSecurity>
  <Lines>47</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2018-08-31T13:24:00Z</dcterms:created>
  <dcterms:modified xsi:type="dcterms:W3CDTF">2018-08-31T13:24:00Z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