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8C1CE0" w:rsidP="008A6059">
      <w:pPr>
        <w:jc w:val="center"/>
        <w:rPr>
          <w:rFonts w:ascii="Book Antiqua" w:hAnsi="Book Antiqua" w:cs="Arial"/>
          <w:caps/>
          <w:color w:val="000000"/>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D97088"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D97088">
        <w:rPr>
          <w:rFonts w:ascii="Book Antiqua" w:hAnsi="Book Antiqua" w:cs="Arial"/>
          <w:b/>
          <w:color w:val="000000"/>
        </w:rPr>
        <w:t xml:space="preserve">   </w:t>
      </w:r>
      <w:proofErr w:type="gramEnd"/>
      <w:r w:rsidR="00D97088">
        <w:rPr>
          <w:rFonts w:ascii="Book Antiqua" w:hAnsi="Book Antiqua" w:cs="Arial"/>
          <w:b/>
          <w:color w:val="000000"/>
        </w:rPr>
        <w:t xml:space="preserve">                    </w:t>
      </w:r>
      <w:r w:rsidR="00B3524D" w:rsidRPr="00D97088">
        <w:rPr>
          <w:rFonts w:ascii="Book Antiqua" w:hAnsi="Book Antiqua" w:cs="Arial"/>
          <w:b/>
          <w:color w:val="000000"/>
        </w:rPr>
        <w:t>Appeal Number</w:t>
      </w:r>
      <w:r w:rsidR="00D53769" w:rsidRPr="00D97088">
        <w:rPr>
          <w:rFonts w:ascii="Book Antiqua" w:hAnsi="Book Antiqua" w:cs="Arial"/>
          <w:b/>
          <w:color w:val="000000"/>
        </w:rPr>
        <w:t>:</w:t>
      </w:r>
      <w:r w:rsidR="00B3524D" w:rsidRPr="00D97088">
        <w:rPr>
          <w:rFonts w:ascii="Book Antiqua" w:hAnsi="Book Antiqua" w:cs="Arial"/>
          <w:b/>
          <w:color w:val="000000"/>
        </w:rPr>
        <w:t xml:space="preserve"> </w:t>
      </w:r>
      <w:r w:rsidR="004D6C32" w:rsidRPr="00D97088">
        <w:rPr>
          <w:rFonts w:ascii="Book Antiqua" w:hAnsi="Book Antiqua" w:cs="Arial"/>
          <w:b/>
          <w:caps/>
          <w:color w:val="000000"/>
        </w:rPr>
        <w:t>DA/00513/2016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7B651D" w:rsidTr="00D97088">
        <w:tc>
          <w:tcPr>
            <w:tcW w:w="5245" w:type="dxa"/>
            <w:shd w:val="clear" w:color="auto" w:fill="auto"/>
          </w:tcPr>
          <w:p w:rsidR="00D22636" w:rsidRPr="007B651D" w:rsidRDefault="00D22636" w:rsidP="007B651D">
            <w:pPr>
              <w:jc w:val="both"/>
              <w:rPr>
                <w:rFonts w:ascii="Book Antiqua" w:hAnsi="Book Antiqua" w:cs="Arial"/>
                <w:b/>
              </w:rPr>
            </w:pPr>
            <w:r w:rsidRPr="007B651D">
              <w:rPr>
                <w:rFonts w:ascii="Book Antiqua" w:hAnsi="Book Antiqua" w:cs="Arial"/>
                <w:b/>
              </w:rPr>
              <w:t xml:space="preserve">Heard at </w:t>
            </w:r>
            <w:r w:rsidR="004D6C32" w:rsidRPr="007B651D">
              <w:rPr>
                <w:rFonts w:ascii="Book Antiqua" w:hAnsi="Book Antiqua" w:cs="Arial"/>
                <w:b/>
              </w:rPr>
              <w:t xml:space="preserve">Field House </w:t>
            </w:r>
          </w:p>
        </w:tc>
        <w:tc>
          <w:tcPr>
            <w:tcW w:w="4763" w:type="dxa"/>
            <w:shd w:val="clear" w:color="auto" w:fill="auto"/>
          </w:tcPr>
          <w:p w:rsidR="00D22636" w:rsidRPr="007B651D" w:rsidRDefault="00D97088" w:rsidP="007B651D">
            <w:pPr>
              <w:jc w:val="both"/>
              <w:rPr>
                <w:rFonts w:ascii="Book Antiqua" w:hAnsi="Book Antiqua" w:cs="Arial"/>
                <w:b/>
                <w:color w:val="000000"/>
              </w:rPr>
            </w:pPr>
            <w:r>
              <w:rPr>
                <w:rFonts w:ascii="Book Antiqua" w:hAnsi="Book Antiqua" w:cs="Arial"/>
                <w:b/>
                <w:color w:val="000000"/>
              </w:rPr>
              <w:t xml:space="preserve"> </w:t>
            </w:r>
            <w:r w:rsidR="00D949B7" w:rsidRPr="007B651D">
              <w:rPr>
                <w:rFonts w:ascii="Book Antiqua" w:hAnsi="Book Antiqua" w:cs="Arial"/>
                <w:b/>
                <w:color w:val="000000"/>
              </w:rPr>
              <w:t>Decision &amp; Reasons</w:t>
            </w:r>
            <w:r w:rsidR="00283659" w:rsidRPr="007B651D">
              <w:rPr>
                <w:rFonts w:ascii="Book Antiqua" w:hAnsi="Book Antiqua" w:cs="Arial"/>
                <w:b/>
                <w:color w:val="000000"/>
              </w:rPr>
              <w:t xml:space="preserve"> Promulgated</w:t>
            </w:r>
          </w:p>
        </w:tc>
      </w:tr>
      <w:tr w:rsidR="004D6C32" w:rsidRPr="007B651D" w:rsidTr="00D97088">
        <w:tc>
          <w:tcPr>
            <w:tcW w:w="5245" w:type="dxa"/>
            <w:shd w:val="clear" w:color="auto" w:fill="auto"/>
          </w:tcPr>
          <w:p w:rsidR="004D6C32" w:rsidRPr="007B651D" w:rsidRDefault="004D6C32" w:rsidP="007B651D">
            <w:pPr>
              <w:jc w:val="both"/>
              <w:rPr>
                <w:rFonts w:ascii="Book Antiqua" w:hAnsi="Book Antiqua" w:cs="Arial"/>
                <w:b/>
              </w:rPr>
            </w:pPr>
            <w:r w:rsidRPr="007B651D">
              <w:rPr>
                <w:rFonts w:ascii="Book Antiqua" w:hAnsi="Book Antiqua" w:cs="Arial"/>
                <w:b/>
              </w:rPr>
              <w:t xml:space="preserve">Oral decision given following hearing </w:t>
            </w:r>
          </w:p>
        </w:tc>
        <w:tc>
          <w:tcPr>
            <w:tcW w:w="4763" w:type="dxa"/>
            <w:shd w:val="clear" w:color="auto" w:fill="auto"/>
          </w:tcPr>
          <w:p w:rsidR="004D6C32" w:rsidRPr="007B651D" w:rsidRDefault="00D97088" w:rsidP="007B651D">
            <w:pPr>
              <w:jc w:val="both"/>
              <w:rPr>
                <w:rFonts w:ascii="Book Antiqua" w:hAnsi="Book Antiqua" w:cs="Arial"/>
                <w:b/>
              </w:rPr>
            </w:pPr>
            <w:r>
              <w:rPr>
                <w:rFonts w:ascii="Book Antiqua" w:hAnsi="Book Antiqua" w:cs="Arial"/>
                <w:b/>
              </w:rPr>
              <w:t xml:space="preserve"> </w:t>
            </w:r>
            <w:r w:rsidR="008C1CE0">
              <w:rPr>
                <w:rFonts w:ascii="Book Antiqua" w:hAnsi="Book Antiqua" w:cs="Arial"/>
                <w:b/>
              </w:rPr>
              <w:t>On 3 August 2018</w:t>
            </w:r>
          </w:p>
        </w:tc>
      </w:tr>
      <w:tr w:rsidR="00D22636" w:rsidRPr="007B651D" w:rsidTr="00D97088">
        <w:tc>
          <w:tcPr>
            <w:tcW w:w="5245" w:type="dxa"/>
            <w:shd w:val="clear" w:color="auto" w:fill="auto"/>
          </w:tcPr>
          <w:p w:rsidR="00D22636" w:rsidRPr="007B651D" w:rsidRDefault="00D22636" w:rsidP="008C1CE0">
            <w:pPr>
              <w:tabs>
                <w:tab w:val="left" w:pos="1907"/>
                <w:tab w:val="right" w:pos="5832"/>
              </w:tabs>
              <w:jc w:val="both"/>
              <w:rPr>
                <w:rFonts w:ascii="Book Antiqua" w:hAnsi="Book Antiqua" w:cs="Arial"/>
                <w:b/>
              </w:rPr>
            </w:pPr>
            <w:r w:rsidRPr="007B651D">
              <w:rPr>
                <w:rFonts w:ascii="Book Antiqua" w:hAnsi="Book Antiqua" w:cs="Arial"/>
                <w:b/>
              </w:rPr>
              <w:t xml:space="preserve">On </w:t>
            </w:r>
            <w:r w:rsidR="004D6C32" w:rsidRPr="007B651D">
              <w:rPr>
                <w:rFonts w:ascii="Book Antiqua" w:hAnsi="Book Antiqua" w:cs="Arial"/>
                <w:b/>
              </w:rPr>
              <w:t xml:space="preserve">5 July 2018 </w:t>
            </w:r>
            <w:r w:rsidR="008C1CE0">
              <w:rPr>
                <w:rFonts w:ascii="Book Antiqua" w:hAnsi="Book Antiqua" w:cs="Arial"/>
                <w:b/>
              </w:rPr>
              <w:tab/>
              <w:t xml:space="preserve">                                                                    </w:t>
            </w:r>
            <w:r w:rsidR="008C1CE0">
              <w:rPr>
                <w:rFonts w:ascii="Book Antiqua" w:hAnsi="Book Antiqua" w:cs="Arial"/>
                <w:b/>
              </w:rPr>
              <w:tab/>
              <w:t xml:space="preserve">    </w:t>
            </w:r>
          </w:p>
        </w:tc>
        <w:tc>
          <w:tcPr>
            <w:tcW w:w="4763" w:type="dxa"/>
            <w:shd w:val="clear" w:color="auto" w:fill="auto"/>
          </w:tcPr>
          <w:p w:rsidR="00D22636" w:rsidRPr="007B651D" w:rsidRDefault="00D22636" w:rsidP="007B651D">
            <w:pPr>
              <w:jc w:val="both"/>
              <w:rPr>
                <w:rFonts w:ascii="Book Antiqua" w:hAnsi="Book Antiqua" w:cs="Arial"/>
                <w:b/>
              </w:rPr>
            </w:pPr>
          </w:p>
        </w:tc>
      </w:tr>
      <w:tr w:rsidR="00D22636" w:rsidRPr="007B651D" w:rsidTr="00D97088">
        <w:tc>
          <w:tcPr>
            <w:tcW w:w="5245" w:type="dxa"/>
            <w:shd w:val="clear" w:color="auto" w:fill="auto"/>
          </w:tcPr>
          <w:p w:rsidR="00D22636" w:rsidRPr="007B651D" w:rsidRDefault="00D22636" w:rsidP="007B651D">
            <w:pPr>
              <w:jc w:val="both"/>
              <w:rPr>
                <w:rFonts w:ascii="Book Antiqua" w:hAnsi="Book Antiqua" w:cs="Arial"/>
                <w:b/>
              </w:rPr>
            </w:pPr>
          </w:p>
        </w:tc>
        <w:tc>
          <w:tcPr>
            <w:tcW w:w="4763" w:type="dxa"/>
            <w:shd w:val="clear" w:color="auto" w:fill="auto"/>
          </w:tcPr>
          <w:p w:rsidR="00D22636" w:rsidRPr="007B651D" w:rsidRDefault="00D22636" w:rsidP="007B651D">
            <w:pPr>
              <w:jc w:val="both"/>
              <w:rPr>
                <w:rFonts w:ascii="Book Antiqua" w:hAnsi="Book Antiqua" w:cs="Arial"/>
                <w:b/>
              </w:rPr>
            </w:pPr>
          </w:p>
        </w:tc>
      </w:tr>
    </w:tbl>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C659D4">
        <w:rPr>
          <w:rFonts w:ascii="Book Antiqua" w:hAnsi="Book Antiqua" w:cs="Arial"/>
          <w:b/>
          <w:color w:val="000000"/>
        </w:rPr>
        <w:t>CRAIG</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4D6C32" w:rsidP="00A15234">
      <w:pPr>
        <w:jc w:val="center"/>
        <w:rPr>
          <w:rFonts w:ascii="Book Antiqua" w:hAnsi="Book Antiqua" w:cs="Arial"/>
          <w:b/>
          <w:caps/>
        </w:rPr>
      </w:pPr>
      <w:r>
        <w:rPr>
          <w:rFonts w:ascii="Book Antiqua" w:hAnsi="Book Antiqua" w:cs="Arial"/>
          <w:b/>
          <w:caps/>
        </w:rPr>
        <w:t>mr mm</w:t>
      </w:r>
    </w:p>
    <w:p w:rsidR="00D949B7" w:rsidRPr="00D97088" w:rsidRDefault="00D949B7" w:rsidP="00D949B7">
      <w:pPr>
        <w:jc w:val="center"/>
        <w:rPr>
          <w:rFonts w:ascii="Book Antiqua" w:hAnsi="Book Antiqua" w:cs="Arial"/>
          <w:caps/>
        </w:rPr>
      </w:pPr>
      <w:r w:rsidRPr="00D97088">
        <w:rPr>
          <w:rFonts w:ascii="Book Antiqua" w:hAnsi="Book Antiqua" w:cs="Arial"/>
          <w:caps/>
        </w:rPr>
        <w:t xml:space="preserve">(ANONYMITY DIRECTION </w:t>
      </w:r>
      <w:r w:rsidR="004D6C32" w:rsidRPr="00D97088">
        <w:rPr>
          <w:rFonts w:ascii="Book Antiqua" w:hAnsi="Book Antiqua" w:cs="Arial"/>
          <w:caps/>
        </w:rPr>
        <w:t>made</w:t>
      </w:r>
      <w:r w:rsidRPr="00D97088">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D97088" w:rsidRPr="009B7433" w:rsidRDefault="00D97088"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4D6C32"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4D6C32">
        <w:rPr>
          <w:rFonts w:ascii="Book Antiqua" w:hAnsi="Book Antiqua" w:cs="Arial"/>
        </w:rPr>
        <w:t xml:space="preserve">Not </w:t>
      </w:r>
      <w:r w:rsidR="00103611">
        <w:rPr>
          <w:rFonts w:ascii="Book Antiqua" w:hAnsi="Book Antiqua" w:cs="Arial"/>
        </w:rPr>
        <w:t>represented</w:t>
      </w:r>
      <w:r w:rsidR="004D6C32">
        <w:rPr>
          <w:rFonts w:ascii="Book Antiqua" w:hAnsi="Book Antiqua" w:cs="Arial"/>
        </w:rPr>
        <w:t xml:space="preserve"> and not present, but the Tribunal heard from his</w:t>
      </w:r>
    </w:p>
    <w:p w:rsidR="00DE7DB7" w:rsidRPr="009B7433" w:rsidRDefault="004D6C32" w:rsidP="00DE7DB7">
      <w:pPr>
        <w:tabs>
          <w:tab w:val="left" w:pos="2520"/>
        </w:tabs>
        <w:rPr>
          <w:rFonts w:ascii="Book Antiqua" w:hAnsi="Book Antiqua" w:cs="Arial"/>
        </w:rPr>
      </w:pPr>
      <w:r>
        <w:rPr>
          <w:rFonts w:ascii="Book Antiqua" w:hAnsi="Book Antiqua" w:cs="Arial"/>
        </w:rPr>
        <w:tab/>
        <w:t xml:space="preserve">father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4D6C32">
        <w:rPr>
          <w:rFonts w:ascii="Book Antiqua" w:hAnsi="Book Antiqua" w:cs="Arial"/>
        </w:rPr>
        <w:t xml:space="preserve">Mr N Bramble, Senior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EA79AF" w:rsidRDefault="004D6C3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was born on 17 July 1998 and is a citizen of </w:t>
      </w:r>
      <w:smartTag w:uri="urn:schemas-microsoft-com:office:smarttags" w:element="place">
        <w:smartTag w:uri="urn:schemas-microsoft-com:office:smarttags" w:element="country-region">
          <w:r>
            <w:rPr>
              <w:rFonts w:ascii="Book Antiqua" w:hAnsi="Book Antiqua" w:cs="Arial"/>
            </w:rPr>
            <w:t>Lithuania</w:t>
          </w:r>
        </w:smartTag>
      </w:smartTag>
      <w:r>
        <w:rPr>
          <w:rFonts w:ascii="Book Antiqua" w:hAnsi="Book Antiqua" w:cs="Arial"/>
        </w:rPr>
        <w:t xml:space="preserve">.  It is not clear precisely when he arrived in the United Kingdom, although it is understood that he claimed to have been in this country since 2010, although for reasons which follow this has not been accepted.  For some years he lived with his family.  His father at some stage worked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and may or may not have established </w:t>
      </w:r>
      <w:r w:rsidR="001973B7">
        <w:rPr>
          <w:rFonts w:ascii="Book Antiqua" w:hAnsi="Book Antiqua" w:cs="Arial"/>
        </w:rPr>
        <w:t>a</w:t>
      </w:r>
      <w:r>
        <w:rPr>
          <w:rFonts w:ascii="Book Antiqua" w:hAnsi="Book Antiqua" w:cs="Arial"/>
        </w:rPr>
        <w:t xml:space="preserve"> right of permanent residence himself.  Again, this is a matter which </w:t>
      </w:r>
      <w:r w:rsidR="00103611">
        <w:rPr>
          <w:rFonts w:ascii="Book Antiqua" w:hAnsi="Book Antiqua" w:cs="Arial"/>
        </w:rPr>
        <w:t>will</w:t>
      </w:r>
      <w:r>
        <w:rPr>
          <w:rFonts w:ascii="Book Antiqua" w:hAnsi="Book Antiqua" w:cs="Arial"/>
        </w:rPr>
        <w:t xml:space="preserve"> be touched on below.  Regrettably, certainly since 2012 when the appellant was 13 or 14, he has committ</w:t>
      </w:r>
      <w:r w:rsidR="001973B7">
        <w:rPr>
          <w:rFonts w:ascii="Book Antiqua" w:hAnsi="Book Antiqua" w:cs="Arial"/>
        </w:rPr>
        <w:t>ed</w:t>
      </w:r>
      <w:r>
        <w:rPr>
          <w:rFonts w:ascii="Book Antiqua" w:hAnsi="Book Antiqua" w:cs="Arial"/>
        </w:rPr>
        <w:t xml:space="preserve"> various crimes.  In 2012 for aiding and abetting </w:t>
      </w:r>
      <w:r w:rsidR="001973B7">
        <w:rPr>
          <w:rFonts w:ascii="Book Antiqua" w:hAnsi="Book Antiqua" w:cs="Arial"/>
        </w:rPr>
        <w:t>the</w:t>
      </w:r>
      <w:r>
        <w:rPr>
          <w:rFonts w:ascii="Book Antiqua" w:hAnsi="Book Antiqua" w:cs="Arial"/>
        </w:rPr>
        <w:t xml:space="preserve"> theft of a bicycle he was reprimanded in the juvenile court.  On 22 May 2014 (just before his 16</w:t>
      </w:r>
      <w:r w:rsidRPr="004D6C32">
        <w:rPr>
          <w:rFonts w:ascii="Book Antiqua" w:hAnsi="Book Antiqua" w:cs="Arial"/>
          <w:vertAlign w:val="superscript"/>
        </w:rPr>
        <w:t>th</w:t>
      </w:r>
      <w:r>
        <w:rPr>
          <w:rFonts w:ascii="Book Antiqua" w:hAnsi="Book Antiqua" w:cs="Arial"/>
        </w:rPr>
        <w:t xml:space="preserve"> birthday) for theft of a bicycle a </w:t>
      </w:r>
      <w:proofErr w:type="gramStart"/>
      <w:r>
        <w:rPr>
          <w:rFonts w:ascii="Book Antiqua" w:hAnsi="Book Antiqua" w:cs="Arial"/>
        </w:rPr>
        <w:t>four month</w:t>
      </w:r>
      <w:proofErr w:type="gramEnd"/>
      <w:r>
        <w:rPr>
          <w:rFonts w:ascii="Book Antiqua" w:hAnsi="Book Antiqua" w:cs="Arial"/>
        </w:rPr>
        <w:t xml:space="preserve"> </w:t>
      </w:r>
      <w:r>
        <w:rPr>
          <w:rFonts w:ascii="Book Antiqua" w:hAnsi="Book Antiqua" w:cs="Arial"/>
        </w:rPr>
        <w:lastRenderedPageBreak/>
        <w:t xml:space="preserve">referral order was </w:t>
      </w:r>
      <w:r w:rsidR="00103611">
        <w:rPr>
          <w:rFonts w:ascii="Book Antiqua" w:hAnsi="Book Antiqua" w:cs="Arial"/>
        </w:rPr>
        <w:t>made</w:t>
      </w:r>
      <w:r>
        <w:rPr>
          <w:rFonts w:ascii="Book Antiqua" w:hAnsi="Book Antiqua" w:cs="Arial"/>
        </w:rPr>
        <w:t xml:space="preserve"> and he was ordered to pay a victim surcharge of £15</w:t>
      </w:r>
      <w:r w:rsidR="00CF4DEF">
        <w:rPr>
          <w:rFonts w:ascii="Book Antiqua" w:hAnsi="Book Antiqua" w:cs="Arial"/>
        </w:rPr>
        <w:t>.00</w:t>
      </w:r>
      <w:r>
        <w:rPr>
          <w:rFonts w:ascii="Book Antiqua" w:hAnsi="Book Antiqua" w:cs="Arial"/>
        </w:rPr>
        <w:t xml:space="preserve">, again in a juvenile court.  Then on 6 November 2014 for another bicycle theft and damage to property there was a </w:t>
      </w:r>
      <w:proofErr w:type="gramStart"/>
      <w:r>
        <w:rPr>
          <w:rFonts w:ascii="Book Antiqua" w:hAnsi="Book Antiqua" w:cs="Arial"/>
        </w:rPr>
        <w:t>six month</w:t>
      </w:r>
      <w:proofErr w:type="gramEnd"/>
      <w:r>
        <w:rPr>
          <w:rFonts w:ascii="Book Antiqua" w:hAnsi="Book Antiqua" w:cs="Arial"/>
        </w:rPr>
        <w:t xml:space="preserve"> referral order and he was ordered to pay £850.00 compensation.  </w:t>
      </w:r>
      <w:r w:rsidR="00103611">
        <w:rPr>
          <w:rFonts w:ascii="Book Antiqua" w:hAnsi="Book Antiqua" w:cs="Arial"/>
        </w:rPr>
        <w:t>On 4 June 2015, just before his 17</w:t>
      </w:r>
      <w:r w:rsidR="00103611" w:rsidRPr="004D6C32">
        <w:rPr>
          <w:rFonts w:ascii="Book Antiqua" w:hAnsi="Book Antiqua" w:cs="Arial"/>
          <w:vertAlign w:val="superscript"/>
        </w:rPr>
        <w:t>th</w:t>
      </w:r>
      <w:r w:rsidR="00103611">
        <w:rPr>
          <w:rFonts w:ascii="Book Antiqua" w:hAnsi="Book Antiqua" w:cs="Arial"/>
        </w:rPr>
        <w:t xml:space="preserve"> birthday, for the more serious offences of attempted robbery and burglary, at Ipswich Crown Court the appellant was sentenced to a </w:t>
      </w:r>
      <w:proofErr w:type="gramStart"/>
      <w:r w:rsidR="00103611">
        <w:rPr>
          <w:rFonts w:ascii="Book Antiqua" w:hAnsi="Book Antiqua" w:cs="Arial"/>
        </w:rPr>
        <w:t>twelve month</w:t>
      </w:r>
      <w:proofErr w:type="gramEnd"/>
      <w:r w:rsidR="00103611">
        <w:rPr>
          <w:rFonts w:ascii="Book Antiqua" w:hAnsi="Book Antiqua" w:cs="Arial"/>
        </w:rPr>
        <w:t xml:space="preserve"> youth rehabilitation order together with a twelve month supervision requirement, and then a few months later, in February 2016 for an offence of battery he was conditionally discharged for twelve months and ordered to pay £50.00 compensation, again in the juvenile court.</w:t>
      </w:r>
    </w:p>
    <w:p w:rsidR="00CF4DEF" w:rsidRDefault="00CF4DEF"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None of these rather lenient </w:t>
      </w:r>
      <w:r w:rsidR="001973B7">
        <w:rPr>
          <w:rFonts w:ascii="Book Antiqua" w:hAnsi="Book Antiqua" w:cs="Arial"/>
        </w:rPr>
        <w:t>sentences caused him to stop offending</w:t>
      </w:r>
      <w:r>
        <w:rPr>
          <w:rFonts w:ascii="Book Antiqua" w:hAnsi="Book Antiqua" w:cs="Arial"/>
        </w:rPr>
        <w:t xml:space="preserve"> because on 6 May 2016 for possession of crack cocaine with intent to supply (</w:t>
      </w:r>
      <w:r w:rsidR="00103611">
        <w:rPr>
          <w:rFonts w:ascii="Book Antiqua" w:hAnsi="Book Antiqua" w:cs="Arial"/>
        </w:rPr>
        <w:t>clearly</w:t>
      </w:r>
      <w:r>
        <w:rPr>
          <w:rFonts w:ascii="Book Antiqua" w:hAnsi="Book Antiqua" w:cs="Arial"/>
        </w:rPr>
        <w:t xml:space="preserve"> a very serious offence) at </w:t>
      </w:r>
      <w:smartTag w:uri="urn:schemas-microsoft-com:office:smarttags" w:element="Street">
        <w:smartTag w:uri="urn:schemas-microsoft-com:office:smarttags" w:element="address">
          <w:r>
            <w:rPr>
              <w:rFonts w:ascii="Book Antiqua" w:hAnsi="Book Antiqua" w:cs="Arial"/>
            </w:rPr>
            <w:t>Ipswich Crown Court</w:t>
          </w:r>
        </w:smartTag>
      </w:smartTag>
      <w:r>
        <w:rPr>
          <w:rFonts w:ascii="Book Antiqua" w:hAnsi="Book Antiqua" w:cs="Arial"/>
        </w:rPr>
        <w:t xml:space="preserve"> the appellant was sentenced to two years’ detention and training order.  It seems that there were various other offences which were dealt with within the offences for which he was convicted amounting to some sixteen offences in all, although this is</w:t>
      </w:r>
      <w:r w:rsidR="00286B23">
        <w:rPr>
          <w:rFonts w:ascii="Book Antiqua" w:hAnsi="Book Antiqua" w:cs="Arial"/>
        </w:rPr>
        <w:t xml:space="preserve"> not entirely clear.  </w:t>
      </w:r>
    </w:p>
    <w:p w:rsidR="00286B23" w:rsidRDefault="00286B23"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The seriousness of the </w:t>
      </w:r>
      <w:r w:rsidR="00EF1D24">
        <w:rPr>
          <w:rFonts w:ascii="Book Antiqua" w:hAnsi="Book Antiqua" w:cs="Arial"/>
        </w:rPr>
        <w:t xml:space="preserve">appellant’s offending, in respect of which he was sentenced to a term of two years’ detention, is </w:t>
      </w:r>
      <w:r w:rsidR="00103611">
        <w:rPr>
          <w:rFonts w:ascii="Book Antiqua" w:hAnsi="Book Antiqua" w:cs="Arial"/>
        </w:rPr>
        <w:t>apparent</w:t>
      </w:r>
      <w:r w:rsidR="00EF1D24">
        <w:rPr>
          <w:rFonts w:ascii="Book Antiqua" w:hAnsi="Book Antiqua" w:cs="Arial"/>
        </w:rPr>
        <w:t xml:space="preserve"> from the sentencing remarks of Judge Levett which is contained within the file.  I set out the relevant parts below:</w:t>
      </w:r>
    </w:p>
    <w:p w:rsidR="00EF1D24" w:rsidRDefault="00EF1D24" w:rsidP="00EF1D24">
      <w:pPr>
        <w:spacing w:before="240"/>
        <w:ind w:left="1134"/>
        <w:jc w:val="both"/>
        <w:rPr>
          <w:rFonts w:ascii="Book Antiqua" w:hAnsi="Book Antiqua" w:cs="Arial"/>
        </w:rPr>
      </w:pPr>
      <w:r>
        <w:rPr>
          <w:rFonts w:ascii="Book Antiqua" w:hAnsi="Book Antiqua" w:cs="Arial"/>
        </w:rPr>
        <w:t>“You were born on 17 July 1998.  You</w:t>
      </w:r>
      <w:r w:rsidR="00601023">
        <w:rPr>
          <w:rFonts w:ascii="Book Antiqua" w:hAnsi="Book Antiqua" w:cs="Arial"/>
        </w:rPr>
        <w:t xml:space="preserve"> are </w:t>
      </w:r>
      <w:r>
        <w:rPr>
          <w:rFonts w:ascii="Book Antiqua" w:hAnsi="Book Antiqua" w:cs="Arial"/>
        </w:rPr>
        <w:t xml:space="preserve">not yet 18.  </w:t>
      </w:r>
      <w:r w:rsidR="00103611">
        <w:rPr>
          <w:rFonts w:ascii="Book Antiqua" w:hAnsi="Book Antiqua" w:cs="Arial"/>
        </w:rPr>
        <w:t xml:space="preserve">When you were about 16 or 17, I sentenced you to a youth rehabilitation order for 12 months because you had admitted burglary and attempted burglary and attempted robbery and I had the youth offending team’s report in front of me and I thought then that the rehabilitation order might steer you away from crime.  </w:t>
      </w:r>
      <w:r w:rsidR="00C73738">
        <w:rPr>
          <w:rFonts w:ascii="Book Antiqua" w:hAnsi="Book Antiqua" w:cs="Arial"/>
        </w:rPr>
        <w:t xml:space="preserve">It demonstrates how wrong I can be, but when I did make that order on 4 June, within a matter of three months later, on 26 September 2015, you stole from K B and two months later, you went into his house and attempted to rob him and just before Christmas, you ended up poking your nose into an incident which didn’t even concern you and as a result of that, you got arrested and the police found four wraps of class A drugs in your buttocks, and then having been released on bail for that, within the New Year, you received some final warnings under the youth rehabilitation order.  You then hit somebody when you </w:t>
      </w:r>
      <w:r w:rsidR="00103611">
        <w:rPr>
          <w:rFonts w:ascii="Book Antiqua" w:hAnsi="Book Antiqua" w:cs="Arial"/>
        </w:rPr>
        <w:t>went</w:t>
      </w:r>
      <w:r w:rsidR="00C73738">
        <w:rPr>
          <w:rFonts w:ascii="Book Antiqua" w:hAnsi="Book Antiqua" w:cs="Arial"/>
        </w:rPr>
        <w:t xml:space="preserve"> to the office of the youth offending team and again, within three days of that, you ended up being chased down Wherstead Road into a store where the CCTV capt</w:t>
      </w:r>
      <w:r w:rsidR="00601023">
        <w:rPr>
          <w:rFonts w:ascii="Book Antiqua" w:hAnsi="Book Antiqua" w:cs="Arial"/>
        </w:rPr>
        <w:t>ur</w:t>
      </w:r>
      <w:r w:rsidR="00C73738">
        <w:rPr>
          <w:rFonts w:ascii="Book Antiqua" w:hAnsi="Book Antiqua" w:cs="Arial"/>
        </w:rPr>
        <w:t xml:space="preserve">ed you putting a package of 70 wraps of class A drugs in between (sic) the food shelves and when you got arrested, you had a telephone on you </w:t>
      </w:r>
      <w:r w:rsidR="00103611">
        <w:rPr>
          <w:rFonts w:ascii="Book Antiqua" w:hAnsi="Book Antiqua" w:cs="Arial"/>
        </w:rPr>
        <w:t>which</w:t>
      </w:r>
      <w:r w:rsidR="00C73738">
        <w:rPr>
          <w:rFonts w:ascii="Book Antiqua" w:hAnsi="Book Antiqua" w:cs="Arial"/>
        </w:rPr>
        <w:t xml:space="preserve"> was looked at and you admitted that it was a phone given to you for some street dealing and you described it all as being really easy money.</w:t>
      </w:r>
    </w:p>
    <w:p w:rsidR="00C73738" w:rsidRDefault="00C73738" w:rsidP="00EF1D24">
      <w:pPr>
        <w:spacing w:before="240"/>
        <w:ind w:left="1134"/>
        <w:jc w:val="both"/>
        <w:rPr>
          <w:rFonts w:ascii="Book Antiqua" w:hAnsi="Book Antiqua" w:cs="Arial"/>
        </w:rPr>
      </w:pPr>
      <w:r>
        <w:rPr>
          <w:rFonts w:ascii="Book Antiqua" w:hAnsi="Book Antiqua" w:cs="Arial"/>
        </w:rPr>
        <w:t>So, having admitted possession with intent to supply, I take the view that that’s a category three offence, even though you</w:t>
      </w:r>
      <w:r w:rsidR="00601023">
        <w:rPr>
          <w:rFonts w:ascii="Book Antiqua" w:hAnsi="Book Antiqua" w:cs="Arial"/>
        </w:rPr>
        <w:t xml:space="preserve"> are </w:t>
      </w:r>
      <w:r>
        <w:rPr>
          <w:rFonts w:ascii="Book Antiqua" w:hAnsi="Book Antiqua" w:cs="Arial"/>
        </w:rPr>
        <w:t xml:space="preserve">a young person.  I can put part of it down to a bit of naivety and exploitation just because of your youth, but you are </w:t>
      </w:r>
      <w:r w:rsidR="00601023">
        <w:rPr>
          <w:rFonts w:ascii="Book Antiqua" w:hAnsi="Book Antiqua" w:cs="Arial"/>
        </w:rPr>
        <w:t xml:space="preserve">big enough, you are </w:t>
      </w:r>
      <w:proofErr w:type="gramStart"/>
      <w:r w:rsidR="00601023">
        <w:rPr>
          <w:rFonts w:ascii="Book Antiqua" w:hAnsi="Book Antiqua" w:cs="Arial"/>
        </w:rPr>
        <w:t>actually quite</w:t>
      </w:r>
      <w:proofErr w:type="gramEnd"/>
      <w:r w:rsidR="00601023">
        <w:rPr>
          <w:rFonts w:ascii="Book Antiqua" w:hAnsi="Book Antiqua" w:cs="Arial"/>
        </w:rPr>
        <w:t xml:space="preserve"> wise enough to know that what you were getting yourselves (sic) into and I regard you as having </w:t>
      </w:r>
      <w:r w:rsidR="004A64F7">
        <w:rPr>
          <w:rFonts w:ascii="Book Antiqua" w:hAnsi="Book Antiqua" w:cs="Arial"/>
        </w:rPr>
        <w:t>…</w:t>
      </w:r>
      <w:r w:rsidR="00601023">
        <w:rPr>
          <w:rFonts w:ascii="Book Antiqua" w:hAnsi="Book Antiqua" w:cs="Arial"/>
        </w:rPr>
        <w:t xml:space="preserve"> probably a more significant role than anyone gives you credit for.</w:t>
      </w:r>
    </w:p>
    <w:p w:rsidR="00601023" w:rsidRDefault="00601023" w:rsidP="00EF1D24">
      <w:pPr>
        <w:spacing w:before="240"/>
        <w:ind w:left="1134"/>
        <w:jc w:val="both"/>
        <w:rPr>
          <w:rFonts w:ascii="Book Antiqua" w:hAnsi="Book Antiqua" w:cs="Arial"/>
        </w:rPr>
      </w:pPr>
      <w:r>
        <w:rPr>
          <w:rFonts w:ascii="Book Antiqua" w:hAnsi="Book Antiqua" w:cs="Arial"/>
        </w:rPr>
        <w:lastRenderedPageBreak/>
        <w:t xml:space="preserve">As to the attempted robbery, the guidelines which have </w:t>
      </w:r>
      <w:r w:rsidR="00103611">
        <w:rPr>
          <w:rFonts w:ascii="Book Antiqua" w:hAnsi="Book Antiqua" w:cs="Arial"/>
        </w:rPr>
        <w:t>recently</w:t>
      </w:r>
      <w:r>
        <w:rPr>
          <w:rFonts w:ascii="Book Antiqua" w:hAnsi="Book Antiqua" w:cs="Arial"/>
        </w:rPr>
        <w:t xml:space="preserve"> been issued for the full offence, I give a small reduction in terms of that but I’ve got to categorise it under the sentencing guidance council and it seems to me that you fit within a category 2c robbery and because each of these offences are separate ones and they are grave crime offences, you would, if you were an adult, be likely to receive a consecutive sentence and if that were the case, then I have no doubt that a judge sitting in my position would consider that if you were over 18, because of your past convictions, you would be receiving a sentence very much above six years and you would get some credit for a plea of guilty but you are young and therefore, I’ve got to make some significant adjustments for that fact.</w:t>
      </w:r>
    </w:p>
    <w:p w:rsidR="00601023" w:rsidRDefault="00601023" w:rsidP="00EF1D24">
      <w:pPr>
        <w:spacing w:before="240"/>
        <w:ind w:left="1134"/>
        <w:jc w:val="both"/>
        <w:rPr>
          <w:rFonts w:ascii="Book Antiqua" w:hAnsi="Book Antiqua" w:cs="Arial"/>
        </w:rPr>
      </w:pPr>
      <w:r>
        <w:rPr>
          <w:rFonts w:ascii="Book Antiqua" w:hAnsi="Book Antiqua" w:cs="Arial"/>
        </w:rPr>
        <w:t xml:space="preserve">...  You are </w:t>
      </w:r>
      <w:r w:rsidR="00103611">
        <w:rPr>
          <w:rFonts w:ascii="Book Antiqua" w:hAnsi="Book Antiqua" w:cs="Arial"/>
        </w:rPr>
        <w:t>actually</w:t>
      </w:r>
      <w:r>
        <w:rPr>
          <w:rFonts w:ascii="Book Antiqua" w:hAnsi="Book Antiqua" w:cs="Arial"/>
        </w:rPr>
        <w:t xml:space="preserve"> a persistent offender ... “.</w:t>
      </w:r>
    </w:p>
    <w:p w:rsidR="00EF1D24" w:rsidRDefault="007A5B02" w:rsidP="00286B23">
      <w:pPr>
        <w:numPr>
          <w:ilvl w:val="0"/>
          <w:numId w:val="1"/>
        </w:numPr>
        <w:tabs>
          <w:tab w:val="clear" w:pos="567"/>
        </w:tabs>
        <w:spacing w:before="240"/>
        <w:jc w:val="both"/>
        <w:rPr>
          <w:rFonts w:ascii="Book Antiqua" w:hAnsi="Book Antiqua" w:cs="Arial"/>
        </w:rPr>
      </w:pPr>
      <w:r>
        <w:rPr>
          <w:rFonts w:ascii="Book Antiqua" w:hAnsi="Book Antiqua" w:cs="Arial"/>
        </w:rPr>
        <w:t>The judge went on to make the following observations:</w:t>
      </w:r>
    </w:p>
    <w:p w:rsidR="007A5B02" w:rsidRDefault="007A5B02" w:rsidP="007A5B02">
      <w:pPr>
        <w:spacing w:before="240"/>
        <w:ind w:left="1134"/>
        <w:jc w:val="both"/>
        <w:rPr>
          <w:rFonts w:ascii="Book Antiqua" w:hAnsi="Book Antiqua" w:cs="Arial"/>
        </w:rPr>
      </w:pPr>
      <w:r>
        <w:rPr>
          <w:rFonts w:ascii="Book Antiqua" w:hAnsi="Book Antiqua" w:cs="Arial"/>
        </w:rPr>
        <w:t xml:space="preserve">“... unfortunately, I believe that you are a person who seems to get your </w:t>
      </w:r>
      <w:r w:rsidR="00103611">
        <w:rPr>
          <w:rFonts w:ascii="Book Antiqua" w:hAnsi="Book Antiqua" w:cs="Arial"/>
        </w:rPr>
        <w:t>self</w:t>
      </w:r>
      <w:r>
        <w:rPr>
          <w:rFonts w:ascii="Book Antiqua" w:hAnsi="Book Antiqua" w:cs="Arial"/>
        </w:rPr>
        <w:t>-esteem by listening and thinking that you are bigger than in fact you are and in the report, I suspect that one of the key reasons for your offending is because you get a bit of a feeling of being a more superior person by mixing with older people and behaving in the way in which you have done, but at all odds, as I say, it seems to me that the right sentence in this case is one of a detention and training order and this is the way I’m going to construct the sentence.</w:t>
      </w:r>
    </w:p>
    <w:p w:rsidR="007A5B02" w:rsidRDefault="007A5B02" w:rsidP="007A5B02">
      <w:pPr>
        <w:spacing w:before="240"/>
        <w:ind w:left="1134"/>
        <w:jc w:val="both"/>
        <w:rPr>
          <w:rFonts w:ascii="Book Antiqua" w:hAnsi="Book Antiqua" w:cs="Arial"/>
        </w:rPr>
      </w:pPr>
      <w:r>
        <w:rPr>
          <w:rFonts w:ascii="Book Antiqua" w:hAnsi="Book Antiqua" w:cs="Arial"/>
        </w:rPr>
        <w:t>...</w:t>
      </w:r>
    </w:p>
    <w:p w:rsidR="00184909" w:rsidRDefault="007A5B02" w:rsidP="007A5B02">
      <w:pPr>
        <w:spacing w:before="240"/>
        <w:ind w:left="1134"/>
        <w:jc w:val="both"/>
        <w:rPr>
          <w:rFonts w:ascii="Book Antiqua" w:hAnsi="Book Antiqua" w:cs="Arial"/>
        </w:rPr>
      </w:pPr>
      <w:r>
        <w:rPr>
          <w:rFonts w:ascii="Book Antiqua" w:hAnsi="Book Antiqua" w:cs="Arial"/>
        </w:rPr>
        <w:t xml:space="preserve">It’s a bit unfortunate those previous offences seem to have a similar pattern now that’s ringing through your criminal career because on Christmas Day, you broke into someone’s house, you took quite a lot of jewellery and that is a very serious offence and then, about two weeks after that, walking along the Bramford Road – I know exactly where this happened, </w:t>
      </w:r>
      <w:r w:rsidR="00103611">
        <w:rPr>
          <w:rFonts w:ascii="Book Antiqua" w:hAnsi="Book Antiqua" w:cs="Arial"/>
        </w:rPr>
        <w:t>incidentally</w:t>
      </w:r>
      <w:r>
        <w:rPr>
          <w:rFonts w:ascii="Book Antiqua" w:hAnsi="Book Antiqua" w:cs="Arial"/>
        </w:rPr>
        <w:t xml:space="preserve">, where you were walking </w:t>
      </w:r>
      <w:r w:rsidR="00184909">
        <w:rPr>
          <w:rFonts w:ascii="Book Antiqua" w:hAnsi="Book Antiqua" w:cs="Arial"/>
        </w:rPr>
        <w:t xml:space="preserve">along and you confronted some man, demanding his phone while very wisely, he clicked the record button on, so everything about your conduct was recorded.  He did the wisest thing by walking off, calling you a wanker in the process because he felt that your intimidating remarks to him were ones that he ought to </w:t>
      </w:r>
      <w:proofErr w:type="gramStart"/>
      <w:r w:rsidR="00184909">
        <w:rPr>
          <w:rFonts w:ascii="Book Antiqua" w:hAnsi="Book Antiqua" w:cs="Arial"/>
        </w:rPr>
        <w:t>actually have</w:t>
      </w:r>
      <w:proofErr w:type="gramEnd"/>
      <w:r w:rsidR="00184909">
        <w:rPr>
          <w:rFonts w:ascii="Book Antiqua" w:hAnsi="Book Antiqua" w:cs="Arial"/>
        </w:rPr>
        <w:t xml:space="preserve"> thrown back at you.</w:t>
      </w:r>
    </w:p>
    <w:p w:rsidR="007A5B02" w:rsidRDefault="00184909" w:rsidP="007A5B02">
      <w:pPr>
        <w:spacing w:before="240"/>
        <w:ind w:left="1134"/>
        <w:jc w:val="both"/>
        <w:rPr>
          <w:rFonts w:ascii="Book Antiqua" w:hAnsi="Book Antiqua" w:cs="Arial"/>
        </w:rPr>
      </w:pPr>
      <w:r>
        <w:rPr>
          <w:rFonts w:ascii="Book Antiqua" w:hAnsi="Book Antiqua" w:cs="Arial"/>
        </w:rPr>
        <w:t>...</w:t>
      </w:r>
      <w:r w:rsidR="007A5B02">
        <w:rPr>
          <w:rFonts w:ascii="Book Antiqua" w:hAnsi="Book Antiqua" w:cs="Arial"/>
        </w:rPr>
        <w:t>”</w:t>
      </w:r>
    </w:p>
    <w:p w:rsidR="004A64F7" w:rsidRDefault="00206354"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It is clear from the sentencing </w:t>
      </w:r>
      <w:r w:rsidR="00103611">
        <w:rPr>
          <w:rFonts w:ascii="Book Antiqua" w:hAnsi="Book Antiqua" w:cs="Arial"/>
        </w:rPr>
        <w:t>remarks</w:t>
      </w:r>
      <w:r>
        <w:rPr>
          <w:rFonts w:ascii="Book Antiqua" w:hAnsi="Book Antiqua" w:cs="Arial"/>
        </w:rPr>
        <w:t xml:space="preserve"> just how serious the offending was and unsurprisingly the respondent took the view, even though the appellant is an EEA national, that it was appropriate to deport him on grounds of public policy in accordance with Regulations 19(3)(b) and 21 of the Immigration (European Economic Area) Regulations 2006.  These Regulations have now been replaced by the 2016 Regulations, but in all relevant respects, the substance remains the same.  The appellant appealed against this order (which had been made on 24 September 2016) but the appeal </w:t>
      </w:r>
      <w:r w:rsidR="004A64F7">
        <w:rPr>
          <w:rFonts w:ascii="Book Antiqua" w:hAnsi="Book Antiqua" w:cs="Arial"/>
        </w:rPr>
        <w:t>was</w:t>
      </w:r>
      <w:r>
        <w:rPr>
          <w:rFonts w:ascii="Book Antiqua" w:hAnsi="Book Antiqua" w:cs="Arial"/>
        </w:rPr>
        <w:t xml:space="preserve"> certified under Regulation 24AA of the 2016 Regulations (it was also </w:t>
      </w:r>
      <w:r w:rsidR="00103611">
        <w:rPr>
          <w:rFonts w:ascii="Book Antiqua" w:hAnsi="Book Antiqua" w:cs="Arial"/>
        </w:rPr>
        <w:t>certified</w:t>
      </w:r>
      <w:r>
        <w:rPr>
          <w:rFonts w:ascii="Book Antiqua" w:hAnsi="Book Antiqua" w:cs="Arial"/>
        </w:rPr>
        <w:t xml:space="preserve"> under Section 94B of the Nationality, Immigration and Asylum Act 2002) on the basis that the Secretary of State was satisfied that requiring the appellant to </w:t>
      </w:r>
      <w:r w:rsidR="004A64F7">
        <w:rPr>
          <w:rFonts w:ascii="Book Antiqua" w:hAnsi="Book Antiqua" w:cs="Arial"/>
        </w:rPr>
        <w:t>bring his</w:t>
      </w:r>
      <w:r>
        <w:rPr>
          <w:rFonts w:ascii="Book Antiqua" w:hAnsi="Book Antiqua" w:cs="Arial"/>
        </w:rPr>
        <w:t xml:space="preserve"> appeal from abroad would not present a real risk of irreversible harm.  The </w:t>
      </w:r>
      <w:r>
        <w:rPr>
          <w:rFonts w:ascii="Book Antiqua" w:hAnsi="Book Antiqua" w:cs="Arial"/>
        </w:rPr>
        <w:lastRenderedPageBreak/>
        <w:t xml:space="preserve">decision having been certified the appellant was removed from the </w:t>
      </w:r>
      <w:smartTag w:uri="urn:schemas-microsoft-com:office:smarttags" w:element="country-region">
        <w:r>
          <w:rPr>
            <w:rFonts w:ascii="Book Antiqua" w:hAnsi="Book Antiqua" w:cs="Arial"/>
          </w:rPr>
          <w:t>UK</w:t>
        </w:r>
      </w:smartTag>
      <w:r>
        <w:rPr>
          <w:rFonts w:ascii="Book Antiqua" w:hAnsi="Book Antiqua" w:cs="Arial"/>
        </w:rPr>
        <w:t xml:space="preserve"> to </w:t>
      </w:r>
      <w:smartTag w:uri="urn:schemas-microsoft-com:office:smarttags" w:element="place">
        <w:smartTag w:uri="urn:schemas-microsoft-com:office:smarttags" w:element="country-region">
          <w:r>
            <w:rPr>
              <w:rFonts w:ascii="Book Antiqua" w:hAnsi="Book Antiqua" w:cs="Arial"/>
            </w:rPr>
            <w:t>Lithuania</w:t>
          </w:r>
        </w:smartTag>
      </w:smartTag>
      <w:r>
        <w:rPr>
          <w:rFonts w:ascii="Book Antiqua" w:hAnsi="Book Antiqua" w:cs="Arial"/>
        </w:rPr>
        <w:t xml:space="preserve"> in October 2016.  </w:t>
      </w:r>
    </w:p>
    <w:p w:rsidR="00206354" w:rsidRDefault="00206354"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appeal came before First-tier Tribunal Judge Black on 12 July 2017 and Judge Black </w:t>
      </w:r>
      <w:r w:rsidR="004A64F7">
        <w:rPr>
          <w:rFonts w:ascii="Book Antiqua" w:hAnsi="Book Antiqua" w:cs="Arial"/>
        </w:rPr>
        <w:t>made a finding that</w:t>
      </w:r>
      <w:r>
        <w:rPr>
          <w:rFonts w:ascii="Book Antiqua" w:hAnsi="Book Antiqua" w:cs="Arial"/>
        </w:rPr>
        <w:t xml:space="preserve"> the Section 94B certificate had been unlawful (</w:t>
      </w:r>
      <w:r w:rsidR="004A64F7">
        <w:rPr>
          <w:rFonts w:ascii="Book Antiqua" w:hAnsi="Book Antiqua" w:cs="Arial"/>
        </w:rPr>
        <w:t>supposedly in reliance on</w:t>
      </w:r>
      <w:r>
        <w:rPr>
          <w:rFonts w:ascii="Book Antiqua" w:hAnsi="Book Antiqua" w:cs="Arial"/>
        </w:rPr>
        <w:t xml:space="preserve"> the decision of the Supreme Court in </w:t>
      </w:r>
      <w:r>
        <w:rPr>
          <w:rFonts w:ascii="Book Antiqua" w:hAnsi="Book Antiqua" w:cs="Arial"/>
          <w:i/>
        </w:rPr>
        <w:t xml:space="preserve">Kiarie and Byndloss v Secretary of State for the Home Department </w:t>
      </w:r>
      <w:r>
        <w:rPr>
          <w:rFonts w:ascii="Book Antiqua" w:hAnsi="Book Antiqua" w:cs="Arial"/>
        </w:rPr>
        <w:t xml:space="preserve">[2017] UKSC 42).  She did not </w:t>
      </w:r>
      <w:proofErr w:type="gramStart"/>
      <w:r>
        <w:rPr>
          <w:rFonts w:ascii="Book Antiqua" w:hAnsi="Book Antiqua" w:cs="Arial"/>
        </w:rPr>
        <w:t xml:space="preserve">make a </w:t>
      </w:r>
      <w:r w:rsidR="004A64F7">
        <w:rPr>
          <w:rFonts w:ascii="Book Antiqua" w:hAnsi="Book Antiqua" w:cs="Arial"/>
        </w:rPr>
        <w:t>decision</w:t>
      </w:r>
      <w:proofErr w:type="gramEnd"/>
      <w:r>
        <w:rPr>
          <w:rFonts w:ascii="Book Antiqua" w:hAnsi="Book Antiqua" w:cs="Arial"/>
        </w:rPr>
        <w:t xml:space="preserve"> with regard to the appellant’s substantive appeal against the deportation decision itself.  </w:t>
      </w:r>
    </w:p>
    <w:p w:rsidR="004A64F7" w:rsidRDefault="00206354"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 appealed against this decision and that appeal was successful before Upper Tribunal Judge Gleeson following a hearing before her on 8 December 2017, on the basis that the First-tier Tribunal Judge did not have jurisdiction to consider the validity or otherwise of the Section 94B certificate, which was a matter to which challenge could only be made </w:t>
      </w:r>
      <w:r w:rsidR="004A64F7">
        <w:rPr>
          <w:rFonts w:ascii="Book Antiqua" w:hAnsi="Book Antiqua" w:cs="Arial"/>
        </w:rPr>
        <w:t>by</w:t>
      </w:r>
      <w:r>
        <w:rPr>
          <w:rFonts w:ascii="Book Antiqua" w:hAnsi="Book Antiqua" w:cs="Arial"/>
        </w:rPr>
        <w:t xml:space="preserve"> judicial review.  I note that in any event the challenge to the decision to remove the appellant needed to be made under the EEA Regulations.  </w:t>
      </w:r>
    </w:p>
    <w:p w:rsidR="007A5B02" w:rsidRDefault="00206354"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6B00F5">
        <w:rPr>
          <w:rFonts w:ascii="Book Antiqua" w:hAnsi="Book Antiqua" w:cs="Arial"/>
        </w:rPr>
        <w:t>whole appeal was remitted to the First-tier Tribunal where it came before First-tier Tribunal Judge S Kaler, sitting at Taylor House on 23 April 2018.  In a decision promulgated on 10 May 2018, Judge Kaler dismissed the appellant’s appeal.</w:t>
      </w:r>
    </w:p>
    <w:p w:rsidR="006B00F5" w:rsidRDefault="006B00F5"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was not represented before Judge Kaler and was not present either (the reasons for which will be discussed below).  The only representations Judge Kaler heard were made by the Home Office Presenting Officer.  </w:t>
      </w:r>
    </w:p>
    <w:p w:rsidR="006B00F5" w:rsidRDefault="006B00F5" w:rsidP="00286B23">
      <w:pPr>
        <w:numPr>
          <w:ilvl w:val="0"/>
          <w:numId w:val="1"/>
        </w:numPr>
        <w:tabs>
          <w:tab w:val="clear" w:pos="567"/>
        </w:tabs>
        <w:spacing w:before="240"/>
        <w:jc w:val="both"/>
        <w:rPr>
          <w:rFonts w:ascii="Book Antiqua" w:hAnsi="Book Antiqua" w:cs="Arial"/>
        </w:rPr>
      </w:pPr>
      <w:r>
        <w:rPr>
          <w:rFonts w:ascii="Book Antiqua" w:hAnsi="Book Antiqua" w:cs="Arial"/>
        </w:rPr>
        <w:t>The appellant, in person, lodged a notice of appeal and permission was granted by First-tier Tribunal Judge J M Holmes on 30 May 2018.  The appeal has now been listed before me.</w:t>
      </w:r>
    </w:p>
    <w:p w:rsidR="006B00F5" w:rsidRDefault="006B00F5"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Having considered the grounds these appear to set out assertions which were not before Judge Kaler.  The appellant </w:t>
      </w:r>
      <w:proofErr w:type="gramStart"/>
      <w:r>
        <w:rPr>
          <w:rFonts w:ascii="Book Antiqua" w:hAnsi="Book Antiqua" w:cs="Arial"/>
        </w:rPr>
        <w:t>first of all</w:t>
      </w:r>
      <w:proofErr w:type="gramEnd"/>
      <w:r>
        <w:rPr>
          <w:rFonts w:ascii="Book Antiqua" w:hAnsi="Book Antiqua" w:cs="Arial"/>
        </w:rPr>
        <w:t xml:space="preserve"> says that his father has been living in the UK and exercising treaty rights by being in full-time employment “continuously since 2010”.  On this basis it is argued that the appellant’s father has permanent residence </w:t>
      </w:r>
      <w:r w:rsidR="00103611">
        <w:rPr>
          <w:rFonts w:ascii="Book Antiqua" w:hAnsi="Book Antiqua" w:cs="Arial"/>
        </w:rPr>
        <w:t>and</w:t>
      </w:r>
      <w:r>
        <w:rPr>
          <w:rFonts w:ascii="Book Antiqua" w:hAnsi="Book Antiqua" w:cs="Arial"/>
        </w:rPr>
        <w:t xml:space="preserve"> it is said “so I am as his close family member”.  The appellant encloses evidence said to have been received from the Government’s official HMRC website “which shows that he made four years’ national insurance contributions since 2010” which “is </w:t>
      </w:r>
      <w:r w:rsidR="00103611">
        <w:rPr>
          <w:rFonts w:ascii="Book Antiqua" w:hAnsi="Book Antiqua" w:cs="Arial"/>
        </w:rPr>
        <w:t>official</w:t>
      </w:r>
      <w:r>
        <w:rPr>
          <w:rFonts w:ascii="Book Antiqua" w:hAnsi="Book Antiqua" w:cs="Arial"/>
        </w:rPr>
        <w:t xml:space="preserve"> information, which can also be checked with HMRC if necessary”.  </w:t>
      </w:r>
    </w:p>
    <w:p w:rsidR="006B00F5" w:rsidRDefault="006B00F5"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also says that he has not committed a single </w:t>
      </w:r>
      <w:r w:rsidR="00103611">
        <w:rPr>
          <w:rFonts w:ascii="Book Antiqua" w:hAnsi="Book Antiqua" w:cs="Arial"/>
        </w:rPr>
        <w:t>offence</w:t>
      </w:r>
      <w:r>
        <w:rPr>
          <w:rFonts w:ascii="Book Antiqua" w:hAnsi="Book Antiqua" w:cs="Arial"/>
        </w:rPr>
        <w:t xml:space="preserve"> since being an adult and has therefore “not had a chance to prove myself” and he disagrees with the statement that “I am a serious threat to society and that there is a real risk of reoffending”.  He also rather curiously says that “I disagree” with the statement that “I had been convicted of a serious offence in supplying class A drugs”, saying that “</w:t>
      </w:r>
      <w:proofErr w:type="gramStart"/>
      <w:r>
        <w:rPr>
          <w:rFonts w:ascii="Book Antiqua" w:hAnsi="Book Antiqua" w:cs="Arial"/>
        </w:rPr>
        <w:t>I  have</w:t>
      </w:r>
      <w:proofErr w:type="gramEnd"/>
      <w:r>
        <w:rPr>
          <w:rFonts w:ascii="Book Antiqua" w:hAnsi="Book Antiqua" w:cs="Arial"/>
        </w:rPr>
        <w:t xml:space="preserve"> never supplied drugs or been charged for this offence, so this statement is incorrect and misleading”.  He said that “the respondent </w:t>
      </w:r>
      <w:r w:rsidR="00103611">
        <w:rPr>
          <w:rFonts w:ascii="Book Antiqua" w:hAnsi="Book Antiqua" w:cs="Arial"/>
        </w:rPr>
        <w:t>referred</w:t>
      </w:r>
      <w:r>
        <w:rPr>
          <w:rFonts w:ascii="Book Antiqua" w:hAnsi="Book Antiqua" w:cs="Arial"/>
        </w:rPr>
        <w:t xml:space="preserve"> to the drug dealing fact in general but not related to me and my case”.  As already set out above, it is clear from the sentencing remarks and from the appellant’s criminal record, that the appellant was convicted of (and indeed pleaded guilty to) possession of very many wraps of class A drugs for the purposes of dealing in it, so his statement in the grounds </w:t>
      </w:r>
      <w:r>
        <w:rPr>
          <w:rFonts w:ascii="Book Antiqua" w:hAnsi="Book Antiqua" w:cs="Arial"/>
        </w:rPr>
        <w:lastRenderedPageBreak/>
        <w:t xml:space="preserve">that he has never supplied drugs or been charged for this in real terms is incorrect.  It may be that there is a semantic point that can be made that he was convicted of being in possession of these drugs </w:t>
      </w:r>
      <w:proofErr w:type="gramStart"/>
      <w:r>
        <w:rPr>
          <w:rFonts w:ascii="Book Antiqua" w:hAnsi="Book Antiqua" w:cs="Arial"/>
        </w:rPr>
        <w:t xml:space="preserve">for the </w:t>
      </w:r>
      <w:r w:rsidR="00103611">
        <w:rPr>
          <w:rFonts w:ascii="Book Antiqua" w:hAnsi="Book Antiqua" w:cs="Arial"/>
        </w:rPr>
        <w:t>purpose</w:t>
      </w:r>
      <w:r>
        <w:rPr>
          <w:rFonts w:ascii="Book Antiqua" w:hAnsi="Book Antiqua" w:cs="Arial"/>
        </w:rPr>
        <w:t xml:space="preserve"> of</w:t>
      </w:r>
      <w:proofErr w:type="gramEnd"/>
      <w:r>
        <w:rPr>
          <w:rFonts w:ascii="Book Antiqua" w:hAnsi="Book Antiqua" w:cs="Arial"/>
        </w:rPr>
        <w:t xml:space="preserve"> supply, but this is of no material significance.  The social worker had expressed an opinion that this appellant “glorifies money, guns and drugs” and in the grounds the appellant disputes this saying that “my talks were common teenager’s talks” and he encloses articles showing that teenagers have problems and that this period in his life could be complicated.   </w:t>
      </w:r>
      <w:r w:rsidR="00963A46">
        <w:rPr>
          <w:rFonts w:ascii="Book Antiqua" w:hAnsi="Book Antiqua" w:cs="Arial"/>
        </w:rPr>
        <w:t xml:space="preserve">He also disputes that he had sixteen convictions, which is correct insofar as it appears he has six convictions, but again this is not of any material importance given the sentencing remarks which deal with his criminal history, which is set out above.  </w:t>
      </w:r>
    </w:p>
    <w:p w:rsidR="00963A46" w:rsidRDefault="00963A46"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in his grounds complains that he had not been living </w:t>
      </w:r>
      <w:r w:rsidR="004A64F7">
        <w:rPr>
          <w:rFonts w:ascii="Book Antiqua" w:hAnsi="Book Antiqua" w:cs="Arial"/>
        </w:rPr>
        <w:t>off the proceeds of</w:t>
      </w:r>
      <w:r>
        <w:rPr>
          <w:rFonts w:ascii="Book Antiqua" w:hAnsi="Book Antiqua" w:cs="Arial"/>
        </w:rPr>
        <w:t xml:space="preserve"> drug dealing and nor was he proud of </w:t>
      </w:r>
      <w:r w:rsidR="004A64F7">
        <w:rPr>
          <w:rFonts w:ascii="Book Antiqua" w:hAnsi="Book Antiqua" w:cs="Arial"/>
        </w:rPr>
        <w:t xml:space="preserve">having done </w:t>
      </w:r>
      <w:r>
        <w:rPr>
          <w:rFonts w:ascii="Book Antiqua" w:hAnsi="Book Antiqua" w:cs="Arial"/>
        </w:rPr>
        <w:t xml:space="preserve">this, but again given the number of wraps of class A drugs which the appellant was seen to have, when the appellant says that “there is no evidence that I had some sort of income of this activity”, that is also plainly </w:t>
      </w:r>
      <w:r w:rsidR="002D4D50">
        <w:rPr>
          <w:rFonts w:ascii="Book Antiqua" w:hAnsi="Book Antiqua" w:cs="Arial"/>
        </w:rPr>
        <w:t xml:space="preserve">incorrect, because his possession of that amount of drugs </w:t>
      </w:r>
      <w:r w:rsidR="00103611">
        <w:rPr>
          <w:rFonts w:ascii="Book Antiqua" w:hAnsi="Book Antiqua" w:cs="Arial"/>
        </w:rPr>
        <w:t>clearly</w:t>
      </w:r>
      <w:r w:rsidR="002D4D50">
        <w:rPr>
          <w:rFonts w:ascii="Book Antiqua" w:hAnsi="Book Antiqua" w:cs="Arial"/>
        </w:rPr>
        <w:t xml:space="preserve"> leads to an overwhelming inference that he </w:t>
      </w:r>
      <w:r w:rsidR="004A64F7">
        <w:rPr>
          <w:rFonts w:ascii="Book Antiqua" w:hAnsi="Book Antiqua" w:cs="Arial"/>
        </w:rPr>
        <w:t>was</w:t>
      </w:r>
      <w:r w:rsidR="002D4D50">
        <w:rPr>
          <w:rFonts w:ascii="Book Antiqua" w:hAnsi="Book Antiqua" w:cs="Arial"/>
        </w:rPr>
        <w:t xml:space="preserve"> receiving an income from drug dealing.  </w:t>
      </w:r>
    </w:p>
    <w:p w:rsidR="002D4D50" w:rsidRDefault="002D4D50"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What is said at paragraph 9 of his grounds was one of the reasons which led Judge Holmes to give permission which I will deal with below, because he says that he attempted to enter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“to </w:t>
      </w:r>
      <w:r w:rsidR="00103611">
        <w:rPr>
          <w:rFonts w:ascii="Book Antiqua" w:hAnsi="Book Antiqua" w:cs="Arial"/>
        </w:rPr>
        <w:t>attend</w:t>
      </w:r>
      <w:r>
        <w:rPr>
          <w:rFonts w:ascii="Book Antiqua" w:hAnsi="Book Antiqua" w:cs="Arial"/>
        </w:rPr>
        <w:t xml:space="preserve"> the hearing” but was “declined the entry”.  He says that “I contacted Home Office and they mistakenly advised me that I needed to have a visa” but “they did not give me any information about which application needed to be completed in order I could get permission to come to the UK”.</w:t>
      </w:r>
    </w:p>
    <w:p w:rsidR="002D4D50" w:rsidRDefault="002D4D50" w:rsidP="00286B23">
      <w:pPr>
        <w:numPr>
          <w:ilvl w:val="0"/>
          <w:numId w:val="1"/>
        </w:numPr>
        <w:tabs>
          <w:tab w:val="clear" w:pos="567"/>
        </w:tabs>
        <w:spacing w:before="240"/>
        <w:jc w:val="both"/>
        <w:rPr>
          <w:rFonts w:ascii="Book Antiqua" w:hAnsi="Book Antiqua" w:cs="Arial"/>
        </w:rPr>
      </w:pPr>
      <w:proofErr w:type="gramStart"/>
      <w:r>
        <w:rPr>
          <w:rFonts w:ascii="Book Antiqua" w:hAnsi="Book Antiqua" w:cs="Arial"/>
        </w:rPr>
        <w:t>On the basis of</w:t>
      </w:r>
      <w:proofErr w:type="gramEnd"/>
      <w:r>
        <w:rPr>
          <w:rFonts w:ascii="Book Antiqua" w:hAnsi="Book Antiqua" w:cs="Arial"/>
        </w:rPr>
        <w:t xml:space="preserve"> considering these grounds and also looking at the decision (although it is not clear whether the full decision was before Judge Holmes, because Mr Bramble on behalf of the respondent informed </w:t>
      </w:r>
      <w:r w:rsidR="00211DDE">
        <w:rPr>
          <w:rFonts w:ascii="Book Antiqua" w:hAnsi="Book Antiqua" w:cs="Arial"/>
        </w:rPr>
        <w:t>the Tribunal that the copy which the Home Office</w:t>
      </w:r>
      <w:r w:rsidR="00A54F0D">
        <w:rPr>
          <w:rFonts w:ascii="Book Antiqua" w:hAnsi="Book Antiqua" w:cs="Arial"/>
        </w:rPr>
        <w:t xml:space="preserve"> had missed out some pages) Judge Holmes granted permission.  There are two reasons which are given by Judge Holmes for granting permission, and they are set out in paragraphs 3 and 4 of his </w:t>
      </w:r>
      <w:r w:rsidR="00CA1D6E">
        <w:rPr>
          <w:rFonts w:ascii="Book Antiqua" w:hAnsi="Book Antiqua" w:cs="Arial"/>
        </w:rPr>
        <w:t xml:space="preserve">reasons for </w:t>
      </w:r>
      <w:r w:rsidR="00103611">
        <w:rPr>
          <w:rFonts w:ascii="Book Antiqua" w:hAnsi="Book Antiqua" w:cs="Arial"/>
        </w:rPr>
        <w:t>making</w:t>
      </w:r>
      <w:r w:rsidR="00CA1D6E">
        <w:rPr>
          <w:rFonts w:ascii="Book Antiqua" w:hAnsi="Book Antiqua" w:cs="Arial"/>
        </w:rPr>
        <w:t xml:space="preserve"> that decision, as follows:</w:t>
      </w:r>
    </w:p>
    <w:p w:rsidR="00CA1D6E" w:rsidRDefault="00103611" w:rsidP="00CA1D6E">
      <w:pPr>
        <w:spacing w:before="240"/>
        <w:ind w:left="1701" w:hanging="567"/>
        <w:jc w:val="both"/>
        <w:rPr>
          <w:rFonts w:ascii="Book Antiqua" w:hAnsi="Book Antiqua" w:cs="Arial"/>
        </w:rPr>
      </w:pPr>
      <w:r>
        <w:rPr>
          <w:rFonts w:ascii="Book Antiqua" w:hAnsi="Book Antiqua" w:cs="Arial"/>
        </w:rPr>
        <w:t>“3.</w:t>
      </w:r>
      <w:r>
        <w:rPr>
          <w:rFonts w:ascii="Book Antiqua" w:hAnsi="Book Antiqua" w:cs="Arial"/>
        </w:rPr>
        <w:tab/>
        <w:t xml:space="preserve">It is arguable that the Appellant was denied a fair hearing of his appeal, because the Respondent had refused to allow him to enter the UK so that he could attend it and give evidence, when that was his right pursuant to Reg 41 of the 2016 EEA Regulations [as noted above, these are the Regulations which replaced the 2006 Regulations], unless his presence would cause serious trouble to public policy or public security (which R did not allege); Reg 41(3).  </w:t>
      </w:r>
      <w:r w:rsidR="00CA1D6E">
        <w:rPr>
          <w:rFonts w:ascii="Book Antiqua" w:hAnsi="Book Antiqua" w:cs="Arial"/>
        </w:rPr>
        <w:t xml:space="preserve">The Judge appears to have proceeded on the basis that a second application in some </w:t>
      </w:r>
      <w:proofErr w:type="gramStart"/>
      <w:r>
        <w:rPr>
          <w:rFonts w:ascii="Book Antiqua" w:hAnsi="Book Antiqua" w:cs="Arial"/>
        </w:rPr>
        <w:t>particular</w:t>
      </w:r>
      <w:r w:rsidR="00CA1D6E">
        <w:rPr>
          <w:rFonts w:ascii="Book Antiqua" w:hAnsi="Book Antiqua" w:cs="Arial"/>
        </w:rPr>
        <w:t xml:space="preserve"> format</w:t>
      </w:r>
      <w:proofErr w:type="gramEnd"/>
      <w:r w:rsidR="00CA1D6E">
        <w:rPr>
          <w:rFonts w:ascii="Book Antiqua" w:hAnsi="Book Antiqua" w:cs="Arial"/>
        </w:rPr>
        <w:t xml:space="preserve"> was required, and in so doing arguably erred [4].  </w:t>
      </w:r>
    </w:p>
    <w:p w:rsidR="00CA1D6E" w:rsidRDefault="00CA1D6E" w:rsidP="00CA1D6E">
      <w:pPr>
        <w:spacing w:before="240"/>
        <w:ind w:left="1701" w:hanging="567"/>
        <w:jc w:val="both"/>
        <w:rPr>
          <w:rFonts w:ascii="Book Antiqua" w:hAnsi="Book Antiqua" w:cs="Arial"/>
        </w:rPr>
      </w:pPr>
      <w:r>
        <w:rPr>
          <w:rFonts w:ascii="Book Antiqua" w:hAnsi="Book Antiqua" w:cs="Arial"/>
        </w:rPr>
        <w:t>4.</w:t>
      </w:r>
      <w:r>
        <w:rPr>
          <w:rFonts w:ascii="Book Antiqua" w:hAnsi="Book Antiqua" w:cs="Arial"/>
        </w:rPr>
        <w:tab/>
        <w:t xml:space="preserve">The remainder of the grounds prepared by the Appellant without legal assistance appear to raise the arguable complaint that his father had acquired a permanent right of residence in the UK by 2015, and that the Appellant had derived rights from that status </w:t>
      </w:r>
      <w:proofErr w:type="gramStart"/>
      <w:r>
        <w:rPr>
          <w:rFonts w:ascii="Book Antiqua" w:hAnsi="Book Antiqua" w:cs="Arial"/>
        </w:rPr>
        <w:t>by virtue of</w:t>
      </w:r>
      <w:proofErr w:type="gramEnd"/>
      <w:r>
        <w:rPr>
          <w:rFonts w:ascii="Book Antiqua" w:hAnsi="Book Antiqua" w:cs="Arial"/>
        </w:rPr>
        <w:t xml:space="preserve"> the family relationship, (and/or the support received from his father) as a Family Member; Reg 7(1).  He is not yet 21.  Arguably the Judge approached the appeal on the wrong footing.”</w:t>
      </w:r>
    </w:p>
    <w:p w:rsidR="00CA1D6E" w:rsidRDefault="002817DC" w:rsidP="00286B23">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other words, there are two grounds which Judge Holmes considered might be arguable.  The first is that there was a procedural irregularity in that the appellant had been refused permission to enter the UK as was his right pursuant to Reg 41 of the 2016 EEA Regulations; the second is that he may have acquired the right </w:t>
      </w:r>
      <w:r w:rsidR="00C46848">
        <w:rPr>
          <w:rFonts w:ascii="Book Antiqua" w:hAnsi="Book Antiqua" w:cs="Arial"/>
        </w:rPr>
        <w:t>of permanent residence himself, in which case Judge Black’s decision to consider the appeal on the basis that the appellant had not acquired the right of permanent residence (and with it the right to enhance</w:t>
      </w:r>
      <w:r w:rsidR="004A64F7">
        <w:rPr>
          <w:rFonts w:ascii="Book Antiqua" w:hAnsi="Book Antiqua" w:cs="Arial"/>
        </w:rPr>
        <w:t>d</w:t>
      </w:r>
      <w:r w:rsidR="00C46848">
        <w:rPr>
          <w:rFonts w:ascii="Book Antiqua" w:hAnsi="Book Antiqua" w:cs="Arial"/>
        </w:rPr>
        <w:t xml:space="preserve"> protection against deportation, because the respondent would require “serious” grounds to justify his removal in these circumstances) which went with it.  </w:t>
      </w:r>
    </w:p>
    <w:p w:rsidR="00C46848" w:rsidRDefault="00144665"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I have the advantage of seeing the complete decision of Judge Black, </w:t>
      </w:r>
      <w:proofErr w:type="gramStart"/>
      <w:r>
        <w:rPr>
          <w:rFonts w:ascii="Book Antiqua" w:hAnsi="Book Antiqua" w:cs="Arial"/>
        </w:rPr>
        <w:t>and also</w:t>
      </w:r>
      <w:proofErr w:type="gramEnd"/>
      <w:r>
        <w:rPr>
          <w:rFonts w:ascii="Book Antiqua" w:hAnsi="Book Antiqua" w:cs="Arial"/>
        </w:rPr>
        <w:t xml:space="preserve"> the documents which were before prev</w:t>
      </w:r>
      <w:r w:rsidR="003F6628">
        <w:rPr>
          <w:rFonts w:ascii="Book Antiqua" w:hAnsi="Book Antiqua" w:cs="Arial"/>
        </w:rPr>
        <w:t xml:space="preserve">ious judges, in </w:t>
      </w:r>
      <w:r w:rsidR="00103611">
        <w:rPr>
          <w:rFonts w:ascii="Book Antiqua" w:hAnsi="Book Antiqua" w:cs="Arial"/>
        </w:rPr>
        <w:t>particular</w:t>
      </w:r>
      <w:r>
        <w:rPr>
          <w:rFonts w:ascii="Book Antiqua" w:hAnsi="Book Antiqua" w:cs="Arial"/>
        </w:rPr>
        <w:t xml:space="preserve"> the skeleton argument of Mr Jarvis, representing the </w:t>
      </w:r>
      <w:r w:rsidR="00C80B27">
        <w:rPr>
          <w:rFonts w:ascii="Book Antiqua" w:hAnsi="Book Antiqua" w:cs="Arial"/>
        </w:rPr>
        <w:t xml:space="preserve">respondent at the hearing before Upper Tribunal Judge Gleeson on 7 December 2017.  I have also </w:t>
      </w:r>
      <w:r w:rsidR="003F6628">
        <w:rPr>
          <w:rFonts w:ascii="Book Antiqua" w:hAnsi="Book Antiqua" w:cs="Arial"/>
        </w:rPr>
        <w:t xml:space="preserve">been referred to the decision letter itself which is under challenge in these proceedings dated 24 September 2016, which has a significant bearing on the suggestion that the appellant was “refused” permission to return to the Tribunal </w:t>
      </w:r>
      <w:proofErr w:type="gramStart"/>
      <w:r w:rsidR="003F6628">
        <w:rPr>
          <w:rFonts w:ascii="Book Antiqua" w:hAnsi="Book Antiqua" w:cs="Arial"/>
        </w:rPr>
        <w:t>in order to</w:t>
      </w:r>
      <w:proofErr w:type="gramEnd"/>
      <w:r w:rsidR="003F6628">
        <w:rPr>
          <w:rFonts w:ascii="Book Antiqua" w:hAnsi="Book Antiqua" w:cs="Arial"/>
        </w:rPr>
        <w:t xml:space="preserve"> allow him to take part in the hearing.  </w:t>
      </w:r>
    </w:p>
    <w:p w:rsidR="003F6628" w:rsidRDefault="003F6628" w:rsidP="00286B23">
      <w:pPr>
        <w:numPr>
          <w:ilvl w:val="0"/>
          <w:numId w:val="1"/>
        </w:numPr>
        <w:tabs>
          <w:tab w:val="clear" w:pos="567"/>
        </w:tabs>
        <w:spacing w:before="240"/>
        <w:jc w:val="both"/>
        <w:rPr>
          <w:rFonts w:ascii="Book Antiqua" w:hAnsi="Book Antiqua" w:cs="Arial"/>
        </w:rPr>
      </w:pPr>
      <w:r>
        <w:rPr>
          <w:rFonts w:ascii="Book Antiqua" w:hAnsi="Book Antiqua" w:cs="Arial"/>
        </w:rPr>
        <w:t>I deal with this ground first.  The current position is dealt with under the 2016 Regulations, but as already noted above the position is substantially the same as it was under the 2006 Regulations.  I set out first what is set out within Regulation 41 of the 2016 EEA Regulations, as follows:</w:t>
      </w:r>
    </w:p>
    <w:p w:rsidR="003F6628" w:rsidRPr="003F6628" w:rsidRDefault="003F6628" w:rsidP="003F6628">
      <w:pPr>
        <w:spacing w:before="240"/>
        <w:ind w:left="1134"/>
        <w:jc w:val="both"/>
        <w:rPr>
          <w:rFonts w:ascii="Book Antiqua" w:hAnsi="Book Antiqua" w:cs="Arial"/>
          <w:b/>
        </w:rPr>
      </w:pPr>
      <w:r>
        <w:rPr>
          <w:rFonts w:ascii="Book Antiqua" w:hAnsi="Book Antiqua" w:cs="Arial"/>
        </w:rPr>
        <w:t>“</w:t>
      </w:r>
      <w:r w:rsidRPr="003F6628">
        <w:rPr>
          <w:rFonts w:ascii="Book Antiqua" w:hAnsi="Book Antiqua" w:cs="Arial"/>
          <w:b/>
        </w:rPr>
        <w:t>Temporary admission to submit case in person</w:t>
      </w:r>
    </w:p>
    <w:p w:rsidR="003F6628" w:rsidRDefault="003F6628" w:rsidP="003F6628">
      <w:pPr>
        <w:tabs>
          <w:tab w:val="left" w:pos="1985"/>
        </w:tabs>
        <w:spacing w:before="240"/>
        <w:ind w:left="2268" w:hanging="1134"/>
        <w:jc w:val="both"/>
        <w:rPr>
          <w:rFonts w:ascii="Book Antiqua" w:hAnsi="Book Antiqua" w:cs="Arial"/>
        </w:rPr>
      </w:pPr>
      <w:r>
        <w:rPr>
          <w:rFonts w:ascii="Book Antiqua" w:hAnsi="Book Antiqua" w:cs="Arial"/>
        </w:rPr>
        <w:t>41</w:t>
      </w:r>
      <w:r w:rsidRPr="003F6628">
        <w:rPr>
          <w:rFonts w:ascii="Book Antiqua" w:hAnsi="Book Antiqua" w:cs="Arial"/>
        </w:rPr>
        <w:t>.</w:t>
      </w:r>
      <w:proofErr w:type="gramStart"/>
      <w:r w:rsidRPr="003F6628">
        <w:rPr>
          <w:rFonts w:ascii="Book Antiqua" w:hAnsi="Book Antiqua" w:cs="Arial"/>
        </w:rPr>
        <w:t>—(</w:t>
      </w:r>
      <w:proofErr w:type="gramEnd"/>
      <w:r w:rsidRPr="003F6628">
        <w:rPr>
          <w:rFonts w:ascii="Book Antiqua" w:hAnsi="Book Antiqua" w:cs="Arial"/>
        </w:rPr>
        <w:t xml:space="preserve">1) </w:t>
      </w:r>
      <w:r>
        <w:rPr>
          <w:rFonts w:ascii="Book Antiqua" w:hAnsi="Book Antiqua" w:cs="Arial"/>
        </w:rPr>
        <w:tab/>
      </w:r>
      <w:r w:rsidRPr="003F6628">
        <w:rPr>
          <w:rFonts w:ascii="Book Antiqua" w:hAnsi="Book Antiqua" w:cs="Arial"/>
        </w:rPr>
        <w:t>This regulation applies where—</w:t>
      </w:r>
    </w:p>
    <w:p w:rsidR="003F6628" w:rsidRDefault="003F6628" w:rsidP="003F6628">
      <w:pPr>
        <w:tabs>
          <w:tab w:val="left" w:pos="2268"/>
        </w:tabs>
        <w:spacing w:before="240"/>
        <w:ind w:left="2835" w:hanging="1701"/>
        <w:jc w:val="both"/>
        <w:rPr>
          <w:rFonts w:ascii="Book Antiqua" w:hAnsi="Book Antiqua" w:cs="Arial"/>
        </w:rPr>
      </w:pPr>
      <w:r>
        <w:rPr>
          <w:rFonts w:ascii="Book Antiqua" w:hAnsi="Book Antiqua" w:cs="Arial"/>
        </w:rPr>
        <w:tab/>
        <w:t>(a)</w:t>
      </w:r>
      <w:r>
        <w:rPr>
          <w:rFonts w:ascii="Book Antiqua" w:hAnsi="Book Antiqua" w:cs="Arial"/>
        </w:rPr>
        <w:tab/>
        <w:t>a person (‘P’</w:t>
      </w:r>
      <w:r w:rsidRPr="003F6628">
        <w:rPr>
          <w:rFonts w:ascii="Book Antiqua" w:hAnsi="Book Antiqua" w:cs="Arial"/>
        </w:rPr>
        <w:t>) is subject to a decision to remove made under regulation 23(6)(b);</w:t>
      </w:r>
    </w:p>
    <w:p w:rsidR="003F6628" w:rsidRDefault="003F6628" w:rsidP="003F6628">
      <w:pPr>
        <w:tabs>
          <w:tab w:val="left" w:pos="2268"/>
        </w:tabs>
        <w:spacing w:before="240"/>
        <w:ind w:left="2835" w:hanging="1701"/>
        <w:jc w:val="both"/>
        <w:rPr>
          <w:rFonts w:ascii="Book Antiqua" w:hAnsi="Book Antiqua" w:cs="Arial"/>
        </w:rPr>
      </w:pPr>
      <w:r>
        <w:rPr>
          <w:rFonts w:ascii="Book Antiqua" w:hAnsi="Book Antiqua" w:cs="Arial"/>
        </w:rPr>
        <w:tab/>
        <w:t>(b)</w:t>
      </w:r>
      <w:r>
        <w:rPr>
          <w:rFonts w:ascii="Book Antiqua" w:hAnsi="Book Antiqua" w:cs="Arial"/>
        </w:rPr>
        <w:tab/>
      </w:r>
      <w:r w:rsidRPr="003F6628">
        <w:rPr>
          <w:rFonts w:ascii="Book Antiqua" w:hAnsi="Book Antiqua" w:cs="Arial"/>
        </w:rPr>
        <w:t>P has appealed against the decision referred to in sub-paragraph (a);</w:t>
      </w:r>
    </w:p>
    <w:p w:rsidR="003F6628" w:rsidRDefault="003F6628" w:rsidP="003F6628">
      <w:pPr>
        <w:tabs>
          <w:tab w:val="left" w:pos="2268"/>
        </w:tabs>
        <w:spacing w:before="240"/>
        <w:ind w:left="2835" w:hanging="1701"/>
        <w:jc w:val="both"/>
        <w:rPr>
          <w:rFonts w:ascii="Book Antiqua" w:hAnsi="Book Antiqua" w:cs="Arial"/>
        </w:rPr>
      </w:pPr>
      <w:r>
        <w:rPr>
          <w:rFonts w:ascii="Book Antiqua" w:hAnsi="Book Antiqua" w:cs="Arial"/>
        </w:rPr>
        <w:tab/>
        <w:t>(c)</w:t>
      </w:r>
      <w:r>
        <w:rPr>
          <w:rFonts w:ascii="Book Antiqua" w:hAnsi="Book Antiqua" w:cs="Arial"/>
        </w:rPr>
        <w:tab/>
      </w:r>
      <w:r w:rsidRPr="003F6628">
        <w:rPr>
          <w:rFonts w:ascii="Book Antiqua" w:hAnsi="Book Antiqua" w:cs="Arial"/>
        </w:rPr>
        <w:t>a date for P’s appeal has been set by the First-tier Tribunal or Upper Tribunal;</w:t>
      </w:r>
    </w:p>
    <w:p w:rsidR="003F6628" w:rsidRDefault="003F6628" w:rsidP="003F6628">
      <w:pPr>
        <w:tabs>
          <w:tab w:val="left" w:pos="2268"/>
        </w:tabs>
        <w:spacing w:before="240"/>
        <w:ind w:left="2835" w:hanging="1701"/>
        <w:jc w:val="both"/>
        <w:rPr>
          <w:rFonts w:ascii="Book Antiqua" w:hAnsi="Book Antiqua" w:cs="Arial"/>
        </w:rPr>
      </w:pPr>
      <w:r>
        <w:rPr>
          <w:rFonts w:ascii="Book Antiqua" w:hAnsi="Book Antiqua" w:cs="Arial"/>
        </w:rPr>
        <w:tab/>
        <w:t>(d)</w:t>
      </w:r>
      <w:r>
        <w:rPr>
          <w:rFonts w:ascii="Book Antiqua" w:hAnsi="Book Antiqua" w:cs="Arial"/>
        </w:rPr>
        <w:tab/>
      </w:r>
      <w:r w:rsidRPr="003F6628">
        <w:rPr>
          <w:rFonts w:ascii="Book Antiqua" w:hAnsi="Book Antiqua" w:cs="Arial"/>
        </w:rPr>
        <w:t>P wants to make submissions before the First-tier Tribunal or Upper Tribunal in person; and</w:t>
      </w:r>
    </w:p>
    <w:p w:rsidR="003F6628" w:rsidRDefault="003F6628" w:rsidP="003F6628">
      <w:pPr>
        <w:tabs>
          <w:tab w:val="left" w:pos="2268"/>
        </w:tabs>
        <w:spacing w:before="240"/>
        <w:ind w:left="2835" w:hanging="1701"/>
        <w:jc w:val="both"/>
        <w:rPr>
          <w:rFonts w:ascii="Book Antiqua" w:hAnsi="Book Antiqua" w:cs="Arial"/>
        </w:rPr>
      </w:pPr>
      <w:r>
        <w:rPr>
          <w:rFonts w:ascii="Book Antiqua" w:hAnsi="Book Antiqua" w:cs="Arial"/>
        </w:rPr>
        <w:tab/>
        <w:t>(e)</w:t>
      </w:r>
      <w:r>
        <w:rPr>
          <w:rFonts w:ascii="Book Antiqua" w:hAnsi="Book Antiqua" w:cs="Arial"/>
        </w:rPr>
        <w:tab/>
      </w:r>
      <w:r w:rsidRPr="003F6628">
        <w:rPr>
          <w:rFonts w:ascii="Book Antiqua" w:hAnsi="Book Antiqua" w:cs="Arial"/>
        </w:rPr>
        <w:t xml:space="preserve">P is outside the </w:t>
      </w:r>
      <w:smartTag w:uri="urn:schemas-microsoft-com:office:smarttags" w:element="place">
        <w:smartTag w:uri="urn:schemas-microsoft-com:office:smarttags" w:element="country-region">
          <w:r w:rsidRPr="003F6628">
            <w:rPr>
              <w:rFonts w:ascii="Book Antiqua" w:hAnsi="Book Antiqua" w:cs="Arial"/>
            </w:rPr>
            <w:t>United Kingdom</w:t>
          </w:r>
        </w:smartTag>
      </w:smartTag>
      <w:r w:rsidRPr="003F6628">
        <w:rPr>
          <w:rFonts w:ascii="Book Antiqua" w:hAnsi="Book Antiqua" w:cs="Arial"/>
        </w:rPr>
        <w:t>.</w:t>
      </w:r>
    </w:p>
    <w:p w:rsidR="003F6628" w:rsidRDefault="003F6628" w:rsidP="003F6628">
      <w:pPr>
        <w:spacing w:before="240"/>
        <w:ind w:left="2268" w:hanging="1134"/>
        <w:jc w:val="both"/>
        <w:rPr>
          <w:rFonts w:ascii="Book Antiqua" w:hAnsi="Book Antiqua" w:cs="Arial"/>
        </w:rPr>
      </w:pPr>
      <w:r>
        <w:rPr>
          <w:rFonts w:ascii="Book Antiqua" w:hAnsi="Book Antiqua" w:cs="Arial"/>
        </w:rPr>
        <w:t xml:space="preserve">    (2)</w:t>
      </w:r>
      <w:r>
        <w:rPr>
          <w:rFonts w:ascii="Book Antiqua" w:hAnsi="Book Antiqua" w:cs="Arial"/>
        </w:rPr>
        <w:tab/>
      </w:r>
      <w:r w:rsidRPr="003F6628">
        <w:rPr>
          <w:rFonts w:ascii="Book Antiqua" w:hAnsi="Book Antiqua" w:cs="Arial"/>
        </w:rPr>
        <w:t xml:space="preserve">P may apply to the Secretary of State for permission to be temporarily admitted </w:t>
      </w:r>
      <w:r w:rsidR="00522770">
        <w:rPr>
          <w:rFonts w:ascii="Book Antiqua" w:hAnsi="Book Antiqua" w:cs="Arial"/>
        </w:rPr>
        <w:t xml:space="preserve">... </w:t>
      </w:r>
      <w:r w:rsidRPr="003F6628">
        <w:rPr>
          <w:rFonts w:ascii="Book Antiqua" w:hAnsi="Book Antiqua" w:cs="Arial"/>
        </w:rPr>
        <w:t xml:space="preserve">to the </w:t>
      </w:r>
      <w:smartTag w:uri="urn:schemas-microsoft-com:office:smarttags" w:element="place">
        <w:smartTag w:uri="urn:schemas-microsoft-com:office:smarttags" w:element="country-region">
          <w:r w:rsidRPr="003F6628">
            <w:rPr>
              <w:rFonts w:ascii="Book Antiqua" w:hAnsi="Book Antiqua" w:cs="Arial"/>
            </w:rPr>
            <w:t>United Kingdom</w:t>
          </w:r>
        </w:smartTag>
      </w:smartTag>
      <w:r w:rsidRPr="003F6628">
        <w:rPr>
          <w:rFonts w:ascii="Book Antiqua" w:hAnsi="Book Antiqua" w:cs="Arial"/>
        </w:rPr>
        <w:t xml:space="preserve"> </w:t>
      </w:r>
      <w:proofErr w:type="gramStart"/>
      <w:r w:rsidRPr="003F6628">
        <w:rPr>
          <w:rFonts w:ascii="Book Antiqua" w:hAnsi="Book Antiqua" w:cs="Arial"/>
        </w:rPr>
        <w:t>in order to</w:t>
      </w:r>
      <w:proofErr w:type="gramEnd"/>
      <w:r w:rsidRPr="003F6628">
        <w:rPr>
          <w:rFonts w:ascii="Book Antiqua" w:hAnsi="Book Antiqua" w:cs="Arial"/>
        </w:rPr>
        <w:t xml:space="preserve"> make submissions in person.</w:t>
      </w:r>
    </w:p>
    <w:p w:rsidR="003F6628" w:rsidRDefault="003F6628" w:rsidP="003F6628">
      <w:pPr>
        <w:spacing w:before="240"/>
        <w:ind w:left="2268" w:hanging="1134"/>
        <w:jc w:val="both"/>
        <w:rPr>
          <w:rFonts w:ascii="Book Antiqua" w:hAnsi="Book Antiqua" w:cs="Arial"/>
        </w:rPr>
      </w:pPr>
      <w:r>
        <w:rPr>
          <w:rFonts w:ascii="Book Antiqua" w:hAnsi="Book Antiqua" w:cs="Arial"/>
        </w:rPr>
        <w:t xml:space="preserve">    (3)</w:t>
      </w:r>
      <w:r>
        <w:rPr>
          <w:rFonts w:ascii="Book Antiqua" w:hAnsi="Book Antiqua" w:cs="Arial"/>
        </w:rPr>
        <w:tab/>
      </w:r>
      <w:r w:rsidRPr="003F6628">
        <w:rPr>
          <w:rFonts w:ascii="Book Antiqua" w:hAnsi="Book Antiqua" w:cs="Arial"/>
        </w:rPr>
        <w:t>The Secretary of State must grant P permission, except when P’s appearance may cause serious troubles to public policy or public security.</w:t>
      </w:r>
    </w:p>
    <w:p w:rsidR="003F6628" w:rsidRPr="003F6628" w:rsidRDefault="003F6628" w:rsidP="00522770">
      <w:pPr>
        <w:spacing w:before="240"/>
        <w:ind w:left="2268" w:hanging="1134"/>
        <w:jc w:val="both"/>
        <w:rPr>
          <w:rFonts w:ascii="Book Antiqua" w:hAnsi="Book Antiqua" w:cs="Arial"/>
        </w:rPr>
      </w:pPr>
      <w:r>
        <w:rPr>
          <w:rFonts w:ascii="Book Antiqua" w:hAnsi="Book Antiqua" w:cs="Arial"/>
        </w:rPr>
        <w:t xml:space="preserve">    </w:t>
      </w:r>
      <w:r w:rsidR="00522770">
        <w:rPr>
          <w:rFonts w:ascii="Book Antiqua" w:hAnsi="Book Antiqua" w:cs="Arial"/>
        </w:rPr>
        <w:t>...”.</w:t>
      </w:r>
    </w:p>
    <w:p w:rsidR="003F6628" w:rsidRDefault="00522770" w:rsidP="00286B23">
      <w:pPr>
        <w:numPr>
          <w:ilvl w:val="0"/>
          <w:numId w:val="1"/>
        </w:numPr>
        <w:tabs>
          <w:tab w:val="clear" w:pos="567"/>
        </w:tabs>
        <w:spacing w:before="240"/>
        <w:jc w:val="both"/>
        <w:rPr>
          <w:rFonts w:ascii="Book Antiqua" w:hAnsi="Book Antiqua" w:cs="Arial"/>
        </w:rPr>
      </w:pPr>
      <w:r>
        <w:rPr>
          <w:rFonts w:ascii="Book Antiqua" w:hAnsi="Book Antiqua" w:cs="Arial"/>
        </w:rPr>
        <w:lastRenderedPageBreak/>
        <w:t>Th</w:t>
      </w:r>
      <w:r w:rsidR="004A64F7">
        <w:rPr>
          <w:rFonts w:ascii="Book Antiqua" w:hAnsi="Book Antiqua" w:cs="Arial"/>
        </w:rPr>
        <w:t>ese</w:t>
      </w:r>
      <w:r>
        <w:rPr>
          <w:rFonts w:ascii="Book Antiqua" w:hAnsi="Book Antiqua" w:cs="Arial"/>
        </w:rPr>
        <w:t xml:space="preserve"> provision</w:t>
      </w:r>
      <w:r w:rsidR="004A64F7">
        <w:rPr>
          <w:rFonts w:ascii="Book Antiqua" w:hAnsi="Book Antiqua" w:cs="Arial"/>
        </w:rPr>
        <w:t>s</w:t>
      </w:r>
      <w:r>
        <w:rPr>
          <w:rFonts w:ascii="Book Antiqua" w:hAnsi="Book Antiqua" w:cs="Arial"/>
        </w:rPr>
        <w:t xml:space="preserve"> mirror what was set out in the 2006 Regulations at Regulation 29AA.  I set out for comparison what is said at Regulation 29</w:t>
      </w:r>
      <w:proofErr w:type="gramStart"/>
      <w:r>
        <w:rPr>
          <w:rFonts w:ascii="Book Antiqua" w:hAnsi="Book Antiqua" w:cs="Arial"/>
        </w:rPr>
        <w:t>AA(</w:t>
      </w:r>
      <w:proofErr w:type="gramEnd"/>
      <w:r>
        <w:rPr>
          <w:rFonts w:ascii="Book Antiqua" w:hAnsi="Book Antiqua" w:cs="Arial"/>
        </w:rPr>
        <w:t>2):</w:t>
      </w:r>
    </w:p>
    <w:p w:rsidR="00522770" w:rsidRPr="00522770" w:rsidRDefault="00522770" w:rsidP="00522770">
      <w:pPr>
        <w:spacing w:before="240"/>
        <w:ind w:left="1701" w:hanging="567"/>
        <w:jc w:val="both"/>
        <w:rPr>
          <w:rFonts w:ascii="Book Antiqua" w:hAnsi="Book Antiqua" w:cs="Arial"/>
        </w:rPr>
      </w:pPr>
      <w:r>
        <w:rPr>
          <w:rFonts w:ascii="Book Antiqua" w:hAnsi="Book Antiqua" w:cs="Arial"/>
        </w:rPr>
        <w:t>“</w:t>
      </w:r>
      <w:r w:rsidRPr="00522770">
        <w:rPr>
          <w:rFonts w:ascii="Book Antiqua" w:hAnsi="Book Antiqua" w:cs="Arial"/>
        </w:rPr>
        <w:t xml:space="preserve">(2) </w:t>
      </w:r>
      <w:r>
        <w:rPr>
          <w:rFonts w:ascii="Book Antiqua" w:hAnsi="Book Antiqua" w:cs="Arial"/>
        </w:rPr>
        <w:tab/>
      </w:r>
      <w:r w:rsidRPr="00522770">
        <w:rPr>
          <w:rFonts w:ascii="Book Antiqua" w:hAnsi="Book Antiqua" w:cs="Arial"/>
        </w:rPr>
        <w:t xml:space="preserve">P may apply to the Secretary of State for permission to be temporarily admitted (within the meaning of paragraphs 21 to 24 of Schedule 2 to the 1971 Act, as applied by this regulation) to the </w:t>
      </w:r>
      <w:smartTag w:uri="urn:schemas-microsoft-com:office:smarttags" w:element="place">
        <w:smartTag w:uri="urn:schemas-microsoft-com:office:smarttags" w:element="country-region">
          <w:r w:rsidRPr="00522770">
            <w:rPr>
              <w:rFonts w:ascii="Book Antiqua" w:hAnsi="Book Antiqua" w:cs="Arial"/>
            </w:rPr>
            <w:t>United Kingdom</w:t>
          </w:r>
        </w:smartTag>
      </w:smartTag>
      <w:r w:rsidRPr="00522770">
        <w:rPr>
          <w:rFonts w:ascii="Book Antiqua" w:hAnsi="Book Antiqua" w:cs="Arial"/>
        </w:rPr>
        <w:t xml:space="preserve"> </w:t>
      </w:r>
      <w:proofErr w:type="gramStart"/>
      <w:r w:rsidRPr="00522770">
        <w:rPr>
          <w:rFonts w:ascii="Book Antiqua" w:hAnsi="Book Antiqua" w:cs="Arial"/>
        </w:rPr>
        <w:t>in order to</w:t>
      </w:r>
      <w:proofErr w:type="gramEnd"/>
      <w:r w:rsidRPr="00522770">
        <w:rPr>
          <w:rFonts w:ascii="Book Antiqua" w:hAnsi="Book Antiqua" w:cs="Arial"/>
        </w:rPr>
        <w:t xml:space="preserve"> make submissions in person</w:t>
      </w:r>
      <w:r>
        <w:rPr>
          <w:rFonts w:ascii="Book Antiqua" w:hAnsi="Book Antiqua" w:cs="Arial"/>
        </w:rPr>
        <w:t>”</w:t>
      </w:r>
      <w:r w:rsidRPr="00522770">
        <w:rPr>
          <w:rFonts w:ascii="Book Antiqua" w:hAnsi="Book Antiqua" w:cs="Arial"/>
        </w:rPr>
        <w:t>.</w:t>
      </w:r>
    </w:p>
    <w:p w:rsidR="00522770" w:rsidRDefault="00560D18"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It is relevant that within the decision letter itself, the provisions of Regulation 29AA are set out and the appellant is advised as to precisely what he ought to do if he wishes to be present in person at the hearing.  I set out </w:t>
      </w:r>
      <w:r w:rsidR="000C7976">
        <w:rPr>
          <w:rFonts w:ascii="Book Antiqua" w:hAnsi="Book Antiqua" w:cs="Arial"/>
        </w:rPr>
        <w:t>from paragraphs 106 onwards of this decision letter, as follows:</w:t>
      </w:r>
    </w:p>
    <w:p w:rsidR="000C7976" w:rsidRPr="000C7976" w:rsidRDefault="000C7976" w:rsidP="000C7976">
      <w:pPr>
        <w:spacing w:before="240"/>
        <w:ind w:left="1134"/>
        <w:jc w:val="both"/>
        <w:rPr>
          <w:rFonts w:ascii="Book Antiqua" w:hAnsi="Book Antiqua" w:cs="Arial"/>
          <w:b/>
        </w:rPr>
      </w:pPr>
      <w:r>
        <w:rPr>
          <w:rFonts w:ascii="Book Antiqua" w:hAnsi="Book Antiqua" w:cs="Arial"/>
        </w:rPr>
        <w:t>“</w:t>
      </w:r>
      <w:r w:rsidRPr="000C7976">
        <w:rPr>
          <w:rFonts w:ascii="Book Antiqua" w:hAnsi="Book Antiqua" w:cs="Arial"/>
          <w:b/>
        </w:rPr>
        <w:t>Re-</w:t>
      </w:r>
      <w:r w:rsidR="00103611" w:rsidRPr="000C7976">
        <w:rPr>
          <w:rFonts w:ascii="Book Antiqua" w:hAnsi="Book Antiqua" w:cs="Arial"/>
          <w:b/>
        </w:rPr>
        <w:t>admission</w:t>
      </w:r>
      <w:r w:rsidRPr="000C7976">
        <w:rPr>
          <w:rFonts w:ascii="Book Antiqua" w:hAnsi="Book Antiqua" w:cs="Arial"/>
          <w:b/>
        </w:rPr>
        <w:t xml:space="preserve"> to the </w:t>
      </w:r>
      <w:smartTag w:uri="urn:schemas-microsoft-com:office:smarttags" w:element="place">
        <w:smartTag w:uri="urn:schemas-microsoft-com:office:smarttags" w:element="country-region">
          <w:r w:rsidRPr="000C7976">
            <w:rPr>
              <w:rFonts w:ascii="Book Antiqua" w:hAnsi="Book Antiqua" w:cs="Arial"/>
              <w:b/>
            </w:rPr>
            <w:t>United Kingdom</w:t>
          </w:r>
        </w:smartTag>
      </w:smartTag>
      <w:r w:rsidRPr="000C7976">
        <w:rPr>
          <w:rFonts w:ascii="Book Antiqua" w:hAnsi="Book Antiqua" w:cs="Arial"/>
          <w:b/>
        </w:rPr>
        <w:t xml:space="preserve"> for the </w:t>
      </w:r>
      <w:r w:rsidR="00103611" w:rsidRPr="000C7976">
        <w:rPr>
          <w:rFonts w:ascii="Book Antiqua" w:hAnsi="Book Antiqua" w:cs="Arial"/>
          <w:b/>
        </w:rPr>
        <w:t>purposes</w:t>
      </w:r>
      <w:r w:rsidRPr="000C7976">
        <w:rPr>
          <w:rFonts w:ascii="Book Antiqua" w:hAnsi="Book Antiqua" w:cs="Arial"/>
          <w:b/>
        </w:rPr>
        <w:t xml:space="preserve"> of making submissions in person at any appeal hearing </w:t>
      </w:r>
    </w:p>
    <w:p w:rsidR="000C7976" w:rsidRDefault="000C7976" w:rsidP="000C7976">
      <w:pPr>
        <w:spacing w:before="240"/>
        <w:ind w:left="1701" w:hanging="567"/>
        <w:jc w:val="both"/>
        <w:rPr>
          <w:rFonts w:ascii="Book Antiqua" w:hAnsi="Book Antiqua" w:cs="Arial"/>
        </w:rPr>
      </w:pPr>
      <w:r>
        <w:rPr>
          <w:rFonts w:ascii="Book Antiqua" w:hAnsi="Book Antiqua" w:cs="Arial"/>
        </w:rPr>
        <w:t>106.</w:t>
      </w:r>
      <w:r>
        <w:rPr>
          <w:rFonts w:ascii="Book Antiqua" w:hAnsi="Book Antiqua" w:cs="Arial"/>
        </w:rPr>
        <w:tab/>
        <w:t xml:space="preserve">Pursuant to regulation 29AA of the 2006 Regulations, you may apply from outside the United Kingdom for permission to re-enter the United Kingdom </w:t>
      </w:r>
      <w:proofErr w:type="gramStart"/>
      <w:r>
        <w:rPr>
          <w:rFonts w:ascii="Book Antiqua" w:hAnsi="Book Antiqua" w:cs="Arial"/>
        </w:rPr>
        <w:t>in order to</w:t>
      </w:r>
      <w:proofErr w:type="gramEnd"/>
      <w:r>
        <w:rPr>
          <w:rFonts w:ascii="Book Antiqua" w:hAnsi="Book Antiqua" w:cs="Arial"/>
        </w:rPr>
        <w:t xml:space="preserve"> make submissions in person at your appeal hearing</w:t>
      </w:r>
      <w:r w:rsidR="007C1A1C">
        <w:rPr>
          <w:rFonts w:ascii="Book Antiqua" w:hAnsi="Book Antiqua" w:cs="Arial"/>
        </w:rPr>
        <w:t xml:space="preserve"> (where relevant), if you meet the following conditions:</w:t>
      </w:r>
    </w:p>
    <w:p w:rsidR="007C1A1C" w:rsidRDefault="007C1A1C" w:rsidP="007C1A1C">
      <w:pPr>
        <w:spacing w:before="240"/>
        <w:ind w:left="2268" w:hanging="567"/>
        <w:jc w:val="both"/>
        <w:rPr>
          <w:rFonts w:ascii="Book Antiqua" w:hAnsi="Book Antiqua" w:cs="Arial"/>
        </w:rPr>
      </w:pPr>
      <w:r>
        <w:rPr>
          <w:rFonts w:ascii="Book Antiqua" w:hAnsi="Book Antiqua" w:cs="Arial"/>
        </w:rPr>
        <w:t>p.</w:t>
      </w:r>
      <w:r>
        <w:rPr>
          <w:rFonts w:ascii="Book Antiqua" w:hAnsi="Book Antiqua" w:cs="Arial"/>
        </w:rPr>
        <w:tab/>
        <w:t xml:space="preserve">you appealed within time against the notice of a decision to make a deportation order (or appealed out of time with the permission of the Tribunal); </w:t>
      </w:r>
    </w:p>
    <w:p w:rsidR="007C1A1C" w:rsidRDefault="007C1A1C" w:rsidP="007C1A1C">
      <w:pPr>
        <w:spacing w:before="240"/>
        <w:ind w:left="2268" w:hanging="567"/>
        <w:jc w:val="both"/>
        <w:rPr>
          <w:rFonts w:ascii="Book Antiqua" w:hAnsi="Book Antiqua" w:cs="Arial"/>
        </w:rPr>
      </w:pPr>
      <w:r>
        <w:rPr>
          <w:rFonts w:ascii="Book Antiqua" w:hAnsi="Book Antiqua" w:cs="Arial"/>
        </w:rPr>
        <w:t>q.</w:t>
      </w:r>
      <w:r>
        <w:rPr>
          <w:rFonts w:ascii="Book Antiqua" w:hAnsi="Book Antiqua" w:cs="Arial"/>
        </w:rPr>
        <w:tab/>
        <w:t xml:space="preserve">you were deported from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pursuant to regulation 19(3)(b) of the 2006 Regulations before your appeal was finally determined;</w:t>
      </w:r>
    </w:p>
    <w:p w:rsidR="007C1A1C" w:rsidRDefault="007C1A1C" w:rsidP="007C1A1C">
      <w:pPr>
        <w:spacing w:before="240"/>
        <w:ind w:left="2268" w:hanging="567"/>
        <w:jc w:val="both"/>
        <w:rPr>
          <w:rFonts w:ascii="Book Antiqua" w:hAnsi="Book Antiqua" w:cs="Arial"/>
        </w:rPr>
      </w:pPr>
      <w:r>
        <w:rPr>
          <w:rFonts w:ascii="Book Antiqua" w:hAnsi="Book Antiqua" w:cs="Arial"/>
        </w:rPr>
        <w:t>r.</w:t>
      </w:r>
      <w:r>
        <w:rPr>
          <w:rFonts w:ascii="Book Antiqua" w:hAnsi="Book Antiqua" w:cs="Arial"/>
        </w:rPr>
        <w:tab/>
        <w:t xml:space="preserve">a date for your appeal has been set; and </w:t>
      </w:r>
    </w:p>
    <w:p w:rsidR="007C1A1C" w:rsidRDefault="007C1A1C" w:rsidP="007C1A1C">
      <w:pPr>
        <w:spacing w:before="240"/>
        <w:ind w:left="2268" w:hanging="567"/>
        <w:jc w:val="both"/>
        <w:rPr>
          <w:rFonts w:ascii="Book Antiqua" w:hAnsi="Book Antiqua" w:cs="Arial"/>
        </w:rPr>
      </w:pPr>
      <w:r>
        <w:rPr>
          <w:rFonts w:ascii="Book Antiqua" w:hAnsi="Book Antiqua" w:cs="Arial"/>
        </w:rPr>
        <w:t>s.</w:t>
      </w:r>
      <w:r>
        <w:rPr>
          <w:rFonts w:ascii="Book Antiqua" w:hAnsi="Book Antiqua" w:cs="Arial"/>
        </w:rPr>
        <w:tab/>
        <w:t>you want to make submissions before the First-tier Tribunal or Upper Tribunal in person.</w:t>
      </w:r>
      <w:r>
        <w:rPr>
          <w:rFonts w:ascii="Book Antiqua" w:hAnsi="Book Antiqua" w:cs="Arial"/>
        </w:rPr>
        <w:tab/>
      </w:r>
    </w:p>
    <w:p w:rsidR="007C1A1C" w:rsidRDefault="007C1A1C" w:rsidP="000C7976">
      <w:pPr>
        <w:spacing w:before="240"/>
        <w:ind w:left="1701" w:hanging="567"/>
        <w:jc w:val="both"/>
        <w:rPr>
          <w:rFonts w:ascii="Book Antiqua" w:hAnsi="Book Antiqua" w:cs="Arial"/>
        </w:rPr>
      </w:pPr>
      <w:r>
        <w:rPr>
          <w:rFonts w:ascii="Book Antiqua" w:hAnsi="Book Antiqua" w:cs="Arial"/>
        </w:rPr>
        <w:t>107.</w:t>
      </w:r>
      <w:r>
        <w:rPr>
          <w:rFonts w:ascii="Book Antiqua" w:hAnsi="Book Antiqua" w:cs="Arial"/>
        </w:rPr>
        <w:tab/>
        <w:t>You should not apply for permission to re-enter unless you have been given a date for your appeal hearing by the First-tier or Upper Tribunal (Immigration and Asylum Chamber) and you should provide us with evidence of the date of your appeal hearing.</w:t>
      </w:r>
    </w:p>
    <w:p w:rsidR="007C1A1C" w:rsidRDefault="007C1A1C" w:rsidP="000C7976">
      <w:pPr>
        <w:spacing w:before="240"/>
        <w:ind w:left="1701" w:hanging="567"/>
        <w:jc w:val="both"/>
        <w:rPr>
          <w:rFonts w:ascii="Book Antiqua" w:hAnsi="Book Antiqua" w:cs="Arial"/>
        </w:rPr>
      </w:pPr>
      <w:r>
        <w:rPr>
          <w:rFonts w:ascii="Book Antiqua" w:hAnsi="Book Antiqua" w:cs="Arial"/>
        </w:rPr>
        <w:t>108.</w:t>
      </w:r>
      <w:r>
        <w:rPr>
          <w:rFonts w:ascii="Book Antiqua" w:hAnsi="Book Antiqua" w:cs="Arial"/>
        </w:rPr>
        <w:tab/>
      </w:r>
      <w:r w:rsidR="00C74998">
        <w:rPr>
          <w:rFonts w:ascii="Book Antiqua" w:hAnsi="Book Antiqua" w:cs="Arial"/>
        </w:rPr>
        <w:t xml:space="preserve">It is </w:t>
      </w:r>
      <w:r w:rsidR="00C74998">
        <w:rPr>
          <w:rFonts w:ascii="Book Antiqua" w:hAnsi="Book Antiqua" w:cs="Arial"/>
          <w:u w:val="single"/>
        </w:rPr>
        <w:t>your responsibility</w:t>
      </w:r>
      <w:r w:rsidR="00C74998">
        <w:rPr>
          <w:rFonts w:ascii="Book Antiqua" w:hAnsi="Book Antiqua" w:cs="Arial"/>
        </w:rPr>
        <w:t xml:space="preserve"> to notify the relevant Tribunal of your location and contact details and to update the Tribunal in the event of any changes to your location and contact details.</w:t>
      </w:r>
    </w:p>
    <w:p w:rsidR="00C74998" w:rsidRDefault="00C74998" w:rsidP="000C7976">
      <w:pPr>
        <w:spacing w:before="240"/>
        <w:ind w:left="1701" w:hanging="567"/>
        <w:jc w:val="both"/>
        <w:rPr>
          <w:rFonts w:ascii="Book Antiqua" w:hAnsi="Book Antiqua" w:cs="Arial"/>
        </w:rPr>
      </w:pPr>
      <w:r>
        <w:rPr>
          <w:rFonts w:ascii="Book Antiqua" w:hAnsi="Book Antiqua" w:cs="Arial"/>
        </w:rPr>
        <w:t>109.</w:t>
      </w:r>
      <w:r>
        <w:rPr>
          <w:rFonts w:ascii="Book Antiqua" w:hAnsi="Book Antiqua" w:cs="Arial"/>
        </w:rPr>
        <w:tab/>
        <w:t xml:space="preserve">If you meet these criteria then you may apply for permission to re-enter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You can make this application by contacting Immigration Enforcement at [the e-mail address is then set out].</w:t>
      </w:r>
    </w:p>
    <w:p w:rsidR="00C74998" w:rsidRDefault="00C74998" w:rsidP="000C7976">
      <w:pPr>
        <w:spacing w:before="240"/>
        <w:ind w:left="1701" w:hanging="567"/>
        <w:jc w:val="both"/>
        <w:rPr>
          <w:rFonts w:ascii="Book Antiqua" w:hAnsi="Book Antiqua" w:cs="Arial"/>
        </w:rPr>
      </w:pPr>
      <w:r>
        <w:rPr>
          <w:rFonts w:ascii="Book Antiqua" w:hAnsi="Book Antiqua" w:cs="Arial"/>
        </w:rPr>
        <w:t>110.</w:t>
      </w:r>
      <w:r>
        <w:rPr>
          <w:rFonts w:ascii="Book Antiqua" w:hAnsi="Book Antiqua" w:cs="Arial"/>
        </w:rPr>
        <w:tab/>
      </w:r>
      <w:r w:rsidR="00103611">
        <w:rPr>
          <w:rFonts w:ascii="Book Antiqua" w:hAnsi="Book Antiqua" w:cs="Arial"/>
        </w:rPr>
        <w:t>Permission</w:t>
      </w:r>
      <w:r>
        <w:rPr>
          <w:rFonts w:ascii="Book Antiqua" w:hAnsi="Book Antiqua" w:cs="Arial"/>
        </w:rPr>
        <w:t xml:space="preserve"> will not be granted if the Secretary of State considers that your presence would cause serious troubles to public policy or public security.</w:t>
      </w:r>
    </w:p>
    <w:p w:rsidR="00C74998" w:rsidRDefault="00C74998" w:rsidP="000C7976">
      <w:pPr>
        <w:spacing w:before="240"/>
        <w:ind w:left="1701" w:hanging="567"/>
        <w:jc w:val="both"/>
        <w:rPr>
          <w:rFonts w:ascii="Book Antiqua" w:hAnsi="Book Antiqua" w:cs="Arial"/>
        </w:rPr>
      </w:pPr>
      <w:r>
        <w:rPr>
          <w:rFonts w:ascii="Book Antiqua" w:hAnsi="Book Antiqua" w:cs="Arial"/>
        </w:rPr>
        <w:lastRenderedPageBreak/>
        <w:t>111.</w:t>
      </w:r>
      <w:r>
        <w:rPr>
          <w:rFonts w:ascii="Book Antiqua" w:hAnsi="Book Antiqua" w:cs="Arial"/>
        </w:rPr>
        <w:tab/>
        <w:t xml:space="preserve">You </w:t>
      </w:r>
      <w:r>
        <w:rPr>
          <w:rFonts w:ascii="Book Antiqua" w:hAnsi="Book Antiqua" w:cs="Arial"/>
          <w:u w:val="single"/>
        </w:rPr>
        <w:t>must apply for permission</w:t>
      </w:r>
      <w:r>
        <w:rPr>
          <w:rFonts w:ascii="Book Antiqua" w:hAnsi="Book Antiqua" w:cs="Arial"/>
        </w:rPr>
        <w:t xml:space="preserve"> in advance of attempting to re-enter the </w:t>
      </w:r>
      <w:smartTag w:uri="urn:schemas-microsoft-com:office:smarttags" w:element="country-region">
        <w:r>
          <w:rPr>
            <w:rFonts w:ascii="Book Antiqua" w:hAnsi="Book Antiqua" w:cs="Arial"/>
          </w:rPr>
          <w:t>United Kingdom</w:t>
        </w:r>
      </w:smartTag>
      <w:r>
        <w:rPr>
          <w:rFonts w:ascii="Book Antiqua" w:hAnsi="Book Antiqua" w:cs="Arial"/>
        </w:rPr>
        <w:t xml:space="preserve"> or you will be refused admission at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’s border.  If permission is granted, it will be a temporary admission pursuant to Schedule 2 of the Immigration Act 1971.</w:t>
      </w:r>
    </w:p>
    <w:p w:rsidR="00C74998" w:rsidRPr="00C74998" w:rsidRDefault="00C74998" w:rsidP="000C7976">
      <w:pPr>
        <w:spacing w:before="240"/>
        <w:ind w:left="1701" w:hanging="567"/>
        <w:jc w:val="both"/>
        <w:rPr>
          <w:rFonts w:ascii="Book Antiqua" w:hAnsi="Book Antiqua" w:cs="Arial"/>
        </w:rPr>
      </w:pPr>
      <w:r>
        <w:rPr>
          <w:rFonts w:ascii="Book Antiqua" w:hAnsi="Book Antiqua" w:cs="Arial"/>
        </w:rPr>
        <w:t>...”.</w:t>
      </w:r>
    </w:p>
    <w:p w:rsidR="000C7976" w:rsidRDefault="00C74998"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In other words, the procedure which would have to be followed by the appellant if he sought to re-enter this country </w:t>
      </w:r>
      <w:proofErr w:type="gramStart"/>
      <w:r>
        <w:rPr>
          <w:rFonts w:ascii="Book Antiqua" w:hAnsi="Book Antiqua" w:cs="Arial"/>
        </w:rPr>
        <w:t>in order to</w:t>
      </w:r>
      <w:proofErr w:type="gramEnd"/>
      <w:r>
        <w:rPr>
          <w:rFonts w:ascii="Book Antiqua" w:hAnsi="Book Antiqua" w:cs="Arial"/>
        </w:rPr>
        <w:t xml:space="preserve"> be present at his hearing is set out in detail.  </w:t>
      </w:r>
    </w:p>
    <w:p w:rsidR="00C74998" w:rsidRDefault="00C74998"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Within </w:t>
      </w:r>
      <w:r w:rsidR="00205816">
        <w:rPr>
          <w:rFonts w:ascii="Book Antiqua" w:hAnsi="Book Antiqua" w:cs="Arial"/>
        </w:rPr>
        <w:t>the decision, Judge Kaler at paragraph 4 noted as follows:</w:t>
      </w:r>
    </w:p>
    <w:p w:rsidR="00205816" w:rsidRDefault="00205816" w:rsidP="00205816">
      <w:pPr>
        <w:spacing w:before="240"/>
        <w:ind w:left="1701" w:hanging="567"/>
        <w:jc w:val="both"/>
        <w:rPr>
          <w:rFonts w:ascii="Book Antiqua" w:hAnsi="Book Antiqua" w:cs="Arial"/>
        </w:rPr>
      </w:pPr>
      <w:r>
        <w:rPr>
          <w:rFonts w:ascii="Book Antiqua" w:hAnsi="Book Antiqua" w:cs="Arial"/>
        </w:rPr>
        <w:t>“4.</w:t>
      </w:r>
      <w:r>
        <w:rPr>
          <w:rFonts w:ascii="Book Antiqua" w:hAnsi="Book Antiqua" w:cs="Arial"/>
        </w:rPr>
        <w:tab/>
        <w:t xml:space="preserve">The Appellant has not made any application to re-enter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under Regulation 41 of the 2016 Regulations</w:t>
      </w:r>
      <w:r w:rsidR="00E467B4">
        <w:rPr>
          <w:rFonts w:ascii="Book Antiqua" w:hAnsi="Book Antiqua" w:cs="Arial"/>
        </w:rPr>
        <w:t xml:space="preserve"> [and obviously under paragraph 29AA either]</w:t>
      </w:r>
      <w:r>
        <w:rPr>
          <w:rFonts w:ascii="Book Antiqua" w:hAnsi="Book Antiqua" w:cs="Arial"/>
        </w:rPr>
        <w:t xml:space="preserve">.  It is noted that he did try to enter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to be present at the earlier appeal hearing, but he had not made the necessary application for admission and was denied entry.”</w:t>
      </w:r>
    </w:p>
    <w:p w:rsidR="00607258" w:rsidRDefault="00E467B4"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Although Judge Holmes </w:t>
      </w:r>
      <w:r w:rsidR="001B5FBB">
        <w:rPr>
          <w:rFonts w:ascii="Book Antiqua" w:hAnsi="Book Antiqua" w:cs="Arial"/>
        </w:rPr>
        <w:t xml:space="preserve">when granting permission seemed to believe that “The Judge appears to have proceeded on the basis that a second application in some </w:t>
      </w:r>
      <w:r w:rsidR="00103611">
        <w:rPr>
          <w:rFonts w:ascii="Book Antiqua" w:hAnsi="Book Antiqua" w:cs="Arial"/>
        </w:rPr>
        <w:t>particular</w:t>
      </w:r>
      <w:r w:rsidR="001B5FBB">
        <w:rPr>
          <w:rFonts w:ascii="Book Antiqua" w:hAnsi="Book Antiqua" w:cs="Arial"/>
        </w:rPr>
        <w:t xml:space="preserve"> format was required”</w:t>
      </w:r>
      <w:r w:rsidR="00607258">
        <w:rPr>
          <w:rFonts w:ascii="Book Antiqua" w:hAnsi="Book Antiqua" w:cs="Arial"/>
        </w:rPr>
        <w:t>,</w:t>
      </w:r>
      <w:r w:rsidR="001B5FBB">
        <w:rPr>
          <w:rFonts w:ascii="Book Antiqua" w:hAnsi="Book Antiqua" w:cs="Arial"/>
        </w:rPr>
        <w:t xml:space="preserve"> </w:t>
      </w:r>
      <w:r w:rsidR="00607258">
        <w:rPr>
          <w:rFonts w:ascii="Book Antiqua" w:hAnsi="Book Antiqua" w:cs="Arial"/>
        </w:rPr>
        <w:t>i</w:t>
      </w:r>
      <w:r w:rsidR="001B5FBB">
        <w:rPr>
          <w:rFonts w:ascii="Book Antiqua" w:hAnsi="Book Antiqua" w:cs="Arial"/>
        </w:rPr>
        <w:t>t appears that he may well have misunderstood what actually had occurred</w:t>
      </w:r>
      <w:r w:rsidR="00607258">
        <w:rPr>
          <w:rFonts w:ascii="Book Antiqua" w:hAnsi="Book Antiqua" w:cs="Arial"/>
        </w:rPr>
        <w:t>;</w:t>
      </w:r>
      <w:r w:rsidR="001B5FBB">
        <w:rPr>
          <w:rFonts w:ascii="Book Antiqua" w:hAnsi="Book Antiqua" w:cs="Arial"/>
        </w:rPr>
        <w:t xml:space="preserve"> the circumstances in which the appellant attempted to re-enter the country appear to be that he had attempted to re-enter on 28 July 2017 on the basis that he thought his deportation order had been revoked (because at that stage Judge Black </w:t>
      </w:r>
      <w:r w:rsidR="00607258">
        <w:rPr>
          <w:rFonts w:ascii="Book Antiqua" w:hAnsi="Book Antiqua" w:cs="Arial"/>
        </w:rPr>
        <w:t>had purported to</w:t>
      </w:r>
      <w:r w:rsidR="001B5FBB">
        <w:rPr>
          <w:rFonts w:ascii="Book Antiqua" w:hAnsi="Book Antiqua" w:cs="Arial"/>
        </w:rPr>
        <w:t xml:space="preserve"> allow his appeal, certainly against the certification under Section 94B of the Nationality, Immigration and Asylum Act</w:t>
      </w:r>
      <w:r w:rsidR="00607258">
        <w:rPr>
          <w:rFonts w:ascii="Book Antiqua" w:hAnsi="Book Antiqua" w:cs="Arial"/>
        </w:rPr>
        <w:t>)</w:t>
      </w:r>
      <w:r w:rsidR="001B5FBB">
        <w:rPr>
          <w:rFonts w:ascii="Book Antiqua" w:hAnsi="Book Antiqua" w:cs="Arial"/>
        </w:rPr>
        <w:t xml:space="preserve"> while failing to </w:t>
      </w:r>
      <w:r w:rsidR="00103611">
        <w:rPr>
          <w:rFonts w:ascii="Book Antiqua" w:hAnsi="Book Antiqua" w:cs="Arial"/>
        </w:rPr>
        <w:t>recognise</w:t>
      </w:r>
      <w:r w:rsidR="001B5FBB">
        <w:rPr>
          <w:rFonts w:ascii="Book Antiqua" w:hAnsi="Book Antiqua" w:cs="Arial"/>
        </w:rPr>
        <w:t xml:space="preserve"> that until the respondent’s appeal rights against that decision had been determined the deportation order was still in place.  </w:t>
      </w:r>
    </w:p>
    <w:p w:rsidR="00607258" w:rsidRDefault="001B5FBB"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What the appellant never did, </w:t>
      </w:r>
      <w:r w:rsidR="00607258">
        <w:rPr>
          <w:rFonts w:ascii="Book Antiqua" w:hAnsi="Book Antiqua" w:cs="Arial"/>
        </w:rPr>
        <w:t>a</w:t>
      </w:r>
      <w:r>
        <w:rPr>
          <w:rFonts w:ascii="Book Antiqua" w:hAnsi="Book Antiqua" w:cs="Arial"/>
        </w:rPr>
        <w:t xml:space="preserve">nd before this Tribunal the appellant’s father did not suggest that he had ever done, was make any application in the required or any other format to </w:t>
      </w:r>
      <w:r w:rsidR="00607258">
        <w:rPr>
          <w:rFonts w:ascii="Book Antiqua" w:hAnsi="Book Antiqua" w:cs="Arial"/>
        </w:rPr>
        <w:t xml:space="preserve">be </w:t>
      </w:r>
      <w:r>
        <w:rPr>
          <w:rFonts w:ascii="Book Antiqua" w:hAnsi="Book Antiqua" w:cs="Arial"/>
        </w:rPr>
        <w:t>allow</w:t>
      </w:r>
      <w:r w:rsidR="00607258">
        <w:rPr>
          <w:rFonts w:ascii="Book Antiqua" w:hAnsi="Book Antiqua" w:cs="Arial"/>
        </w:rPr>
        <w:t>ed</w:t>
      </w:r>
      <w:r>
        <w:rPr>
          <w:rFonts w:ascii="Book Antiqua" w:hAnsi="Book Antiqua" w:cs="Arial"/>
        </w:rPr>
        <w:t xml:space="preserve"> to enter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w:t>
      </w:r>
      <w:proofErr w:type="gramStart"/>
      <w:r>
        <w:rPr>
          <w:rFonts w:ascii="Book Antiqua" w:hAnsi="Book Antiqua" w:cs="Arial"/>
        </w:rPr>
        <w:t>in order to</w:t>
      </w:r>
      <w:proofErr w:type="gramEnd"/>
      <w:r>
        <w:rPr>
          <w:rFonts w:ascii="Book Antiqua" w:hAnsi="Book Antiqua" w:cs="Arial"/>
        </w:rPr>
        <w:t xml:space="preserve"> be present at the hearing.  </w:t>
      </w:r>
      <w:proofErr w:type="gramStart"/>
      <w:r>
        <w:rPr>
          <w:rFonts w:ascii="Book Antiqua" w:hAnsi="Book Antiqua" w:cs="Arial"/>
        </w:rPr>
        <w:t>So</w:t>
      </w:r>
      <w:proofErr w:type="gramEnd"/>
      <w:r>
        <w:rPr>
          <w:rFonts w:ascii="Book Antiqua" w:hAnsi="Book Antiqua" w:cs="Arial"/>
        </w:rPr>
        <w:t xml:space="preserve"> when Judge Holmes referred in his grant of permission</w:t>
      </w:r>
      <w:r w:rsidR="00607258">
        <w:rPr>
          <w:rFonts w:ascii="Book Antiqua" w:hAnsi="Book Antiqua" w:cs="Arial"/>
        </w:rPr>
        <w:t xml:space="preserve"> to</w:t>
      </w:r>
      <w:r>
        <w:rPr>
          <w:rFonts w:ascii="Book Antiqua" w:hAnsi="Book Antiqua" w:cs="Arial"/>
        </w:rPr>
        <w:t xml:space="preserve"> the judge </w:t>
      </w:r>
      <w:r w:rsidR="00103611">
        <w:rPr>
          <w:rFonts w:ascii="Book Antiqua" w:hAnsi="Book Antiqua" w:cs="Arial"/>
        </w:rPr>
        <w:t>appearing</w:t>
      </w:r>
      <w:r>
        <w:rPr>
          <w:rFonts w:ascii="Book Antiqua" w:hAnsi="Book Antiqua" w:cs="Arial"/>
        </w:rPr>
        <w:t xml:space="preserve"> to believe </w:t>
      </w:r>
      <w:r w:rsidR="00B47487">
        <w:rPr>
          <w:rFonts w:ascii="Book Antiqua" w:hAnsi="Book Antiqua" w:cs="Arial"/>
        </w:rPr>
        <w:t>that a “second” application was needed, that is not what the judge in fact decided.  What the judge found</w:t>
      </w:r>
      <w:r w:rsidR="00607258">
        <w:rPr>
          <w:rFonts w:ascii="Book Antiqua" w:hAnsi="Book Antiqua" w:cs="Arial"/>
        </w:rPr>
        <w:t xml:space="preserve"> </w:t>
      </w:r>
      <w:r w:rsidR="00B47487">
        <w:rPr>
          <w:rFonts w:ascii="Book Antiqua" w:hAnsi="Book Antiqua" w:cs="Arial"/>
        </w:rPr>
        <w:t>was that no application had been made</w:t>
      </w:r>
      <w:r w:rsidR="00607258">
        <w:rPr>
          <w:rFonts w:ascii="Book Antiqua" w:hAnsi="Book Antiqua" w:cs="Arial"/>
        </w:rPr>
        <w:t>, which</w:t>
      </w:r>
      <w:r w:rsidR="00B47487">
        <w:rPr>
          <w:rFonts w:ascii="Book Antiqua" w:hAnsi="Book Antiqua" w:cs="Arial"/>
        </w:rPr>
        <w:t xml:space="preserve"> appears to be </w:t>
      </w:r>
      <w:r w:rsidR="00607258">
        <w:rPr>
          <w:rFonts w:ascii="Book Antiqua" w:hAnsi="Book Antiqua" w:cs="Arial"/>
        </w:rPr>
        <w:t>correct</w:t>
      </w:r>
      <w:r w:rsidR="00B47487">
        <w:rPr>
          <w:rFonts w:ascii="Book Antiqua" w:hAnsi="Book Antiqua" w:cs="Arial"/>
        </w:rPr>
        <w:t xml:space="preserve">.  In these circumstances there </w:t>
      </w:r>
      <w:r w:rsidR="00607258">
        <w:rPr>
          <w:rFonts w:ascii="Book Antiqua" w:hAnsi="Book Antiqua" w:cs="Arial"/>
        </w:rPr>
        <w:t>wa</w:t>
      </w:r>
      <w:r w:rsidR="00B47487">
        <w:rPr>
          <w:rFonts w:ascii="Book Antiqua" w:hAnsi="Book Antiqua" w:cs="Arial"/>
        </w:rPr>
        <w:t>s no procedural irregularity in the Tribunal going ahead and hearing the appeal in the absence of the appellant.  He had</w:t>
      </w:r>
      <w:r w:rsidR="00607258">
        <w:rPr>
          <w:rFonts w:ascii="Book Antiqua" w:hAnsi="Book Antiqua" w:cs="Arial"/>
        </w:rPr>
        <w:t xml:space="preserve"> had</w:t>
      </w:r>
      <w:r w:rsidR="00B47487">
        <w:rPr>
          <w:rFonts w:ascii="Book Antiqua" w:hAnsi="Book Antiqua" w:cs="Arial"/>
        </w:rPr>
        <w:t xml:space="preserve"> </w:t>
      </w:r>
      <w:r w:rsidR="00607258">
        <w:rPr>
          <w:rFonts w:ascii="Book Antiqua" w:hAnsi="Book Antiqua" w:cs="Arial"/>
        </w:rPr>
        <w:t>the right to</w:t>
      </w:r>
      <w:r w:rsidR="007F3296">
        <w:rPr>
          <w:rFonts w:ascii="Book Antiqua" w:hAnsi="Book Antiqua" w:cs="Arial"/>
        </w:rPr>
        <w:t xml:space="preserve"> mak</w:t>
      </w:r>
      <w:r w:rsidR="00607258">
        <w:rPr>
          <w:rFonts w:ascii="Book Antiqua" w:hAnsi="Book Antiqua" w:cs="Arial"/>
        </w:rPr>
        <w:t>e</w:t>
      </w:r>
      <w:r w:rsidR="007F3296">
        <w:rPr>
          <w:rFonts w:ascii="Book Antiqua" w:hAnsi="Book Antiqua" w:cs="Arial"/>
        </w:rPr>
        <w:t xml:space="preserve"> an application under what is now Regulation 41(2) to be present at this hearing</w:t>
      </w:r>
      <w:r w:rsidR="00607258">
        <w:rPr>
          <w:rFonts w:ascii="Book Antiqua" w:hAnsi="Book Antiqua" w:cs="Arial"/>
        </w:rPr>
        <w:t xml:space="preserve"> but did </w:t>
      </w:r>
      <w:r w:rsidR="007F3296">
        <w:rPr>
          <w:rFonts w:ascii="Book Antiqua" w:hAnsi="Book Antiqua" w:cs="Arial"/>
        </w:rPr>
        <w:t>not ma</w:t>
      </w:r>
      <w:r w:rsidR="00607258">
        <w:rPr>
          <w:rFonts w:ascii="Book Antiqua" w:hAnsi="Book Antiqua" w:cs="Arial"/>
        </w:rPr>
        <w:t>k</w:t>
      </w:r>
      <w:r w:rsidR="007F3296">
        <w:rPr>
          <w:rFonts w:ascii="Book Antiqua" w:hAnsi="Book Antiqua" w:cs="Arial"/>
        </w:rPr>
        <w:t xml:space="preserve">e such an application, and indeed he did not make an application prior to this hearing either, and so in these circumstances the respondent did not “refuse” such an application, because it had never been made.  </w:t>
      </w:r>
    </w:p>
    <w:p w:rsidR="00205816" w:rsidRDefault="007F3296"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The other ground which Judge Holmes considered was arguable was that the appellant might have acquired the right of permanent residence in which case (and Judge Holmes was correct at least in considering what the consequence would be if this was so) the judge would have considered the appeal on the wrong basis.  </w:t>
      </w:r>
      <w:r w:rsidR="00103611">
        <w:rPr>
          <w:rFonts w:ascii="Book Antiqua" w:hAnsi="Book Antiqua" w:cs="Arial"/>
        </w:rPr>
        <w:t>Certainly</w:t>
      </w:r>
      <w:r>
        <w:rPr>
          <w:rFonts w:ascii="Book Antiqua" w:hAnsi="Book Antiqua" w:cs="Arial"/>
        </w:rPr>
        <w:t xml:space="preserve">, if the appellant had been entitled to permanent residence in this country then serious reasons would have been required to show that there was a serious threat to public order (quite what difference this makes is not a matter which I need to </w:t>
      </w:r>
      <w:r>
        <w:rPr>
          <w:rFonts w:ascii="Book Antiqua" w:hAnsi="Book Antiqua" w:cs="Arial"/>
        </w:rPr>
        <w:lastRenderedPageBreak/>
        <w:t xml:space="preserve">consider for the purposes of this hearing).  </w:t>
      </w:r>
      <w:r w:rsidR="00537591">
        <w:rPr>
          <w:rFonts w:ascii="Book Antiqua" w:hAnsi="Book Antiqua" w:cs="Arial"/>
        </w:rPr>
        <w:t>T</w:t>
      </w:r>
      <w:r>
        <w:rPr>
          <w:rFonts w:ascii="Book Antiqua" w:hAnsi="Book Antiqua" w:cs="Arial"/>
        </w:rPr>
        <w:t xml:space="preserve">he judge did consider </w:t>
      </w:r>
      <w:proofErr w:type="gramStart"/>
      <w:r>
        <w:rPr>
          <w:rFonts w:ascii="Book Antiqua" w:hAnsi="Book Antiqua" w:cs="Arial"/>
        </w:rPr>
        <w:t>whether or not</w:t>
      </w:r>
      <w:proofErr w:type="gramEnd"/>
      <w:r>
        <w:rPr>
          <w:rFonts w:ascii="Book Antiqua" w:hAnsi="Book Antiqua" w:cs="Arial"/>
        </w:rPr>
        <w:t xml:space="preserve"> this was the case but decided that the appellant had not established that he had permanent residence for two reasons.  The first is set out at paragraph 11 of the First-tier Tribunal decision and is as follows:</w:t>
      </w:r>
    </w:p>
    <w:p w:rsidR="007F3296" w:rsidRDefault="007F3296" w:rsidP="007F3296">
      <w:pPr>
        <w:spacing w:before="240"/>
        <w:ind w:left="1701" w:hanging="567"/>
        <w:jc w:val="both"/>
        <w:rPr>
          <w:rFonts w:ascii="Book Antiqua" w:hAnsi="Book Antiqua" w:cs="Arial"/>
        </w:rPr>
      </w:pPr>
      <w:r>
        <w:rPr>
          <w:rFonts w:ascii="Book Antiqua" w:hAnsi="Book Antiqua" w:cs="Arial"/>
        </w:rPr>
        <w:t>“11.</w:t>
      </w:r>
      <w:r>
        <w:rPr>
          <w:rFonts w:ascii="Book Antiqua" w:hAnsi="Book Antiqua" w:cs="Arial"/>
        </w:rPr>
        <w:tab/>
        <w:t xml:space="preserve">The documents in the Tribunal file show that the Appellant’s father was issued with a State Worker Registration Card on 3 November 2010.  Various documents show that he worked here between 2014 and 2016.  He was registered as a jobseeker in January 2012 </w:t>
      </w:r>
      <w:proofErr w:type="gramStart"/>
      <w:r>
        <w:rPr>
          <w:rFonts w:ascii="Book Antiqua" w:hAnsi="Book Antiqua" w:cs="Arial"/>
        </w:rPr>
        <w:t>and also</w:t>
      </w:r>
      <w:proofErr w:type="gramEnd"/>
      <w:r>
        <w:rPr>
          <w:rFonts w:ascii="Book Antiqua" w:hAnsi="Book Antiqua" w:cs="Arial"/>
        </w:rPr>
        <w:t xml:space="preserve"> in April 2013.  There are no documents to show what the Appellant’s father was doing between 2010 and 2012.  There is no evidence from any of the schools the Appellant has ever attended.”</w:t>
      </w:r>
    </w:p>
    <w:p w:rsidR="007F3296" w:rsidRDefault="008F3C2D"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In other words, the appellant had not put evidence before the Tribunal capable of establishing that he had been in his father’s household for a continuous period of five years while his father was exercising treaty rights, </w:t>
      </w:r>
      <w:r w:rsidR="002D5911">
        <w:rPr>
          <w:rFonts w:ascii="Book Antiqua" w:hAnsi="Book Antiqua" w:cs="Arial"/>
        </w:rPr>
        <w:t xml:space="preserve">because there were no documents to show that the father had been exercising treaty rights between 2010 and 2012.  </w:t>
      </w:r>
      <w:proofErr w:type="gramStart"/>
      <w:r w:rsidR="002D5911">
        <w:rPr>
          <w:rFonts w:ascii="Book Antiqua" w:hAnsi="Book Antiqua" w:cs="Arial"/>
        </w:rPr>
        <w:t>Whether or not</w:t>
      </w:r>
      <w:proofErr w:type="gramEnd"/>
      <w:r w:rsidR="002D5911">
        <w:rPr>
          <w:rFonts w:ascii="Book Antiqua" w:hAnsi="Book Antiqua" w:cs="Arial"/>
        </w:rPr>
        <w:t xml:space="preserve"> I would now be in a position to find that the appellant’s father had in fact been exercising treaty rights is not to the point; what this Tribunal now has to consider is whether the judge’s finding that the appellant has not established this is sustainable on the material before the judge at the time of the hearing.  </w:t>
      </w:r>
      <w:r w:rsidR="00103611">
        <w:rPr>
          <w:rFonts w:ascii="Book Antiqua" w:hAnsi="Book Antiqua" w:cs="Arial"/>
        </w:rPr>
        <w:t>Clearly</w:t>
      </w:r>
      <w:r w:rsidR="002D5911">
        <w:rPr>
          <w:rFonts w:ascii="Book Antiqua" w:hAnsi="Book Antiqua" w:cs="Arial"/>
        </w:rPr>
        <w:t xml:space="preserve"> in my judgement the judge was entitled to make this finding, because there was a lack of evidence.  There is no reason why this evidence could not have been put before the judge at the time of the hearing and there was no procedural irregularity in the judge considering the </w:t>
      </w:r>
      <w:r w:rsidR="008C733C">
        <w:rPr>
          <w:rFonts w:ascii="Book Antiqua" w:hAnsi="Book Antiqua" w:cs="Arial"/>
        </w:rPr>
        <w:t xml:space="preserve">appeal </w:t>
      </w:r>
      <w:proofErr w:type="gramStart"/>
      <w:r w:rsidR="008C733C">
        <w:rPr>
          <w:rFonts w:ascii="Book Antiqua" w:hAnsi="Book Antiqua" w:cs="Arial"/>
        </w:rPr>
        <w:t>on the basis of</w:t>
      </w:r>
      <w:proofErr w:type="gramEnd"/>
      <w:r w:rsidR="008C733C">
        <w:rPr>
          <w:rFonts w:ascii="Book Antiqua" w:hAnsi="Book Antiqua" w:cs="Arial"/>
        </w:rPr>
        <w:t xml:space="preserve"> the </w:t>
      </w:r>
      <w:r w:rsidR="002D5911">
        <w:rPr>
          <w:rFonts w:ascii="Book Antiqua" w:hAnsi="Book Antiqua" w:cs="Arial"/>
        </w:rPr>
        <w:t xml:space="preserve">evidence which </w:t>
      </w:r>
      <w:r w:rsidR="008C733C">
        <w:rPr>
          <w:rFonts w:ascii="Book Antiqua" w:hAnsi="Book Antiqua" w:cs="Arial"/>
        </w:rPr>
        <w:t>was then before her</w:t>
      </w:r>
      <w:r w:rsidR="002D5911">
        <w:rPr>
          <w:rFonts w:ascii="Book Antiqua" w:hAnsi="Book Antiqua" w:cs="Arial"/>
        </w:rPr>
        <w:t xml:space="preserve">.  </w:t>
      </w:r>
    </w:p>
    <w:p w:rsidR="002D5911" w:rsidRDefault="002D5911" w:rsidP="00286B23">
      <w:pPr>
        <w:numPr>
          <w:ilvl w:val="0"/>
          <w:numId w:val="1"/>
        </w:numPr>
        <w:tabs>
          <w:tab w:val="clear" w:pos="567"/>
        </w:tabs>
        <w:spacing w:before="240"/>
        <w:jc w:val="both"/>
        <w:rPr>
          <w:rFonts w:ascii="Book Antiqua" w:hAnsi="Book Antiqua" w:cs="Arial"/>
        </w:rPr>
      </w:pPr>
      <w:r>
        <w:rPr>
          <w:rFonts w:ascii="Book Antiqua" w:hAnsi="Book Antiqua" w:cs="Arial"/>
        </w:rPr>
        <w:t>This aspect of the case does not end there either, because when setting out the “established facts” Judge Kaler from paragraphs 27 onwards, found as follows:</w:t>
      </w:r>
    </w:p>
    <w:p w:rsidR="002D5911" w:rsidRDefault="002D5911" w:rsidP="002D5911">
      <w:pPr>
        <w:spacing w:before="240"/>
        <w:ind w:left="1701" w:hanging="567"/>
        <w:jc w:val="both"/>
        <w:rPr>
          <w:rFonts w:ascii="Book Antiqua" w:hAnsi="Book Antiqua" w:cs="Arial"/>
        </w:rPr>
      </w:pPr>
      <w:r>
        <w:rPr>
          <w:rFonts w:ascii="Book Antiqua" w:hAnsi="Book Antiqua" w:cs="Arial"/>
        </w:rPr>
        <w:t>“27.</w:t>
      </w:r>
      <w:r>
        <w:rPr>
          <w:rFonts w:ascii="Book Antiqua" w:hAnsi="Book Antiqua" w:cs="Arial"/>
        </w:rPr>
        <w:tab/>
      </w:r>
      <w:r w:rsidR="00423F54">
        <w:rPr>
          <w:rFonts w:ascii="Book Antiqua" w:hAnsi="Book Antiqua" w:cs="Arial"/>
        </w:rPr>
        <w:t xml:space="preserve">The Appellant has not satisfied me that he has been here since the age of 12. His offending history tells me that he has been here since 2012.  I accept he first entered the </w:t>
      </w:r>
      <w:smartTag w:uri="urn:schemas-microsoft-com:office:smarttags" w:element="place">
        <w:smartTag w:uri="urn:schemas-microsoft-com:office:smarttags" w:element="country-region">
          <w:r w:rsidR="00423F54">
            <w:rPr>
              <w:rFonts w:ascii="Book Antiqua" w:hAnsi="Book Antiqua" w:cs="Arial"/>
            </w:rPr>
            <w:t>UK</w:t>
          </w:r>
        </w:smartTag>
      </w:smartTag>
      <w:r w:rsidR="00423F54">
        <w:rPr>
          <w:rFonts w:ascii="Book Antiqua" w:hAnsi="Book Antiqua" w:cs="Arial"/>
        </w:rPr>
        <w:t xml:space="preserve"> in or about 2012 when he was 14 years old.  He was 18 years old when the deportation order was made so he had been in the </w:t>
      </w:r>
      <w:smartTag w:uri="urn:schemas-microsoft-com:office:smarttags" w:element="place">
        <w:smartTag w:uri="urn:schemas-microsoft-com:office:smarttags" w:element="country-region">
          <w:r w:rsidR="00423F54">
            <w:rPr>
              <w:rFonts w:ascii="Book Antiqua" w:hAnsi="Book Antiqua" w:cs="Arial"/>
            </w:rPr>
            <w:t>UK</w:t>
          </w:r>
        </w:smartTag>
      </w:smartTag>
      <w:r w:rsidR="00423F54">
        <w:rPr>
          <w:rFonts w:ascii="Book Antiqua" w:hAnsi="Book Antiqua" w:cs="Arial"/>
        </w:rPr>
        <w:t xml:space="preserve"> for at least 4 years.  He has not established 5 years residence.</w:t>
      </w:r>
    </w:p>
    <w:p w:rsidR="00423F54" w:rsidRDefault="00423F54" w:rsidP="002D5911">
      <w:pPr>
        <w:spacing w:before="240"/>
        <w:ind w:left="1701" w:hanging="567"/>
        <w:jc w:val="both"/>
        <w:rPr>
          <w:rFonts w:ascii="Book Antiqua" w:hAnsi="Book Antiqua" w:cs="Arial"/>
        </w:rPr>
      </w:pPr>
      <w:r>
        <w:rPr>
          <w:rFonts w:ascii="Book Antiqua" w:hAnsi="Book Antiqua" w:cs="Arial"/>
        </w:rPr>
        <w:t>28.</w:t>
      </w:r>
      <w:r>
        <w:rPr>
          <w:rFonts w:ascii="Book Antiqua" w:hAnsi="Book Antiqua" w:cs="Arial"/>
        </w:rPr>
        <w:tab/>
        <w:t xml:space="preserve">The documents satisfy me that the Appellant’s father was exercising treaty rights at some stage, but only from January 2012 at the earliest.  He was registered a worker before then but there is no evidence that he was </w:t>
      </w:r>
      <w:proofErr w:type="gramStart"/>
      <w:r>
        <w:rPr>
          <w:rFonts w:ascii="Book Antiqua" w:hAnsi="Book Antiqua" w:cs="Arial"/>
        </w:rPr>
        <w:t>actually working</w:t>
      </w:r>
      <w:proofErr w:type="gramEnd"/>
      <w:r>
        <w:rPr>
          <w:rFonts w:ascii="Book Antiqua" w:hAnsi="Book Antiqua" w:cs="Arial"/>
        </w:rPr>
        <w:t xml:space="preserve">.  The deportation order was made in September 2016.  On this evidence, I am not satisfied that the Appellant’s father was in fact exercising treaty rights for a continuous period of five years prior to the making of the deportation order.  </w:t>
      </w:r>
    </w:p>
    <w:p w:rsidR="00423F54" w:rsidRDefault="00423F54" w:rsidP="002D5911">
      <w:pPr>
        <w:spacing w:before="240"/>
        <w:ind w:left="1701" w:hanging="567"/>
        <w:jc w:val="both"/>
        <w:rPr>
          <w:rFonts w:ascii="Book Antiqua" w:hAnsi="Book Antiqua" w:cs="Arial"/>
        </w:rPr>
      </w:pPr>
      <w:r>
        <w:rPr>
          <w:rFonts w:ascii="Book Antiqua" w:hAnsi="Book Antiqua" w:cs="Arial"/>
        </w:rPr>
        <w:t>29.</w:t>
      </w:r>
      <w:r>
        <w:rPr>
          <w:rFonts w:ascii="Book Antiqua" w:hAnsi="Book Antiqua" w:cs="Arial"/>
        </w:rPr>
        <w:tab/>
        <w:t xml:space="preserve">There is no evidence that the Appellant was attending school or accessing </w:t>
      </w:r>
      <w:r w:rsidR="00103611">
        <w:rPr>
          <w:rFonts w:ascii="Book Antiqua" w:hAnsi="Book Antiqua" w:cs="Arial"/>
        </w:rPr>
        <w:t>education</w:t>
      </w:r>
      <w:r>
        <w:rPr>
          <w:rFonts w:ascii="Book Antiqua" w:hAnsi="Book Antiqua" w:cs="Arial"/>
        </w:rPr>
        <w:t xml:space="preserve"> for a </w:t>
      </w:r>
      <w:proofErr w:type="gramStart"/>
      <w:r>
        <w:rPr>
          <w:rFonts w:ascii="Book Antiqua" w:hAnsi="Book Antiqua" w:cs="Arial"/>
        </w:rPr>
        <w:t>five year</w:t>
      </w:r>
      <w:proofErr w:type="gramEnd"/>
      <w:r>
        <w:rPr>
          <w:rFonts w:ascii="Book Antiqua" w:hAnsi="Book Antiqua" w:cs="Arial"/>
        </w:rPr>
        <w:t xml:space="preserve"> period.  There is no evidence of the Appellant’s entry into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w:t>
      </w:r>
    </w:p>
    <w:p w:rsidR="00423F54" w:rsidRDefault="00423F54" w:rsidP="002D5911">
      <w:pPr>
        <w:spacing w:before="240"/>
        <w:ind w:left="1701" w:hanging="567"/>
        <w:jc w:val="both"/>
        <w:rPr>
          <w:rFonts w:ascii="Book Antiqua" w:hAnsi="Book Antiqua" w:cs="Arial"/>
        </w:rPr>
      </w:pPr>
      <w:r>
        <w:rPr>
          <w:rFonts w:ascii="Book Antiqua" w:hAnsi="Book Antiqua" w:cs="Arial"/>
        </w:rPr>
        <w:t>...”.</w:t>
      </w:r>
    </w:p>
    <w:p w:rsidR="002D5911" w:rsidRDefault="00423F54" w:rsidP="00286B23">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Essentially for these reasons, at paragraph 31 Judge Kaler found that “I am not satisfied that the Appellant has achieved permanent residence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He is not entitled to the added protection of Regulation 21(3)”.  </w:t>
      </w:r>
    </w:p>
    <w:p w:rsidR="00423F54" w:rsidRDefault="00423F54" w:rsidP="00286B23">
      <w:pPr>
        <w:numPr>
          <w:ilvl w:val="0"/>
          <w:numId w:val="1"/>
        </w:numPr>
        <w:tabs>
          <w:tab w:val="clear" w:pos="567"/>
        </w:tabs>
        <w:spacing w:before="240"/>
        <w:jc w:val="both"/>
        <w:rPr>
          <w:rFonts w:ascii="Book Antiqua" w:hAnsi="Book Antiqua" w:cs="Arial"/>
        </w:rPr>
      </w:pPr>
      <w:r>
        <w:rPr>
          <w:rFonts w:ascii="Book Antiqua" w:hAnsi="Book Antiqua" w:cs="Arial"/>
        </w:rPr>
        <w:t>In other words, not only ha</w:t>
      </w:r>
      <w:r w:rsidR="00537591">
        <w:rPr>
          <w:rFonts w:ascii="Book Antiqua" w:hAnsi="Book Antiqua" w:cs="Arial"/>
        </w:rPr>
        <w:t>d</w:t>
      </w:r>
      <w:r>
        <w:rPr>
          <w:rFonts w:ascii="Book Antiqua" w:hAnsi="Book Antiqua" w:cs="Arial"/>
        </w:rPr>
        <w:t xml:space="preserve"> the appellant not established that his father had been exercising treaty rights for a </w:t>
      </w:r>
      <w:proofErr w:type="gramStart"/>
      <w:r>
        <w:rPr>
          <w:rFonts w:ascii="Book Antiqua" w:hAnsi="Book Antiqua" w:cs="Arial"/>
        </w:rPr>
        <w:t>five year</w:t>
      </w:r>
      <w:proofErr w:type="gramEnd"/>
      <w:r>
        <w:rPr>
          <w:rFonts w:ascii="Book Antiqua" w:hAnsi="Book Antiqua" w:cs="Arial"/>
        </w:rPr>
        <w:t xml:space="preserve"> continuous period but he had not established either that he had been in that household for the requisite period.</w:t>
      </w:r>
    </w:p>
    <w:p w:rsidR="00423F54" w:rsidRDefault="00423F54" w:rsidP="00286B23">
      <w:pPr>
        <w:numPr>
          <w:ilvl w:val="0"/>
          <w:numId w:val="1"/>
        </w:numPr>
        <w:tabs>
          <w:tab w:val="clear" w:pos="567"/>
        </w:tabs>
        <w:spacing w:before="240"/>
        <w:jc w:val="both"/>
        <w:rPr>
          <w:rFonts w:ascii="Book Antiqua" w:hAnsi="Book Antiqua" w:cs="Arial"/>
        </w:rPr>
      </w:pPr>
      <w:proofErr w:type="gramStart"/>
      <w:r>
        <w:rPr>
          <w:rFonts w:ascii="Book Antiqua" w:hAnsi="Book Antiqua" w:cs="Arial"/>
        </w:rPr>
        <w:t>Again</w:t>
      </w:r>
      <w:proofErr w:type="gramEnd"/>
      <w:r>
        <w:rPr>
          <w:rFonts w:ascii="Book Antiqua" w:hAnsi="Book Antiqua" w:cs="Arial"/>
        </w:rPr>
        <w:t xml:space="preserve"> on the material before the judge the judge was entitled to reach these conclusions.  </w:t>
      </w:r>
    </w:p>
    <w:p w:rsidR="00423F54" w:rsidRDefault="00423F54"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It follows that neither of the reasons which were given by Judge Holmes for granting permission are in the event arguable and there is no other basis either on which Judge Kaler’s decision can be impugned.  This was a careful decision </w:t>
      </w:r>
      <w:r w:rsidR="009B45B0">
        <w:rPr>
          <w:rFonts w:ascii="Book Antiqua" w:hAnsi="Book Antiqua" w:cs="Arial"/>
        </w:rPr>
        <w:t>which</w:t>
      </w:r>
      <w:r>
        <w:rPr>
          <w:rFonts w:ascii="Book Antiqua" w:hAnsi="Book Antiqua" w:cs="Arial"/>
        </w:rPr>
        <w:t xml:space="preserve"> is fully reasoned and is sustainable.</w:t>
      </w:r>
    </w:p>
    <w:p w:rsidR="00423F54" w:rsidRDefault="00423F54" w:rsidP="00286B23">
      <w:pPr>
        <w:numPr>
          <w:ilvl w:val="0"/>
          <w:numId w:val="1"/>
        </w:numPr>
        <w:tabs>
          <w:tab w:val="clear" w:pos="567"/>
        </w:tabs>
        <w:spacing w:before="240"/>
        <w:jc w:val="both"/>
        <w:rPr>
          <w:rFonts w:ascii="Book Antiqua" w:hAnsi="Book Antiqua" w:cs="Arial"/>
        </w:rPr>
      </w:pPr>
      <w:r>
        <w:rPr>
          <w:rFonts w:ascii="Book Antiqua" w:hAnsi="Book Antiqua" w:cs="Arial"/>
        </w:rPr>
        <w:t xml:space="preserve">It follows that there being no material error of law within Judge Kaler’s decision, the appellant’s appeal must be dismissed and I so order.  </w:t>
      </w:r>
    </w:p>
    <w:p w:rsidR="008859AF" w:rsidRDefault="008859AF" w:rsidP="00423F54">
      <w:pPr>
        <w:spacing w:before="240"/>
        <w:jc w:val="both"/>
        <w:rPr>
          <w:rFonts w:ascii="Book Antiqua" w:hAnsi="Book Antiqua" w:cs="Arial"/>
          <w:b/>
          <w:u w:val="single"/>
        </w:rPr>
      </w:pPr>
    </w:p>
    <w:p w:rsidR="00423F54" w:rsidRPr="00423F54" w:rsidRDefault="00423F54" w:rsidP="00423F54">
      <w:pPr>
        <w:spacing w:before="240"/>
        <w:jc w:val="both"/>
        <w:rPr>
          <w:rFonts w:ascii="Book Antiqua" w:hAnsi="Book Antiqua" w:cs="Arial"/>
          <w:b/>
          <w:u w:val="single"/>
        </w:rPr>
      </w:pPr>
      <w:bookmarkStart w:id="0" w:name="_GoBack"/>
      <w:bookmarkEnd w:id="0"/>
      <w:r w:rsidRPr="00423F54">
        <w:rPr>
          <w:rFonts w:ascii="Book Antiqua" w:hAnsi="Book Antiqua" w:cs="Arial"/>
          <w:b/>
          <w:u w:val="single"/>
        </w:rPr>
        <w:t xml:space="preserve">Decision </w:t>
      </w:r>
    </w:p>
    <w:p w:rsidR="00423F54" w:rsidRPr="00423F54" w:rsidRDefault="00423F54" w:rsidP="00423F54">
      <w:pPr>
        <w:spacing w:before="240"/>
        <w:jc w:val="both"/>
        <w:rPr>
          <w:rFonts w:ascii="Book Antiqua" w:hAnsi="Book Antiqua" w:cs="Arial"/>
          <w:b/>
        </w:rPr>
      </w:pPr>
      <w:r>
        <w:rPr>
          <w:rFonts w:ascii="Book Antiqua" w:hAnsi="Book Antiqua" w:cs="Arial"/>
          <w:b/>
        </w:rPr>
        <w:t>There being no material error of law in the decision of the First-tier Tribunal, the appellant’s appeal is dismissed.</w:t>
      </w:r>
    </w:p>
    <w:p w:rsidR="00D949B7" w:rsidRDefault="00D949B7" w:rsidP="00D949B7">
      <w:pPr>
        <w:jc w:val="both"/>
        <w:rPr>
          <w:rFonts w:ascii="Book Antiqua" w:hAnsi="Book Antiqua" w:cs="Arial"/>
        </w:rPr>
      </w:pPr>
    </w:p>
    <w:p w:rsidR="00423F54" w:rsidRPr="00D949B7" w:rsidRDefault="00423F54" w:rsidP="00D949B7">
      <w:pPr>
        <w:jc w:val="both"/>
        <w:rPr>
          <w:rFonts w:ascii="Book Antiqua" w:hAnsi="Book Antiqua" w:cs="Arial"/>
        </w:rPr>
      </w:pPr>
    </w:p>
    <w:p w:rsidR="00C659D4" w:rsidRPr="00D6134E" w:rsidRDefault="00C659D4" w:rsidP="00C659D4">
      <w:pPr>
        <w:jc w:val="both"/>
        <w:rPr>
          <w:rFonts w:ascii="Book Antiqua" w:hAnsi="Book Antiqua" w:cs="Arial"/>
        </w:rPr>
      </w:pPr>
      <w:r w:rsidRPr="00D6134E">
        <w:rPr>
          <w:rFonts w:ascii="Book Antiqua" w:hAnsi="Book Antiqua" w:cs="Arial"/>
          <w:b/>
          <w:u w:val="single"/>
        </w:rPr>
        <w:t>Direction Regarding Anonymity – Rule 14 of the Tribunal Procedure (Upper Tribunal) Rules 2008</w:t>
      </w:r>
    </w:p>
    <w:p w:rsidR="00C659D4" w:rsidRPr="00D6134E" w:rsidRDefault="00C659D4" w:rsidP="00C659D4">
      <w:pPr>
        <w:jc w:val="both"/>
        <w:rPr>
          <w:rFonts w:ascii="Book Antiqua" w:hAnsi="Book Antiqua" w:cs="Arial"/>
        </w:rPr>
      </w:pPr>
    </w:p>
    <w:p w:rsidR="00C659D4" w:rsidRPr="00687601" w:rsidRDefault="00C659D4" w:rsidP="00C659D4">
      <w:pPr>
        <w:jc w:val="both"/>
        <w:rPr>
          <w:rFonts w:ascii="Book Antiqua" w:hAnsi="Book Antiqua" w:cs="Arial"/>
        </w:rPr>
      </w:pPr>
      <w:r w:rsidRPr="00D6134E">
        <w:rPr>
          <w:rFonts w:ascii="Book Antiqua" w:hAnsi="Book Antiqua" w:cs="Arial"/>
        </w:rPr>
        <w:t xml:space="preserve">Unless and </w:t>
      </w:r>
      <w:r w:rsidRPr="00D6134E">
        <w:rPr>
          <w:rFonts w:ascii="Book Antiqua" w:hAnsi="Book Antiqua"/>
        </w:rPr>
        <w:t>until a Tribunal o</w:t>
      </w:r>
      <w:r>
        <w:rPr>
          <w:rFonts w:ascii="Book Antiqua" w:hAnsi="Book Antiqua"/>
        </w:rPr>
        <w:t>r court directs otherwise, the a</w:t>
      </w:r>
      <w:r w:rsidRPr="00D6134E">
        <w:rPr>
          <w:rFonts w:ascii="Book Antiqua" w:hAnsi="Book Antiqua"/>
        </w:rPr>
        <w:t xml:space="preserve">ppellant is granted anonymity.  No report of these proceedings shall directly or indirectly identify him or any member of </w:t>
      </w:r>
      <w:r w:rsidR="00423F54">
        <w:rPr>
          <w:rFonts w:ascii="Book Antiqua" w:hAnsi="Book Antiqua"/>
        </w:rPr>
        <w:t>his</w:t>
      </w:r>
      <w:r w:rsidRPr="00D6134E">
        <w:rPr>
          <w:rFonts w:ascii="Book Antiqua" w:hAnsi="Book Antiqua"/>
        </w:rPr>
        <w:t xml:space="preserve"> family.  This</w:t>
      </w:r>
      <w:r>
        <w:rPr>
          <w:rFonts w:ascii="Book Antiqua" w:hAnsi="Book Antiqua"/>
        </w:rPr>
        <w:t xml:space="preserve"> direction applies both to the appellant and to the r</w:t>
      </w:r>
      <w:r w:rsidRPr="00D6134E">
        <w:rPr>
          <w:rFonts w:ascii="Book Antiqua" w:hAnsi="Book Antiqua"/>
        </w:rPr>
        <w:t>espondent.  Failure to comply with this direction could lead to contempt of court proceedings.</w:t>
      </w:r>
    </w:p>
    <w:p w:rsidR="00C659D4" w:rsidRPr="001C5703" w:rsidRDefault="00C659D4" w:rsidP="00C659D4">
      <w:pPr>
        <w:ind w:left="540" w:hanging="540"/>
        <w:jc w:val="both"/>
        <w:rPr>
          <w:rFonts w:ascii="Book Antiqua" w:hAnsi="Book Antiqua" w:cs="Arial"/>
        </w:rPr>
      </w:pPr>
    </w:p>
    <w:p w:rsidR="008859AF" w:rsidRDefault="008859AF" w:rsidP="00C659D4">
      <w:pPr>
        <w:jc w:val="both"/>
        <w:rPr>
          <w:rFonts w:ascii="Book Antiqua" w:hAnsi="Book Antiqua"/>
        </w:rPr>
      </w:pPr>
    </w:p>
    <w:p w:rsidR="008859AF" w:rsidRDefault="008859AF" w:rsidP="00C659D4">
      <w:pPr>
        <w:jc w:val="both"/>
        <w:rPr>
          <w:rFonts w:ascii="Book Antiqua" w:hAnsi="Book Antiqua"/>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C659D4" w:rsidP="00C659D4">
      <w:pPr>
        <w:jc w:val="both"/>
        <w:rPr>
          <w:rFonts w:ascii="Book Antiqua" w:hAnsi="Book Antiqua"/>
        </w:rPr>
      </w:pPr>
    </w:p>
    <w:p w:rsidR="00C659D4" w:rsidRPr="004A2519" w:rsidRDefault="008C1CE0" w:rsidP="00C659D4">
      <w:pPr>
        <w:ind w:left="2138" w:firstLine="22"/>
        <w:jc w:val="both"/>
        <w:rPr>
          <w:rFonts w:ascii="Book Antiqua" w:hAnsi="Book Antiqua"/>
        </w:rPr>
      </w:pPr>
      <w:r w:rsidRPr="004A2519">
        <w:rPr>
          <w:rFonts w:ascii="Book Antiqua" w:hAnsi="Book Antiqua"/>
          <w:noProof/>
        </w:rPr>
        <w:drawing>
          <wp:inline distT="0" distB="0" distL="0" distR="0">
            <wp:extent cx="3132455" cy="753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2455" cy="753745"/>
                    </a:xfrm>
                    <a:prstGeom prst="rect">
                      <a:avLst/>
                    </a:prstGeom>
                    <a:noFill/>
                    <a:ln>
                      <a:noFill/>
                    </a:ln>
                  </pic:spPr>
                </pic:pic>
              </a:graphicData>
            </a:graphic>
          </wp:inline>
        </w:drawing>
      </w:r>
    </w:p>
    <w:p w:rsidR="0074432A" w:rsidRDefault="00C659D4" w:rsidP="008859AF">
      <w:pPr>
        <w:tabs>
          <w:tab w:val="left" w:pos="7371"/>
        </w:tabs>
        <w:ind w:left="540" w:hanging="540"/>
        <w:jc w:val="both"/>
        <w:rPr>
          <w:rFonts w:ascii="Book Antiqua" w:hAnsi="Book Antiqua"/>
        </w:rPr>
      </w:pPr>
      <w:bookmarkStart w:id="1" w:name="_Hlk520665519"/>
      <w:r w:rsidRPr="004A2519">
        <w:rPr>
          <w:rFonts w:ascii="Book Antiqua" w:hAnsi="Book Antiqua"/>
        </w:rPr>
        <w:t>Upper Tribunal Judge Craig</w:t>
      </w:r>
      <w:bookmarkEnd w:id="1"/>
      <w:r>
        <w:rPr>
          <w:rFonts w:ascii="Book Antiqua" w:hAnsi="Book Antiqua"/>
        </w:rPr>
        <w:tab/>
        <w:t>Date</w:t>
      </w:r>
      <w:r w:rsidR="009B45B0">
        <w:rPr>
          <w:rFonts w:ascii="Book Antiqua" w:hAnsi="Book Antiqua"/>
        </w:rPr>
        <w:t>: 27</w:t>
      </w:r>
      <w:r w:rsidR="00423F54">
        <w:rPr>
          <w:rFonts w:ascii="Book Antiqua" w:hAnsi="Book Antiqua"/>
        </w:rPr>
        <w:t xml:space="preserve"> July 2018 </w:t>
      </w:r>
    </w:p>
    <w:p w:rsidR="008859AF" w:rsidRDefault="008859AF" w:rsidP="008859AF">
      <w:pPr>
        <w:tabs>
          <w:tab w:val="left" w:pos="7371"/>
        </w:tabs>
        <w:ind w:left="540" w:hanging="540"/>
        <w:jc w:val="both"/>
        <w:rPr>
          <w:rFonts w:ascii="Book Antiqua" w:hAnsi="Book Antiqua" w:cs="Arial"/>
        </w:rPr>
      </w:pPr>
    </w:p>
    <w:p w:rsidR="00B95326" w:rsidRPr="009B7433" w:rsidRDefault="0074432A" w:rsidP="0074432A">
      <w:pPr>
        <w:tabs>
          <w:tab w:val="left" w:pos="387"/>
        </w:tabs>
        <w:rPr>
          <w:rFonts w:ascii="Book Antiqua" w:hAnsi="Book Antiqua" w:cs="Arial"/>
        </w:rPr>
      </w:pPr>
      <w:r>
        <w:rPr>
          <w:rFonts w:ascii="Book Antiqua" w:hAnsi="Book Antiqua" w:cs="Arial"/>
        </w:rPr>
        <w:tab/>
      </w:r>
    </w:p>
    <w:sectPr w:rsidR="00B95326" w:rsidRPr="009B7433" w:rsidSect="008859AF">
      <w:headerReference w:type="default" r:id="rId10"/>
      <w:footerReference w:type="default" r:id="rId11"/>
      <w:headerReference w:type="first" r:id="rId12"/>
      <w:footerReference w:type="first" r:id="rId13"/>
      <w:pgSz w:w="11906" w:h="16838"/>
      <w:pgMar w:top="568"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A4D" w:rsidRDefault="00630A4D">
      <w:r>
        <w:separator/>
      </w:r>
    </w:p>
  </w:endnote>
  <w:endnote w:type="continuationSeparator" w:id="0">
    <w:p w:rsidR="00630A4D" w:rsidRDefault="00630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534" w:rsidRPr="00E90597" w:rsidRDefault="00040534" w:rsidP="00593795">
    <w:pPr>
      <w:pStyle w:val="Footer"/>
      <w:jc w:val="center"/>
      <w:rPr>
        <w:rFonts w:ascii="Book Antiqua" w:hAnsi="Book Antiqua" w:cs="Arial"/>
      </w:rPr>
    </w:pPr>
    <w:r w:rsidRPr="00E90597">
      <w:rPr>
        <w:rStyle w:val="PageNumber"/>
        <w:rFonts w:ascii="Book Antiqua" w:hAnsi="Book Antiqua" w:cs="Arial"/>
      </w:rPr>
      <w:fldChar w:fldCharType="begin"/>
    </w:r>
    <w:r w:rsidRPr="00E90597">
      <w:rPr>
        <w:rStyle w:val="PageNumber"/>
        <w:rFonts w:ascii="Book Antiqua" w:hAnsi="Book Antiqua" w:cs="Arial"/>
      </w:rPr>
      <w:instrText xml:space="preserve"> PAGE </w:instrText>
    </w:r>
    <w:r w:rsidRPr="00E90597">
      <w:rPr>
        <w:rStyle w:val="PageNumber"/>
        <w:rFonts w:ascii="Book Antiqua" w:hAnsi="Book Antiqua" w:cs="Arial"/>
      </w:rPr>
      <w:fldChar w:fldCharType="separate"/>
    </w:r>
    <w:r w:rsidR="001351B9">
      <w:rPr>
        <w:rStyle w:val="PageNumber"/>
        <w:rFonts w:ascii="Book Antiqua" w:hAnsi="Book Antiqua" w:cs="Arial"/>
        <w:noProof/>
      </w:rPr>
      <w:t>10</w:t>
    </w:r>
    <w:r w:rsidRPr="00E9059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534" w:rsidRPr="009B7433" w:rsidRDefault="0004053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A4D" w:rsidRDefault="00630A4D">
      <w:r>
        <w:separator/>
      </w:r>
    </w:p>
  </w:footnote>
  <w:footnote w:type="continuationSeparator" w:id="0">
    <w:p w:rsidR="00630A4D" w:rsidRDefault="00630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534" w:rsidRDefault="00040534"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4D6C32">
      <w:rPr>
        <w:rFonts w:ascii="Book Antiqua" w:hAnsi="Book Antiqua" w:cs="Arial"/>
        <w:sz w:val="16"/>
        <w:szCs w:val="16"/>
      </w:rPr>
      <w:t>DA/00513/2016</w:t>
    </w:r>
  </w:p>
  <w:p w:rsidR="00E90597" w:rsidRPr="004D6C32" w:rsidRDefault="00E9059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534" w:rsidRPr="009B7433" w:rsidRDefault="0004053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01"/>
    <w:rsid w:val="00000621"/>
    <w:rsid w:val="000036C2"/>
    <w:rsid w:val="00016C1A"/>
    <w:rsid w:val="00033588"/>
    <w:rsid w:val="00033D3D"/>
    <w:rsid w:val="00040534"/>
    <w:rsid w:val="00043AC7"/>
    <w:rsid w:val="0004776F"/>
    <w:rsid w:val="00052895"/>
    <w:rsid w:val="00062F02"/>
    <w:rsid w:val="00071A7E"/>
    <w:rsid w:val="000746C0"/>
    <w:rsid w:val="00074D1D"/>
    <w:rsid w:val="0009092F"/>
    <w:rsid w:val="00092580"/>
    <w:rsid w:val="00093D4D"/>
    <w:rsid w:val="000A0743"/>
    <w:rsid w:val="000C7976"/>
    <w:rsid w:val="000D5D94"/>
    <w:rsid w:val="000F1A0E"/>
    <w:rsid w:val="00103611"/>
    <w:rsid w:val="001165A7"/>
    <w:rsid w:val="001351B9"/>
    <w:rsid w:val="00144665"/>
    <w:rsid w:val="00154C96"/>
    <w:rsid w:val="0016508E"/>
    <w:rsid w:val="00167D3A"/>
    <w:rsid w:val="00173F50"/>
    <w:rsid w:val="00184909"/>
    <w:rsid w:val="00185986"/>
    <w:rsid w:val="00194CE2"/>
    <w:rsid w:val="001973B7"/>
    <w:rsid w:val="001A3082"/>
    <w:rsid w:val="001A53AD"/>
    <w:rsid w:val="001B186A"/>
    <w:rsid w:val="001B2F75"/>
    <w:rsid w:val="001B5FBB"/>
    <w:rsid w:val="001C6F5F"/>
    <w:rsid w:val="001D6167"/>
    <w:rsid w:val="001F2716"/>
    <w:rsid w:val="001F3AC0"/>
    <w:rsid w:val="00205816"/>
    <w:rsid w:val="00206354"/>
    <w:rsid w:val="00207617"/>
    <w:rsid w:val="00211DDE"/>
    <w:rsid w:val="0023134B"/>
    <w:rsid w:val="002817DC"/>
    <w:rsid w:val="00283659"/>
    <w:rsid w:val="00286B23"/>
    <w:rsid w:val="002C6BD4"/>
    <w:rsid w:val="002D4D50"/>
    <w:rsid w:val="002D5911"/>
    <w:rsid w:val="002D68BF"/>
    <w:rsid w:val="002E4541"/>
    <w:rsid w:val="002F6B98"/>
    <w:rsid w:val="00336CBF"/>
    <w:rsid w:val="00343FE3"/>
    <w:rsid w:val="003546C8"/>
    <w:rsid w:val="00363101"/>
    <w:rsid w:val="003825D4"/>
    <w:rsid w:val="003A7CF2"/>
    <w:rsid w:val="003C5CE5"/>
    <w:rsid w:val="003D6FAD"/>
    <w:rsid w:val="003E267B"/>
    <w:rsid w:val="003E7CD1"/>
    <w:rsid w:val="003F6628"/>
    <w:rsid w:val="00402B9E"/>
    <w:rsid w:val="00405831"/>
    <w:rsid w:val="00416E56"/>
    <w:rsid w:val="00423F54"/>
    <w:rsid w:val="004249CB"/>
    <w:rsid w:val="0044127D"/>
    <w:rsid w:val="004448DB"/>
    <w:rsid w:val="00446C9A"/>
    <w:rsid w:val="00452F2B"/>
    <w:rsid w:val="00477193"/>
    <w:rsid w:val="00492E0F"/>
    <w:rsid w:val="004A1848"/>
    <w:rsid w:val="004A2D15"/>
    <w:rsid w:val="004A534C"/>
    <w:rsid w:val="004A64F7"/>
    <w:rsid w:val="004A6F4A"/>
    <w:rsid w:val="004B70D7"/>
    <w:rsid w:val="004D6B45"/>
    <w:rsid w:val="004D6C32"/>
    <w:rsid w:val="004E4717"/>
    <w:rsid w:val="00507FEC"/>
    <w:rsid w:val="00510F0E"/>
    <w:rsid w:val="00522770"/>
    <w:rsid w:val="005243BD"/>
    <w:rsid w:val="00537591"/>
    <w:rsid w:val="005479E1"/>
    <w:rsid w:val="00553028"/>
    <w:rsid w:val="00553E0A"/>
    <w:rsid w:val="005570FD"/>
    <w:rsid w:val="005575EA"/>
    <w:rsid w:val="00560D18"/>
    <w:rsid w:val="0057790C"/>
    <w:rsid w:val="00593795"/>
    <w:rsid w:val="005A75FF"/>
    <w:rsid w:val="005B08F5"/>
    <w:rsid w:val="005D10AB"/>
    <w:rsid w:val="00601023"/>
    <w:rsid w:val="00601D8F"/>
    <w:rsid w:val="00605582"/>
    <w:rsid w:val="00606A60"/>
    <w:rsid w:val="00607258"/>
    <w:rsid w:val="00611F34"/>
    <w:rsid w:val="00621FE8"/>
    <w:rsid w:val="00630A4D"/>
    <w:rsid w:val="006434B6"/>
    <w:rsid w:val="00653E97"/>
    <w:rsid w:val="006667DB"/>
    <w:rsid w:val="00667AD5"/>
    <w:rsid w:val="00684A74"/>
    <w:rsid w:val="0068620A"/>
    <w:rsid w:val="00690B8A"/>
    <w:rsid w:val="006B00F5"/>
    <w:rsid w:val="006F2CF1"/>
    <w:rsid w:val="006F69F2"/>
    <w:rsid w:val="007038ED"/>
    <w:rsid w:val="00703BC3"/>
    <w:rsid w:val="00704B61"/>
    <w:rsid w:val="00715A64"/>
    <w:rsid w:val="007312AF"/>
    <w:rsid w:val="00740C1F"/>
    <w:rsid w:val="0074432A"/>
    <w:rsid w:val="007552A9"/>
    <w:rsid w:val="0075658A"/>
    <w:rsid w:val="00761858"/>
    <w:rsid w:val="00767D59"/>
    <w:rsid w:val="00776E97"/>
    <w:rsid w:val="00780F86"/>
    <w:rsid w:val="007912AD"/>
    <w:rsid w:val="00791D5C"/>
    <w:rsid w:val="007A5B02"/>
    <w:rsid w:val="007B0824"/>
    <w:rsid w:val="007B5D3C"/>
    <w:rsid w:val="007B651D"/>
    <w:rsid w:val="007C1A1C"/>
    <w:rsid w:val="007F3296"/>
    <w:rsid w:val="00815011"/>
    <w:rsid w:val="00821B72"/>
    <w:rsid w:val="00823EF2"/>
    <w:rsid w:val="008303B8"/>
    <w:rsid w:val="00833DCE"/>
    <w:rsid w:val="00833E86"/>
    <w:rsid w:val="008457A9"/>
    <w:rsid w:val="00871D34"/>
    <w:rsid w:val="008859AF"/>
    <w:rsid w:val="00893D95"/>
    <w:rsid w:val="008A25EC"/>
    <w:rsid w:val="008A6059"/>
    <w:rsid w:val="008B270C"/>
    <w:rsid w:val="008B5078"/>
    <w:rsid w:val="008C1CE0"/>
    <w:rsid w:val="008C3D3D"/>
    <w:rsid w:val="008C733C"/>
    <w:rsid w:val="008D4131"/>
    <w:rsid w:val="008F1932"/>
    <w:rsid w:val="008F3C2D"/>
    <w:rsid w:val="0090151B"/>
    <w:rsid w:val="009042A9"/>
    <w:rsid w:val="00921062"/>
    <w:rsid w:val="009433A1"/>
    <w:rsid w:val="00963A46"/>
    <w:rsid w:val="009722BC"/>
    <w:rsid w:val="009727A3"/>
    <w:rsid w:val="00987774"/>
    <w:rsid w:val="00996B75"/>
    <w:rsid w:val="009A11E8"/>
    <w:rsid w:val="009B45B0"/>
    <w:rsid w:val="009B7433"/>
    <w:rsid w:val="009C57C8"/>
    <w:rsid w:val="009F5220"/>
    <w:rsid w:val="00A07919"/>
    <w:rsid w:val="00A15234"/>
    <w:rsid w:val="00A172F5"/>
    <w:rsid w:val="00A201AB"/>
    <w:rsid w:val="00A31C8B"/>
    <w:rsid w:val="00A509FA"/>
    <w:rsid w:val="00A54F0D"/>
    <w:rsid w:val="00A845DC"/>
    <w:rsid w:val="00B26AA2"/>
    <w:rsid w:val="00B3524D"/>
    <w:rsid w:val="00B40F69"/>
    <w:rsid w:val="00B46616"/>
    <w:rsid w:val="00B47487"/>
    <w:rsid w:val="00B47B0C"/>
    <w:rsid w:val="00B528BB"/>
    <w:rsid w:val="00B7040A"/>
    <w:rsid w:val="00B81492"/>
    <w:rsid w:val="00B83391"/>
    <w:rsid w:val="00B95326"/>
    <w:rsid w:val="00BD4196"/>
    <w:rsid w:val="00BF22CA"/>
    <w:rsid w:val="00BF23BB"/>
    <w:rsid w:val="00C23DFC"/>
    <w:rsid w:val="00C26032"/>
    <w:rsid w:val="00C345E1"/>
    <w:rsid w:val="00C43BFD"/>
    <w:rsid w:val="00C46848"/>
    <w:rsid w:val="00C6048A"/>
    <w:rsid w:val="00C659D4"/>
    <w:rsid w:val="00C73738"/>
    <w:rsid w:val="00C74998"/>
    <w:rsid w:val="00C80B27"/>
    <w:rsid w:val="00CA1D6E"/>
    <w:rsid w:val="00CB6E35"/>
    <w:rsid w:val="00CD4E66"/>
    <w:rsid w:val="00CE09B1"/>
    <w:rsid w:val="00CE1A46"/>
    <w:rsid w:val="00CF4DEF"/>
    <w:rsid w:val="00D05EA6"/>
    <w:rsid w:val="00D20757"/>
    <w:rsid w:val="00D22636"/>
    <w:rsid w:val="00D40FD9"/>
    <w:rsid w:val="00D53769"/>
    <w:rsid w:val="00D606FA"/>
    <w:rsid w:val="00D6602D"/>
    <w:rsid w:val="00D85170"/>
    <w:rsid w:val="00D85C13"/>
    <w:rsid w:val="00D9111A"/>
    <w:rsid w:val="00D91BE3"/>
    <w:rsid w:val="00D949B7"/>
    <w:rsid w:val="00D94AFC"/>
    <w:rsid w:val="00D97088"/>
    <w:rsid w:val="00DB70AE"/>
    <w:rsid w:val="00DD5071"/>
    <w:rsid w:val="00DD5C39"/>
    <w:rsid w:val="00DE5CD4"/>
    <w:rsid w:val="00DE7DB7"/>
    <w:rsid w:val="00E00A0A"/>
    <w:rsid w:val="00E066DE"/>
    <w:rsid w:val="00E06F42"/>
    <w:rsid w:val="00E07F57"/>
    <w:rsid w:val="00E30683"/>
    <w:rsid w:val="00E403E4"/>
    <w:rsid w:val="00E42107"/>
    <w:rsid w:val="00E453D8"/>
    <w:rsid w:val="00E467B4"/>
    <w:rsid w:val="00E50BCE"/>
    <w:rsid w:val="00E574BF"/>
    <w:rsid w:val="00E61292"/>
    <w:rsid w:val="00E62986"/>
    <w:rsid w:val="00E77C4D"/>
    <w:rsid w:val="00E81D01"/>
    <w:rsid w:val="00E90597"/>
    <w:rsid w:val="00EA79AF"/>
    <w:rsid w:val="00EB485A"/>
    <w:rsid w:val="00EE45D8"/>
    <w:rsid w:val="00EF1118"/>
    <w:rsid w:val="00EF1D24"/>
    <w:rsid w:val="00F2129C"/>
    <w:rsid w:val="00F22EDA"/>
    <w:rsid w:val="00F470D6"/>
    <w:rsid w:val="00F5589A"/>
    <w:rsid w:val="00F768D4"/>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562EAE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EB3D0-31B0-4BD6-A9BC-F4A0100B0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4675</Words>
  <Characters>22369</Characters>
  <Application>Microsoft Office Word</Application>
  <DocSecurity>0</DocSecurity>
  <Lines>186</Lines>
  <Paragraphs>53</Paragraphs>
  <ScaleCrop>false</ScaleCrop>
  <Company/>
  <LinksUpToDate>false</LinksUpToDate>
  <CharactersWithSpaces>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2018-08-20T10:31:00Z</dcterms:created>
  <dcterms:modified xsi:type="dcterms:W3CDTF">2018-08-20T10:31:00Z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